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环江毛南族自治县第二初级中学</w:t>
      </w:r>
    </w:p>
    <w:p>
      <w:pPr>
        <w:pStyle w:val="Bodytext|5"/>
        <w:jc w:val="center"/>
        <w:rPr>
          <w:rFonts w:eastAsia="宋体" w:eastAsiaTheme="majorEastAsia" w:hint="eastAsia"/>
          <w:sz w:val="56"/>
          <w:szCs w:val="56"/>
          <w:lang w:val="en-US" w:eastAsia="zh-CN"/>
        </w:rPr>
        <w:sectPr>
          <w:headerReference w:type="default" r:id="rId5"/>
          <w:footerReference w:type="default" r:id="rId6"/>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val="en-US"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r>
        <w:rPr>
          <w:rFonts w:ascii="宋体" w:eastAsia="宋体" w:hAnsi="宋体" w:asciiTheme="majorEastAsia" w:eastAsiaTheme="majorEastAsia" w:hAnsiTheme="majorEastAsia" w:cs="Times New Roman" w:cstheme="majorEastAsia" w:hint="eastAsia"/>
          <w:sz w:val="56"/>
          <w:szCs w:val="56"/>
          <w:lang w:val="en-US" w:eastAsia="zh-CN"/>
        </w:rPr>
        <w:t xml:space="preserve">公开</w:t>
      </w:r>
    </w:p>
    <w:p>
      <w:pPr>
        <w:pStyle w:val="Heading#1|1"/>
        <w:keepNext/>
        <w:keepLines/>
        <w:spacing w:after="240"/>
        <w:jc w:val="center"/>
      </w:pPr>
      <w:bookmarkStart w:id="0" w:name="bookmark1"/>
      <w:bookmarkStart w:id="1" w:name="bookmark2"/>
      <w:bookmarkStart w:id="2" w:name="bookmark0"/>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环江毛南族自治县第二初级中学</w:t>
      </w:r>
      <w:r>
        <w:rPr>
          <w:u w:color="auto"/>
        </w:rPr>
        <w:t xml:space="preserve">单位</w:t>
      </w:r>
      <w:r>
        <w:t xml:space="preserve">概况</w:t>
      </w:r>
    </w:p>
    <w:p>
      <w:pPr>
        <w:pStyle w:val="Bodytext|2"/>
        <w:jc w:val="left"/>
        <w:rPr>
          <w:rFonts w:hint="eastAsia"/>
          <w:b w:val="0"/>
          <w:bCs w:val="0"/>
          <w:lang w:val="en-US" w:eastAsia="zh-CN"/>
        </w:rPr>
      </w:pPr>
      <w:r>
        <w:rPr>
          <w:rFonts w:hint="eastAsia"/>
          <w:b w:val="0"/>
          <w:bCs w:val="0"/>
          <w:lang w:val="en-US" w:eastAsia="zh-CN"/>
        </w:rPr>
        <w:t xml:space="preserve">一、主要职责</w:t>
      </w:r>
    </w:p>
    <w:p>
      <w:pPr>
        <w:pStyle w:val="Bodytext|2"/>
        <w:jc w:val="left"/>
        <w:rPr>
          <w:rFonts w:hint="eastAsia"/>
          <w:b w:val="0"/>
          <w:bCs w:val="0"/>
        </w:rPr>
      </w:pPr>
      <w:r>
        <w:rPr>
          <w:rFonts w:hint="eastAsia"/>
          <w:b w:val="0"/>
          <w:bCs w:val="0"/>
          <w:lang w:val="en-US" w:eastAsia="zh-CN"/>
        </w:rPr>
        <w:t xml:space="preserve">二、</w:t>
      </w:r>
      <w:r>
        <w:rPr>
          <w:rFonts w:hint="eastAsia"/>
          <w:b w:val="0"/>
          <w:bCs w:val="0"/>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环江毛南族自治县第二初级中学</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环江毛南族自治县第二初级中学</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七、一般公共预算“三公”经费支出情况表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7"/>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3" w:name="bookmark12"/>
      <w:bookmarkStart w:id="4" w:name="bookmark13"/>
      <w:bookmarkStart w:id="5" w:name="bookmark14"/>
      <w:r>
        <w:rPr>
          <w:b/>
          <w:bCs/>
          <w:sz w:val="40"/>
          <w:szCs w:val="40"/>
        </w:rPr>
        <w:t xml:space="preserve">第一部分</w:t>
      </w:r>
      <w:r>
        <w:rPr>
          <w:rFonts w:hint="eastAsia"/>
          <w:b/>
          <w:bCs/>
          <w:sz w:val="40"/>
          <w:szCs w:val="40"/>
          <w:lang w:eastAsia="zh-CN"/>
        </w:rPr>
        <w:t xml:space="preserve">：</w:t>
      </w:r>
      <w:r>
        <w:rPr>
          <w:b/>
          <w:sz w:val="40"/>
          <w:u w:color="auto"/>
        </w:rPr>
        <w:t xml:space="preserve">环江毛南族自治县第二初级中学</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（一）学校贯彻执行党和国家的教育方针、政策和法律法规；拟订学校教育改革与发展规划并组织实施。</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（二）编制学校教育事业发展规划并检查实施情况，向自治县人民政府和上级教育部门作出报告。</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（三）督促检查学校贯彻执行教育方针、政策、法令、法规和上级的各项规定；评估学校教育教学工作。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（四）执行义务教育均衡发展和促进教育公平。</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（五）负责学校教师队伍建设，包括教师岗位培训、后备干部队伍建设、教师学历教育、继续教育等。</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（六）学校做好中考和学生学籍管理工作。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（七）按照中央关于全面推进素质教育要求，负责学校教育教学管理、教育教学改革及教育教学科学研究工作，检查指导教师实施素质教育工作，并组织推广先进的教育教学经验。</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（八）检查教师的教育教学设备装备、管理和使用工作。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（九）检查学校教师开展电化教育和信息化教学工作。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（十）组织学校教师参加初级专业技术职务资格和中、高级专业技术职务资格的申报工作。按照管理权限对教师进行考核、聘任、奖惩、晋升等工作。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（十一）规范学校经费管理与使用工作。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（十二）负责组织学校教学教育常规管理工作，包括德育、体育、卫生、艺术、安全等。</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（十三）组织学生进行期中和期末教学质量检测工作。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（十四）负责指导学校学生资助管理工作。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（十五）负责语言文字和指导推广普通话工作。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（十六）完成上级部门交办的其他工作。</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eastAsia"/>
          <w:highlight w:val="none"/>
          <w:lang w:val="en-US" w:eastAsia="zh-CN"/>
        </w:rPr>
      </w:pPr>
      <w:r>
        <w:rPr>
          <w:rFonts w:hint="eastAsia"/>
          <w:highlight w:val="none"/>
          <w:lang w:val="en-US" w:eastAsia="zh-CN"/>
        </w:rPr>
        <w:t xml:space="preserve">（一）内设机构情况</w:t>
      </w:r>
    </w:p>
    <w:p>
      <w:pPr>
        <w:pStyle w:val="Bodytext|1"/>
        <w:spacing w:line="623" w:lineRule="exact"/>
        <w:ind w:left="0" w:firstLine="560" w:leftChars="0" w:firstLineChars="200"/>
        <w:jc w:val="left"/>
        <w:rPr>
          <w:rFonts w:hint="eastAsia"/>
          <w:highlight w:val="none"/>
          <w:lang w:val="en-US" w:eastAsia="zh-CN"/>
        </w:rPr>
      </w:pPr>
      <w:r>
        <w:rPr>
          <w:rFonts w:hint="eastAsia"/>
          <w:highlight w:val="none"/>
          <w:lang w:val="en-US" w:eastAsia="zh-CN"/>
        </w:rPr>
        <w:t xml:space="preserve">学校设有12个处室，分别为：行政办公室、总务处、教务处、教研处、政教处、安全办、资助办、财务室、工会室、少先队员办公室、心理辅导室。</w:t>
      </w:r>
    </w:p>
    <w:p>
      <w:pPr>
        <w:pStyle w:val="Bodytext|1"/>
        <w:spacing w:line="623" w:lineRule="exact"/>
        <w:ind w:left="0" w:firstLine="560" w:leftChars="0" w:firstLineChars="200"/>
        <w:jc w:val="left"/>
        <w:rPr>
          <w:rFonts w:hint="eastAsia"/>
          <w:highlight w:val="none"/>
          <w:lang w:val="en-US" w:eastAsia="zh-CN"/>
        </w:rPr>
      </w:pPr>
      <w:r>
        <w:rPr>
          <w:rFonts w:hint="eastAsia"/>
          <w:highlight w:val="none"/>
          <w:lang w:val="en-US" w:eastAsia="zh-CN"/>
        </w:rPr>
        <w:t xml:space="preserve">（二）人员构成情况</w:t>
      </w:r>
    </w:p>
    <w:p>
      <w:pPr>
        <w:pStyle w:val="Bodytext|1"/>
        <w:spacing w:line="623" w:lineRule="exact"/>
        <w:ind w:left="0" w:firstLine="560" w:leftChars="0" w:firstLineChars="200"/>
        <w:jc w:val="left"/>
        <w:rPr>
          <w:rFonts w:hint="eastAsia"/>
          <w:highlight w:val="none"/>
          <w:lang w:val="en-US" w:eastAsia="zh-CN"/>
        </w:rPr>
      </w:pPr>
      <w:r>
        <w:rPr>
          <w:rFonts w:hint="eastAsia"/>
          <w:highlight w:val="none"/>
          <w:lang w:val="en-US" w:eastAsia="zh-CN"/>
        </w:rPr>
        <w:t xml:space="preserve">2024年学校编制人数135人，其中行政编0人，事业编制数135人，教师控制数编制0人，机关后勤服务中心聘用人员控制数0人；实有在职人数133人，其中行政在职0人，事业在职132人，教师控制数1人，机关后勤服务中心聘用人员控制数0人；退休人员31人,政府购买服务人员0人，学校专职保安人员5人，兼职协管人员0人，食堂钟点工0人。</w:t>
      </w: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70"/>
      <w:bookmarkStart w:id="8" w:name="bookmark69"/>
      <w:bookmarkStart w:id="9" w:name="bookmark68"/>
      <w:bookmarkStart w:id="10" w:name="bookmark26"/>
      <w:bookmarkStart w:id="11" w:name="bookmark27"/>
      <w:bookmarkStart w:id="12" w:name="bookmark28"/>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环江毛南族自治县第二初级中学</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2059.91</w:t>
      </w:r>
      <w:r>
        <w:rPr>
          <w:rFonts w:hint="eastAsia"/>
          <w:b w:val="0"/>
          <w:bCs w:val="0"/>
          <w:sz w:val="28"/>
          <w:szCs w:val="28"/>
        </w:rPr>
        <w:t xml:space="preserve">万元，总支出</w:t>
      </w:r>
      <w:r>
        <w:rPr>
          <w:rFonts w:hint="eastAsia"/>
          <w:sz w:val="28"/>
          <w:szCs w:val="28"/>
          <w:lang w:val="en-US" w:eastAsia="zh-CN"/>
        </w:rPr>
        <w:t xml:space="preserve">2059.91</w:t>
      </w:r>
      <w:r>
        <w:rPr>
          <w:rFonts w:hint="eastAsia"/>
          <w:b w:val="0"/>
          <w:bCs w:val="0"/>
          <w:sz w:val="28"/>
          <w:szCs w:val="28"/>
        </w:rPr>
        <w:t xml:space="preserve">万元。总收入较2023年度预算数</w:t>
      </w:r>
      <w:r>
        <w:rPr>
          <w:rFonts w:hint="eastAsia"/>
          <w:sz w:val="28"/>
          <w:szCs w:val="28"/>
          <w:lang w:val="en-US" w:eastAsia="zh-CN"/>
        </w:rPr>
        <w:t xml:space="preserve">1575.09</w:t>
      </w:r>
      <w:r>
        <w:rPr>
          <w:rFonts w:hint="eastAsia"/>
          <w:b w:val="0"/>
          <w:bCs w:val="0"/>
          <w:sz w:val="28"/>
          <w:szCs w:val="28"/>
        </w:rPr>
        <w:t xml:space="preserve">万元，</w:t>
      </w:r>
      <w:r>
        <w:rPr>
          <w:rFonts w:hint="eastAsia"/>
          <w:sz w:val="28"/>
          <w:szCs w:val="28"/>
        </w:rPr>
        <w:t xml:space="preserve">增加484.82</w:t>
      </w:r>
      <w:r>
        <w:rPr>
          <w:rFonts w:hint="eastAsia"/>
          <w:b w:val="0"/>
          <w:bCs w:val="0"/>
          <w:sz w:val="28"/>
          <w:szCs w:val="28"/>
        </w:rPr>
        <w:t xml:space="preserve">万元，</w:t>
      </w:r>
      <w:r>
        <w:rPr>
          <w:rFonts w:hint="eastAsia"/>
          <w:sz w:val="28"/>
          <w:szCs w:val="28"/>
        </w:rPr>
        <w:t xml:space="preserve">增长30.78%</w:t>
      </w:r>
      <w:r>
        <w:rPr>
          <w:rFonts w:hint="eastAsia"/>
          <w:b w:val="0"/>
          <w:bCs w:val="0"/>
          <w:sz w:val="28"/>
          <w:szCs w:val="28"/>
        </w:rPr>
        <w:t xml:space="preserve">，主要原因是</w:t>
      </w:r>
      <w:r>
        <w:rPr>
          <w:rFonts w:hint="eastAsia"/>
          <w:highlight w:val="none"/>
          <w:lang w:val="en-US" w:eastAsia="zh-CN"/>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hint="eastAsia"/>
          <w:b w:val="0"/>
          <w:bCs w:val="0"/>
          <w:sz w:val="28"/>
          <w:szCs w:val="28"/>
        </w:rPr>
        <w:t xml:space="preserve">。总支出较2023年度预算数</w:t>
      </w:r>
      <w:r>
        <w:rPr>
          <w:rFonts w:hint="eastAsia"/>
          <w:sz w:val="28"/>
          <w:szCs w:val="28"/>
          <w:lang w:val="en-US" w:eastAsia="zh-CN"/>
        </w:rPr>
        <w:t xml:space="preserve">1575.09</w:t>
      </w:r>
      <w:r>
        <w:rPr>
          <w:rFonts w:hint="eastAsia"/>
          <w:b w:val="0"/>
          <w:bCs w:val="0"/>
          <w:sz w:val="28"/>
          <w:szCs w:val="28"/>
        </w:rPr>
        <w:t xml:space="preserve">万元，</w:t>
      </w:r>
      <w:r>
        <w:rPr>
          <w:rFonts w:hint="eastAsia"/>
          <w:sz w:val="28"/>
          <w:szCs w:val="28"/>
        </w:rPr>
        <w:t xml:space="preserve">增加484.82</w:t>
      </w:r>
      <w:r>
        <w:rPr>
          <w:rFonts w:hint="eastAsia"/>
          <w:b w:val="0"/>
          <w:bCs w:val="0"/>
          <w:sz w:val="28"/>
          <w:szCs w:val="28"/>
        </w:rPr>
        <w:t xml:space="preserve">万元，</w:t>
      </w:r>
      <w:r>
        <w:rPr>
          <w:rFonts w:hint="eastAsia"/>
          <w:sz w:val="28"/>
          <w:szCs w:val="28"/>
        </w:rPr>
        <w:t xml:space="preserve">增长30.78%</w:t>
      </w:r>
      <w:r>
        <w:rPr>
          <w:rFonts w:hint="eastAsia"/>
          <w:b w:val="0"/>
          <w:bCs w:val="0"/>
          <w:sz w:val="28"/>
          <w:szCs w:val="28"/>
        </w:rPr>
        <w:t xml:space="preserve">，主要原因是</w:t>
      </w:r>
      <w:r>
        <w:rPr>
          <w:rFonts w:hint="eastAsia"/>
          <w:highlight w:val="none"/>
          <w:lang w:val="en-US" w:eastAsia="zh-CN"/>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669"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2059.91</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1575.09</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增加484.82</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增长30.78%</w:t>
      </w:r>
      <w:r>
        <w:rPr>
          <w:rFonts w:ascii="宋体" w:eastAsia="宋体" w:hAnsi="宋体" w:cs="宋体" w:hint="eastAsia"/>
          <w:sz w:val="28"/>
          <w:szCs w:val="28"/>
          <w:u w:color="auto"/>
        </w:rPr>
        <w:t xml:space="preserve">，主要原因是</w:t>
      </w:r>
      <w:r>
        <w:rPr>
          <w:rFonts w:hint="eastAsia"/>
          <w:highlight w:val="none"/>
          <w:lang w:val="en-US" w:eastAsia="zh-CN"/>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670"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2059.91</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1575.09</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增加484.82</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增长30.78%</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highlight w:val="none"/>
          <w:lang w:val="en-US" w:eastAsia="zh-CN"/>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lang w:eastAsia="zh-CN"/>
        </w:rPr>
        <w:t xml:space="preserve">。主要包括：</w:t>
      </w:r>
      <w:r>
        <w:rPr>
          <w:rFonts w:ascii="宋体" w:eastAsia="宋体" w:hAnsi="宋体" w:cs="宋体" w:hint="eastAsia"/>
          <w:sz w:val="28"/>
          <w:szCs w:val="28"/>
          <w:highlight w:val="none"/>
          <w:lang w:val="en-US" w:eastAsia="zh-CN"/>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56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（一）按支出功能分类科目划分，共分为</w:t>
      </w:r>
      <w:r>
        <w:rPr>
          <w:rFonts w:ascii="宋体" w:eastAsia="宋体" w:hAnsi="宋体" w:cs="宋体" w:hint="eastAsia"/>
          <w:sz w:val="28"/>
          <w:szCs w:val="28"/>
          <w:lang w:val="en-US" w:eastAsia="zh-CN"/>
        </w:rPr>
        <w:t xml:space="preserve">4</w:t>
      </w:r>
      <w:r>
        <w:rPr>
          <w:rFonts w:ascii="宋体" w:eastAsia="宋体" w:hAnsi="宋体" w:cs="宋体" w:hint="eastAsia"/>
          <w:sz w:val="28"/>
          <w:szCs w:val="28"/>
        </w:rP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教育支出</w:t>
      </w:r>
      <w:r>
        <w:rPr>
          <w:rFonts w:ascii="宋体" w:eastAsia="宋体" w:hAnsi="宋体" w:cs="宋体" w:hint="eastAsia"/>
          <w:sz w:val="28"/>
          <w:szCs w:val="28"/>
          <w:lang w:val="en-US" w:eastAsia="zh-CN"/>
        </w:rPr>
        <w:t xml:space="preserve">1627.25</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79.00%</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增长401.32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增长32.74%</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住房保障支出</w:t>
      </w:r>
      <w:r>
        <w:rPr>
          <w:rFonts w:ascii="宋体" w:eastAsia="宋体" w:hAnsi="宋体" w:cs="宋体" w:hint="eastAsia"/>
          <w:sz w:val="28"/>
          <w:szCs w:val="28"/>
          <w:lang w:val="en-US" w:eastAsia="zh-CN"/>
        </w:rPr>
        <w:t xml:space="preserve">184.71</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8.97%</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增长44.67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增长31.90%</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社会保障和就业支出</w:t>
      </w:r>
      <w:r>
        <w:rPr>
          <w:rFonts w:ascii="宋体" w:eastAsia="宋体" w:hAnsi="宋体" w:cs="宋体" w:hint="eastAsia"/>
          <w:sz w:val="28"/>
          <w:szCs w:val="28"/>
          <w:lang w:val="en-US" w:eastAsia="zh-CN"/>
        </w:rPr>
        <w:t xml:space="preserve">220.30</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10.69%</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增长33.58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增长17.98%</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一般公共服务支出</w:t>
      </w:r>
      <w:r>
        <w:rPr>
          <w:rFonts w:ascii="宋体" w:eastAsia="宋体" w:hAnsi="宋体" w:cs="宋体" w:hint="eastAsia"/>
          <w:sz w:val="28"/>
          <w:szCs w:val="28"/>
          <w:lang w:val="en-US" w:eastAsia="zh-CN"/>
        </w:rPr>
        <w:t xml:space="preserve">27.65</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1.34%</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增长5.24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增长23.38%</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基本支出预算</w:t>
      </w:r>
      <w:r>
        <w:rPr>
          <w:rFonts w:ascii="宋体" w:eastAsia="宋体" w:hAnsi="宋体" w:cs="宋体" w:hint="eastAsia"/>
          <w:sz w:val="28"/>
          <w:szCs w:val="28"/>
          <w:lang w:val="en-US" w:eastAsia="zh-CN"/>
        </w:rPr>
        <w:t xml:space="preserve">1937.62</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94.06%</w:t>
      </w:r>
      <w:r>
        <w:rPr>
          <w:rFonts w:ascii="宋体" w:eastAsia="宋体" w:hAnsi="宋体" w:cs="宋体"/>
          <w:sz w:val="28"/>
          <w:u w:color="auto"/>
        </w:rPr>
        <w:t xml:space="preserve">,比上年</w:t>
      </w:r>
      <w:r>
        <w:rPr>
          <w:rFonts w:ascii="宋体" w:eastAsia="宋体" w:hAnsi="宋体" w:cs="宋体"/>
          <w:sz w:val="28"/>
          <w:u w:color="auto"/>
        </w:rPr>
        <w:t xml:space="preserve">增长497.36</w:t>
      </w:r>
      <w:r>
        <w:rPr>
          <w:rFonts w:ascii="宋体" w:eastAsia="宋体" w:hAnsi="宋体" w:cs="宋体"/>
          <w:sz w:val="28"/>
          <w:u w:color="auto"/>
        </w:rPr>
        <w:t xml:space="preserve">万元，</w:t>
      </w:r>
      <w:r>
        <w:rPr>
          <w:rFonts w:ascii="宋体" w:eastAsia="宋体" w:hAnsi="宋体" w:cs="宋体"/>
          <w:sz w:val="28"/>
          <w:u w:color="auto"/>
        </w:rPr>
        <w:t xml:space="preserve">增长34.53%</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1870.65</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96.54%</w:t>
      </w:r>
      <w:r>
        <w:rPr>
          <w:rFonts w:ascii="宋体" w:eastAsia="宋体" w:hAnsi="宋体" w:cs="宋体" w:hint="eastAsia"/>
          <w:sz w:val="28"/>
          <w:szCs w:val="28"/>
        </w:rPr>
        <w:t xml:space="preserve">,比上年</w:t>
      </w:r>
      <w:r>
        <w:rPr>
          <w:rFonts w:ascii="宋体" w:eastAsia="宋体" w:hAnsi="宋体" w:cs="宋体"/>
          <w:sz w:val="28"/>
          <w:u w:color="auto"/>
        </w:rPr>
        <w:t xml:space="preserve">增长474.62</w:t>
      </w:r>
      <w:r>
        <w:rPr>
          <w:rFonts w:ascii="宋体" w:eastAsia="宋体" w:hAnsi="宋体" w:cs="宋体"/>
          <w:sz w:val="28"/>
          <w:u w:color="auto"/>
        </w:rPr>
        <w:t xml:space="preserve">万元，</w:t>
      </w:r>
      <w:r>
        <w:rPr>
          <w:rFonts w:ascii="宋体" w:eastAsia="宋体" w:hAnsi="宋体" w:cs="宋体"/>
          <w:sz w:val="28"/>
          <w:u w:color="auto"/>
        </w:rPr>
        <w:t xml:space="preserve">增长34.00%</w:t>
      </w:r>
      <w:r>
        <w:rPr>
          <w:rFonts w:ascii="宋体" w:eastAsia="宋体" w:hAnsi="宋体" w:cs="宋体"/>
          <w:sz w:val="28"/>
          <w:u w:color="auto"/>
        </w:rPr>
        <w:t xml:space="preserve">,主要原因是：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27.65</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1.43%</w:t>
      </w:r>
      <w:r>
        <w:rPr>
          <w:rFonts w:ascii="宋体" w:eastAsia="宋体" w:hAnsi="宋体" w:cs="宋体" w:hint="eastAsia"/>
          <w:sz w:val="28"/>
          <w:szCs w:val="28"/>
        </w:rPr>
        <w:t xml:space="preserve">,比上年</w:t>
      </w:r>
      <w:r>
        <w:rPr>
          <w:rFonts w:ascii="宋体" w:eastAsia="宋体" w:hAnsi="宋体" w:cs="宋体"/>
          <w:sz w:val="28"/>
          <w:u w:color="auto"/>
        </w:rPr>
        <w:t xml:space="preserve">增长5.24</w:t>
      </w:r>
      <w:r>
        <w:rPr>
          <w:rFonts w:ascii="宋体" w:eastAsia="宋体" w:hAnsi="宋体" w:cs="宋体"/>
          <w:sz w:val="28"/>
          <w:u w:color="auto"/>
        </w:rPr>
        <w:t xml:space="preserve">万元，</w:t>
      </w:r>
      <w:r>
        <w:rPr>
          <w:rFonts w:ascii="宋体" w:eastAsia="宋体" w:hAnsi="宋体" w:cs="宋体"/>
          <w:sz w:val="28"/>
          <w:u w:color="auto"/>
        </w:rPr>
        <w:t xml:space="preserve">增长23.38%</w:t>
      </w:r>
      <w:r>
        <w:rPr>
          <w:rFonts w:ascii="宋体" w:eastAsia="宋体" w:hAnsi="宋体" w:cs="宋体"/>
          <w:sz w:val="28"/>
          <w:u w:color="auto"/>
        </w:rPr>
        <w:t xml:space="preserve">,主要原因是：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39.32</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2.03%</w:t>
      </w:r>
      <w:r>
        <w:rPr>
          <w:rFonts w:ascii="宋体" w:eastAsia="宋体" w:hAnsi="宋体" w:cs="宋体" w:hint="eastAsia"/>
          <w:sz w:val="28"/>
          <w:szCs w:val="28"/>
        </w:rPr>
        <w:t xml:space="preserve">,比上年</w:t>
      </w:r>
      <w:r>
        <w:rPr>
          <w:rFonts w:ascii="宋体" w:eastAsia="宋体" w:hAnsi="宋体" w:cs="宋体"/>
          <w:sz w:val="28"/>
          <w:u w:color="auto"/>
        </w:rPr>
        <w:t xml:space="preserve">增长17.51</w:t>
      </w:r>
      <w:r>
        <w:rPr>
          <w:rFonts w:ascii="宋体" w:eastAsia="宋体" w:hAnsi="宋体" w:cs="宋体"/>
          <w:sz w:val="28"/>
          <w:u w:color="auto"/>
        </w:rPr>
        <w:t xml:space="preserve">万元，</w:t>
      </w:r>
      <w:r>
        <w:rPr>
          <w:rFonts w:ascii="宋体" w:eastAsia="宋体" w:hAnsi="宋体" w:cs="宋体"/>
          <w:sz w:val="28"/>
          <w:u w:color="auto"/>
        </w:rPr>
        <w:t xml:space="preserve">增长80.28%</w:t>
      </w:r>
      <w:r>
        <w:rPr>
          <w:rFonts w:ascii="宋体" w:eastAsia="宋体" w:hAnsi="宋体" w:cs="宋体"/>
          <w:sz w:val="28"/>
          <w:u w:color="auto"/>
        </w:rPr>
        <w:t xml:space="preserve">,主要原因是：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项目支出预算</w:t>
      </w:r>
      <w:r>
        <w:rPr>
          <w:rFonts w:ascii="宋体" w:eastAsia="宋体" w:hAnsi="宋体" w:cs="宋体" w:hint="eastAsia"/>
          <w:sz w:val="28"/>
          <w:szCs w:val="28"/>
          <w:lang w:val="en-US" w:eastAsia="zh-CN"/>
        </w:rPr>
        <w:t xml:space="preserve">122.29</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5.94%</w:t>
      </w:r>
      <w:r>
        <w:rPr>
          <w:rFonts w:ascii="宋体" w:eastAsia="宋体" w:hAnsi="宋体" w:cs="宋体" w:hint="eastAsia"/>
          <w:sz w:val="28"/>
          <w:szCs w:val="28"/>
        </w:rPr>
        <w:t xml:space="preserve">,比上年</w:t>
      </w:r>
      <w:r>
        <w:rPr>
          <w:rFonts w:ascii="宋体" w:eastAsia="宋体" w:hAnsi="宋体" w:cs="宋体"/>
          <w:sz w:val="28"/>
          <w:u w:color="auto"/>
        </w:rPr>
        <w:t xml:space="preserve">减少12.55</w:t>
      </w:r>
      <w:r>
        <w:rPr>
          <w:rFonts w:ascii="宋体" w:eastAsia="宋体" w:hAnsi="宋体" w:cs="宋体" w:hint="eastAsia"/>
          <w:sz w:val="28"/>
          <w:szCs w:val="28"/>
        </w:rPr>
        <w:t xml:space="preserve">万元，</w:t>
      </w:r>
      <w:r>
        <w:rPr>
          <w:rFonts w:ascii="宋体" w:eastAsia="宋体" w:hAnsi="宋体" w:cs="宋体"/>
          <w:sz w:val="28"/>
          <w:u w:color="auto"/>
        </w:rPr>
        <w:t xml:space="preserve">减少9.31%</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13.44</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10.99%</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减少35.00</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减少72.25%</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CN" w:bidi="zh-TW"/>
        </w:rPr>
        <w:t xml:space="preserve">：</w:t>
      </w:r>
      <w:r>
        <w:rPr>
          <w:rFonts w:ascii="宋体" w:eastAsia="宋体" w:hAnsi="宋体" w:cs="宋体" w:hint="eastAsia"/>
          <w:color w:val="000000"/>
          <w:sz w:val="28"/>
          <w:szCs w:val="28"/>
          <w:lang w:val="zh-TW" w:eastAsia="zh-TW" w:bidi="zh-TW"/>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78.09</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63.86%</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增长5.11</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增长7.00%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CN" w:bidi="zh-TW"/>
        </w:rPr>
        <w:t xml:space="preserve">：</w:t>
      </w:r>
      <w:r>
        <w:rPr>
          <w:rFonts w:ascii="宋体" w:eastAsia="宋体" w:hAnsi="宋体" w:cs="宋体" w:hint="eastAsia"/>
          <w:color w:val="000000"/>
          <w:sz w:val="28"/>
          <w:szCs w:val="28"/>
          <w:lang w:val="zh-TW" w:eastAsia="zh-TW" w:bidi="zh-TW"/>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29.30</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23.96%</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增长15.88</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增长118.33%</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CN" w:bidi="zh-TW"/>
        </w:rPr>
        <w:t xml:space="preserve">：</w:t>
      </w:r>
      <w:r>
        <w:rPr>
          <w:rFonts w:ascii="宋体" w:eastAsia="宋体" w:hAnsi="宋体" w:cs="宋体" w:hint="eastAsia"/>
          <w:color w:val="000000"/>
          <w:sz w:val="28"/>
          <w:szCs w:val="28"/>
          <w:lang w:val="zh-TW" w:eastAsia="zh-TW" w:bidi="zh-TW"/>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1.46</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1.19%</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增长1.46</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增长100%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CN" w:bidi="zh-TW"/>
        </w:rPr>
        <w:t xml:space="preserve">：</w:t>
      </w:r>
      <w:r>
        <w:rPr>
          <w:rFonts w:ascii="宋体" w:eastAsia="宋体" w:hAnsi="宋体" w:cs="宋体" w:hint="eastAsia"/>
          <w:color w:val="000000"/>
          <w:sz w:val="28"/>
          <w:szCs w:val="28"/>
          <w:lang w:val="zh-TW" w:eastAsia="zh-TW" w:bidi="zh-TW"/>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color w:val="000000"/>
          <w:sz w:val="28"/>
          <w:szCs w:val="28"/>
          <w:lang w:val="en-US" w:eastAsia="zh-CN" w:bidi="zh-TW"/>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671"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2059.91</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2059.91</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1575.09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增加484.82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增长30.78%</w:t>
      </w:r>
      <w:r>
        <w:rPr>
          <w:rFonts w:ascii="宋体" w:eastAsia="宋体" w:hAnsi="宋体" w:cs="宋体" w:hint="eastAsia"/>
          <w:sz w:val="28"/>
          <w:szCs w:val="28"/>
        </w:rPr>
        <w:t xml:space="preserve">，主要原因是</w:t>
      </w:r>
      <w:r>
        <w:rPr>
          <w:rFonts w:hint="eastAsia"/>
          <w:highlight w:val="none"/>
          <w:lang w:val="en-US" w:eastAsia="zh-CN"/>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1575.09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增加484.82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增长30.78%</w:t>
      </w:r>
      <w:r>
        <w:rPr>
          <w:rFonts w:ascii="宋体" w:eastAsia="宋体" w:hAnsi="宋体" w:cs="宋体" w:hint="eastAsia"/>
          <w:sz w:val="28"/>
          <w:szCs w:val="28"/>
        </w:rPr>
        <w:t xml:space="preserve">，主要原因是</w:t>
      </w:r>
      <w:r>
        <w:rPr>
          <w:rFonts w:hint="eastAsia"/>
          <w:highlight w:val="none"/>
          <w:lang w:val="en-US" w:eastAsia="zh-CN"/>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672"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2059.91</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1575.09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增加484.82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增长30.78%</w:t>
      </w:r>
      <w:r>
        <w:rPr>
          <w:rFonts w:ascii="宋体" w:eastAsia="宋体" w:hAnsi="宋体" w:cs="宋体" w:hint="eastAsia"/>
          <w:sz w:val="28"/>
          <w:szCs w:val="28"/>
        </w:rPr>
        <w:t xml:space="preserve">，主要原因是</w:t>
      </w:r>
      <w:r>
        <w:rPr>
          <w:rFonts w:hint="eastAsia"/>
          <w:highlight w:val="none"/>
          <w:lang w:val="en-US" w:eastAsia="zh-CN"/>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650.00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27.65</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1.34%</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22.41</w:t>
      </w:r>
      <w:r>
        <w:rPr>
          <w:rFonts w:ascii="宋体" w:eastAsia="宋体" w:hAnsi="宋体" w:cs="宋体" w:hint="eastAsia"/>
          <w:sz w:val="28"/>
          <w:szCs w:val="28"/>
        </w:rPr>
        <w:t xml:space="preserve">万元，</w:t>
      </w:r>
      <w:r>
        <w:rPr>
          <w:rFonts w:ascii="宋体" w:eastAsia="宋体" w:hAnsi="宋体" w:cs="宋体"/>
          <w:sz w:val="28"/>
          <w:u w:color="auto"/>
        </w:rPr>
        <w:t xml:space="preserve">增长5.24</w:t>
      </w:r>
      <w:r>
        <w:rPr>
          <w:rFonts w:ascii="宋体" w:eastAsia="宋体" w:hAnsi="宋体" w:cs="宋体" w:hint="eastAsia"/>
          <w:sz w:val="28"/>
          <w:szCs w:val="28"/>
        </w:rPr>
        <w:t xml:space="preserve">万元，</w:t>
      </w:r>
      <w:r>
        <w:rPr>
          <w:rFonts w:ascii="宋体" w:eastAsia="宋体" w:hAnsi="宋体" w:cs="宋体"/>
          <w:sz w:val="28"/>
          <w:u w:color="auto"/>
        </w:rPr>
        <w:t xml:space="preserve">增长23.38%</w:t>
      </w:r>
      <w:r>
        <w:rPr>
          <w:rFonts w:ascii="宋体" w:eastAsia="宋体" w:hAnsi="宋体" w:cs="宋体" w:hint="eastAsia"/>
          <w:sz w:val="28"/>
          <w:szCs w:val="28"/>
        </w:rPr>
        <w:t xml:space="preserve">，主要原因是：</w:t>
      </w:r>
      <w:r>
        <w:rPr>
          <w:rFonts w:hint="eastAsia"/>
          <w:highlight w:val="none"/>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184.71</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8.97%</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140.04</w:t>
      </w:r>
      <w:r>
        <w:rPr>
          <w:rFonts w:ascii="宋体" w:eastAsia="宋体" w:hAnsi="宋体" w:cs="宋体" w:hint="eastAsia"/>
          <w:sz w:val="28"/>
          <w:szCs w:val="28"/>
        </w:rPr>
        <w:t xml:space="preserve">万元，</w:t>
      </w:r>
      <w:r>
        <w:rPr>
          <w:rFonts w:ascii="宋体" w:eastAsia="宋体" w:hAnsi="宋体" w:cs="宋体"/>
          <w:sz w:val="28"/>
          <w:u w:color="auto"/>
        </w:rPr>
        <w:t xml:space="preserve">增长44.67</w:t>
      </w:r>
      <w:r>
        <w:rPr>
          <w:rFonts w:ascii="宋体" w:eastAsia="宋体" w:hAnsi="宋体" w:cs="宋体" w:hint="eastAsia"/>
          <w:sz w:val="28"/>
          <w:szCs w:val="28"/>
        </w:rPr>
        <w:t xml:space="preserve">万元，</w:t>
      </w:r>
      <w:r>
        <w:rPr>
          <w:rFonts w:ascii="宋体" w:eastAsia="宋体" w:hAnsi="宋体" w:cs="宋体"/>
          <w:sz w:val="28"/>
          <w:u w:color="auto"/>
        </w:rPr>
        <w:t xml:space="preserve">增长31.90%</w:t>
      </w:r>
      <w:r>
        <w:rPr>
          <w:rFonts w:ascii="宋体" w:eastAsia="宋体" w:hAnsi="宋体" w:cs="宋体" w:hint="eastAsia"/>
          <w:sz w:val="28"/>
          <w:szCs w:val="28"/>
        </w:rPr>
        <w:t xml:space="preserve">，主要原因是：</w:t>
      </w:r>
      <w:r>
        <w:rPr>
          <w:rFonts w:hint="eastAsia"/>
          <w:highlight w:val="none"/>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教育支出</w:t>
      </w:r>
      <w:r>
        <w:rPr>
          <w:rFonts w:ascii="宋体" w:eastAsia="宋体" w:hAnsi="宋体" w:cs="宋体" w:hint="eastAsia"/>
          <w:sz w:val="28"/>
          <w:szCs w:val="28"/>
        </w:rPr>
        <w:t xml:space="preserve">（类）支出</w:t>
      </w:r>
      <w:r>
        <w:rPr>
          <w:rFonts w:ascii="宋体" w:eastAsia="宋体" w:hAnsi="宋体" w:cs="宋体"/>
          <w:sz w:val="28"/>
          <w:u w:color="auto"/>
        </w:rPr>
        <w:t xml:space="preserve">1627.25</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79.00%</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1225.93</w:t>
      </w:r>
      <w:r>
        <w:rPr>
          <w:rFonts w:ascii="宋体" w:eastAsia="宋体" w:hAnsi="宋体" w:cs="宋体" w:hint="eastAsia"/>
          <w:sz w:val="28"/>
          <w:szCs w:val="28"/>
        </w:rPr>
        <w:t xml:space="preserve">万元，</w:t>
      </w:r>
      <w:r>
        <w:rPr>
          <w:rFonts w:ascii="宋体" w:eastAsia="宋体" w:hAnsi="宋体" w:cs="宋体"/>
          <w:sz w:val="28"/>
          <w:u w:color="auto"/>
        </w:rPr>
        <w:t xml:space="preserve">增长401.32</w:t>
      </w:r>
      <w:r>
        <w:rPr>
          <w:rFonts w:ascii="宋体" w:eastAsia="宋体" w:hAnsi="宋体" w:cs="宋体" w:hint="eastAsia"/>
          <w:sz w:val="28"/>
          <w:szCs w:val="28"/>
        </w:rPr>
        <w:t xml:space="preserve">万元，</w:t>
      </w:r>
      <w:r>
        <w:rPr>
          <w:rFonts w:ascii="宋体" w:eastAsia="宋体" w:hAnsi="宋体" w:cs="宋体"/>
          <w:sz w:val="28"/>
          <w:u w:color="auto"/>
        </w:rPr>
        <w:t xml:space="preserve">增长32.74%</w:t>
      </w:r>
      <w:r>
        <w:rPr>
          <w:rFonts w:ascii="宋体" w:eastAsia="宋体" w:hAnsi="宋体" w:cs="宋体" w:hint="eastAsia"/>
          <w:sz w:val="28"/>
          <w:szCs w:val="28"/>
        </w:rPr>
        <w:t xml:space="preserve">，主要原因是：</w:t>
      </w:r>
      <w:r>
        <w:rPr>
          <w:rFonts w:hint="eastAsia"/>
          <w:highlight w:val="none"/>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220.30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10.69%</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186.72</w:t>
      </w:r>
      <w:r>
        <w:rPr>
          <w:rFonts w:ascii="宋体" w:eastAsia="宋体" w:hAnsi="宋体" w:cs="宋体" w:hint="eastAsia"/>
          <w:sz w:val="28"/>
          <w:szCs w:val="28"/>
        </w:rPr>
        <w:t xml:space="preserve">万元，</w:t>
      </w:r>
      <w:r>
        <w:rPr>
          <w:rFonts w:ascii="宋体" w:eastAsia="宋体" w:hAnsi="宋体" w:cs="宋体"/>
          <w:sz w:val="28"/>
          <w:u w:color="auto"/>
        </w:rPr>
        <w:t xml:space="preserve">增长33.58</w:t>
      </w:r>
      <w:r>
        <w:rPr>
          <w:rFonts w:ascii="宋体" w:eastAsia="宋体" w:hAnsi="宋体" w:cs="宋体" w:hint="eastAsia"/>
          <w:sz w:val="28"/>
          <w:szCs w:val="28"/>
        </w:rPr>
        <w:t xml:space="preserve">万元，</w:t>
      </w:r>
      <w:r>
        <w:rPr>
          <w:rFonts w:ascii="宋体" w:eastAsia="宋体" w:hAnsi="宋体" w:cs="宋体"/>
          <w:sz w:val="28"/>
          <w:u w:color="auto"/>
        </w:rPr>
        <w:t xml:space="preserve">增长17.98%</w:t>
      </w:r>
      <w:r>
        <w:rPr>
          <w:rFonts w:ascii="宋体" w:eastAsia="宋体" w:hAnsi="宋体" w:cs="宋体" w:hint="eastAsia"/>
          <w:sz w:val="28"/>
          <w:szCs w:val="28"/>
        </w:rPr>
        <w:t xml:space="preserve">，主要原因是：</w:t>
      </w:r>
      <w:r>
        <w:rPr>
          <w:rFonts w:hint="eastAsia"/>
          <w:highlight w:val="none"/>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673"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2"/>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1937.62</w:t>
      </w:r>
      <w:r>
        <w:rPr>
          <w:rFonts w:hint="eastAsia"/>
        </w:rPr>
        <w:t xml:space="preserve">万元，较2023年度预算数</w:t>
      </w:r>
      <w:r>
        <w:rPr>
          <w:rFonts w:hint="eastAsia"/>
          <w:lang w:val="en-US" w:eastAsia="zh-CN"/>
        </w:rPr>
        <w:t xml:space="preserve">1440.26</w:t>
      </w:r>
      <w:r>
        <w:rPr>
          <w:rFonts w:hint="eastAsia"/>
        </w:rPr>
        <w:t xml:space="preserve">万元</w:t>
      </w:r>
      <w:r>
        <w:rPr>
          <w:rFonts w:hint="eastAsia"/>
          <w:lang w:val="en-US" w:eastAsia="zh-CN"/>
        </w:rPr>
        <w:t xml:space="preserve">,</w:t>
      </w:r>
      <w:r>
        <w:rPr>
          <w:u w:color="auto"/>
        </w:rPr>
        <w:t xml:space="preserve">增加497.36</w:t>
      </w:r>
      <w:r>
        <w:rPr>
          <w:rFonts w:hint="eastAsia"/>
        </w:rPr>
        <w:t xml:space="preserve">万元，</w:t>
      </w:r>
      <w:r>
        <w:rPr>
          <w:rFonts w:hint="eastAsia"/>
          <w:lang w:val="en-US" w:eastAsia="zh-CN"/>
        </w:rPr>
        <w:t xml:space="preserve">增长34.53%</w:t>
      </w:r>
      <w:r>
        <w:rPr>
          <w:rFonts w:hint="eastAsia"/>
        </w:rPr>
        <w:t xml:space="preserve">，主要原因是</w:t>
      </w:r>
      <w:r>
        <w:rPr>
          <w:rFonts w:hint="eastAsia"/>
          <w:highlight w:val="none"/>
          <w:lang w:val="en-US" w:eastAsia="zh-CN"/>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1870.65</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96.54%</w:t>
      </w:r>
      <w:r>
        <w:rPr>
          <w:rFonts w:hint="eastAsia"/>
        </w:rPr>
        <w:t xml:space="preserve">，较2023年度预算数</w:t>
      </w:r>
      <w:r>
        <w:rPr>
          <w:rFonts w:hint="eastAsia"/>
          <w:lang w:val="en-US" w:eastAsia="zh-CN"/>
        </w:rPr>
        <w:t xml:space="preserve">1396.03</w:t>
      </w:r>
      <w:r>
        <w:rPr>
          <w:rFonts w:hint="eastAsia"/>
        </w:rPr>
        <w:t xml:space="preserve">万元，</w:t>
      </w:r>
      <w:r>
        <w:rPr>
          <w:rFonts w:hint="eastAsia"/>
          <w:lang w:val="en-US" w:eastAsia="zh-CN"/>
        </w:rPr>
        <w:t xml:space="preserve">增长474.62</w:t>
      </w:r>
      <w:r>
        <w:rPr>
          <w:rFonts w:hint="eastAsia"/>
        </w:rPr>
        <w:t xml:space="preserve">万元，</w:t>
      </w:r>
      <w:r>
        <w:rPr>
          <w:rFonts w:hint="eastAsia"/>
          <w:lang w:val="en-US" w:eastAsia="zh-CN"/>
        </w:rPr>
        <w:t xml:space="preserve">增长34.00%</w:t>
      </w:r>
      <w:r>
        <w:rPr>
          <w:rFonts w:hint="eastAsia"/>
        </w:rPr>
        <w:t xml:space="preserve">，主要原因是：</w:t>
      </w:r>
      <w:r>
        <w:rPr>
          <w:rFonts w:hint="eastAsia"/>
          <w:highlight w:val="none"/>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27.65</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1.43%</w:t>
      </w:r>
      <w:r>
        <w:rPr>
          <w:rFonts w:hint="eastAsia"/>
        </w:rPr>
        <w:t xml:space="preserve">，较2023年度预算数</w:t>
      </w:r>
      <w:r>
        <w:rPr>
          <w:rFonts w:hint="eastAsia"/>
          <w:lang w:val="en-US" w:eastAsia="zh-CN"/>
        </w:rPr>
        <w:t xml:space="preserve">22.41</w:t>
      </w:r>
      <w:r>
        <w:rPr>
          <w:rFonts w:hint="eastAsia"/>
        </w:rPr>
        <w:t xml:space="preserve">万元，</w:t>
      </w:r>
      <w:r>
        <w:rPr>
          <w:rFonts w:hint="eastAsia"/>
          <w:lang w:val="en-US" w:eastAsia="zh-CN"/>
        </w:rPr>
        <w:t xml:space="preserve">增长5.24</w:t>
      </w:r>
      <w:r>
        <w:rPr>
          <w:rFonts w:hint="eastAsia"/>
        </w:rPr>
        <w:t xml:space="preserve">万元，</w:t>
      </w:r>
      <w:r>
        <w:rPr>
          <w:rFonts w:hint="eastAsia"/>
          <w:lang w:val="en-US" w:eastAsia="zh-CN"/>
        </w:rPr>
        <w:t xml:space="preserve">增长23.38%</w:t>
      </w:r>
      <w:r>
        <w:rPr>
          <w:rFonts w:hint="eastAsia"/>
        </w:rPr>
        <w:t xml:space="preserve">，主要原因是：</w:t>
      </w:r>
      <w:r>
        <w:rPr>
          <w:rFonts w:hint="eastAsia"/>
          <w:highlight w:val="none"/>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39.32</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2.03%</w:t>
      </w:r>
      <w:r>
        <w:rPr>
          <w:rFonts w:hint="eastAsia"/>
        </w:rPr>
        <w:t xml:space="preserve">，较2023年度预算数</w:t>
      </w:r>
      <w:r>
        <w:rPr>
          <w:rFonts w:hint="eastAsia"/>
          <w:lang w:val="en-US" w:eastAsia="zh-CN"/>
        </w:rPr>
        <w:t xml:space="preserve">21.81</w:t>
      </w:r>
      <w:r>
        <w:rPr>
          <w:rFonts w:hint="eastAsia"/>
        </w:rPr>
        <w:t xml:space="preserve">万元，</w:t>
      </w:r>
      <w:r>
        <w:rPr>
          <w:rFonts w:hint="eastAsia"/>
          <w:lang w:val="en-US" w:eastAsia="zh-CN"/>
        </w:rPr>
        <w:t xml:space="preserve">增长17.51</w:t>
      </w:r>
      <w:r>
        <w:rPr>
          <w:rFonts w:hint="eastAsia"/>
        </w:rPr>
        <w:t xml:space="preserve">万元，</w:t>
      </w:r>
      <w:r>
        <w:rPr>
          <w:rFonts w:hint="eastAsia"/>
          <w:lang w:val="en-US" w:eastAsia="zh-CN"/>
        </w:rPr>
        <w:t xml:space="preserve">增长80.28%</w:t>
      </w:r>
      <w:r>
        <w:rPr>
          <w:rFonts w:hint="eastAsia"/>
        </w:rPr>
        <w:t xml:space="preserve">，主要原因是：</w:t>
      </w:r>
      <w:r>
        <w:rPr>
          <w:rFonts w:hint="eastAsia"/>
          <w:highlight w:val="none"/>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674"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3"/>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本单位没有此项经费支出安排。</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本单位没有此项经费支出安排。</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本单位没有此项经费支出安排。</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本单位没有此项经费支出安排。</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4"/>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b w:val="0"/>
          <w:bCs w:val="0"/>
          <w:sz w:val="28"/>
          <w:szCs w:val="28"/>
          <w:lang w:eastAsia="zh-CN"/>
        </w:rPr>
        <w:t xml:space="preserve">2024</w:t>
      </w:r>
      <w:r>
        <w:rPr>
          <w:rFonts w:hint="eastAsia"/>
          <w:sz w:val="28"/>
          <w:szCs w:val="28"/>
        </w:rPr>
        <w:t xml:space="preserve">年政府性基金预算支出共</w:t>
      </w:r>
      <w:r>
        <w:rPr>
          <w:rFonts w:hint="eastAsia"/>
          <w:b w:val="0"/>
          <w:bCs w:val="0"/>
          <w:sz w:val="28"/>
          <w:szCs w:val="28"/>
          <w:lang w:eastAsia="zh-CN"/>
        </w:rPr>
        <w:t xml:space="preserve">0.00</w:t>
      </w:r>
      <w:r>
        <w:rPr>
          <w:rFonts w:hint="eastAsia"/>
          <w:sz w:val="28"/>
          <w:szCs w:val="28"/>
        </w:rPr>
        <w:t xml:space="preserve">万元，较2023年度预算数</w:t>
      </w:r>
      <w:r>
        <w:rPr>
          <w:rFonts w:hint="eastAsia"/>
          <w:b w:val="0"/>
          <w:bCs w:val="0"/>
          <w:sz w:val="28"/>
          <w:szCs w:val="28"/>
          <w:lang w:eastAsia="zh-CN"/>
        </w:rPr>
        <w:t xml:space="preserve">0.00</w:t>
      </w:r>
      <w:r>
        <w:rPr>
          <w:rFonts w:hint="eastAsia"/>
          <w:sz w:val="28"/>
          <w:szCs w:val="28"/>
        </w:rPr>
        <w:t xml:space="preserve">万元，</w:t>
      </w:r>
      <w:r>
        <w:rPr>
          <w:rFonts w:hint="eastAsia"/>
          <w:b w:val="0"/>
          <w:bCs w:val="0"/>
          <w:sz w:val="28"/>
          <w:szCs w:val="28"/>
          <w:lang w:eastAsia="zh-CN"/>
        </w:rPr>
        <w:t xml:space="preserve">增加0.00</w:t>
      </w:r>
      <w:r>
        <w:rPr>
          <w:rFonts w:hint="eastAsia"/>
          <w:sz w:val="28"/>
          <w:szCs w:val="28"/>
        </w:rPr>
        <w:t xml:space="preserve">万元，</w:t>
      </w:r>
      <w:r>
        <w:rPr>
          <w:rFonts w:hint="eastAsia"/>
          <w:b w:val="0"/>
          <w:bCs w:val="0"/>
          <w:sz w:val="28"/>
          <w:szCs w:val="28"/>
          <w:lang w:eastAsia="zh-CN"/>
        </w:rPr>
        <w:t xml:space="preserve">增长0%</w:t>
      </w:r>
      <w:r>
        <w:rPr>
          <w:rFonts w:hint="eastAsia"/>
          <w:sz w:val="28"/>
          <w:szCs w:val="28"/>
        </w:rPr>
        <w:t xml:space="preserve">，主要原因是</w:t>
      </w:r>
      <w:r>
        <w:rPr>
          <w:rFonts w:hint="eastAsia"/>
          <w:sz w:val="28"/>
          <w:szCs w:val="28"/>
          <w:highlight w:val="none"/>
          <w:lang w:val="en-US" w:eastAsia="zh-CN"/>
        </w:rPr>
        <w:t xml:space="preserve">本单位没有此项经费支出安排。</w:t>
      </w:r>
      <w:r>
        <w:rPr>
          <w:rFonts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 xml:space="preserve">九</w:t>
      </w:r>
      <w:bookmarkEnd w:id="15"/>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sz w:val="28"/>
          <w:szCs w:val="28"/>
          <w:lang w:eastAsia="zh-CN"/>
        </w:rPr>
        <w:t xml:space="preserve">2024</w:t>
      </w:r>
      <w:r>
        <w:rPr>
          <w:rFonts w:hint="eastAsia"/>
          <w:sz w:val="28"/>
          <w:szCs w:val="28"/>
        </w:rPr>
        <w:t xml:space="preserve">年国有资本经营预算支出共</w:t>
      </w:r>
      <w:r>
        <w:rPr>
          <w:rFonts w:hint="eastAsia"/>
          <w:sz w:val="28"/>
          <w:szCs w:val="28"/>
          <w:lang w:eastAsia="zh-CN"/>
        </w:rPr>
        <w:t xml:space="preserve">0.00</w:t>
      </w:r>
      <w:r>
        <w:rPr>
          <w:rFonts w:hint="eastAsia"/>
          <w:sz w:val="28"/>
          <w:szCs w:val="28"/>
        </w:rPr>
        <w:t xml:space="preserve">万元，较2023年度预算数</w:t>
      </w:r>
      <w:r>
        <w:rPr>
          <w:rFonts w:hint="eastAsia"/>
          <w:sz w:val="28"/>
          <w:szCs w:val="28"/>
          <w:lang w:eastAsia="zh-CN"/>
        </w:rPr>
        <w:t xml:space="preserve">0.00</w:t>
      </w:r>
      <w:r>
        <w:rPr>
          <w:rFonts w:hint="eastAsia"/>
          <w:sz w:val="28"/>
          <w:szCs w:val="28"/>
        </w:rPr>
        <w:t xml:space="preserve">万元，</w:t>
      </w:r>
      <w:r>
        <w:rPr>
          <w:rFonts w:hint="eastAsia"/>
          <w:sz w:val="28"/>
          <w:szCs w:val="28"/>
          <w:lang w:eastAsia="zh-CN"/>
        </w:rPr>
        <w:t xml:space="preserve">增加0.00</w:t>
      </w:r>
      <w:r>
        <w:rPr>
          <w:rFonts w:hint="eastAsia"/>
          <w:sz w:val="28"/>
          <w:szCs w:val="28"/>
        </w:rPr>
        <w:t xml:space="preserve">万元，</w:t>
      </w:r>
      <w:r>
        <w:rPr>
          <w:rFonts w:hint="eastAsia"/>
          <w:sz w:val="28"/>
          <w:szCs w:val="28"/>
          <w:lang w:eastAsia="zh-CN"/>
        </w:rPr>
        <w:t xml:space="preserve">增长0%</w:t>
      </w:r>
      <w:r>
        <w:rPr>
          <w:rFonts w:hint="eastAsia"/>
          <w:sz w:val="28"/>
          <w:szCs w:val="28"/>
        </w:rPr>
        <w:t xml:space="preserve">，主要原因是</w:t>
      </w:r>
      <w:r>
        <w:rPr>
          <w:rFonts w:hint="eastAsia"/>
          <w:sz w:val="28"/>
          <w:szCs w:val="28"/>
          <w:lang w:val="en-US" w:eastAsia="zh-CN"/>
        </w:rPr>
        <w:t xml:space="preserve">本单位没有此项经费支出安排。</w:t>
      </w:r>
      <w:r>
        <w:rPr>
          <w:rFonts w:hint="eastAsia"/>
          <w:sz w:val="28"/>
          <w:szCs w:val="28"/>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年本部门机关运行经费预算</w:t>
      </w:r>
      <w:r>
        <w:rPr>
          <w:rFonts w:ascii="宋体" w:eastAsia="宋体" w:hAnsi="宋体" w:cs="宋体" w:hint="eastAsia"/>
          <w:sz w:val="28"/>
          <w:szCs w:val="28"/>
          <w:lang w:val="en-US" w:eastAsia="zh-CN"/>
        </w:rPr>
        <w:t xml:space="preserve">27.65</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22.41</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增加5.24</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增长23.38%</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本年度学校调入教师人数27人；公招教师7名，有5位教师退休，调出2人人员增幅达25.5%。预发及清算发放2022年的政府绩效考评奖；调整提高并发放2023年度的基础性绩效工资增量；发放2023年度的1-9月份的奖励性绩效工资；教师岗位变动，工资提高</w:t>
      </w:r>
      <w:r>
        <w:rPr>
          <w:rFonts w:cs="宋体" w:hint="eastAsia"/>
          <w:sz w:val="28"/>
          <w:szCs w:val="28"/>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主要用于：0</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个，预算资金</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本单位没有重点项目经费支出安排</w:t>
      </w:r>
    </w:p>
    <w:p>
      <w:pPr>
        <w:pStyle w:val="Bodytext|1"/>
        <w:spacing w:line="624" w:lineRule="exact"/>
        <w:ind w:left="0" w:firstLine="0" w:leftChars="0" w:firstLineChars="0"/>
        <w:jc w:val="left"/>
        <w:rPr>
          <w:rFonts w:hint="default"/>
          <w:sz w:val="28"/>
          <w:szCs w:val="28"/>
          <w:highlight w:val="none"/>
          <w:lang w:val="en-US" w:eastAsia="zh-CN"/>
        </w:rPr>
        <w:sectPr>
          <w:headerReference w:type="default" r:id="rId14"/>
          <w:footerReference w:type="default" r:id="rId15"/>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环江毛南族自治县第二初级中学</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6" w:name="bookmark29"/>
      <w:bookmarkStart w:id="17" w:name="bookmark30"/>
      <w:bookmarkStart w:id="18" w:name="bookmark31"/>
      <w:r>
        <w:t xml:space="preserve">收支总体情况表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cantSplit/>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环江毛南族自治县第二初级中学</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cantSplit/>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2002.00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27.65</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650.00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1352.00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1627.25</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220.30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184.71</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2002.00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2059.91</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57.91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2059.91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2059.91</w:t>
            </w:r>
          </w:p>
        </w:tc>
      </w:tr>
    </w:tbl>
    <w:p>
      <w:pPr>
        <w:pStyle w:val="Tablecaption|1"/>
        <w:ind w:left="101"/>
        <w:jc w:val="left"/>
        <w:rPr>
          <w:rFonts w:eastAsia="宋体"/>
          <w:lang w:eastAsia="zh-CN"/>
        </w:rPr>
        <w:sectPr>
          <w:headerReference w:type="default" r:id="rId16"/>
          <w:footerReference w:type="default" r:id="rId17"/>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r>
        <w:t xml:space="preserve">注：报表金额单位转换时可能存在四舍五入尾数误差。</w:t>
      </w: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环江毛南族自治县第二初级中学</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636"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部门（单位）代码</w:t>
            </w:r>
          </w:p>
        </w:tc>
        <w:tc>
          <w:tcPr>
            <w:tcW w:w="1279"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部门（单位）名称</w:t>
            </w:r>
          </w:p>
        </w:tc>
        <w:tc>
          <w:tcPr>
            <w:tcW w:w="990" w:type="dxa"/>
            <w:vMerge w:val="restart"/>
            <w:vAlign w:val="center"/>
          </w:tcPr>
          <w:p>
            <w:pPr>
              <w:pStyle w:val="Other|1"/>
              <w:spacing w:line="240" w:lineRule="auto"/>
              <w:ind w:left="0" w:firstLine="0" w:leftChars="0" w:firstLineChars="0"/>
              <w:jc w:val="center"/>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5843" w:type="dxa"/>
            <w:gridSpan w:val="6"/>
          </w:tcPr>
          <w:p>
            <w:pPr>
              <w:tabs>
                <w:tab w:val="left" w:pos="859"/>
              </w:tabs>
              <w:jc w:val="center"/>
              <w:rPr>
                <w:rFonts w:eastAsia="宋体" w:hint="eastAsia"/>
                <w:vertAlign w:val="baseline"/>
                <w:lang w:val="en-US" w:eastAsia="zh-CN"/>
              </w:rPr>
            </w:pPr>
            <w:r>
              <w:rPr>
                <w:sz w:val="17"/>
                <w:szCs w:val="17"/>
              </w:rPr>
              <w:t xml:space="preserve">本年收入</w:t>
            </w:r>
          </w:p>
        </w:tc>
        <w:tc>
          <w:tcPr>
            <w:tcW w:w="5809" w:type="dxa"/>
            <w:gridSpan w:val="7"/>
          </w:tcPr>
          <w:p>
            <w:pPr>
              <w:tabs>
                <w:tab w:val="left" w:pos="859"/>
              </w:tabs>
              <w:jc w:val="center"/>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1058"/>
        </w:trPr>
        <w:tc>
          <w:tcPr>
            <w:tcW w:w="1636" w:type="dxa"/>
            <w:vMerge/>
          </w:tcPr>
          <w:p>
            <w:pPr>
              <w:tabs>
                <w:tab w:val="left" w:pos="859"/>
              </w:tabs>
              <w:jc w:val="center"/>
              <w:rPr>
                <w:rFonts w:eastAsia="宋体" w:hint="eastAsia"/>
                <w:vertAlign w:val="baseline"/>
                <w:lang w:val="en-US" w:eastAsia="zh-CN"/>
              </w:rPr>
            </w:pPr>
          </w:p>
        </w:tc>
        <w:tc>
          <w:tcPr>
            <w:tcW w:w="1279" w:type="dxa"/>
            <w:vMerge/>
          </w:tcPr>
          <w:p>
            <w:pPr>
              <w:tabs>
                <w:tab w:val="left" w:pos="859"/>
              </w:tabs>
              <w:jc w:val="center"/>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center"/>
              <w:rPr>
                <w:rFonts w:eastAsia="宋体" w:hint="eastAsia"/>
                <w:vertAlign w:val="baseline"/>
                <w:lang w:val="en-US" w:eastAsia="zh-CN"/>
              </w:rPr>
            </w:pPr>
          </w:p>
        </w:tc>
        <w:tc>
          <w:tcPr>
            <w:tcW w:w="926"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968"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990"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1078"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firstLine="0" w:firstLineChars="0"/>
              <w:jc w:val="center"/>
              <w:rPr>
                <w:rFonts w:eastAsia="宋体" w:hint="eastAsia"/>
                <w:vertAlign w:val="baseline"/>
                <w:lang w:val="en-US" w:eastAsia="zh-CN"/>
              </w:rPr>
            </w:pPr>
            <w:r>
              <w:rPr>
                <w:sz w:val="17"/>
                <w:szCs w:val="17"/>
              </w:rPr>
              <w:t xml:space="preserve">收入</w:t>
            </w:r>
          </w:p>
        </w:tc>
        <w:tc>
          <w:tcPr>
            <w:tcW w:w="972" w:type="dxa"/>
            <w:vAlign w:val="center"/>
          </w:tcPr>
          <w:p>
            <w:pPr>
              <w:pStyle w:val="Other|1"/>
              <w:spacing w:line="240" w:lineRule="auto"/>
              <w:ind w:firstLine="0" w:firstLineChars="0"/>
              <w:jc w:val="center"/>
              <w:rPr>
                <w:rFonts w:eastAsia="宋体" w:hint="eastAsia"/>
                <w:vertAlign w:val="baseline"/>
                <w:lang w:val="en-US" w:eastAsia="zh-CN"/>
              </w:rPr>
            </w:pPr>
            <w:r>
              <w:rPr>
                <w:sz w:val="17"/>
                <w:szCs w:val="17"/>
              </w:rPr>
              <w:t xml:space="preserve">单位资金</w:t>
            </w:r>
          </w:p>
        </w:tc>
        <w:tc>
          <w:tcPr>
            <w:tcW w:w="919"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937"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right="280" w:firstLine="0" w:rightChars="0" w:firstLineChars="0"/>
              <w:jc w:val="center"/>
              <w:rPr>
                <w:rFonts w:eastAsia="宋体" w:hint="eastAsia"/>
                <w:vertAlign w:val="baseline"/>
                <w:lang w:val="en-US" w:eastAsia="zh-CN"/>
              </w:rPr>
            </w:pPr>
            <w:r>
              <w:rPr>
                <w:sz w:val="17"/>
                <w:szCs w:val="17"/>
              </w:rPr>
              <w:t xml:space="preserve">收入</w:t>
            </w:r>
          </w:p>
        </w:tc>
        <w:tc>
          <w:tcPr>
            <w:tcW w:w="989" w:type="dxa"/>
            <w:vAlign w:val="center"/>
          </w:tcPr>
          <w:p>
            <w:pPr>
              <w:pStyle w:val="Other|1"/>
              <w:spacing w:line="240" w:lineRule="auto"/>
              <w:ind w:firstLine="140" w:firstLineChars="0"/>
              <w:jc w:val="center"/>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96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990"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107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972"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919"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937" w:type="dxa"/>
            <w:vAlign w:val="center"/>
          </w:tcPr>
          <w:p>
            <w:pPr>
              <w:pStyle w:val="Other|1"/>
              <w:spacing w:line="240" w:lineRule="auto"/>
              <w:ind w:right="38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989" w:type="dxa"/>
            <w:vAlign w:val="center"/>
          </w:tcPr>
          <w:p>
            <w:pPr>
              <w:pStyle w:val="Other|1"/>
              <w:spacing w:line="240" w:lineRule="auto"/>
              <w:ind w:right="42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90"/>
        </w:trPr>
        <w:tc>
          <w:tcPr>
            <w:tcW w:w="1636" w:type="dxa"/>
            <w:vAlign w:val="center"/>
          </w:tcPr>
          <w:p>
            <w:pPr>
              <w:pStyle w:val="Other|1"/>
              <w:spacing w:line="240" w:lineRule="auto"/>
              <w:ind w:firstLine="0" w:firstLineChars="0"/>
              <w:jc w:val="lef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rPr>
              <w:t xml:space="preserve">201037</w:t>
            </w:r>
          </w:p>
        </w:tc>
        <w:tc>
          <w:tcPr>
            <w:tcW w:w="1279" w:type="dxa"/>
          </w:tcPr>
          <w:p>
            <w:pPr>
              <w:pStyle w:val="Other|1"/>
              <w:spacing w:line="326" w:lineRule="exact"/>
              <w:ind w:firstLine="0" w:firstLineChars="0"/>
              <w:jc w:val="lef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rPr>
              <w:t xml:space="preserve">环江毛南族自治县第二初级中学</w:t>
            </w:r>
          </w:p>
        </w:tc>
        <w:tc>
          <w:tcPr>
            <w:tcW w:w="990"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2059.91</w:t>
            </w:r>
          </w:p>
        </w:tc>
        <w:tc>
          <w:tcPr>
            <w:tcW w:w="926"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2002.00</w:t>
            </w:r>
          </w:p>
        </w:tc>
        <w:tc>
          <w:tcPr>
            <w:tcW w:w="909"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2002.00</w:t>
            </w:r>
          </w:p>
        </w:tc>
        <w:tc>
          <w:tcPr>
            <w:tcW w:w="968"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90"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1078"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72"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19" w:type="dxa"/>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57.91</w:t>
            </w:r>
          </w:p>
        </w:tc>
        <w:tc>
          <w:tcPr>
            <w:tcW w:w="1011" w:type="dxa"/>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57.91</w:t>
            </w:r>
          </w:p>
        </w:tc>
        <w:tc>
          <w:tcPr>
            <w:tcW w:w="859" w:type="dxa"/>
            <w:vAlign w:val="center"/>
          </w:tcPr>
          <w:p>
            <w:pPr>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1094" w:type="dxa"/>
            <w:gridSpan w:val="2"/>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37" w:type="dxa"/>
            <w:vAlign w:val="center"/>
          </w:tcPr>
          <w:p>
            <w:pPr>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89" w:type="dxa"/>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5557" w:type="dxa"/>
            <w:gridSpan w:val="16"/>
            <w:tcBorders>
              <w:left w:val="nil"/>
              <w:bottom w:val="nil"/>
              <w:right w:val="nil"/>
            </w:tcBorders>
          </w:tcPr>
          <w:p>
            <w:pPr>
              <w:pStyle w:val="Tablecaption|1"/>
              <w:jc w:val="left"/>
              <w:rPr>
                <w:rFonts w:eastAsia="宋体" w:hint="eastAsia"/>
                <w:sz w:val="17"/>
                <w:szCs w:val="17"/>
                <w:vertAlign w:val="baseline"/>
                <w:lang w:val="en-US" w:eastAsia="zh-CN"/>
              </w:rPr>
            </w:pPr>
            <w:r>
              <w:rPr>
                <w:sz w:val="17"/>
                <w:szCs w:val="17"/>
              </w:rPr>
              <w:t xml:space="preserve">注：本报表金额单位转换时可能存在四舍五入尾数误差。</w:t>
            </w:r>
          </w:p>
        </w:tc>
      </w:tr>
    </w:tbl>
    <w:p>
      <w:pPr>
        <w:tabs>
          <w:tab w:val="left" w:pos="859"/>
        </w:tabs>
        <w:jc w:val="both"/>
        <w:rPr>
          <w:rFonts w:eastAsia="宋体" w:hint="eastAsia"/>
          <w:lang w:val="en-US" w:eastAsia="zh-CN"/>
        </w:rPr>
      </w:pPr>
    </w:p>
    <w:p>
      <w:pPr>
        <w:spacing w:line="1" w:lineRule="exact"/>
        <w:jc w:val="left"/>
        <w:rPr>
          <w:lang w:eastAsia="zh-CN"/>
        </w:rPr>
        <w:sectPr>
          <w:headerReference w:type="default" r:id="rId18"/>
          <w:footerReference w:type="default" r:id="rId19"/>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19" w:name="bookmark42"/>
      <w:bookmarkStart w:id="20" w:name="bookmark41"/>
      <w:bookmarkStart w:id="21" w:name="bookmark43"/>
      <w:r>
        <w:t xml:space="preserve">支出总体情况表</w:t>
      </w:r>
      <w:bookmarkEnd w:id="19"/>
      <w:bookmarkEnd w:id="20"/>
      <w:bookmarkEnd w:id="21"/>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cantSplit/>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环江毛南族自治县第二初级中学</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2059.91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1937.62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122.29</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201037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2059.91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1937.62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122.29</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27.65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27.65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2050203</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初中教育</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1625.70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1504.97</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120.73</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2050701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特殊学校教育</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1.55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1.55</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220.30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220.30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184.71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184.71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bl>
    <w:p>
      <w:pPr>
        <w:pStyle w:val="Tablecaption|1"/>
        <w:ind w:left="672"/>
        <w:jc w:val="left"/>
      </w:pPr>
      <w:r>
        <w:rPr>
          <w:b w:val="0"/>
          <w:bCs w:val="0"/>
        </w:rPr>
        <w:t xml:space="preserve">注：本报表金额单位转换时可能存在四舍五入尾数误差。</w:t>
      </w:r>
      <w:r>
        <w:br w:type="page"/>
      </w:r>
    </w:p>
    <w:p>
      <w:pPr>
        <w:pStyle w:val="Heading#2|1"/>
        <w:keepNext/>
        <w:keepLines/>
        <w:spacing w:after="240"/>
        <w:jc w:val="center"/>
      </w:pPr>
      <w:bookmarkStart w:id="22" w:name="bookmark46"/>
      <w:bookmarkStart w:id="23" w:name="bookmark45"/>
      <w:bookmarkStart w:id="24" w:name="bookmark44"/>
      <w:r>
        <w:t xml:space="preserve">财政拨款收支总体情况表</w:t>
      </w:r>
      <w:bookmarkEnd w:id="22"/>
      <w:bookmarkEnd w:id="23"/>
      <w:bookmarkEnd w:id="24"/>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cantSplit/>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环江毛南族自治县第二初级中学</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2002.00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27.65</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650.00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1352.00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1627.25</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220.30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184.71</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2002.00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2059.91</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57.91</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2059.91</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2059.91</w:t>
            </w:r>
          </w:p>
        </w:tc>
      </w:tr>
      <w:tr>
        <w:tblPrEx>
          <w:tblW w:w="0" w:type="auto"/>
          <w:tblInd w:w="0" w:type="dxa"/>
          <w:tblLayout w:type="fixed"/>
          <w:tblCellMar>
            <w:top w:w="0" w:type="dxa"/>
            <w:left w:w="10" w:type="dxa"/>
            <w:bottom w:w="0" w:type="dxa"/>
            <w:right w:w="10" w:type="dxa"/>
          </w:tblCellMar>
        </w:tblPrEx>
        <w:trPr>
          <w:cantSplit/>
          <w:trHeight w:hRule="exact" w:val="352"/>
        </w:trPr>
        <w:tc>
          <w:tcPr>
            <w:tcW w:w="15342" w:type="dxa"/>
            <w:gridSpan w:val="6"/>
            <w:tcBorders>
              <w:top w:val="single" w:sz="4" w:space="0" w:color="auto"/>
            </w:tcBorders>
            <w:shd w:val="clear" w:color="auto" w:fill="FFFFFF"/>
          </w:tcPr>
          <w:p>
            <w:pPr>
              <w:jc w:val="left"/>
              <w:rPr>
                <w:rFonts w:ascii="宋体" w:eastAsia="宋体" w:hAnsi="宋体" w:cs="宋体" w:hint="eastAsia"/>
                <w:sz w:val="17"/>
                <w:szCs w:val="17"/>
                <w:lang w:eastAsia="zh-CN"/>
              </w:rPr>
            </w:pPr>
            <w:r>
              <w:rPr>
                <w:rFonts w:ascii="宋体" w:eastAsia="宋体" w:hAnsi="宋体" w:cs="宋体" w:hint="eastAsia"/>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cantSplit/>
          <w:trHeight w:hRule="exact" w:val="274"/>
        </w:trPr>
        <w:tc>
          <w:tcPr>
            <w:tcW w:w="15342" w:type="dxa"/>
            <w:gridSpan w:val="6"/>
            <w:shd w:val="clear" w:color="auto" w:fill="FFFFFF"/>
            <w:vAlign w:val="bottom"/>
          </w:tcPr>
          <w:p>
            <w:pPr>
              <w:jc w:val="left"/>
              <w:rPr>
                <w:rFonts w:ascii="宋体" w:eastAsia="宋体" w:hAnsi="宋体" w:cs="宋体" w:hint="eastAsia"/>
                <w:sz w:val="17"/>
                <w:szCs w:val="17"/>
                <w:lang w:eastAsia="zh-CN"/>
              </w:rPr>
            </w:pPr>
            <w:r>
              <w:rPr>
                <w:rFonts w:ascii="宋体" w:eastAsia="宋体" w:hAnsi="宋体" w:cs="宋体" w:hint="eastAsia"/>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环江毛南族自治县第二初级中学</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201037</w:t>
            </w: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2059.91</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1937.62</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1909.97</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27.65</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122.29</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2012999</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其他群众团体事务支出</w:t>
            </w: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27.65</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27.65</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27.65</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2050203</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初中教育</w:t>
            </w: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1625.70</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1504.97</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1504.97</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120.73</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2050701</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特殊学校教育</w:t>
            </w: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1.55</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1.55</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2080505</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机关事业单位基本养老保险缴费支出</w:t>
            </w: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220.30</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220.30</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220.30</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2210201</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住房公积金</w:t>
            </w: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184.71</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184.71</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184.71</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5557" w:type="dxa"/>
            <w:gridSpan w:val="10"/>
            <w:tcBorders>
              <w:left w:val="nil"/>
              <w:bottom w:val="nil"/>
              <w:right w:val="nil"/>
            </w:tcBorders>
          </w:tcPr>
          <w:p>
            <w:pPr>
              <w:jc w:val="left"/>
              <w:rPr>
                <w:rFonts w:hint="eastAsia"/>
                <w:sz w:val="17"/>
                <w:szCs w:val="17"/>
                <w:vertAlign w:val="baseline"/>
                <w:lang w:eastAsia="zh-CN"/>
              </w:rPr>
            </w:pPr>
            <w:r>
              <w:rPr>
                <w:rFonts w:ascii="宋体" w:eastAsia="宋体" w:hAnsi="宋体" w:cs="宋体" w:hint="eastAsia"/>
                <w:sz w:val="17"/>
                <w:szCs w:val="17"/>
              </w:rPr>
              <w:t xml:space="preserve">注：本报表金额单位转换时可能存在四舍五入尾数误差。</w:t>
            </w:r>
          </w:p>
        </w:tc>
      </w:tr>
    </w:tbl>
    <w:p>
      <w:pPr>
        <w:rPr>
          <w:lang w:eastAsia="zh-CN"/>
        </w:rPr>
      </w:pPr>
      <w:r>
        <w:br w:type="page"/>
      </w:r>
    </w:p>
    <w:p>
      <w:pPr>
        <w:jc w:val="left"/>
        <w:rPr>
          <w:lang w:eastAsia="zh-CN"/>
        </w:rPr>
      </w:pPr>
    </w:p>
    <w:p>
      <w:pPr>
        <w:pStyle w:val="Heading#2|1"/>
        <w:keepNext/>
        <w:keepLines/>
        <w:spacing w:after="240"/>
        <w:jc w:val="center"/>
      </w:pPr>
      <w:bookmarkStart w:id="25" w:name="bookmark58"/>
      <w:bookmarkStart w:id="26" w:name="bookmark56"/>
      <w:bookmarkStart w:id="27" w:name="bookmark57"/>
      <w:r>
        <w:t xml:space="preserve">一般公共预算基本支出情况表</w:t>
      </w:r>
      <w:bookmarkEnd w:id="25"/>
      <w:bookmarkEnd w:id="26"/>
      <w:bookmarkEnd w:id="27"/>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blHeader/>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环江毛南族自治县第二初级中学</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blHeader/>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blHeader/>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 </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合计</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1937.62</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1909.97</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27.65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工资福利支出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1870.65</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1870.65</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基本工资</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689.37</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689.37</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津贴补贴</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44.98</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44.98</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奖金</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326.86</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326.86</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30107</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绩效工资</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299.78</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299.78</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30108</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220.30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220.30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30110</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88.12</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88.12</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30112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9.75</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9.75</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30113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住房公积金</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185.82</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185.82</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30199</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其他工资福利支出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5.67</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5.67</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27.65</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27.65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30201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办公费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30205</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30206</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电费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30207</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邮电费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30209</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物业管理费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30211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差旅费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30213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维修（护）费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30218</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专用材料费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30226</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劳务费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30228</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工会经费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27.65</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27.65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39.32</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39.32</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退休费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38.43</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38.43</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30305</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生活补助</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0.85</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0.85</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30308</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助学金</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30399</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其他对个人和家庭的补助</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0.04</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0.04</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310</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资本性支出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31002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办公设备购置</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31003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专用设备购置</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bl>
    <w:p>
      <w:pPr>
        <w:jc w:val="left"/>
        <w:rPr>
          <w:lang w:eastAsia="zh-CN"/>
        </w:rPr>
      </w:pPr>
      <w:r>
        <w:rPr>
          <w:rFonts w:ascii="宋体" w:eastAsia="宋体" w:hAnsi="宋体" w:cs="宋体" w:hint="eastAsia"/>
          <w:sz w:val="17"/>
          <w:szCs w:val="17"/>
        </w:rPr>
        <w:t xml:space="preserve">注：本报表金额单位转换时可能存在四舍五入尾数误差。</w:t>
      </w:r>
      <w:r>
        <w:br w:type="page"/>
      </w:r>
    </w:p>
    <w:p>
      <w:pPr>
        <w:pStyle w:val="Heading#2|1"/>
        <w:keepNext/>
        <w:keepLines/>
        <w:spacing w:after="240"/>
        <w:jc w:val="center"/>
        <w:rPr>
          <w:rFonts w:hint="default"/>
          <w:sz w:val="28"/>
          <w:szCs w:val="28"/>
          <w:lang w:val="en-US" w:eastAsia="zh-CN"/>
        </w:rPr>
      </w:pPr>
      <w:bookmarkStart w:id="28" w:name="bookmark66"/>
      <w:bookmarkStart w:id="29" w:name="bookmark67"/>
      <w:bookmarkStart w:id="30" w:name="bookmark65"/>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环江毛南族自治县第二初级中学</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val="restart"/>
          </w:tcPr>
          <w:p>
            <w:pPr>
              <w:pStyle w:val="Tablecaption|1"/>
              <w:bidi w:val="0"/>
              <w:jc w:val="center"/>
              <w:rPr>
                <w:rFonts w:hint="eastAsia"/>
                <w:vertAlign w:val="baseline"/>
                <w:lang w:val="en-US" w:eastAsia="zh-CN"/>
              </w:rPr>
            </w:pPr>
            <w:r>
              <w:rPr>
                <w:rFonts w:hint="eastAsia"/>
                <w:sz w:val="17"/>
                <w:szCs w:val="17"/>
                <w:lang w:val="en-US" w:eastAsia="zh-CN"/>
              </w:rPr>
              <w:t xml:space="preserve">部</w:t>
            </w: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Align w:val="center"/>
          </w:tcPr>
          <w:p>
            <w:pPr>
              <w:pStyle w:val="Other|1"/>
              <w:spacing w:line="240" w:lineRule="auto"/>
              <w:ind w:firstLine="0" w:firstLineChars="0"/>
              <w:jc w:val="lef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201037</w:t>
            </w:r>
          </w:p>
        </w:tc>
        <w:tc>
          <w:tcPr>
            <w:tcW w:w="1918" w:type="dxa"/>
            <w:vAlign w:val="center"/>
          </w:tcPr>
          <w:p>
            <w:pPr>
              <w:pStyle w:val="Other|1"/>
              <w:spacing w:line="240" w:lineRule="auto"/>
              <w:ind w:firstLine="0" w:firstLineChars="0"/>
              <w:jc w:val="left"/>
              <w:rPr>
                <w:rFonts w:ascii="宋体" w:eastAsia="宋体" w:hAnsi="宋体" w:cs="宋体" w:hint="eastAsia"/>
                <w:b w:val="0"/>
                <w:bCs w:val="0"/>
                <w:vertAlign w:val="baseline"/>
                <w:lang w:val="en-US" w:eastAsia="zh-CN"/>
              </w:rPr>
            </w:pPr>
          </w:p>
        </w:tc>
        <w:tc>
          <w:tcPr>
            <w:tcW w:w="1884"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95"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88"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90"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89"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7"/>
                <w:szCs w:val="17"/>
              </w:rPr>
              <w:t xml:space="preserve">注：本报表金额单位转换时可能存在四舍五入尾数误差</w:t>
            </w:r>
          </w:p>
        </w:tc>
      </w:tr>
    </w:tbl>
    <w:p>
      <w:pPr/>
      <w:r>
        <w:br w:type="page"/>
      </w:r>
    </w:p>
    <w:p>
      <w:pPr>
        <w:pStyle w:val="Heading#2|1"/>
        <w:keepNext/>
        <w:keepLines/>
        <w:spacing w:after="240"/>
        <w:jc w:val="center"/>
      </w:pPr>
      <w:r>
        <w:t xml:space="preserve">政府性基金预算支出情况表</w:t>
      </w:r>
      <w:bookmarkEnd w:id="28"/>
      <w:bookmarkEnd w:id="29"/>
      <w:bookmarkEnd w:id="30"/>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12"/>
        <w:gridCol w:w="2149"/>
        <w:gridCol w:w="2150"/>
        <w:gridCol w:w="2210"/>
        <w:gridCol w:w="2149"/>
        <w:gridCol w:w="2158"/>
        <w:gridCol w:w="2151"/>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hRule="auto" w:val="0"/>
        </w:trPr>
        <w:tc>
          <w:tcPr>
            <w:tcW w:w="13328"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环江毛南族自治县第二初级中学</w:t>
            </w:r>
            <w:r>
              <w:tab/>
            </w:r>
            <w:r>
              <w:t xml:space="preserve">单位：万元</w:t>
            </w:r>
          </w:p>
        </w:tc>
        <w:tc>
          <w:tcPr>
            <w:tcW w:w="2151"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hRule="auto" w:val="0"/>
        </w:trPr>
        <w:tc>
          <w:tcPr>
            <w:tcW w:w="2512" w:type="dxa"/>
          </w:tcPr>
          <w:p>
            <w:pPr>
              <w:pStyle w:val="Tablecaption|1"/>
              <w:bidi w:val="0"/>
              <w:jc w:val="center"/>
              <w:rPr>
                <w:vertAlign w:val="baseline"/>
              </w:rPr>
            </w:pPr>
            <w:r>
              <w:rPr>
                <w:sz w:val="17"/>
                <w:szCs w:val="17"/>
              </w:rPr>
              <w:t xml:space="preserve">科目编码</w:t>
            </w:r>
          </w:p>
        </w:tc>
        <w:tc>
          <w:tcPr>
            <w:tcW w:w="2149" w:type="dxa"/>
          </w:tcPr>
          <w:p>
            <w:pPr>
              <w:pStyle w:val="Tablecaption|1"/>
              <w:bidi w:val="0"/>
              <w:jc w:val="center"/>
              <w:rPr>
                <w:vertAlign w:val="baseline"/>
              </w:rPr>
            </w:pPr>
            <w:r>
              <w:rPr>
                <w:sz w:val="17"/>
                <w:szCs w:val="17"/>
              </w:rPr>
              <w:t xml:space="preserve">部门（单位）代码</w:t>
            </w:r>
          </w:p>
        </w:tc>
        <w:tc>
          <w:tcPr>
            <w:tcW w:w="2150" w:type="dxa"/>
          </w:tcPr>
          <w:p>
            <w:pPr>
              <w:pStyle w:val="Tablecaption|1"/>
              <w:bidi w:val="0"/>
              <w:jc w:val="center"/>
              <w:rPr>
                <w:vertAlign w:val="baseline"/>
              </w:rPr>
            </w:pPr>
            <w:r>
              <w:rPr>
                <w:sz w:val="17"/>
                <w:szCs w:val="17"/>
              </w:rPr>
              <w:t xml:space="preserve">部门（单位）名称（功能分类科目名称）</w:t>
            </w:r>
          </w:p>
        </w:tc>
        <w:tc>
          <w:tcPr>
            <w:tcW w:w="2210" w:type="dxa"/>
            <w:vAlign w:val="center"/>
          </w:tcPr>
          <w:p>
            <w:pPr>
              <w:pStyle w:val="Other|1"/>
              <w:spacing w:line="240" w:lineRule="auto"/>
              <w:ind w:firstLine="0" w:firstLineChars="0"/>
              <w:jc w:val="center"/>
              <w:rPr>
                <w:vertAlign w:val="baseline"/>
              </w:rPr>
            </w:pPr>
            <w:r>
              <w:rPr>
                <w:sz w:val="17"/>
                <w:szCs w:val="17"/>
              </w:rPr>
              <w:t xml:space="preserve">合计</w:t>
            </w:r>
          </w:p>
        </w:tc>
        <w:tc>
          <w:tcPr>
            <w:tcW w:w="2149"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58"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51"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hRule="auto" w:val="0"/>
        </w:trPr>
        <w:tc>
          <w:tcPr>
            <w:tcW w:w="2512" w:type="dxa"/>
            <w:vAlign w:val="center"/>
          </w:tcPr>
          <w:p>
            <w:pPr>
              <w:pStyle w:val="Other|1"/>
              <w:spacing w:line="240" w:lineRule="auto"/>
              <w:ind w:firstLine="0" w:firstLineChars="0"/>
              <w:jc w:val="left"/>
              <w:rPr>
                <w:rFonts w:ascii="宋体" w:eastAsia="宋体" w:hAnsi="宋体" w:cs="宋体" w:hint="eastAsia"/>
                <w:b w:val="0"/>
                <w:bCs w:val="0"/>
                <w:sz w:val="17"/>
                <w:szCs w:val="17"/>
                <w:vertAlign w:val="baseline"/>
              </w:rPr>
            </w:pPr>
          </w:p>
        </w:tc>
        <w:tc>
          <w:tcPr>
            <w:tcW w:w="2149" w:type="dxa"/>
            <w:vAlign w:val="center"/>
          </w:tcPr>
          <w:p>
            <w:pPr>
              <w:pStyle w:val="Other|1"/>
              <w:spacing w:line="240" w:lineRule="auto"/>
              <w:ind w:firstLine="0" w:firstLineChars="0"/>
              <w:jc w:val="left"/>
              <w:rPr>
                <w:rFonts w:ascii="宋体" w:eastAsia="宋体" w:hAnsi="宋体" w:cs="宋体" w:hint="eastAsia"/>
                <w:b w:val="0"/>
                <w:bCs w:val="0"/>
                <w:sz w:val="17"/>
                <w:szCs w:val="17"/>
                <w:vertAlign w:val="baseline"/>
              </w:rPr>
            </w:pPr>
          </w:p>
        </w:tc>
        <w:tc>
          <w:tcPr>
            <w:tcW w:w="2150" w:type="dxa"/>
            <w:vAlign w:val="center"/>
          </w:tcPr>
          <w:p>
            <w:pPr>
              <w:pStyle w:val="Other|1"/>
              <w:spacing w:line="240" w:lineRule="auto"/>
              <w:ind w:firstLine="0" w:firstLineChars="0"/>
              <w:jc w:val="left"/>
              <w:rPr>
                <w:rFonts w:ascii="宋体" w:eastAsia="宋体" w:hAnsi="宋体" w:cs="宋体" w:hint="eastAsia"/>
                <w:b w:val="0"/>
                <w:bCs w:val="0"/>
                <w:sz w:val="17"/>
                <w:szCs w:val="17"/>
                <w:vertAlign w:val="baseline"/>
              </w:rPr>
            </w:pPr>
          </w:p>
        </w:tc>
        <w:tc>
          <w:tcPr>
            <w:tcW w:w="2210" w:type="dxa"/>
            <w:vAlign w:val="center"/>
          </w:tcPr>
          <w:p>
            <w:pPr>
              <w:pStyle w:val="Other|1"/>
              <w:spacing w:line="240" w:lineRule="auto"/>
              <w:ind w:left="1060" w:firstLine="0" w:leftChars="0" w:firstLineChars="0"/>
              <w:jc w:val="right"/>
              <w:rPr>
                <w:rFonts w:ascii="宋体" w:eastAsia="宋体" w:hAnsi="宋体" w:cs="宋体" w:hint="eastAsia"/>
                <w:b w:val="0"/>
                <w:bCs w:val="0"/>
                <w:sz w:val="17"/>
                <w:szCs w:val="17"/>
                <w:vertAlign w:val="baseline"/>
              </w:rPr>
            </w:pPr>
            <w:r>
              <w:rPr>
                <w:rFonts w:ascii="宋体" w:eastAsia="宋体" w:hAnsi="宋体" w:cs="宋体" w:hint="eastAsia"/>
                <w:b w:val="0"/>
                <w:bCs w:val="0"/>
                <w:sz w:val="17"/>
                <w:szCs w:val="17"/>
                <w:lang w:val="en-US" w:eastAsia="zh-CN" w:bidi="en-US"/>
              </w:rPr>
              <w:t xml:space="preserve">0.00</w:t>
            </w:r>
          </w:p>
        </w:tc>
        <w:tc>
          <w:tcPr>
            <w:tcW w:w="2149"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rPr>
            </w:pPr>
            <w:r>
              <w:rPr>
                <w:rFonts w:ascii="宋体" w:eastAsia="宋体" w:hAnsi="宋体" w:cs="宋体" w:hint="eastAsia"/>
                <w:b w:val="0"/>
                <w:bCs w:val="0"/>
                <w:sz w:val="17"/>
                <w:szCs w:val="17"/>
                <w:lang w:val="en-US" w:eastAsia="zh-CN"/>
              </w:rPr>
              <w:t xml:space="preserve">0.00</w:t>
            </w:r>
          </w:p>
        </w:tc>
        <w:tc>
          <w:tcPr>
            <w:tcW w:w="2158"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rPr>
            </w:pPr>
            <w:r>
              <w:rPr>
                <w:rFonts w:ascii="宋体" w:eastAsia="宋体" w:hAnsi="宋体" w:cs="宋体" w:hint="eastAsia"/>
                <w:b w:val="0"/>
                <w:bCs w:val="0"/>
                <w:sz w:val="17"/>
                <w:szCs w:val="17"/>
                <w:lang w:val="en-US" w:eastAsia="zh-CN" w:bidi="en-US"/>
              </w:rPr>
              <w:t xml:space="preserve">0.00</w:t>
            </w:r>
          </w:p>
        </w:tc>
        <w:tc>
          <w:tcPr>
            <w:tcW w:w="2151"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rPr>
            </w:pPr>
            <w:r>
              <w:rPr>
                <w:rFonts w:ascii="宋体" w:eastAsia="宋体" w:hAnsi="宋体" w:cs="宋体"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hRule="auto" w:val="0"/>
        </w:trPr>
        <w:tc>
          <w:tcPr>
            <w:tcW w:w="15479" w:type="dxa"/>
            <w:gridSpan w:val="7"/>
            <w:tcBorders>
              <w:left w:val="nil"/>
              <w:bottom w:val="nil"/>
              <w:right w:val="nil"/>
            </w:tcBorders>
          </w:tcPr>
          <w:p>
            <w:pPr>
              <w:pStyle w:val="Tablecaption|1"/>
              <w:bidi w:val="0"/>
              <w:jc w:val="both"/>
              <w:rPr>
                <w:vertAlign w:val="baseline"/>
              </w:rPr>
            </w:pPr>
            <w:r>
              <w:rPr>
                <w:b w:val="0"/>
                <w:bCs w:val="0"/>
              </w:rPr>
              <w:t xml:space="preserve">注：本报表金额单位转换时可能存在四舍五入尾数误差</w:t>
            </w:r>
          </w:p>
        </w:tc>
      </w:tr>
    </w:tbl>
    <w:p>
      <w:pPr/>
      <w:r>
        <w:br w:type="page"/>
      </w:r>
    </w:p>
    <w:p>
      <w:pPr>
        <w:pStyle w:val="Tablecaption|1"/>
        <w:bidi w:val="0"/>
        <w:jc w:val="center"/>
        <w:rPr>
          <w:sz w:val="28"/>
          <w:szCs w:val="28"/>
        </w:rPr>
      </w:pPr>
      <w:r>
        <w:rPr>
          <w:sz w:val="28"/>
          <w:szCs w:val="28"/>
        </w:rPr>
        <w:t xml:space="preserve">国有资本经营预算支出情况表</w:t>
      </w:r>
    </w:p>
    <w:tbl>
      <w:tblPr>
        <w:tblStyle w:val="TableGrid"/>
        <w:tblpPr w:leftFromText="180" w:rightFromText="180" w:vertAnchor="text" w:horzAnchor="page" w:tblpX="707" w:tblpY="364"/>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19"/>
        <w:gridCol w:w="2155"/>
        <w:gridCol w:w="2156"/>
        <w:gridCol w:w="2259"/>
        <w:gridCol w:w="2155"/>
        <w:gridCol w:w="2155"/>
        <w:gridCol w:w="2158"/>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3394" w:type="dxa"/>
            <w:gridSpan w:val="6"/>
            <w:tcBorders>
              <w:top w:val="nil"/>
              <w:left w:val="nil"/>
              <w:right w:val="nil"/>
            </w:tcBorders>
          </w:tcPr>
          <w:p>
            <w:pPr>
              <w:pStyle w:val="Tablecaption|1"/>
              <w:tabs>
                <w:tab w:val="left" w:pos="14213"/>
              </w:tabs>
              <w:ind w:left="101"/>
              <w:jc w:val="left"/>
              <w:rPr>
                <w:rFonts w:ascii="宋体" w:eastAsia="宋体" w:hAnsi="宋体" w:cs="宋体" w:hint="eastAsia"/>
              </w:rPr>
            </w:pPr>
            <w:r>
              <w:rPr>
                <w:rFonts w:ascii="宋体" w:eastAsia="宋体" w:hAnsi="宋体" w:cs="宋体" w:hint="eastAsia"/>
              </w:rPr>
              <w:t xml:space="preserve">单位名称：</w:t>
            </w:r>
            <w:r>
              <w:rPr>
                <w:rFonts w:ascii="宋体" w:eastAsia="宋体" w:hAnsi="宋体" w:cs="宋体" w:hint="eastAsia"/>
                <w:lang w:eastAsia="zh-CN"/>
              </w:rPr>
              <w:t xml:space="preserve">环江毛南族自治县第二初级中学</w:t>
            </w:r>
            <w:r>
              <w:rPr>
                <w:rFonts w:ascii="宋体" w:eastAsia="宋体" w:hAnsi="宋体" w:cs="宋体" w:hint="eastAsia"/>
              </w:rPr>
              <w:tab/>
            </w:r>
            <w:r>
              <w:rPr>
                <w:rFonts w:ascii="宋体" w:eastAsia="宋体" w:hAnsi="宋体" w:cs="宋体" w:hint="eastAsia"/>
              </w:rPr>
              <w:t xml:space="preserve">单位：万元</w:t>
            </w:r>
          </w:p>
        </w:tc>
        <w:tc>
          <w:tcPr>
            <w:tcW w:w="2163" w:type="dxa"/>
            <w:tcBorders>
              <w:top w:val="nil"/>
              <w:left w:val="nil"/>
              <w:right w:val="nil"/>
            </w:tcBorders>
          </w:tcPr>
          <w:p>
            <w:pPr>
              <w:pStyle w:val="Tablecaption|1"/>
              <w:tabs>
                <w:tab w:val="left" w:pos="14213"/>
              </w:tabs>
              <w:ind w:left="101"/>
              <w:jc w:val="left"/>
              <w:rPr>
                <w:rFonts w:ascii="宋体" w:eastAsia="宋体" w:hAnsi="宋体" w:cs="宋体" w:hint="eastAsia"/>
              </w:rPr>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vMerge w:val="restart"/>
          </w:tcPr>
          <w:p>
            <w:pPr>
              <w:pStyle w:val="Tablecaption|1"/>
              <w:bidi w:val="0"/>
              <w:jc w:val="center"/>
              <w:rPr>
                <w:rFonts w:ascii="宋体" w:eastAsia="宋体" w:hAnsi="宋体" w:cs="宋体" w:hint="eastAsia"/>
                <w:vertAlign w:val="baseline"/>
              </w:rPr>
            </w:pPr>
            <w:r>
              <w:rPr>
                <w:rFonts w:ascii="宋体" w:eastAsia="宋体" w:hAnsi="宋体" w:cs="宋体" w:hint="eastAsia"/>
                <w:sz w:val="17"/>
                <w:szCs w:val="17"/>
              </w:rPr>
              <w:t xml:space="preserve">科目编码</w:t>
            </w:r>
          </w:p>
        </w:tc>
        <w:tc>
          <w:tcPr>
            <w:tcW w:w="2161" w:type="dxa"/>
            <w:vMerge w:val="restart"/>
          </w:tcPr>
          <w:p>
            <w:pPr>
              <w:pStyle w:val="Tablecaption|1"/>
              <w:bidi w:val="0"/>
              <w:jc w:val="center"/>
              <w:rPr>
                <w:rFonts w:ascii="宋体" w:eastAsia="宋体" w:hAnsi="宋体" w:cs="宋体" w:hint="eastAsia"/>
                <w:vertAlign w:val="baseline"/>
              </w:rPr>
            </w:pPr>
            <w:r>
              <w:rPr>
                <w:rFonts w:ascii="宋体" w:eastAsia="宋体" w:hAnsi="宋体" w:cs="宋体" w:hint="eastAsia"/>
                <w:sz w:val="17"/>
                <w:szCs w:val="17"/>
              </w:rPr>
              <w:t xml:space="preserve">部门（单位）代码</w:t>
            </w:r>
          </w:p>
        </w:tc>
        <w:tc>
          <w:tcPr>
            <w:tcW w:w="2162" w:type="dxa"/>
            <w:vMerge w:val="restart"/>
          </w:tcPr>
          <w:p>
            <w:pPr>
              <w:pStyle w:val="Tablecaption|1"/>
              <w:bidi w:val="0"/>
              <w:jc w:val="center"/>
              <w:rPr>
                <w:rFonts w:ascii="宋体" w:eastAsia="宋体" w:hAnsi="宋体" w:cs="宋体" w:hint="eastAsia"/>
                <w:vertAlign w:val="baseline"/>
              </w:rPr>
            </w:pPr>
            <w:r>
              <w:rPr>
                <w:rFonts w:ascii="宋体" w:eastAsia="宋体" w:hAnsi="宋体" w:cs="宋体" w:hint="eastAsia"/>
                <w:sz w:val="17"/>
                <w:szCs w:val="17"/>
              </w:rPr>
              <w:t xml:space="preserve">部门（单位）名称（功能分类科目名称）</w:t>
            </w:r>
          </w:p>
        </w:tc>
        <w:tc>
          <w:tcPr>
            <w:tcW w:w="2222"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sz w:val="17"/>
                <w:szCs w:val="17"/>
              </w:rPr>
              <w:t xml:space="preserve">合计</w:t>
            </w:r>
          </w:p>
        </w:tc>
        <w:tc>
          <w:tcPr>
            <w:tcW w:w="2161"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sz w:val="17"/>
                <w:szCs w:val="17"/>
              </w:rPr>
              <w:t xml:space="preserve">基本支出</w:t>
            </w:r>
          </w:p>
        </w:tc>
        <w:tc>
          <w:tcPr>
            <w:tcW w:w="2161"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sz w:val="17"/>
                <w:szCs w:val="17"/>
              </w:rPr>
              <w:t xml:space="preserve">项目支出</w:t>
            </w:r>
          </w:p>
        </w:tc>
        <w:tc>
          <w:tcPr>
            <w:tcW w:w="2163"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vMerge/>
          </w:tcPr>
          <w:p>
            <w:pPr>
              <w:pStyle w:val="Tablecaption|1"/>
              <w:bidi w:val="0"/>
              <w:jc w:val="both"/>
              <w:rPr>
                <w:rFonts w:ascii="宋体" w:eastAsia="宋体" w:hAnsi="宋体" w:cs="宋体" w:hint="eastAsia"/>
                <w:vertAlign w:val="baseline"/>
              </w:rPr>
            </w:pPr>
          </w:p>
        </w:tc>
        <w:tc>
          <w:tcPr>
            <w:tcW w:w="2161" w:type="dxa"/>
            <w:vMerge/>
          </w:tcPr>
          <w:p>
            <w:pPr>
              <w:pStyle w:val="Tablecaption|1"/>
              <w:bidi w:val="0"/>
              <w:jc w:val="both"/>
              <w:rPr>
                <w:rFonts w:ascii="宋体" w:eastAsia="宋体" w:hAnsi="宋体" w:cs="宋体" w:hint="eastAsia"/>
                <w:vertAlign w:val="baseline"/>
              </w:rPr>
            </w:pPr>
          </w:p>
        </w:tc>
        <w:tc>
          <w:tcPr>
            <w:tcW w:w="2162" w:type="dxa"/>
            <w:vMerge/>
          </w:tcPr>
          <w:p>
            <w:pPr>
              <w:pStyle w:val="Tablecaption|1"/>
              <w:bidi w:val="0"/>
              <w:jc w:val="both"/>
              <w:rPr>
                <w:rFonts w:ascii="宋体" w:eastAsia="宋体" w:hAnsi="宋体" w:cs="宋体" w:hint="eastAsia"/>
                <w:vertAlign w:val="baseline"/>
              </w:rPr>
            </w:pPr>
          </w:p>
        </w:tc>
        <w:tc>
          <w:tcPr>
            <w:tcW w:w="2222"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b/>
                <w:bCs/>
                <w:sz w:val="17"/>
                <w:szCs w:val="17"/>
              </w:rPr>
              <w:t xml:space="preserve">1</w:t>
            </w:r>
          </w:p>
        </w:tc>
        <w:tc>
          <w:tcPr>
            <w:tcW w:w="2161"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b/>
                <w:bCs/>
                <w:sz w:val="17"/>
                <w:szCs w:val="17"/>
              </w:rPr>
              <w:t xml:space="preserve">2</w:t>
            </w:r>
          </w:p>
        </w:tc>
        <w:tc>
          <w:tcPr>
            <w:tcW w:w="2161"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b/>
                <w:bCs/>
                <w:sz w:val="17"/>
                <w:szCs w:val="17"/>
              </w:rPr>
              <w:t xml:space="preserve">3</w:t>
            </w:r>
          </w:p>
        </w:tc>
        <w:tc>
          <w:tcPr>
            <w:tcW w:w="2163"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tcPr>
          <w:p>
            <w:pPr>
              <w:jc w:val="left"/>
              <w:rPr>
                <w:rFonts w:ascii="宋体" w:eastAsia="宋体" w:hAnsi="宋体" w:cs="宋体" w:hint="eastAsia"/>
                <w:vertAlign w:val="baseline"/>
              </w:rPr>
            </w:pPr>
          </w:p>
        </w:tc>
        <w:tc>
          <w:tcPr>
            <w:tcW w:w="2161" w:type="dxa"/>
          </w:tcPr>
          <w:p>
            <w:pPr>
              <w:jc w:val="left"/>
              <w:rPr>
                <w:rFonts w:ascii="宋体" w:eastAsia="宋体" w:hAnsi="宋体" w:cs="宋体" w:hint="eastAsia"/>
                <w:vertAlign w:val="baseline"/>
              </w:rPr>
            </w:pPr>
          </w:p>
        </w:tc>
        <w:tc>
          <w:tcPr>
            <w:tcW w:w="2162" w:type="dxa"/>
            <w:vAlign w:val="center"/>
          </w:tcPr>
          <w:p>
            <w:pPr>
              <w:pStyle w:val="Other|1"/>
              <w:spacing w:line="240" w:lineRule="auto"/>
              <w:ind w:firstLine="0" w:firstLineChars="0"/>
              <w:jc w:val="left"/>
              <w:rPr>
                <w:rFonts w:ascii="宋体" w:eastAsia="宋体" w:hAnsi="宋体" w:cs="宋体" w:hint="eastAsia"/>
                <w:vertAlign w:val="baseline"/>
              </w:rPr>
            </w:pPr>
            <w:r>
              <w:rPr>
                <w:rFonts w:ascii="宋体" w:eastAsia="宋体" w:hAnsi="宋体" w:cs="宋体" w:hint="eastAsia"/>
                <w:sz w:val="17"/>
                <w:szCs w:val="17"/>
              </w:rPr>
              <w:t xml:space="preserve">合计</w:t>
            </w:r>
          </w:p>
        </w:tc>
        <w:tc>
          <w:tcPr>
            <w:tcW w:w="2222" w:type="dxa"/>
            <w:vAlign w:val="center"/>
          </w:tcPr>
          <w:p>
            <w:pPr>
              <w:pStyle w:val="Other|1"/>
              <w:spacing w:line="240" w:lineRule="auto"/>
              <w:ind w:left="1700" w:firstLine="0" w:leftChars="0" w:firstLineChars="0"/>
              <w:jc w:val="right"/>
              <w:rPr>
                <w:rFonts w:ascii="宋体" w:eastAsia="宋体" w:hAnsi="宋体" w:cs="宋体" w:hint="eastAsia"/>
                <w:vertAlign w:val="baseline"/>
              </w:rPr>
            </w:pPr>
            <w:r>
              <w:rPr>
                <w:rFonts w:ascii="宋体" w:eastAsia="宋体" w:hAnsi="宋体" w:cs="宋体" w:hint="eastAsia"/>
                <w:b/>
                <w:bCs/>
                <w:sz w:val="17"/>
                <w:szCs w:val="17"/>
                <w:lang w:val="en-US" w:eastAsia="en-US" w:bidi="en-US"/>
              </w:rPr>
              <w:t xml:space="preserve">0.</w:t>
            </w:r>
            <w:r>
              <w:rPr>
                <w:rFonts w:ascii="宋体" w:eastAsia="宋体" w:hAnsi="宋体" w:cs="宋体" w:hint="eastAsia"/>
                <w:b/>
                <w:bCs/>
                <w:sz w:val="17"/>
                <w:szCs w:val="17"/>
              </w:rPr>
              <w:t xml:space="preserve">00</w:t>
            </w:r>
          </w:p>
        </w:tc>
        <w:tc>
          <w:tcPr>
            <w:tcW w:w="2161" w:type="dxa"/>
            <w:vAlign w:val="center"/>
          </w:tcPr>
          <w:p>
            <w:pPr>
              <w:pStyle w:val="Other|1"/>
              <w:spacing w:line="240" w:lineRule="auto"/>
              <w:ind w:firstLine="0" w:firstLineChars="0"/>
              <w:jc w:val="right"/>
              <w:rPr>
                <w:rFonts w:ascii="宋体" w:eastAsia="宋体" w:hAnsi="宋体" w:cs="宋体" w:hint="eastAsia"/>
                <w:vertAlign w:val="baseline"/>
              </w:rPr>
            </w:pPr>
            <w:r>
              <w:rPr>
                <w:rFonts w:ascii="宋体" w:eastAsia="宋体" w:hAnsi="宋体" w:cs="宋体" w:hint="eastAsia"/>
                <w:b/>
                <w:bCs/>
                <w:sz w:val="17"/>
                <w:szCs w:val="17"/>
                <w:lang w:val="en-US" w:eastAsia="en-US" w:bidi="en-US"/>
              </w:rPr>
              <w:t xml:space="preserve">0.</w:t>
            </w:r>
            <w:r>
              <w:rPr>
                <w:rFonts w:ascii="宋体" w:eastAsia="宋体" w:hAnsi="宋体" w:cs="宋体" w:hint="eastAsia"/>
                <w:b/>
                <w:bCs/>
                <w:sz w:val="17"/>
                <w:szCs w:val="17"/>
              </w:rPr>
              <w:t xml:space="preserve">00</w:t>
            </w:r>
          </w:p>
        </w:tc>
        <w:tc>
          <w:tcPr>
            <w:tcW w:w="2161" w:type="dxa"/>
            <w:vAlign w:val="center"/>
          </w:tcPr>
          <w:p>
            <w:pPr>
              <w:pStyle w:val="Other|1"/>
              <w:spacing w:line="240" w:lineRule="auto"/>
              <w:ind w:firstLine="0" w:firstLineChars="0"/>
              <w:jc w:val="right"/>
              <w:rPr>
                <w:rFonts w:ascii="宋体" w:eastAsia="宋体" w:hAnsi="宋体" w:cs="宋体" w:hint="eastAsia"/>
                <w:vertAlign w:val="baseline"/>
              </w:rPr>
            </w:pPr>
            <w:r>
              <w:rPr>
                <w:rFonts w:ascii="宋体" w:eastAsia="宋体" w:hAnsi="宋体" w:cs="宋体" w:hint="eastAsia"/>
                <w:b/>
                <w:bCs/>
                <w:sz w:val="17"/>
                <w:szCs w:val="17"/>
                <w:lang w:val="en-US" w:eastAsia="en-US" w:bidi="en-US"/>
              </w:rPr>
              <w:t xml:space="preserve">0.</w:t>
            </w:r>
            <w:r>
              <w:rPr>
                <w:rFonts w:ascii="宋体" w:eastAsia="宋体" w:hAnsi="宋体" w:cs="宋体" w:hint="eastAsia"/>
                <w:b/>
                <w:bCs/>
                <w:sz w:val="17"/>
                <w:szCs w:val="17"/>
              </w:rPr>
              <w:t xml:space="preserve">00</w:t>
            </w:r>
          </w:p>
        </w:tc>
        <w:tc>
          <w:tcPr>
            <w:tcW w:w="2163" w:type="dxa"/>
            <w:vAlign w:val="center"/>
          </w:tcPr>
          <w:p>
            <w:pPr>
              <w:pStyle w:val="Other|1"/>
              <w:spacing w:line="240" w:lineRule="auto"/>
              <w:ind w:firstLine="0" w:firstLineChars="0"/>
              <w:jc w:val="right"/>
              <w:rPr>
                <w:rFonts w:ascii="宋体" w:eastAsia="宋体" w:hAnsi="宋体" w:cs="宋体" w:hint="eastAsia"/>
                <w:vertAlign w:val="baseline"/>
              </w:rPr>
            </w:pPr>
            <w:r>
              <w:rPr>
                <w:rFonts w:ascii="宋体" w:eastAsia="宋体" w:hAnsi="宋体" w:cs="宋体" w:hint="eastAsia"/>
                <w:b/>
                <w:bCs/>
                <w:sz w:val="17"/>
                <w:szCs w:val="17"/>
                <w:lang w:val="en-US" w:eastAsia="en-US" w:bidi="en-US"/>
              </w:rPr>
              <w:t xml:space="preserve">0.</w:t>
            </w:r>
            <w:r>
              <w:rPr>
                <w:rFonts w:ascii="宋体" w:eastAsia="宋体" w:hAnsi="宋体" w:cs="宋体" w:hint="eastAsia"/>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5557" w:type="dxa"/>
            <w:gridSpan w:val="7"/>
            <w:tcBorders>
              <w:left w:val="nil"/>
              <w:bottom w:val="nil"/>
              <w:right w:val="nil"/>
            </w:tcBorders>
          </w:tcPr>
          <w:p>
            <w:pPr>
              <w:pStyle w:val="Tablecaption|1"/>
              <w:spacing w:line="302" w:lineRule="exact"/>
              <w:ind w:left="672"/>
              <w:jc w:val="left"/>
              <w:rPr>
                <w:rFonts w:ascii="宋体" w:eastAsia="宋体" w:hAnsi="宋体" w:cs="宋体" w:hint="eastAsia"/>
                <w:b w:val="0"/>
                <w:bCs w:val="0"/>
              </w:rPr>
            </w:pPr>
            <w:r>
              <w:rPr>
                <w:rFonts w:ascii="宋体" w:eastAsia="宋体" w:hAnsi="宋体" w:cs="宋体" w:hint="eastAsia"/>
                <w:b w:val="0"/>
                <w:bCs w:val="0"/>
              </w:rPr>
              <w:t xml:space="preserve">注：本报表金额单位转换时可能存在四舍五入尾数误差。本部门</w:t>
            </w:r>
            <w:r>
              <w:rPr>
                <w:rFonts w:ascii="宋体" w:eastAsia="宋体" w:hAnsi="宋体" w:cs="宋体" w:hint="eastAsia"/>
                <w:b w:val="0"/>
                <w:bCs w:val="0"/>
                <w:lang w:eastAsia="zh-CN"/>
              </w:rPr>
              <w:t xml:space="preserve">2024</w:t>
            </w:r>
            <w:r>
              <w:rPr>
                <w:rFonts w:ascii="宋体" w:eastAsia="宋体" w:hAnsi="宋体" w:cs="宋体"/>
                <w:u w:color="auto"/>
              </w:rPr>
              <w:t xml:space="preserve">年</w:t>
            </w:r>
            <w:r>
              <w:rPr>
                <w:rFonts w:ascii="宋体" w:eastAsia="宋体" w:hAnsi="宋体" w:cs="宋体" w:hint="eastAsia"/>
                <w:b w:val="0"/>
                <w:bCs w:val="0"/>
              </w:rPr>
              <w:t xml:space="preserve">度没有国有资本经营预算支出，故本表无数据</w:t>
            </w:r>
          </w:p>
          <w:p>
            <w:pPr>
              <w:pStyle w:val="Tablecaption|1"/>
              <w:bidi w:val="0"/>
              <w:jc w:val="both"/>
              <w:rPr>
                <w:rFonts w:ascii="宋体" w:eastAsia="宋体" w:hAnsi="宋体" w:cs="宋体" w:hint="eastAsia"/>
                <w:vertAlign w:val="baseline"/>
              </w:rPr>
            </w:pPr>
          </w:p>
        </w:tc>
      </w:tr>
    </w:tbl>
    <w:p>
      <w:pPr>
        <w:pStyle w:val="Tablecaption|1"/>
        <w:bidi w:val="0"/>
        <w:jc w:val="center"/>
        <w:rPr>
          <w:sz w:val="28"/>
          <w:szCs w:val="28"/>
        </w:rPr>
      </w:pPr>
    </w:p>
    <w:p>
      <w:pPr/>
      <w:r>
        <w:br w:type="page"/>
      </w:r>
    </w:p>
    <w:p>
      <w:pPr>
        <w:pStyle w:val="Tablecaption|1"/>
        <w:bidi w:val="0"/>
        <w:jc w:val="center"/>
        <w:rPr>
          <w:rFonts w:hint="default"/>
          <w:sz w:val="28"/>
          <w:szCs w:val="28"/>
          <w:lang w:val="en-US" w:eastAsia="zh-CN"/>
        </w:rPr>
      </w:pPr>
      <w:r>
        <w:rPr>
          <w:rFonts w:hint="eastAsia"/>
          <w:sz w:val="28"/>
          <w:szCs w:val="28"/>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cantSplit/>
          <w:trHeight w:hRule="auto" w:val="0"/>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环江毛南族自治县第二初级中学</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201037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环江毛南族自治县第二初级中学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环江县第二初级中学年初预算数（经销店门面租金）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50.94</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根据年初预算，本校2024年经销店门面租金预算，用于安排支付学校驻校教官及校园保洁员工资、校舍维修（护）费支出、办公费等，以保障学校正常运转，持续改善学校基本办公条件，促进学校教育健康发展。</w:t>
            </w:r>
            <w:r>
              <w:rPr>
                <w:rFonts w:ascii="宋体" w:eastAsia="宋体" w:hAnsi="宋体" w:cs="宋体" w:hint="eastAsia"/>
                <w:b w:val="0"/>
                <w:bCs w:val="0"/>
                <w:sz w:val="17"/>
                <w:szCs w:val="17"/>
                <w:lang w:val="en-US" w:eastAsia="zh-CN"/>
              </w:rPr>
              <w:br/>
            </w:r>
            <w:r>
              <w:rPr>
                <w:rFonts w:ascii="宋体" w:eastAsia="宋体" w:hAnsi="宋体" w:cs="宋体" w:hint="eastAsia"/>
                <w:b w:val="0"/>
                <w:bCs w:val="0"/>
                <w:sz w:val="17"/>
                <w:szCs w:val="17"/>
                <w:lang w:val="en-US" w:eastAsia="zh-CN"/>
              </w:rPr>
              <w:t xml:space="preserve">可行性和必要性：增加学校办公经费收入，为学校的正常运转和可持续发展提供经济保障。</w:t>
            </w:r>
            <w:r>
              <w:rPr>
                <w:rFonts w:ascii="宋体" w:eastAsia="宋体" w:hAnsi="宋体" w:cs="宋体" w:hint="eastAsia"/>
                <w:b w:val="0"/>
                <w:bCs w:val="0"/>
                <w:sz w:val="17"/>
                <w:szCs w:val="17"/>
                <w:lang w:val="en-US" w:eastAsia="zh-CN"/>
              </w:rPr>
              <w:br/>
            </w:r>
            <w:r>
              <w:rPr>
                <w:rFonts w:ascii="宋体" w:eastAsia="宋体" w:hAnsi="宋体" w:cs="宋体" w:hint="eastAsia"/>
                <w:b w:val="0"/>
                <w:bCs w:val="0"/>
                <w:sz w:val="17"/>
                <w:szCs w:val="17"/>
                <w:lang w:val="en-US" w:eastAsia="zh-CN"/>
              </w:rPr>
              <w:t xml:space="preserve">支持范围：环江毛南族自治县第二初级中学。</w:t>
            </w:r>
            <w:r>
              <w:rPr>
                <w:rFonts w:ascii="宋体" w:eastAsia="宋体" w:hAnsi="宋体" w:cs="宋体" w:hint="eastAsia"/>
                <w:b w:val="0"/>
                <w:bCs w:val="0"/>
                <w:sz w:val="17"/>
                <w:szCs w:val="17"/>
                <w:lang w:val="en-US" w:eastAsia="zh-CN"/>
              </w:rPr>
              <w:br/>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201037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环江毛南族自治县第二初级中学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公用经费（特教）自治区补助</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1.55</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公用经费（特教）自治区补助，按每年春秋学期发放指标进度完成，保障学校各项工作正常运转。</w:t>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201037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环江毛南族自治县第二初级中学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义务教育阶段家庭经济困难学生生活中央补助资金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16.06</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年中调整</w:t>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201037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环江毛南族自治县第二初级中学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环江第二初级中学生活老师补助经费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13.44</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根据《关于印发广西壮族自治区中小学教职工编制标准实施办法（修订）的通知》（桂编发（2012）5号）对后勤服务人员控制数配置标准：“生活管理员配置，实行寄宿制的学校寄宿学生500名以上的以4名为基数，每增加250人增备1名，现我校有1930名寄宿学生”。配置生活管理员（生活老师）8人，每人每月工资待遇1400元，全年为：8*1400*12＝134400元。支出：劳务费134400元。</w:t>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201037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环江毛南族自治县第二初级中学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自治区公用经费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3.26</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保障学校正常运转，持续改善学校基本办学条件，促进教育健康发展。</w:t>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201037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环江毛南族自治县第二初级中学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义务教育阶段家庭经济困难学生生活自治区补助资金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0.19</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根据上级文件要求，严格执行文件精神，学生本人提出申请，由学校负责审确认，最后将补助资金申请提交到自治县教育。过程中严肃财经纪律，严格审批，层层把关，按照标准，将补助款项直接打入学生的银行卡中，有效保障学生的基本生活保障需求。</w:t>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201037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环江毛南族自治县第二初级中学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营养改善计划膳食补助资金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13.05</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年中调整</w:t>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201037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环江毛南族自治县第二初级中学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义务教育中央级公用经费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23.79</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年中调整</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20"/>
          <w:footerReference w:type="default" r:id="rId21"/>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1" w:name="bookmark95"/>
      <w:bookmarkStart w:id="32" w:name="bookmark96"/>
      <w:bookmarkStart w:id="33" w:name="bookmark94"/>
      <w:r>
        <w:rPr>
          <w:sz w:val="40"/>
          <w:szCs w:val="40"/>
        </w:rPr>
        <w:t xml:space="preserve">第四部</w:t>
      </w:r>
      <w:r>
        <w:rPr>
          <w:rFonts w:hint="eastAsia"/>
          <w:sz w:val="40"/>
          <w:szCs w:val="40"/>
          <w:lang w:val="en-US" w:eastAsia="zh-CN"/>
        </w:rPr>
        <w:t xml:space="preserve">  </w:t>
      </w:r>
      <w:r>
        <w:rPr>
          <w:sz w:val="40"/>
          <w:szCs w:val="40"/>
        </w:rPr>
        <w:t xml:space="preserve">分名词解释</w:t>
      </w:r>
      <w:bookmarkEnd w:id="31"/>
      <w:bookmarkEnd w:id="32"/>
      <w:bookmarkEnd w:id="33"/>
    </w:p>
    <w:p>
      <w:pPr>
        <w:pStyle w:val="Bodytext|1"/>
        <w:tabs>
          <w:tab w:val="left" w:pos="1270"/>
        </w:tabs>
        <w:spacing w:line="626" w:lineRule="exact"/>
        <w:ind w:firstLine="640"/>
        <w:jc w:val="left"/>
      </w:pPr>
      <w:bookmarkStart w:id="34" w:name="bookmark97"/>
      <w:r>
        <w:t xml:space="preserve">一</w:t>
      </w:r>
      <w:bookmarkEnd w:id="34"/>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5" w:name="bookmark98"/>
      <w:r>
        <w:t xml:space="preserve">二</w:t>
      </w:r>
      <w:bookmarkEnd w:id="35"/>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6" w:name="bookmark99"/>
      <w:r>
        <w:t xml:space="preserve">三</w:t>
      </w:r>
      <w:bookmarkEnd w:id="36"/>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7" w:name="bookmark100"/>
      <w:r>
        <w:t xml:space="preserve">四</w:t>
      </w:r>
      <w:bookmarkEnd w:id="37"/>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8" w:name="bookmark101"/>
      <w:r>
        <w:t xml:space="preserve">五</w:t>
      </w:r>
      <w:bookmarkEnd w:id="38"/>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39" w:name="bookmark102"/>
      <w:r>
        <w:t xml:space="preserve">六</w:t>
      </w:r>
      <w:bookmarkEnd w:id="39"/>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0" w:name="bookmark103"/>
      <w:r>
        <w:t xml:space="preserve">七</w:t>
      </w:r>
      <w:bookmarkEnd w:id="40"/>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1" w:name="bookmark104"/>
      <w:r>
        <w:t xml:space="preserve">八</w:t>
      </w:r>
      <w:bookmarkEnd w:id="41"/>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2" w:name="bookmark105"/>
      <w:r>
        <w:t xml:space="preserve">九</w:t>
      </w:r>
      <w:bookmarkEnd w:id="42"/>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2"/>
      <w:footerReference w:type="default" r:id="rId23"/>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68"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2109"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676"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2111"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678"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2113"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posOffset>4538345</wp:posOffset>
              </wp:positionH>
              <wp:positionV relativeFrom="paragraph">
                <wp:posOffset>-151765</wp:posOffset>
              </wp:positionV>
              <wp:extent cx="478790" cy="323215"/>
              <wp:effectExtent l="0" t="0" r="0" b="0"/>
              <wp:wrapNone/>
              <wp:docPr id="679" name="文本框 9"/>
              <wp:cNvGraphicFramePr>
                <a:graphicFrameLocks noChangeAspect="0"/>
              </wp:cNvGraphicFramePr>
              <a:graphic>
                <a:graphicData uri="http://schemas.microsoft.com/office/word/2010/wordprocessingShape">
                  <wps:wsp>
                    <wps:cNvSpPr/>
                    <wps:spPr>
                      <a:xfrm>
                        <a:off x="0" y="0"/>
                        <a:ext cx="478790" cy="32321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9" o:spid="_x0000_s2114" type="#_x0000_t202" style="height:25.45pt;margin-left:357.35pt;margin-top:-11.95pt;mso-height-relative:page;mso-position-horizontal-relative:margin;mso-width-relative:page;mso-wrap-distance-bottom:0;mso-wrap-distance-left:9pt;mso-wrap-distance-right:9pt;mso-wrap-distance-top:0;mso-wrap-style:square;position:absolute;v-text-anchor:top;width:37.7pt;z-index:251664384"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posOffset>4473575</wp:posOffset>
              </wp:positionH>
              <wp:positionV relativeFrom="paragraph">
                <wp:posOffset>-86360</wp:posOffset>
              </wp:positionV>
              <wp:extent cx="447040" cy="267970"/>
              <wp:effectExtent l="0" t="0" r="0" b="0"/>
              <wp:wrapNone/>
              <wp:docPr id="680" name="文本框 11"/>
              <wp:cNvGraphicFramePr>
                <a:graphicFrameLocks noChangeAspect="0"/>
              </wp:cNvGraphicFramePr>
              <a:graphic>
                <a:graphicData uri="http://schemas.microsoft.com/office/word/2010/wordprocessingShape">
                  <wps:wsp>
                    <wps:cNvSpPr/>
                    <wps:spPr>
                      <a:xfrm>
                        <a:off x="0" y="0"/>
                        <a:ext cx="447040" cy="26797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11" o:spid="_x0000_s2115" type="#_x0000_t202" style="height:21.1pt;margin-left:352.25pt;margin-top:-6.8pt;mso-height-relative:page;mso-position-horizontal-relative:margin;mso-width-relative:page;mso-wrap-distance-bottom:0;mso-wrap-distance-left:9pt;mso-wrap-distance-right:9pt;mso-wrap-distance-top:0;mso-wrap-style:square;position:absolute;v-text-anchor:top;width:35.2pt;z-index:251665408"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7.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81"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2116"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675"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2110"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677"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2112"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6.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ocumentProtection w:enforcement="1" w:edit="readOnly" w:salt="dOGBHloQscMP4dMfoJ1xlg==" w:hash="rl8YadlEosO3yk5ZDkmQpArVrz+Lc6xy2AjBExfZyKyVN4lXRAokFTN8/X84MZ5t3mvJpn2yaWnVOhupqVchAg=="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zQ3YjVmMGIyNmVkYzNjNTFhYjFhZmM1YzFmN2U3YmY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3.xml" Type="http://schemas.openxmlformats.org/officeDocument/2006/relationships/chart"/><Relationship Id="rId11" Target="charts/chart4.xml" Type="http://schemas.openxmlformats.org/officeDocument/2006/relationships/chart"/><Relationship Id="rId12" Target="charts/chart5.xml" Type="http://schemas.openxmlformats.org/officeDocument/2006/relationships/chart"/><Relationship Id="rId13" Target="charts/chart6.xml" Type="http://schemas.openxmlformats.org/officeDocument/2006/relationships/chart"/><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header6.xml" Type="http://schemas.openxmlformats.org/officeDocument/2006/relationships/header"/><Relationship Id="rId23" Target="footer7.xml" Type="http://schemas.openxmlformats.org/officeDocument/2006/relationships/footer"/><Relationship Id="rId24" Target="theme/theme1.xml" Type="http://schemas.openxmlformats.org/officeDocument/2006/relationships/theme"/><Relationship Id="rId25" Target="styles.xml" Type="http://schemas.openxmlformats.org/officeDocument/2006/relationships/styles"/><Relationship Id="rId26" Target="webSettings.xml" Type="http://schemas.openxmlformats.org/officeDocument/2006/relationships/webSettings"/><Relationship Id="rId27" Target="numbering.xml" Type="http://schemas.openxmlformats.org/officeDocument/2006/relationships/numbering"/><Relationship Id="rId28" Target="fontTable.xml" Type="http://schemas.openxmlformats.org/officeDocument/2006/relationships/fontTable"/><Relationship Id="rId29"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header1.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charts/chart1.xml" Type="http://schemas.openxmlformats.org/officeDocument/2006/relationships/chart"/><Relationship Id="rId9" Target="charts/chart2.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2059.91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教育支出</c:v>
                </c:pt>
                <c:pt idx="2">
                  <c:v>社会保障和就业支出</c:v>
                </c:pt>
                <c:pt idx="3">
                  <c:v>住房保障支出</c:v>
                </c:pt>
              </c:strCache>
            </c:strRef>
          </c:cat>
          <c:val>
            <c:numRef>
              <c:f>Sheet1!$B$2:$B$5</c:f>
              <c:numCache>
                <c:ptCount val="4"/>
                <c:pt idx="0">
                  <c:v>27.65</c:v>
                </c:pt>
                <c:pt idx="1">
                  <c:v>919.35</c:v>
                </c:pt>
                <c:pt idx="2">
                  <c:v>220.3</c:v>
                </c:pt>
                <c:pt idx="3">
                  <c:v>184.71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1575.09</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2059.91</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1937.62</c:v>
                </c:pt>
              </c:numCache>
            </c:numRef>
          </c:val>
        </c:ser>
        <c:ser>
          <c:idx val="1"/>
          <c:order val="1"/>
          <c:tx>
            <c:strRef>
              <c:f>Sheet1!$C$1</c:f>
              <c:strCache>
                <c:ptCount val="1"/>
                <c:pt idx="0">
                  <c:v>结转下年支出</c:v>
                </c:pt>
              </c:strCache>
            </c:strRef>
          </c:tx>
          <c:cat>
            <c:strRef>
              <c:f>Sheet1!$A$2</c:f>
              <c:strCache>
                <c:ptCount val="1"/>
                <c:pt idx="0">
                  <c:v>当年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当年</c:v>
                </c:pt>
              </c:strCache>
            </c:strRef>
          </c:cat>
          <c:val>
            <c:numRef>
              <c:f>Sheet1!$D$2</c:f>
              <c:numCache>
                <c:ptCount val="1"/>
                <c:pt idx="0">
                  <c:v>64.38</c:v>
                </c:pt>
              </c:numCache>
            </c:numRef>
          </c:val>
        </c:ser>
        <c:ser>
          <c:idx val="3"/>
          <c:order val="3"/>
          <c:tx>
            <c:strRef>
              <c:f>Sheet1!$E$1</c:f>
              <c:strCache>
                <c:ptCount val="1"/>
                <c:pt idx="0">
                  <c:v>公用经费</c:v>
                </c:pt>
              </c:strCache>
            </c:strRef>
          </c:tx>
          <c:cat>
            <c:strRef>
              <c:f>Sheet1!$A$2</c:f>
              <c:strCache>
                <c:ptCount val="1"/>
                <c:pt idx="0">
                  <c:v>当年</c:v>
                </c:pt>
              </c:strCache>
            </c:strRef>
          </c:cat>
          <c:val>
            <c:numRef>
              <c:f>Sheet1!$E$2</c:f>
              <c:numCache>
                <c:ptCount val="1"/>
                <c:pt idx="0">
                  <c:v>27.65</c:v>
                </c:pt>
              </c:numCache>
            </c:numRef>
          </c:val>
        </c:ser>
        <c:ser>
          <c:idx val="4"/>
          <c:order val="4"/>
          <c:tx>
            <c:strRef>
              <c:f>Sheet1!$F$1</c:f>
              <c:strCache>
                <c:ptCount val="1"/>
                <c:pt idx="0">
                  <c:v>人员经费</c:v>
                </c:pt>
              </c:strCache>
            </c:strRef>
          </c:tx>
          <c:cat>
            <c:strRef>
              <c:f>Sheet1!$A$2</c:f>
              <c:strCache>
                <c:ptCount val="1"/>
                <c:pt idx="0">
                  <c:v>当年</c:v>
                </c:pt>
              </c:strCache>
            </c:strRef>
          </c:cat>
          <c:val>
            <c:numRef>
              <c:f>Sheet1!$F$2</c:f>
              <c:numCache>
                <c:ptCount val="1"/>
                <c:pt idx="0">
                  <c:v>1909.97</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1909.97</c:v>
                </c:pt>
                <c:pt idx="1">
                  <c:v>27.65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秦杰</cp:lastModifiedBy>
  <dcterms:modified xsi:type="dcterms:W3CDTF">2024-03-07T01:17:36Z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6</TotalTime>
  <ScaleCrop>false</ScaleCrop>
  <LinksUpToDate>false</LinksUpToDate>
  <CharactersWithSpaces>11333</CharactersWithSpaces>
  <Application>WPS Office_12.1.0.16364_F1E327BC-269C-435d-A152-05C5408002CA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12DC9CEE36A04FED99CEAB3C4FE7F44F_13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6</TotalTime>
  <Pages>35</Pages>
  <Words>8576</Words>
  <Characters>11046</Characters>
  <Application>WPS Office_12.1.0.16364_F1E327BC-269C-435d-A152-05C5408002CA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秦杰</cp:lastModifiedBy>
  <dcterms:modified xsi:type="dcterms:W3CDTF">2024-03-08T01:03:10Z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2052-12.1.0.16364</vt:lpstr>
  </property>
  <property fmtid="{D5CDD505-2E9C-101B-9397-08002B2CF9AE}" pid="3" name="ICV">
    <vt:lpstr>12DC9CEE36A04FED99CEAB3C4FE7F44F_13</vt:lpstr>
  </property>
</Properties>
</file>