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环江毛南族自治县大安乡中心小学</w:t>
      </w:r>
    </w:p>
    <w:p>
      <w:pPr>
        <w:pStyle w:val="Bodytext|5"/>
        <w:jc w:val="center"/>
        <w:rPr>
          <w:rFonts w:eastAsia="宋体" w:eastAsiaTheme="majorEastAsia" w:hint="eastAsia"/>
          <w:sz w:val="56"/>
          <w:szCs w:val="56"/>
          <w:lang w:val="en-US" w:eastAsia="zh-CN"/>
        </w:rPr>
        <w:sectPr>
          <w:headerReference w:type="default" r:id="rId5"/>
          <w:footerReference w:type="default" r:id="rId6"/>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val="en-US"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r>
        <w:rPr>
          <w:rFonts w:ascii="宋体" w:eastAsia="宋体" w:hAnsi="宋体" w:asciiTheme="majorEastAsia" w:eastAsiaTheme="majorEastAsia" w:hAnsiTheme="majorEastAsia" w:cs="Times New Roman" w:cstheme="majorEastAsia" w:hint="eastAsia"/>
          <w:sz w:val="56"/>
          <w:szCs w:val="56"/>
          <w:lang w:val="en-US" w:eastAsia="zh-CN"/>
        </w:rPr>
        <w:t xml:space="preserve">公开</w:t>
      </w:r>
    </w:p>
    <w:p>
      <w:pPr>
        <w:pStyle w:val="Heading#1|1"/>
        <w:keepNext/>
        <w:keepLines/>
        <w:spacing w:after="240"/>
        <w:jc w:val="center"/>
      </w:pPr>
      <w:bookmarkStart w:id="0" w:name="bookmark2"/>
      <w:bookmarkStart w:id="1" w:name="bookmark1"/>
      <w:bookmarkStart w:id="2" w:name="bookmark0"/>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环江毛南族自治县大安乡中心小学</w:t>
      </w:r>
      <w:r>
        <w:rPr>
          <w:u w:color="auto"/>
        </w:rPr>
        <w:t xml:space="preserve">单位</w:t>
      </w:r>
      <w:r>
        <w:t xml:space="preserve">概况</w:t>
      </w:r>
    </w:p>
    <w:p>
      <w:pPr>
        <w:pStyle w:val="Bodytext|2"/>
        <w:jc w:val="left"/>
        <w:rPr>
          <w:rFonts w:hint="eastAsia"/>
          <w:b w:val="0"/>
          <w:bCs w:val="0"/>
          <w:lang w:val="en-US" w:eastAsia="zh-CN"/>
        </w:rPr>
      </w:pPr>
      <w:r>
        <w:rPr>
          <w:rFonts w:hint="eastAsia"/>
          <w:b w:val="0"/>
          <w:bCs w:val="0"/>
          <w:lang w:val="en-US" w:eastAsia="zh-CN"/>
        </w:rPr>
        <w:t xml:space="preserve">一、主要职责</w:t>
      </w:r>
    </w:p>
    <w:p>
      <w:pPr>
        <w:pStyle w:val="Bodytext|2"/>
        <w:jc w:val="left"/>
        <w:rPr>
          <w:rFonts w:hint="eastAsia"/>
          <w:b w:val="0"/>
          <w:bCs w:val="0"/>
        </w:rPr>
      </w:pPr>
      <w:r>
        <w:rPr>
          <w:rFonts w:hint="eastAsia"/>
          <w:b w:val="0"/>
          <w:bCs w:val="0"/>
          <w:lang w:val="en-US" w:eastAsia="zh-CN"/>
        </w:rPr>
        <w:t xml:space="preserve">二、</w:t>
      </w:r>
      <w:r>
        <w:rPr>
          <w:rFonts w:hint="eastAsia"/>
          <w:b w:val="0"/>
          <w:bCs w:val="0"/>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环江毛南族自治县大安乡中心小学</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环江毛南族自治县大安乡中心小学</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七、一般公共预算“三公”经费支出情况表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7"/>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3" w:name="bookmark12"/>
      <w:bookmarkStart w:id="4" w:name="bookmark13"/>
      <w:bookmarkStart w:id="5" w:name="bookmark14"/>
      <w:r>
        <w:rPr>
          <w:b/>
          <w:bCs/>
          <w:sz w:val="40"/>
          <w:szCs w:val="40"/>
        </w:rPr>
        <w:t xml:space="preserve">第一部分</w:t>
      </w:r>
      <w:r>
        <w:rPr>
          <w:rFonts w:hint="eastAsia"/>
          <w:b/>
          <w:bCs/>
          <w:sz w:val="40"/>
          <w:szCs w:val="40"/>
          <w:lang w:eastAsia="zh-CN"/>
        </w:rPr>
        <w:t xml:space="preserve">：</w:t>
      </w:r>
      <w:r>
        <w:rPr>
          <w:b/>
          <w:sz w:val="40"/>
          <w:u w:color="auto"/>
        </w:rPr>
        <w:t xml:space="preserve">环江毛南族自治县大安乡中心小学</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1.贯彻实施国家教育工作方针、政策和法律法规。制订学校教育改革与发展战略和教育事业发展规划及年度计划；贯彻执行上级教育体制改革的政策，拟定学校教育发展的重点、结构、速度和步骤，并负责进行实施。</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2.实施小学义务教育，促进基础教育发展，小学学历教育</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eastAsia"/>
          <w:highlight w:val="none"/>
          <w:lang w:val="en-US" w:eastAsia="zh-CN"/>
        </w:rPr>
      </w:pPr>
      <w:r>
        <w:rPr>
          <w:rFonts w:hint="eastAsia"/>
          <w:highlight w:val="none"/>
          <w:lang w:val="en-US" w:eastAsia="zh-CN"/>
        </w:rPr>
        <w:t xml:space="preserve">环江毛南族自治县大安乡中心小学下辖一所中心小学和一所完小，人员编制总数为68人，其中行政编制0人，事业编制56人，聘用教师控制数11人，编外特岗教师实有人数1人。学校专职保安人员4人，食堂钟点工10人</w:t>
      </w: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70"/>
      <w:bookmarkStart w:id="8" w:name="bookmark68"/>
      <w:bookmarkStart w:id="9" w:name="bookmark69"/>
      <w:bookmarkStart w:id="10" w:name="bookmark28"/>
      <w:bookmarkStart w:id="11" w:name="bookmark27"/>
      <w:bookmarkStart w:id="12"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环江毛南族自治县大安乡中心小学</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1076.33</w:t>
      </w:r>
      <w:r>
        <w:rPr>
          <w:rFonts w:hint="eastAsia"/>
          <w:b w:val="0"/>
          <w:bCs w:val="0"/>
          <w:sz w:val="28"/>
          <w:szCs w:val="28"/>
        </w:rPr>
        <w:t xml:space="preserve">万元，总支出</w:t>
      </w:r>
      <w:r>
        <w:rPr>
          <w:rFonts w:hint="eastAsia"/>
          <w:sz w:val="28"/>
          <w:szCs w:val="28"/>
          <w:lang w:val="en-US" w:eastAsia="zh-CN"/>
        </w:rPr>
        <w:t xml:space="preserve">1076.33</w:t>
      </w:r>
      <w:r>
        <w:rPr>
          <w:rFonts w:hint="eastAsia"/>
          <w:b w:val="0"/>
          <w:bCs w:val="0"/>
          <w:sz w:val="28"/>
          <w:szCs w:val="28"/>
        </w:rPr>
        <w:t xml:space="preserve">万元。总收入较2023年度预算数</w:t>
      </w:r>
      <w:r>
        <w:rPr>
          <w:rFonts w:hint="eastAsia"/>
          <w:sz w:val="28"/>
          <w:szCs w:val="28"/>
          <w:lang w:val="en-US" w:eastAsia="zh-CN"/>
        </w:rPr>
        <w:t xml:space="preserve">1280.56</w:t>
      </w:r>
      <w:r>
        <w:rPr>
          <w:rFonts w:hint="eastAsia"/>
          <w:b w:val="0"/>
          <w:bCs w:val="0"/>
          <w:sz w:val="28"/>
          <w:szCs w:val="28"/>
        </w:rPr>
        <w:t xml:space="preserve">万元，</w:t>
      </w:r>
      <w:r>
        <w:rPr>
          <w:rFonts w:hint="eastAsia"/>
          <w:sz w:val="28"/>
          <w:szCs w:val="28"/>
        </w:rPr>
        <w:t xml:space="preserve">减少204.23</w:t>
      </w:r>
      <w:r>
        <w:rPr>
          <w:rFonts w:hint="eastAsia"/>
          <w:b w:val="0"/>
          <w:bCs w:val="0"/>
          <w:sz w:val="28"/>
          <w:szCs w:val="28"/>
        </w:rPr>
        <w:t xml:space="preserve">万元，</w:t>
      </w:r>
      <w:r>
        <w:rPr>
          <w:rFonts w:hint="eastAsia"/>
          <w:sz w:val="28"/>
          <w:szCs w:val="28"/>
        </w:rPr>
        <w:t xml:space="preserve">下降15.95%</w:t>
      </w:r>
      <w:r>
        <w:rPr>
          <w:rFonts w:hint="eastAsia"/>
          <w:b w:val="0"/>
          <w:bCs w:val="0"/>
          <w:sz w:val="28"/>
          <w:szCs w:val="28"/>
        </w:rPr>
        <w:t xml:space="preserve">，主要原因是</w:t>
      </w:r>
      <w:r>
        <w:rPr>
          <w:rFonts w:hint="eastAsia"/>
          <w:highlight w:val="none"/>
          <w:lang w:val="en-US" w:eastAsia="zh-CN"/>
        </w:rPr>
        <w:t xml:space="preserve">主要原因是年内有4人调出，4人退休</w:t>
      </w:r>
      <w:r>
        <w:rPr>
          <w:rFonts w:hint="eastAsia"/>
          <w:b w:val="0"/>
          <w:bCs w:val="0"/>
          <w:sz w:val="28"/>
          <w:szCs w:val="28"/>
        </w:rPr>
        <w:t xml:space="preserve">。总支出较2023年度预算数</w:t>
      </w:r>
      <w:r>
        <w:rPr>
          <w:rFonts w:hint="eastAsia"/>
          <w:sz w:val="28"/>
          <w:szCs w:val="28"/>
          <w:lang w:val="en-US" w:eastAsia="zh-CN"/>
        </w:rPr>
        <w:t xml:space="preserve">1280.56</w:t>
      </w:r>
      <w:r>
        <w:rPr>
          <w:rFonts w:hint="eastAsia"/>
          <w:b w:val="0"/>
          <w:bCs w:val="0"/>
          <w:sz w:val="28"/>
          <w:szCs w:val="28"/>
        </w:rPr>
        <w:t xml:space="preserve">万元，</w:t>
      </w:r>
      <w:r>
        <w:rPr>
          <w:rFonts w:hint="eastAsia"/>
          <w:sz w:val="28"/>
          <w:szCs w:val="28"/>
        </w:rPr>
        <w:t xml:space="preserve">减少204.23</w:t>
      </w:r>
      <w:r>
        <w:rPr>
          <w:rFonts w:hint="eastAsia"/>
          <w:b w:val="0"/>
          <w:bCs w:val="0"/>
          <w:sz w:val="28"/>
          <w:szCs w:val="28"/>
        </w:rPr>
        <w:t xml:space="preserve">万元，</w:t>
      </w:r>
      <w:r>
        <w:rPr>
          <w:rFonts w:hint="eastAsia"/>
          <w:sz w:val="28"/>
          <w:szCs w:val="28"/>
        </w:rPr>
        <w:t xml:space="preserve">下降15.95%</w:t>
      </w:r>
      <w:r>
        <w:rPr>
          <w:rFonts w:hint="eastAsia"/>
          <w:b w:val="0"/>
          <w:bCs w:val="0"/>
          <w:sz w:val="28"/>
          <w:szCs w:val="28"/>
        </w:rPr>
        <w:t xml:space="preserve">，主要原因是</w:t>
      </w:r>
      <w:r>
        <w:rPr>
          <w:rFonts w:hint="eastAsia"/>
          <w:highlight w:val="none"/>
          <w:lang w:val="en-US" w:eastAsia="zh-CN"/>
        </w:rPr>
        <w:t xml:space="preserve">主要原因是年内有4人调出，4人退休</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6866"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1076.33</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1280.56</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减少204.23</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下降15.95%</w:t>
      </w:r>
      <w:r>
        <w:rPr>
          <w:rFonts w:ascii="宋体" w:eastAsia="宋体" w:hAnsi="宋体" w:cs="宋体" w:hint="eastAsia"/>
          <w:sz w:val="28"/>
          <w:szCs w:val="28"/>
          <w:u w:color="auto"/>
        </w:rPr>
        <w:t xml:space="preserve">，主要原因是</w:t>
      </w:r>
      <w:r>
        <w:rPr>
          <w:rFonts w:hint="eastAsia"/>
          <w:highlight w:val="none"/>
          <w:lang w:val="en-US" w:eastAsia="zh-CN"/>
        </w:rPr>
        <w:t xml:space="preserve">主要原因是年内有4人调出，4人退休</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6867"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1076.33</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1280.56</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减少204.23</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下降15.95%</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主要原因是年内有4人调出，4人退休</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主要原因是年内有4人调出，4人退休</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56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5</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其他支出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减少1.98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减少100.00%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本单位无此项指标</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教育支出</w:t>
      </w:r>
      <w:r>
        <w:rPr>
          <w:rFonts w:ascii="宋体" w:eastAsia="宋体" w:hAnsi="宋体" w:cs="宋体" w:hint="eastAsia"/>
          <w:sz w:val="28"/>
          <w:szCs w:val="28"/>
          <w:lang w:val="en-US" w:eastAsia="zh-CN"/>
        </w:rPr>
        <w:t xml:space="preserve">893.50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83.01%</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减少98.79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减少9.96%</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主要原因是年内有4人调出，4人退休</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77.43</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7.19%</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减少37.38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减少32.56%</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主要原因是年内有4人调出，4人退休</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12.90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1.20%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减少5.50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减少29.89%</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主要原因是年内有4人调出，4人退休</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5</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92.50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8.59%</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减少60.58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减少39.57%</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主要原因是年内有4人调出，4人退休</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1023.79</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95.12%</w:t>
      </w:r>
      <w:r>
        <w:rPr>
          <w:rFonts w:ascii="宋体" w:eastAsia="宋体" w:hAnsi="宋体" w:cs="宋体"/>
          <w:sz w:val="28"/>
          <w:u w:color="auto"/>
        </w:rPr>
        <w:t xml:space="preserve">,比上年</w:t>
      </w:r>
      <w:r>
        <w:rPr>
          <w:rFonts w:ascii="宋体" w:eastAsia="宋体" w:hAnsi="宋体" w:cs="宋体"/>
          <w:sz w:val="28"/>
          <w:u w:color="auto"/>
        </w:rPr>
        <w:t xml:space="preserve">减少235.38</w:t>
      </w:r>
      <w:r>
        <w:rPr>
          <w:rFonts w:ascii="宋体" w:eastAsia="宋体" w:hAnsi="宋体" w:cs="宋体"/>
          <w:sz w:val="28"/>
          <w:u w:color="auto"/>
        </w:rPr>
        <w:t xml:space="preserve">万元，</w:t>
      </w:r>
      <w:r>
        <w:rPr>
          <w:rFonts w:ascii="宋体" w:eastAsia="宋体" w:hAnsi="宋体" w:cs="宋体"/>
          <w:sz w:val="28"/>
          <w:u w:color="auto"/>
        </w:rPr>
        <w:t xml:space="preserve">减少18.69%</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933.71</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91.20%</w:t>
      </w:r>
      <w:r>
        <w:rPr>
          <w:rFonts w:ascii="宋体" w:eastAsia="宋体" w:hAnsi="宋体" w:cs="宋体" w:hint="eastAsia"/>
          <w:sz w:val="28"/>
          <w:szCs w:val="28"/>
        </w:rPr>
        <w:t xml:space="preserve">,比上年</w:t>
      </w:r>
      <w:r>
        <w:rPr>
          <w:rFonts w:ascii="宋体" w:eastAsia="宋体" w:hAnsi="宋体" w:cs="宋体"/>
          <w:sz w:val="28"/>
          <w:u w:color="auto"/>
        </w:rPr>
        <w:t xml:space="preserve">减少259.00</w:t>
      </w:r>
      <w:r>
        <w:rPr>
          <w:rFonts w:ascii="宋体" w:eastAsia="宋体" w:hAnsi="宋体" w:cs="宋体"/>
          <w:sz w:val="28"/>
          <w:u w:color="auto"/>
        </w:rPr>
        <w:t xml:space="preserve">万元，</w:t>
      </w:r>
      <w:r>
        <w:rPr>
          <w:rFonts w:ascii="宋体" w:eastAsia="宋体" w:hAnsi="宋体" w:cs="宋体"/>
          <w:sz w:val="28"/>
          <w:u w:color="auto"/>
        </w:rPr>
        <w:t xml:space="preserve">减少21.72%</w:t>
      </w:r>
      <w:r>
        <w:rPr>
          <w:rFonts w:ascii="宋体" w:eastAsia="宋体" w:hAnsi="宋体" w:cs="宋体"/>
          <w:sz w:val="28"/>
          <w:u w:color="auto"/>
        </w:rPr>
        <w:t xml:space="preserve">,主要原因是：主要原因是年内有4人调出，4人退休</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12.90</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1.26%</w:t>
      </w:r>
      <w:r>
        <w:rPr>
          <w:rFonts w:ascii="宋体" w:eastAsia="宋体" w:hAnsi="宋体" w:cs="宋体" w:hint="eastAsia"/>
          <w:sz w:val="28"/>
          <w:szCs w:val="28"/>
        </w:rPr>
        <w:t xml:space="preserve">,比上年</w:t>
      </w:r>
      <w:r>
        <w:rPr>
          <w:rFonts w:ascii="宋体" w:eastAsia="宋体" w:hAnsi="宋体" w:cs="宋体"/>
          <w:sz w:val="28"/>
          <w:u w:color="auto"/>
        </w:rPr>
        <w:t xml:space="preserve">减少5.68</w:t>
      </w:r>
      <w:r>
        <w:rPr>
          <w:rFonts w:ascii="宋体" w:eastAsia="宋体" w:hAnsi="宋体" w:cs="宋体"/>
          <w:sz w:val="28"/>
          <w:u w:color="auto"/>
        </w:rPr>
        <w:t xml:space="preserve">万元，</w:t>
      </w:r>
      <w:r>
        <w:rPr>
          <w:rFonts w:ascii="宋体" w:eastAsia="宋体" w:hAnsi="宋体" w:cs="宋体"/>
          <w:sz w:val="28"/>
          <w:u w:color="auto"/>
        </w:rPr>
        <w:t xml:space="preserve">减少30.57%</w:t>
      </w:r>
      <w:r>
        <w:rPr>
          <w:rFonts w:ascii="宋体" w:eastAsia="宋体" w:hAnsi="宋体" w:cs="宋体"/>
          <w:sz w:val="28"/>
          <w:u w:color="auto"/>
        </w:rPr>
        <w:t xml:space="preserve">,主要原因是：主要原因是年内有4人调出，4人退休</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77.17</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7.54%</w:t>
      </w:r>
      <w:r>
        <w:rPr>
          <w:rFonts w:ascii="宋体" w:eastAsia="宋体" w:hAnsi="宋体" w:cs="宋体" w:hint="eastAsia"/>
          <w:sz w:val="28"/>
          <w:szCs w:val="28"/>
        </w:rPr>
        <w:t xml:space="preserve">,比上年</w:t>
      </w:r>
      <w:r>
        <w:rPr>
          <w:rFonts w:ascii="宋体" w:eastAsia="宋体" w:hAnsi="宋体" w:cs="宋体"/>
          <w:sz w:val="28"/>
          <w:u w:color="auto"/>
        </w:rPr>
        <w:t xml:space="preserve">增长29.30</w:t>
      </w:r>
      <w:r>
        <w:rPr>
          <w:rFonts w:ascii="宋体" w:eastAsia="宋体" w:hAnsi="宋体" w:cs="宋体"/>
          <w:sz w:val="28"/>
          <w:u w:color="auto"/>
        </w:rPr>
        <w:t xml:space="preserve">万元，</w:t>
      </w:r>
      <w:r>
        <w:rPr>
          <w:rFonts w:ascii="宋体" w:eastAsia="宋体" w:hAnsi="宋体" w:cs="宋体"/>
          <w:sz w:val="28"/>
          <w:u w:color="auto"/>
        </w:rPr>
        <w:t xml:space="preserve">增长61.21%</w:t>
      </w:r>
      <w:r>
        <w:rPr>
          <w:rFonts w:ascii="宋体" w:eastAsia="宋体" w:hAnsi="宋体" w:cs="宋体"/>
          <w:sz w:val="28"/>
          <w:u w:color="auto"/>
        </w:rPr>
        <w:t xml:space="preserve">,主要原因是：主要原因是年内有4人调出，4人退休</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52.54</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4.88%</w:t>
      </w:r>
      <w:r>
        <w:rPr>
          <w:rFonts w:ascii="宋体" w:eastAsia="宋体" w:hAnsi="宋体" w:cs="宋体" w:hint="eastAsia"/>
          <w:sz w:val="28"/>
          <w:szCs w:val="28"/>
        </w:rPr>
        <w:t xml:space="preserve">,比上年</w:t>
      </w:r>
      <w:r>
        <w:rPr>
          <w:rFonts w:ascii="宋体" w:eastAsia="宋体" w:hAnsi="宋体" w:cs="宋体"/>
          <w:sz w:val="28"/>
          <w:u w:color="auto"/>
        </w:rPr>
        <w:t xml:space="preserve">增长31.15</w:t>
      </w:r>
      <w:r>
        <w:rPr>
          <w:rFonts w:ascii="宋体" w:eastAsia="宋体" w:hAnsi="宋体" w:cs="宋体" w:hint="eastAsia"/>
          <w:sz w:val="28"/>
          <w:szCs w:val="28"/>
        </w:rPr>
        <w:t xml:space="preserve">万元，</w:t>
      </w:r>
      <w:r>
        <w:rPr>
          <w:rFonts w:ascii="宋体" w:eastAsia="宋体" w:hAnsi="宋体" w:cs="宋体"/>
          <w:sz w:val="28"/>
          <w:u w:color="auto"/>
        </w:rPr>
        <w:t xml:space="preserve">增长145.63%</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1.98</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3.77%</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增长0.72</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增长57.14%</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en-US" w:eastAsia="zh-CN" w:bidi="zh-TW"/>
        </w:rPr>
        <w:t xml:space="preserve">  </w:t>
      </w:r>
      <w:r>
        <w:rPr>
          <w:rFonts w:ascii="宋体" w:eastAsia="宋体" w:hAnsi="宋体" w:cs="宋体" w:hint="eastAsia"/>
          <w:color w:val="000000"/>
          <w:sz w:val="28"/>
          <w:szCs w:val="28"/>
          <w:lang w:val="zh-TW" w:eastAsia="zh-TW" w:bidi="zh-TW"/>
        </w:rPr>
        <w:t xml:space="preserve">主要原因是年内有4人调出，4人退休</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32.62</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62.09%</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增长19.50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增长148.63%</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en-US" w:eastAsia="zh-CN" w:bidi="zh-TW"/>
        </w:rPr>
        <w:t xml:space="preserve">  </w:t>
      </w:r>
      <w:r>
        <w:rPr>
          <w:rFonts w:ascii="宋体" w:eastAsia="宋体" w:hAnsi="宋体" w:cs="宋体" w:hint="eastAsia"/>
          <w:color w:val="000000"/>
          <w:sz w:val="28"/>
          <w:szCs w:val="28"/>
          <w:lang w:val="zh-TW" w:eastAsia="zh-TW" w:bidi="zh-TW"/>
        </w:rPr>
        <w:t xml:space="preserve">主要原因是年内有4人调出，4人退休</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15.09</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28.72%</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增长8.07</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增长114.96%</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en-US" w:eastAsia="zh-CN" w:bidi="zh-TW"/>
        </w:rPr>
        <w:t xml:space="preserve">  </w:t>
      </w:r>
      <w:r>
        <w:rPr>
          <w:rFonts w:ascii="宋体" w:eastAsia="宋体" w:hAnsi="宋体" w:cs="宋体" w:hint="eastAsia"/>
          <w:color w:val="000000"/>
          <w:sz w:val="28"/>
          <w:szCs w:val="28"/>
          <w:lang w:val="zh-TW" w:eastAsia="zh-TW" w:bidi="zh-TW"/>
        </w:rPr>
        <w:t xml:space="preserve">主要原因是年内有4人调出，4人退休</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2.85</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5.42%</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增长2.85</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en-US" w:eastAsia="zh-CN" w:bidi="zh-TW"/>
        </w:rPr>
        <w:t xml:space="preserve">  </w:t>
      </w:r>
      <w:r>
        <w:rPr>
          <w:rFonts w:ascii="宋体" w:eastAsia="宋体" w:hAnsi="宋体" w:cs="宋体" w:hint="eastAsia"/>
          <w:color w:val="000000"/>
          <w:sz w:val="28"/>
          <w:szCs w:val="28"/>
          <w:lang w:val="zh-TW" w:eastAsia="zh-TW" w:bidi="zh-TW"/>
        </w:rPr>
        <w:t xml:space="preserve">主要原因是年内有4人调出，4人退休</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6868"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1076.33</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1076.33</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1280.56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减少204.23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下降15.95%</w:t>
      </w:r>
      <w:r>
        <w:rPr>
          <w:rFonts w:ascii="宋体" w:eastAsia="宋体" w:hAnsi="宋体" w:cs="宋体" w:hint="eastAsia"/>
          <w:sz w:val="28"/>
          <w:szCs w:val="28"/>
        </w:rPr>
        <w:t xml:space="preserve">，主要原因是</w:t>
      </w:r>
      <w:r>
        <w:rPr>
          <w:rFonts w:hint="eastAsia"/>
          <w:highlight w:val="none"/>
          <w:lang w:val="en-US" w:eastAsia="zh-CN"/>
        </w:rPr>
        <w:t xml:space="preserve">主要原因是年内有4人调出，4人退休</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1280.56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减少204.23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下降15.95%</w:t>
      </w:r>
      <w:r>
        <w:rPr>
          <w:rFonts w:ascii="宋体" w:eastAsia="宋体" w:hAnsi="宋体" w:cs="宋体" w:hint="eastAsia"/>
          <w:sz w:val="28"/>
          <w:szCs w:val="28"/>
        </w:rPr>
        <w:t xml:space="preserve">，主要原因是</w:t>
      </w:r>
      <w:r>
        <w:rPr>
          <w:rFonts w:hint="eastAsia"/>
          <w:highlight w:val="none"/>
          <w:lang w:val="en-US" w:eastAsia="zh-CN"/>
        </w:rPr>
        <w:t xml:space="preserve">主要原因是年内有4人调出，4人退休</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6869"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1076.33</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1278.58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减少202.25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下降15.82%</w:t>
      </w:r>
      <w:r>
        <w:rPr>
          <w:rFonts w:ascii="宋体" w:eastAsia="宋体" w:hAnsi="宋体" w:cs="宋体" w:hint="eastAsia"/>
          <w:sz w:val="28"/>
          <w:szCs w:val="28"/>
        </w:rPr>
        <w:t xml:space="preserve">，主要原因是</w:t>
      </w:r>
      <w:r>
        <w:rPr>
          <w:rFonts w:hint="eastAsia"/>
          <w:highlight w:val="none"/>
          <w:lang w:val="en-US" w:eastAsia="zh-CN"/>
        </w:rPr>
        <w:t xml:space="preserve">主要原因是年内有4人调出，4人退休</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12.90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1.20%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18.40</w:t>
      </w:r>
      <w:r>
        <w:rPr>
          <w:rFonts w:ascii="宋体" w:eastAsia="宋体" w:hAnsi="宋体" w:cs="宋体" w:hint="eastAsia"/>
          <w:sz w:val="28"/>
          <w:szCs w:val="28"/>
        </w:rPr>
        <w:t xml:space="preserve">万元，</w:t>
      </w:r>
      <w:r>
        <w:rPr>
          <w:rFonts w:ascii="宋体" w:eastAsia="宋体" w:hAnsi="宋体" w:cs="宋体"/>
          <w:sz w:val="28"/>
          <w:u w:color="auto"/>
        </w:rPr>
        <w:t xml:space="preserve">减少5.50</w:t>
      </w:r>
      <w:r>
        <w:rPr>
          <w:rFonts w:ascii="宋体" w:eastAsia="宋体" w:hAnsi="宋体" w:cs="宋体" w:hint="eastAsia"/>
          <w:sz w:val="28"/>
          <w:szCs w:val="28"/>
        </w:rPr>
        <w:t xml:space="preserve">万元，</w:t>
      </w:r>
      <w:r>
        <w:rPr>
          <w:rFonts w:ascii="宋体" w:eastAsia="宋体" w:hAnsi="宋体" w:cs="宋体"/>
          <w:sz w:val="28"/>
          <w:u w:color="auto"/>
        </w:rPr>
        <w:t xml:space="preserve">减少29.89%</w:t>
      </w:r>
      <w:r>
        <w:rPr>
          <w:rFonts w:ascii="宋体" w:eastAsia="宋体" w:hAnsi="宋体" w:cs="宋体" w:hint="eastAsia"/>
          <w:sz w:val="28"/>
          <w:szCs w:val="28"/>
        </w:rPr>
        <w:t xml:space="preserve">，主要原因是：</w:t>
      </w:r>
      <w:r>
        <w:rPr>
          <w:rFonts w:hint="eastAsia"/>
          <w:highlight w:val="none"/>
        </w:rPr>
        <w:t xml:space="preserve">主要原因是年内有4人调出，4人退休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77.43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7.19%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114.81</w:t>
      </w:r>
      <w:r>
        <w:rPr>
          <w:rFonts w:ascii="宋体" w:eastAsia="宋体" w:hAnsi="宋体" w:cs="宋体" w:hint="eastAsia"/>
          <w:sz w:val="28"/>
          <w:szCs w:val="28"/>
        </w:rPr>
        <w:t xml:space="preserve">万元，</w:t>
      </w:r>
      <w:r>
        <w:rPr>
          <w:rFonts w:ascii="宋体" w:eastAsia="宋体" w:hAnsi="宋体" w:cs="宋体"/>
          <w:sz w:val="28"/>
          <w:u w:color="auto"/>
        </w:rPr>
        <w:t xml:space="preserve">减少37.38</w:t>
      </w:r>
      <w:r>
        <w:rPr>
          <w:rFonts w:ascii="宋体" w:eastAsia="宋体" w:hAnsi="宋体" w:cs="宋体" w:hint="eastAsia"/>
          <w:sz w:val="28"/>
          <w:szCs w:val="28"/>
        </w:rPr>
        <w:t xml:space="preserve">万元，</w:t>
      </w:r>
      <w:r>
        <w:rPr>
          <w:rFonts w:ascii="宋体" w:eastAsia="宋体" w:hAnsi="宋体" w:cs="宋体"/>
          <w:sz w:val="28"/>
          <w:u w:color="auto"/>
        </w:rPr>
        <w:t xml:space="preserve">减少32.56%</w:t>
      </w:r>
      <w:r>
        <w:rPr>
          <w:rFonts w:ascii="宋体" w:eastAsia="宋体" w:hAnsi="宋体" w:cs="宋体" w:hint="eastAsia"/>
          <w:sz w:val="28"/>
          <w:szCs w:val="28"/>
        </w:rPr>
        <w:t xml:space="preserve">，主要原因是：</w:t>
      </w:r>
      <w:r>
        <w:rPr>
          <w:rFonts w:hint="eastAsia"/>
          <w:highlight w:val="none"/>
        </w:rPr>
        <w:t xml:space="preserve">主要原因是年内有4人调出，4人退休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教育支出</w:t>
      </w:r>
      <w:r>
        <w:rPr>
          <w:rFonts w:ascii="宋体" w:eastAsia="宋体" w:hAnsi="宋体" w:cs="宋体" w:hint="eastAsia"/>
          <w:sz w:val="28"/>
          <w:szCs w:val="28"/>
        </w:rPr>
        <w:t xml:space="preserve">（类）支出</w:t>
      </w:r>
      <w:r>
        <w:rPr>
          <w:rFonts w:ascii="宋体" w:eastAsia="宋体" w:hAnsi="宋体" w:cs="宋体"/>
          <w:sz w:val="28"/>
          <w:u w:color="auto"/>
        </w:rPr>
        <w:t xml:space="preserve">893.50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83.01%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992.29</w:t>
      </w:r>
      <w:r>
        <w:rPr>
          <w:rFonts w:ascii="宋体" w:eastAsia="宋体" w:hAnsi="宋体" w:cs="宋体" w:hint="eastAsia"/>
          <w:sz w:val="28"/>
          <w:szCs w:val="28"/>
        </w:rPr>
        <w:t xml:space="preserve">万元，</w:t>
      </w:r>
      <w:r>
        <w:rPr>
          <w:rFonts w:ascii="宋体" w:eastAsia="宋体" w:hAnsi="宋体" w:cs="宋体"/>
          <w:sz w:val="28"/>
          <w:u w:color="auto"/>
        </w:rPr>
        <w:t xml:space="preserve">减少98.79</w:t>
      </w:r>
      <w:r>
        <w:rPr>
          <w:rFonts w:ascii="宋体" w:eastAsia="宋体" w:hAnsi="宋体" w:cs="宋体" w:hint="eastAsia"/>
          <w:sz w:val="28"/>
          <w:szCs w:val="28"/>
        </w:rPr>
        <w:t xml:space="preserve">万元，</w:t>
      </w:r>
      <w:r>
        <w:rPr>
          <w:rFonts w:ascii="宋体" w:eastAsia="宋体" w:hAnsi="宋体" w:cs="宋体"/>
          <w:sz w:val="28"/>
          <w:u w:color="auto"/>
        </w:rPr>
        <w:t xml:space="preserve">减少9.96%</w:t>
      </w:r>
      <w:r>
        <w:rPr>
          <w:rFonts w:ascii="宋体" w:eastAsia="宋体" w:hAnsi="宋体" w:cs="宋体" w:hint="eastAsia"/>
          <w:sz w:val="28"/>
          <w:szCs w:val="28"/>
        </w:rPr>
        <w:t xml:space="preserve">，主要原因是：</w:t>
      </w:r>
      <w:r>
        <w:rPr>
          <w:rFonts w:hint="eastAsia"/>
          <w:highlight w:val="none"/>
        </w:rPr>
        <w:t xml:space="preserve">主要原因是年内有4人调出，4人退休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92.50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8.59%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153.08</w:t>
      </w:r>
      <w:r>
        <w:rPr>
          <w:rFonts w:ascii="宋体" w:eastAsia="宋体" w:hAnsi="宋体" w:cs="宋体" w:hint="eastAsia"/>
          <w:sz w:val="28"/>
          <w:szCs w:val="28"/>
        </w:rPr>
        <w:t xml:space="preserve">万元，</w:t>
      </w:r>
      <w:r>
        <w:rPr>
          <w:rFonts w:ascii="宋体" w:eastAsia="宋体" w:hAnsi="宋体" w:cs="宋体"/>
          <w:sz w:val="28"/>
          <w:u w:color="auto"/>
        </w:rPr>
        <w:t xml:space="preserve">减少60.58</w:t>
      </w:r>
      <w:r>
        <w:rPr>
          <w:rFonts w:ascii="宋体" w:eastAsia="宋体" w:hAnsi="宋体" w:cs="宋体" w:hint="eastAsia"/>
          <w:sz w:val="28"/>
          <w:szCs w:val="28"/>
        </w:rPr>
        <w:t xml:space="preserve">万元，</w:t>
      </w:r>
      <w:r>
        <w:rPr>
          <w:rFonts w:ascii="宋体" w:eastAsia="宋体" w:hAnsi="宋体" w:cs="宋体"/>
          <w:sz w:val="28"/>
          <w:u w:color="auto"/>
        </w:rPr>
        <w:t xml:space="preserve">减少39.57%</w:t>
      </w:r>
      <w:r>
        <w:rPr>
          <w:rFonts w:ascii="宋体" w:eastAsia="宋体" w:hAnsi="宋体" w:cs="宋体" w:hint="eastAsia"/>
          <w:sz w:val="28"/>
          <w:szCs w:val="28"/>
        </w:rPr>
        <w:t xml:space="preserve">，主要原因是：</w:t>
      </w:r>
      <w:r>
        <w:rPr>
          <w:rFonts w:hint="eastAsia"/>
          <w:highlight w:val="none"/>
        </w:rPr>
        <w:t xml:space="preserve">主要原因是年内有4人调出，4人退休</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6870"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2"/>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1023.79</w:t>
      </w:r>
      <w:r>
        <w:rPr>
          <w:rFonts w:hint="eastAsia"/>
        </w:rPr>
        <w:t xml:space="preserve">万元，较2023年度预算数</w:t>
      </w:r>
      <w:r>
        <w:rPr>
          <w:rFonts w:hint="eastAsia"/>
          <w:lang w:val="en-US" w:eastAsia="zh-CN"/>
        </w:rPr>
        <w:t xml:space="preserve">1258.99</w:t>
      </w:r>
      <w:r>
        <w:rPr>
          <w:rFonts w:hint="eastAsia"/>
        </w:rPr>
        <w:t xml:space="preserve">万元</w:t>
      </w:r>
      <w:r>
        <w:rPr>
          <w:rFonts w:hint="eastAsia"/>
          <w:lang w:val="en-US" w:eastAsia="zh-CN"/>
        </w:rPr>
        <w:t xml:space="preserve">,</w:t>
      </w:r>
      <w:r>
        <w:rPr>
          <w:u w:color="auto"/>
        </w:rPr>
        <w:t xml:space="preserve">减少235.20</w:t>
      </w:r>
      <w:r>
        <w:rPr>
          <w:rFonts w:hint="eastAsia"/>
        </w:rPr>
        <w:t xml:space="preserve">万元，</w:t>
      </w:r>
      <w:r>
        <w:rPr>
          <w:rFonts w:hint="eastAsia"/>
          <w:lang w:val="en-US" w:eastAsia="zh-CN"/>
        </w:rPr>
        <w:t xml:space="preserve">下降18.68%</w:t>
      </w:r>
      <w:r>
        <w:rPr>
          <w:rFonts w:hint="eastAsia"/>
        </w:rPr>
        <w:t xml:space="preserve">，主要原因是</w:t>
      </w:r>
      <w:r>
        <w:rPr>
          <w:rFonts w:hint="eastAsia"/>
          <w:highlight w:val="none"/>
          <w:lang w:val="en-US" w:eastAsia="zh-CN"/>
        </w:rPr>
        <w:t xml:space="preserve">主要原因是年内有4人调出，4人退休</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933.71</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91.20%</w:t>
      </w:r>
      <w:r>
        <w:rPr>
          <w:rFonts w:hint="eastAsia"/>
        </w:rPr>
        <w:t xml:space="preserve">，较2023年度预算数</w:t>
      </w:r>
      <w:r>
        <w:rPr>
          <w:rFonts w:hint="eastAsia"/>
          <w:lang w:val="en-US" w:eastAsia="zh-CN"/>
        </w:rPr>
        <w:t xml:space="preserve">1192.71</w:t>
      </w:r>
      <w:r>
        <w:rPr>
          <w:rFonts w:hint="eastAsia"/>
        </w:rPr>
        <w:t xml:space="preserve">万元，</w:t>
      </w:r>
      <w:r>
        <w:rPr>
          <w:rFonts w:hint="eastAsia"/>
          <w:lang w:val="en-US" w:eastAsia="zh-CN"/>
        </w:rPr>
        <w:t xml:space="preserve">减少259.00</w:t>
      </w:r>
      <w:r>
        <w:rPr>
          <w:rFonts w:hint="eastAsia"/>
        </w:rPr>
        <w:t xml:space="preserve">万元，</w:t>
      </w:r>
      <w:r>
        <w:rPr>
          <w:rFonts w:hint="eastAsia"/>
          <w:lang w:val="en-US" w:eastAsia="zh-CN"/>
        </w:rPr>
        <w:t xml:space="preserve">减少21.72%</w:t>
      </w:r>
      <w:r>
        <w:rPr>
          <w:rFonts w:hint="eastAsia"/>
        </w:rPr>
        <w:t xml:space="preserve">，主要原因是：</w:t>
      </w:r>
      <w:r>
        <w:rPr>
          <w:rFonts w:hint="eastAsia"/>
          <w:highlight w:val="none"/>
        </w:rPr>
        <w:t xml:space="preserve">主要原因是年内有4人调出，4人退休</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12.90</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1.26%</w:t>
      </w:r>
      <w:r>
        <w:rPr>
          <w:rFonts w:hint="eastAsia"/>
        </w:rPr>
        <w:t xml:space="preserve">，较2023年度预算数</w:t>
      </w:r>
      <w:r>
        <w:rPr>
          <w:rFonts w:hint="eastAsia"/>
          <w:lang w:val="en-US" w:eastAsia="zh-CN"/>
        </w:rPr>
        <w:t xml:space="preserve">18.58</w:t>
      </w:r>
      <w:r>
        <w:rPr>
          <w:rFonts w:hint="eastAsia"/>
        </w:rPr>
        <w:t xml:space="preserve">万元，</w:t>
      </w:r>
      <w:r>
        <w:rPr>
          <w:rFonts w:hint="eastAsia"/>
          <w:lang w:val="en-US" w:eastAsia="zh-CN"/>
        </w:rPr>
        <w:t xml:space="preserve">减少5.68</w:t>
      </w:r>
      <w:r>
        <w:rPr>
          <w:rFonts w:hint="eastAsia"/>
        </w:rPr>
        <w:t xml:space="preserve">万元，</w:t>
      </w:r>
      <w:r>
        <w:rPr>
          <w:rFonts w:hint="eastAsia"/>
          <w:lang w:val="en-US" w:eastAsia="zh-CN"/>
        </w:rPr>
        <w:t xml:space="preserve">减少30.57%</w:t>
      </w:r>
      <w:r>
        <w:rPr>
          <w:rFonts w:hint="eastAsia"/>
        </w:rPr>
        <w:t xml:space="preserve">，主要原因是：</w:t>
      </w:r>
      <w:r>
        <w:rPr>
          <w:rFonts w:hint="eastAsia"/>
          <w:highlight w:val="none"/>
        </w:rPr>
        <w:t xml:space="preserve">主要原因是年内有4人调出，4人退休</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77.17</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7.54%</w:t>
      </w:r>
      <w:r>
        <w:rPr>
          <w:rFonts w:hint="eastAsia"/>
        </w:rPr>
        <w:t xml:space="preserve">，较2023年度预算数</w:t>
      </w:r>
      <w:r>
        <w:rPr>
          <w:rFonts w:hint="eastAsia"/>
          <w:lang w:val="en-US" w:eastAsia="zh-CN"/>
        </w:rPr>
        <w:t xml:space="preserve">47.87</w:t>
      </w:r>
      <w:r>
        <w:rPr>
          <w:rFonts w:hint="eastAsia"/>
        </w:rPr>
        <w:t xml:space="preserve">万元，</w:t>
      </w:r>
      <w:r>
        <w:rPr>
          <w:rFonts w:hint="eastAsia"/>
          <w:lang w:val="en-US" w:eastAsia="zh-CN"/>
        </w:rPr>
        <w:t xml:space="preserve">增长29.30</w:t>
      </w:r>
      <w:r>
        <w:rPr>
          <w:rFonts w:hint="eastAsia"/>
        </w:rPr>
        <w:t xml:space="preserve">万元，</w:t>
      </w:r>
      <w:r>
        <w:rPr>
          <w:rFonts w:hint="eastAsia"/>
          <w:lang w:val="en-US" w:eastAsia="zh-CN"/>
        </w:rPr>
        <w:t xml:space="preserve">增长61.21%</w:t>
      </w:r>
      <w:r>
        <w:rPr>
          <w:rFonts w:hint="eastAsia"/>
        </w:rPr>
        <w:t xml:space="preserve">，主要原因是：</w:t>
      </w:r>
      <w:r>
        <w:rPr>
          <w:rFonts w:hint="eastAsia"/>
          <w:highlight w:val="none"/>
        </w:rPr>
        <w:t xml:space="preserve">主要原因是年内有4人调出，4人退休</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6871"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3"/>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本单位无此项预算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本单位无此项预算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本单位无此项预算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本单位无此项预算</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4"/>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1.98</w:t>
      </w:r>
      <w:r>
        <w:rPr>
          <w:rFonts w:hint="eastAsia"/>
          <w:sz w:val="28"/>
          <w:szCs w:val="28"/>
        </w:rPr>
        <w:t xml:space="preserve">万元，</w:t>
      </w:r>
      <w:r>
        <w:rPr>
          <w:rFonts w:hint="eastAsia"/>
          <w:b w:val="0"/>
          <w:bCs w:val="0"/>
          <w:sz w:val="28"/>
          <w:szCs w:val="28"/>
          <w:lang w:eastAsia="zh-CN"/>
        </w:rPr>
        <w:t xml:space="preserve">减少1.98</w:t>
      </w:r>
      <w:r>
        <w:rPr>
          <w:rFonts w:hint="eastAsia"/>
          <w:sz w:val="28"/>
          <w:szCs w:val="28"/>
        </w:rPr>
        <w:t xml:space="preserve">万元，</w:t>
      </w:r>
      <w:r>
        <w:rPr>
          <w:rFonts w:hint="eastAsia"/>
          <w:b w:val="0"/>
          <w:bCs w:val="0"/>
          <w:sz w:val="28"/>
          <w:szCs w:val="28"/>
          <w:lang w:eastAsia="zh-CN"/>
        </w:rPr>
        <w:t xml:space="preserve">下降100.00%</w:t>
      </w:r>
      <w:r>
        <w:rPr>
          <w:rFonts w:hint="eastAsia"/>
          <w:sz w:val="28"/>
          <w:szCs w:val="28"/>
        </w:rPr>
        <w:t xml:space="preserve">，主要原因是</w:t>
      </w:r>
      <w:r>
        <w:rPr>
          <w:rFonts w:hint="eastAsia"/>
          <w:sz w:val="28"/>
          <w:szCs w:val="28"/>
          <w:highlight w:val="none"/>
          <w:lang w:val="en-US" w:eastAsia="zh-CN"/>
        </w:rPr>
        <w:t xml:space="preserve">本单位无此项预算</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 xml:space="preserve">九</w:t>
      </w:r>
      <w:bookmarkEnd w:id="15"/>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本单位无此项预算</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12.90</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18.58</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减少5.68</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下降30.57%</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主要原因是年内有4人调出，4人退休</w:t>
      </w:r>
      <w:r>
        <w:rPr>
          <w:rFonts w:cs="宋体" w:hint="eastAsia"/>
          <w:sz w:val="28"/>
          <w:szCs w:val="28"/>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主要用于：本单位无此项预算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13</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1030.16</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1.营养改善计划膳食补助资金，通过学生营养改善计划膳食补助经费拨付，改善学生的营养膳食状况，增强学生体质，促进学生健康成长。</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2.义务教育中央级公用经费，保障学校正常运转，持续改善学校基本办学条件，促进教育健康发展。</w:t>
      </w:r>
    </w:p>
    <w:p>
      <w:pPr>
        <w:pStyle w:val="Bodytext|1"/>
        <w:spacing w:line="624" w:lineRule="exact"/>
        <w:ind w:left="0" w:firstLine="0" w:leftChars="0" w:firstLineChars="0"/>
        <w:jc w:val="left"/>
        <w:rPr>
          <w:rFonts w:hint="default"/>
          <w:sz w:val="28"/>
          <w:szCs w:val="28"/>
          <w:highlight w:val="none"/>
          <w:lang w:val="en-US" w:eastAsia="zh-CN"/>
        </w:rPr>
        <w:sectPr>
          <w:headerReference w:type="default" r:id="rId14"/>
          <w:footerReference w:type="default" r:id="rId15"/>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环江毛南族自治县大安乡中心小学</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30"/>
      <w:bookmarkStart w:id="17" w:name="bookmark31"/>
      <w:bookmarkStart w:id="18" w:name="bookmark29"/>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cantSplit/>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环江毛南族自治县大安乡中心小学</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cantSplit/>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1030.16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12.90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1030.16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893.50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92.50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77.43</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1030.16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1076.33</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46.17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1076.33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1076.33</w:t>
            </w:r>
          </w:p>
        </w:tc>
      </w:tr>
    </w:tbl>
    <w:p>
      <w:pPr>
        <w:pStyle w:val="Tablecaption|1"/>
        <w:ind w:left="101"/>
        <w:jc w:val="left"/>
        <w:rPr>
          <w:rFonts w:eastAsia="宋体"/>
          <w:lang w:eastAsia="zh-CN"/>
        </w:rPr>
        <w:sectPr>
          <w:headerReference w:type="default" r:id="rId16"/>
          <w:footerReference w:type="default" r:id="rId17"/>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r>
        <w:t xml:space="preserve">注：报表金额单位转换时可能存在四舍五入尾数误差。</w:t>
      </w: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环江毛南族自治县大安乡中心小学</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90"/>
        </w:trPr>
        <w:tc>
          <w:tcPr>
            <w:tcW w:w="1636"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rPr>
              <w:t xml:space="preserve">201026</w:t>
            </w:r>
          </w:p>
        </w:tc>
        <w:tc>
          <w:tcPr>
            <w:tcW w:w="1279" w:type="dxa"/>
          </w:tcPr>
          <w:p>
            <w:pPr>
              <w:pStyle w:val="Other|1"/>
              <w:spacing w:line="326" w:lineRule="exact"/>
              <w:ind w:firstLine="0" w:firstLineChars="0"/>
              <w:jc w:val="lef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rPr>
              <w:t xml:space="preserve">环江毛南族自治县大安乡中心小学</w:t>
            </w:r>
          </w:p>
        </w:tc>
        <w:tc>
          <w:tcPr>
            <w:tcW w:w="990"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1076.33</w:t>
            </w:r>
          </w:p>
        </w:tc>
        <w:tc>
          <w:tcPr>
            <w:tcW w:w="926"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1030.16</w:t>
            </w:r>
          </w:p>
        </w:tc>
        <w:tc>
          <w:tcPr>
            <w:tcW w:w="909"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1030.16</w:t>
            </w:r>
          </w:p>
        </w:tc>
        <w:tc>
          <w:tcPr>
            <w:tcW w:w="968"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19"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46.17</w:t>
            </w:r>
          </w:p>
        </w:tc>
        <w:tc>
          <w:tcPr>
            <w:tcW w:w="1011"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46.17</w:t>
            </w:r>
          </w:p>
        </w:tc>
        <w:tc>
          <w:tcPr>
            <w:tcW w:w="859" w:type="dxa"/>
            <w:vAlign w:val="center"/>
          </w:tcPr>
          <w:p>
            <w:pPr>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1094" w:type="dxa"/>
            <w:gridSpan w:val="2"/>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37" w:type="dxa"/>
            <w:vAlign w:val="center"/>
          </w:tcPr>
          <w:p>
            <w:pPr>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89"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5557" w:type="dxa"/>
            <w:gridSpan w:val="16"/>
            <w:tcBorders>
              <w:left w:val="nil"/>
              <w:bottom w:val="nil"/>
              <w:right w:val="nil"/>
            </w:tcBorders>
          </w:tcPr>
          <w:p>
            <w:pPr>
              <w:pStyle w:val="Tablecaption|1"/>
              <w:jc w:val="left"/>
              <w:rPr>
                <w:rFonts w:eastAsia="宋体" w:hint="eastAsia"/>
                <w:sz w:val="17"/>
                <w:szCs w:val="17"/>
                <w:vertAlign w:val="baseline"/>
                <w:lang w:val="en-US" w:eastAsia="zh-CN"/>
              </w:rPr>
            </w:pPr>
            <w:r>
              <w:rPr>
                <w:sz w:val="17"/>
                <w:szCs w:val="17"/>
              </w:rPr>
              <w:t xml:space="preserve">注：本报表金额单位转换时可能存在四舍五入尾数误差。</w:t>
            </w:r>
          </w:p>
        </w:tc>
      </w:tr>
    </w:tbl>
    <w:p>
      <w:pPr>
        <w:tabs>
          <w:tab w:val="left" w:pos="859"/>
        </w:tabs>
        <w:jc w:val="both"/>
        <w:rPr>
          <w:rFonts w:eastAsia="宋体" w:hint="eastAsia"/>
          <w:lang w:val="en-US" w:eastAsia="zh-CN"/>
        </w:rPr>
      </w:pPr>
    </w:p>
    <w:p>
      <w:pPr>
        <w:spacing w:line="1" w:lineRule="exact"/>
        <w:jc w:val="left"/>
        <w:rPr>
          <w:lang w:eastAsia="zh-CN"/>
        </w:rPr>
        <w:sectPr>
          <w:headerReference w:type="default" r:id="rId18"/>
          <w:footerReference w:type="default" r:id="rId19"/>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19" w:name="bookmark43"/>
      <w:bookmarkStart w:id="20" w:name="bookmark41"/>
      <w:bookmarkStart w:id="21" w:name="bookmark42"/>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cantSplit/>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环江毛南族自治县大安乡中心小学</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1076.33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1023.79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52.54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201026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1076.33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1023.79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52.54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12.90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12.90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2050202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小学教育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892.07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840.96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51.11</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2050701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特殊学校教育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1.43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1.43</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92.50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92.50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77.43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77.43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bl>
    <w:p>
      <w:pPr>
        <w:pStyle w:val="Tablecaption|1"/>
        <w:ind w:left="672"/>
        <w:jc w:val="left"/>
      </w:pPr>
      <w:r>
        <w:rPr>
          <w:b w:val="0"/>
          <w:bCs w:val="0"/>
        </w:rP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5"/>
      <w:bookmarkStart w:id="24" w:name="bookmark44"/>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cantSplit/>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环江毛南族自治县大安乡中心小学</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1030.16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12.90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1030.16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893.50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92.50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77.43</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1030.16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1076.33</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46.17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1076.33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1076.33</w:t>
            </w:r>
          </w:p>
        </w:tc>
      </w:tr>
      <w:tr>
        <w:tblPrEx>
          <w:tblW w:w="0" w:type="auto"/>
          <w:tblInd w:w="0" w:type="dxa"/>
          <w:tblLayout w:type="fixed"/>
          <w:tblCellMar>
            <w:top w:w="0" w:type="dxa"/>
            <w:left w:w="10" w:type="dxa"/>
            <w:bottom w:w="0" w:type="dxa"/>
            <w:right w:w="10" w:type="dxa"/>
          </w:tblCellMar>
        </w:tblPrEx>
        <w:trPr>
          <w:cantSplit/>
          <w:trHeight w:hRule="exact" w:val="352"/>
        </w:trPr>
        <w:tc>
          <w:tcPr>
            <w:tcW w:w="15342" w:type="dxa"/>
            <w:gridSpan w:val="6"/>
            <w:tcBorders>
              <w:top w:val="single" w:sz="4" w:space="0" w:color="auto"/>
            </w:tcBorders>
            <w:shd w:val="clear" w:color="auto" w:fill="FFFFFF"/>
          </w:tcPr>
          <w:p>
            <w:pPr>
              <w:jc w:val="left"/>
              <w:rPr>
                <w:rFonts w:ascii="宋体" w:eastAsia="宋体" w:hAnsi="宋体" w:cs="宋体" w:hint="eastAsia"/>
                <w:sz w:val="17"/>
                <w:szCs w:val="17"/>
                <w:lang w:eastAsia="zh-CN"/>
              </w:rPr>
            </w:pPr>
            <w:r>
              <w:rPr>
                <w:rFonts w:ascii="宋体" w:eastAsia="宋体" w:hAnsi="宋体" w:cs="宋体" w:hint="eastAsia"/>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cantSplit/>
          <w:trHeight w:hRule="exact" w:val="274"/>
        </w:trPr>
        <w:tc>
          <w:tcPr>
            <w:tcW w:w="15342" w:type="dxa"/>
            <w:gridSpan w:val="6"/>
            <w:shd w:val="clear" w:color="auto" w:fill="FFFFFF"/>
            <w:vAlign w:val="bottom"/>
          </w:tcPr>
          <w:p>
            <w:pPr>
              <w:jc w:val="left"/>
              <w:rPr>
                <w:rFonts w:ascii="宋体" w:eastAsia="宋体" w:hAnsi="宋体" w:cs="宋体" w:hint="eastAsia"/>
                <w:sz w:val="17"/>
                <w:szCs w:val="17"/>
                <w:lang w:eastAsia="zh-CN"/>
              </w:rPr>
            </w:pPr>
            <w:r>
              <w:rPr>
                <w:rFonts w:ascii="宋体" w:eastAsia="宋体" w:hAnsi="宋体" w:cs="宋体" w:hint="eastAsia"/>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环江毛南族自治县大安乡中心小学</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201026</w:t>
            </w: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1076.33</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1023.79</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1010.89</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12.90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52.54</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2012999</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其他群众团体事务支出</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12.90</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12.90</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12.90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2050202</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小学教育</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892.07</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840.96</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840.96</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51.11</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2050701</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特殊学校教育</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1.43</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1.43</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2080505</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机关事业单位基本养老保险缴费支出</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92.50</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92.50</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92.50</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2210201</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住房公积金</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77.43</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77.43</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77.43</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10"/>
            <w:tcBorders>
              <w:left w:val="nil"/>
              <w:bottom w:val="nil"/>
              <w:right w:val="nil"/>
            </w:tcBorders>
          </w:tcPr>
          <w:p>
            <w:pPr>
              <w:jc w:val="left"/>
              <w:rPr>
                <w:rFonts w:hint="eastAsia"/>
                <w:sz w:val="17"/>
                <w:szCs w:val="17"/>
                <w:vertAlign w:val="baseline"/>
                <w:lang w:eastAsia="zh-CN"/>
              </w:rPr>
            </w:pPr>
            <w:r>
              <w:rPr>
                <w:rFonts w:ascii="宋体" w:eastAsia="宋体" w:hAnsi="宋体" w:cs="宋体" w:hint="eastAsia"/>
                <w:sz w:val="17"/>
                <w:szCs w:val="17"/>
              </w:rPr>
              <w:t xml:space="preserve">注：本报表金额单位转换时可能存在四舍五入尾数误差。</w:t>
            </w:r>
          </w:p>
        </w:tc>
      </w:tr>
    </w:tbl>
    <w:p>
      <w:pPr>
        <w:rPr>
          <w:lang w:eastAsia="zh-CN"/>
        </w:rPr>
      </w:pPr>
      <w:r>
        <w:br w:type="page"/>
      </w:r>
    </w:p>
    <w:p>
      <w:pPr>
        <w:jc w:val="left"/>
        <w:rPr>
          <w:lang w:eastAsia="zh-CN"/>
        </w:rPr>
      </w:pPr>
    </w:p>
    <w:p>
      <w:pPr>
        <w:pStyle w:val="Heading#2|1"/>
        <w:keepNext/>
        <w:keepLines/>
        <w:spacing w:after="240"/>
        <w:jc w:val="center"/>
      </w:pPr>
      <w:bookmarkStart w:id="25" w:name="bookmark57"/>
      <w:bookmarkStart w:id="26" w:name="bookmark56"/>
      <w:bookmarkStart w:id="27" w:name="bookmark58"/>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blHeader/>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环江毛南族自治县大安乡中心小学</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blHeader/>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blHeader/>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 </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合计</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1023.78</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1010.88</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12.90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工资福利支出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933.71</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933.71</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基本工资</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289.54</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289.54</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津贴补贴</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47.25</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47.25</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奖金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157.36</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157.36</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30107</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绩效工资</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147.26</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147.26</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93.68</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93.68</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30110</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37.47</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37.47</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4.20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4.20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住房公积金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90.38</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90.38</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30199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66.56</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66.56</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12.90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12.90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办公费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30205</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30206</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电费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30207</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邮电费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物业管理费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30211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差旅费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30213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维修（护）费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30228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工会经费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12.90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12.90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77.17</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77.17</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退休费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63.32</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63.32</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30305</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生活补助</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13.85</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13.85</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30308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助学金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30399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其他对个人和家庭的补助</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0.01</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0.01</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310</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资本性支出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31002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办公设备购置</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31003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专用设备购置</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blHeader/>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rFonts w:ascii="宋体" w:eastAsia="宋体" w:hAnsi="宋体" w:cs="宋体" w:hint="eastAsia"/>
                <w:sz w:val="17"/>
                <w:szCs w:val="17"/>
              </w:rPr>
              <w:t xml:space="preserve">注：本报表金额单位转换时可能存在四舍五入尾数误差。</w:t>
            </w:r>
          </w:p>
        </w:tc>
      </w:tr>
    </w:tbl>
    <w:p>
      <w:pPr>
        <w:rPr>
          <w:lang w:eastAsia="zh-CN"/>
        </w:rPr>
      </w:pPr>
      <w:r>
        <w:br w:type="page"/>
      </w:r>
    </w:p>
    <w:p>
      <w:pPr>
        <w:jc w:val="left"/>
        <w:rPr>
          <w:lang w:eastAsia="zh-CN"/>
        </w:rPr>
      </w:pPr>
    </w:p>
    <w:p>
      <w:pPr>
        <w:pStyle w:val="Heading#2|1"/>
        <w:keepNext/>
        <w:keepLines/>
        <w:spacing w:after="240"/>
        <w:jc w:val="center"/>
        <w:rPr>
          <w:rFonts w:hint="default"/>
          <w:sz w:val="28"/>
          <w:szCs w:val="28"/>
          <w:lang w:val="en-US" w:eastAsia="zh-CN"/>
        </w:rPr>
      </w:pPr>
      <w:bookmarkStart w:id="28" w:name="bookmark67"/>
      <w:bookmarkStart w:id="29" w:name="bookmark65"/>
      <w:bookmarkStart w:id="30"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环江毛南族自治县大安乡中心小学</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val="restart"/>
          </w:tcPr>
          <w:p>
            <w:pPr>
              <w:pStyle w:val="Tablecaption|1"/>
              <w:bidi w:val="0"/>
              <w:jc w:val="center"/>
              <w:rPr>
                <w:rFonts w:hint="eastAsia"/>
                <w:vertAlign w:val="baseline"/>
                <w:lang w:val="en-US" w:eastAsia="zh-CN"/>
              </w:rPr>
            </w:pPr>
            <w:r>
              <w:rPr>
                <w:rFonts w:hint="eastAsia"/>
                <w:sz w:val="17"/>
                <w:szCs w:val="17"/>
                <w:lang w:val="en-US" w:eastAsia="zh-CN"/>
              </w:rPr>
              <w:t xml:space="preserve">部</w:t>
            </w: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Align w:val="center"/>
          </w:tcPr>
          <w:p>
            <w:pPr>
              <w:pStyle w:val="Other|1"/>
              <w:spacing w:line="240" w:lineRule="auto"/>
              <w:ind w:firstLine="0" w:firstLineChars="0"/>
              <w:jc w:val="lef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201026</w:t>
            </w:r>
          </w:p>
        </w:tc>
        <w:tc>
          <w:tcPr>
            <w:tcW w:w="1918" w:type="dxa"/>
            <w:vAlign w:val="center"/>
          </w:tcPr>
          <w:p>
            <w:pPr>
              <w:pStyle w:val="Other|1"/>
              <w:spacing w:line="240" w:lineRule="auto"/>
              <w:ind w:firstLine="0" w:firstLineChars="0"/>
              <w:jc w:val="left"/>
              <w:rPr>
                <w:rFonts w:ascii="宋体" w:eastAsia="宋体" w:hAnsi="宋体" w:cs="宋体" w:hint="eastAsia"/>
                <w:b w:val="0"/>
                <w:bCs w:val="0"/>
                <w:vertAlign w:val="baseline"/>
                <w:lang w:val="en-US" w:eastAsia="zh-CN"/>
              </w:rPr>
            </w:pPr>
          </w:p>
        </w:tc>
        <w:tc>
          <w:tcPr>
            <w:tcW w:w="1884"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95"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88"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90"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89"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7"/>
                <w:szCs w:val="17"/>
              </w:rPr>
              <w:t xml:space="preserve">注：本报表金额单位转换时可能存在四舍五入尾数误差</w:t>
            </w:r>
          </w:p>
        </w:tc>
      </w:tr>
    </w:tbl>
    <w:p>
      <w:pPr/>
      <w:r>
        <w:br w:type="page"/>
      </w: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12"/>
        <w:gridCol w:w="2149"/>
        <w:gridCol w:w="2150"/>
        <w:gridCol w:w="2210"/>
        <w:gridCol w:w="2149"/>
        <w:gridCol w:w="2158"/>
        <w:gridCol w:w="2151"/>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auto" w:val="0"/>
        </w:trPr>
        <w:tc>
          <w:tcPr>
            <w:tcW w:w="13328"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环江毛南族自治县大安乡中心小学</w:t>
            </w:r>
            <w:r>
              <w:tab/>
            </w:r>
            <w:r>
              <w:t xml:space="preserve">单位：万元</w:t>
            </w:r>
          </w:p>
        </w:tc>
        <w:tc>
          <w:tcPr>
            <w:tcW w:w="2151"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auto" w:val="0"/>
        </w:trPr>
        <w:tc>
          <w:tcPr>
            <w:tcW w:w="2512" w:type="dxa"/>
          </w:tcPr>
          <w:p>
            <w:pPr>
              <w:pStyle w:val="Tablecaption|1"/>
              <w:bidi w:val="0"/>
              <w:jc w:val="center"/>
              <w:rPr>
                <w:vertAlign w:val="baseline"/>
              </w:rPr>
            </w:pPr>
            <w:r>
              <w:rPr>
                <w:sz w:val="17"/>
                <w:szCs w:val="17"/>
              </w:rPr>
              <w:t xml:space="preserve">科目编码</w:t>
            </w:r>
          </w:p>
        </w:tc>
        <w:tc>
          <w:tcPr>
            <w:tcW w:w="2149" w:type="dxa"/>
          </w:tcPr>
          <w:p>
            <w:pPr>
              <w:pStyle w:val="Tablecaption|1"/>
              <w:bidi w:val="0"/>
              <w:jc w:val="center"/>
              <w:rPr>
                <w:vertAlign w:val="baseline"/>
              </w:rPr>
            </w:pPr>
            <w:r>
              <w:rPr>
                <w:sz w:val="17"/>
                <w:szCs w:val="17"/>
              </w:rPr>
              <w:t xml:space="preserve">部门（单位）代码</w:t>
            </w:r>
          </w:p>
        </w:tc>
        <w:tc>
          <w:tcPr>
            <w:tcW w:w="2150" w:type="dxa"/>
          </w:tcPr>
          <w:p>
            <w:pPr>
              <w:pStyle w:val="Tablecaption|1"/>
              <w:bidi w:val="0"/>
              <w:jc w:val="center"/>
              <w:rPr>
                <w:vertAlign w:val="baseline"/>
              </w:rPr>
            </w:pPr>
            <w:r>
              <w:rPr>
                <w:sz w:val="17"/>
                <w:szCs w:val="17"/>
              </w:rPr>
              <w:t xml:space="preserve">部门（单位）名称（功能分类科目名称）</w:t>
            </w:r>
          </w:p>
        </w:tc>
        <w:tc>
          <w:tcPr>
            <w:tcW w:w="2210" w:type="dxa"/>
            <w:vAlign w:val="center"/>
          </w:tcPr>
          <w:p>
            <w:pPr>
              <w:pStyle w:val="Other|1"/>
              <w:spacing w:line="240" w:lineRule="auto"/>
              <w:ind w:firstLine="0" w:firstLineChars="0"/>
              <w:jc w:val="center"/>
              <w:rPr>
                <w:vertAlign w:val="baseline"/>
              </w:rPr>
            </w:pPr>
            <w:r>
              <w:rPr>
                <w:sz w:val="17"/>
                <w:szCs w:val="17"/>
              </w:rPr>
              <w:t xml:space="preserve">合计</w:t>
            </w:r>
          </w:p>
        </w:tc>
        <w:tc>
          <w:tcPr>
            <w:tcW w:w="2149"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58"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51"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auto" w:val="0"/>
        </w:trPr>
        <w:tc>
          <w:tcPr>
            <w:tcW w:w="2512"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rPr>
            </w:pPr>
          </w:p>
        </w:tc>
        <w:tc>
          <w:tcPr>
            <w:tcW w:w="2149"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rPr>
            </w:pPr>
          </w:p>
        </w:tc>
        <w:tc>
          <w:tcPr>
            <w:tcW w:w="2150"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rPr>
            </w:pPr>
          </w:p>
        </w:tc>
        <w:tc>
          <w:tcPr>
            <w:tcW w:w="2210" w:type="dxa"/>
            <w:vAlign w:val="center"/>
          </w:tcPr>
          <w:p>
            <w:pPr>
              <w:pStyle w:val="Other|1"/>
              <w:spacing w:line="240" w:lineRule="auto"/>
              <w:ind w:left="1060" w:firstLine="0" w:leftChars="0" w:firstLineChars="0"/>
              <w:jc w:val="right"/>
              <w:rPr>
                <w:rFonts w:ascii="宋体" w:eastAsia="宋体" w:hAnsi="宋体" w:cs="宋体" w:hint="eastAsia"/>
                <w:b w:val="0"/>
                <w:bCs w:val="0"/>
                <w:sz w:val="17"/>
                <w:szCs w:val="17"/>
                <w:vertAlign w:val="baseline"/>
              </w:rPr>
            </w:pPr>
            <w:r>
              <w:rPr>
                <w:rFonts w:ascii="宋体" w:eastAsia="宋体" w:hAnsi="宋体" w:cs="宋体" w:hint="eastAsia"/>
                <w:b w:val="0"/>
                <w:bCs w:val="0"/>
                <w:sz w:val="17"/>
                <w:szCs w:val="17"/>
                <w:lang w:val="en-US" w:eastAsia="zh-CN" w:bidi="en-US"/>
              </w:rPr>
              <w:t xml:space="preserve">0.00</w:t>
            </w:r>
          </w:p>
        </w:tc>
        <w:tc>
          <w:tcPr>
            <w:tcW w:w="2149"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rPr>
            </w:pPr>
            <w:r>
              <w:rPr>
                <w:rFonts w:ascii="宋体" w:eastAsia="宋体" w:hAnsi="宋体" w:cs="宋体" w:hint="eastAsia"/>
                <w:b w:val="0"/>
                <w:bCs w:val="0"/>
                <w:sz w:val="17"/>
                <w:szCs w:val="17"/>
                <w:lang w:val="en-US" w:eastAsia="zh-CN"/>
              </w:rPr>
              <w:t xml:space="preserve">0.00</w:t>
            </w:r>
          </w:p>
        </w:tc>
        <w:tc>
          <w:tcPr>
            <w:tcW w:w="2158"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rPr>
            </w:pPr>
            <w:r>
              <w:rPr>
                <w:rFonts w:ascii="宋体" w:eastAsia="宋体" w:hAnsi="宋体" w:cs="宋体" w:hint="eastAsia"/>
                <w:b w:val="0"/>
                <w:bCs w:val="0"/>
                <w:sz w:val="17"/>
                <w:szCs w:val="17"/>
                <w:lang w:val="en-US" w:eastAsia="zh-CN" w:bidi="en-US"/>
              </w:rPr>
              <w:t xml:space="preserve">0.00</w:t>
            </w:r>
          </w:p>
        </w:tc>
        <w:tc>
          <w:tcPr>
            <w:tcW w:w="2151"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rPr>
            </w:pPr>
            <w:r>
              <w:rPr>
                <w:rFonts w:ascii="宋体" w:eastAsia="宋体" w:hAnsi="宋体" w:cs="宋体"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auto" w:val="0"/>
        </w:trPr>
        <w:tc>
          <w:tcPr>
            <w:tcW w:w="15479" w:type="dxa"/>
            <w:gridSpan w:val="7"/>
            <w:tcBorders>
              <w:left w:val="nil"/>
              <w:bottom w:val="nil"/>
              <w:right w:val="nil"/>
            </w:tcBorders>
          </w:tcPr>
          <w:p>
            <w:pPr>
              <w:pStyle w:val="Tablecaption|1"/>
              <w:bidi w:val="0"/>
              <w:jc w:val="both"/>
              <w:rPr>
                <w:vertAlign w:val="baseline"/>
              </w:rPr>
            </w:pPr>
            <w:r>
              <w:rPr>
                <w:b w:val="0"/>
                <w:bCs w:val="0"/>
              </w:rPr>
              <w:t xml:space="preserve">注：本报表金额单位转换时可能存在四舍五入尾数误差</w:t>
            </w:r>
          </w:p>
        </w:tc>
      </w:tr>
    </w:tbl>
    <w:p>
      <w:pPr/>
      <w:r>
        <w:br w:type="page"/>
      </w:r>
    </w:p>
    <w:p>
      <w:pPr>
        <w:pStyle w:val="Tablecaption|1"/>
        <w:bidi w:val="0"/>
        <w:jc w:val="center"/>
        <w:rPr>
          <w:sz w:val="28"/>
          <w:szCs w:val="28"/>
        </w:rPr>
      </w:pPr>
      <w:r>
        <w:rPr>
          <w:sz w:val="28"/>
          <w:szCs w:val="28"/>
        </w:rPr>
        <w:t xml:space="preserve">国有资本经营预算支出情况表</w:t>
      </w:r>
    </w:p>
    <w:tbl>
      <w:tblPr>
        <w:tblStyle w:val="TableGrid"/>
        <w:tblpPr w:leftFromText="180" w:rightFromText="180" w:vertAnchor="text" w:horzAnchor="page" w:tblpX="707" w:tblpY="364"/>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19"/>
        <w:gridCol w:w="2155"/>
        <w:gridCol w:w="2156"/>
        <w:gridCol w:w="2259"/>
        <w:gridCol w:w="2155"/>
        <w:gridCol w:w="2155"/>
        <w:gridCol w:w="2158"/>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3394" w:type="dxa"/>
            <w:gridSpan w:val="6"/>
            <w:tcBorders>
              <w:top w:val="nil"/>
              <w:left w:val="nil"/>
              <w:right w:val="nil"/>
            </w:tcBorders>
          </w:tcPr>
          <w:p>
            <w:pPr>
              <w:pStyle w:val="Tablecaption|1"/>
              <w:tabs>
                <w:tab w:val="left" w:pos="14213"/>
              </w:tabs>
              <w:ind w:left="101"/>
              <w:jc w:val="left"/>
              <w:rPr>
                <w:rFonts w:ascii="宋体" w:eastAsia="宋体" w:hAnsi="宋体" w:cs="宋体" w:hint="eastAsia"/>
              </w:rPr>
            </w:pPr>
            <w:r>
              <w:rPr>
                <w:rFonts w:ascii="宋体" w:eastAsia="宋体" w:hAnsi="宋体" w:cs="宋体" w:hint="eastAsia"/>
              </w:rPr>
              <w:t xml:space="preserve">单位名称：</w:t>
            </w:r>
            <w:r>
              <w:rPr>
                <w:rFonts w:ascii="宋体" w:eastAsia="宋体" w:hAnsi="宋体" w:cs="宋体" w:hint="eastAsia"/>
                <w:lang w:eastAsia="zh-CN"/>
              </w:rPr>
              <w:t xml:space="preserve">环江毛南族自治县大安乡中心小学</w:t>
            </w:r>
            <w:r>
              <w:rPr>
                <w:rFonts w:ascii="宋体" w:eastAsia="宋体" w:hAnsi="宋体" w:cs="宋体" w:hint="eastAsia"/>
              </w:rPr>
              <w:tab/>
            </w:r>
            <w:r>
              <w:rPr>
                <w:rFonts w:ascii="宋体" w:eastAsia="宋体" w:hAnsi="宋体" w:cs="宋体" w:hint="eastAsia"/>
              </w:rPr>
              <w:t xml:space="preserve">单位：万元</w:t>
            </w:r>
          </w:p>
        </w:tc>
        <w:tc>
          <w:tcPr>
            <w:tcW w:w="2163" w:type="dxa"/>
            <w:tcBorders>
              <w:top w:val="nil"/>
              <w:left w:val="nil"/>
              <w:right w:val="nil"/>
            </w:tcBorders>
          </w:tcPr>
          <w:p>
            <w:pPr>
              <w:pStyle w:val="Tablecaption|1"/>
              <w:tabs>
                <w:tab w:val="left" w:pos="14213"/>
              </w:tabs>
              <w:ind w:left="101"/>
              <w:jc w:val="left"/>
              <w:rPr>
                <w:rFonts w:ascii="宋体" w:eastAsia="宋体" w:hAnsi="宋体" w:cs="宋体" w:hint="eastAsia"/>
              </w:rPr>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vMerge w:val="restart"/>
          </w:tcPr>
          <w:p>
            <w:pPr>
              <w:pStyle w:val="Tablecaption|1"/>
              <w:bidi w:val="0"/>
              <w:jc w:val="center"/>
              <w:rPr>
                <w:rFonts w:ascii="宋体" w:eastAsia="宋体" w:hAnsi="宋体" w:cs="宋体" w:hint="eastAsia"/>
                <w:vertAlign w:val="baseline"/>
              </w:rPr>
            </w:pPr>
            <w:r>
              <w:rPr>
                <w:rFonts w:ascii="宋体" w:eastAsia="宋体" w:hAnsi="宋体" w:cs="宋体" w:hint="eastAsia"/>
                <w:sz w:val="17"/>
                <w:szCs w:val="17"/>
              </w:rPr>
              <w:t xml:space="preserve">科目编码</w:t>
            </w:r>
          </w:p>
        </w:tc>
        <w:tc>
          <w:tcPr>
            <w:tcW w:w="2161" w:type="dxa"/>
            <w:vMerge w:val="restart"/>
          </w:tcPr>
          <w:p>
            <w:pPr>
              <w:pStyle w:val="Tablecaption|1"/>
              <w:bidi w:val="0"/>
              <w:jc w:val="center"/>
              <w:rPr>
                <w:rFonts w:ascii="宋体" w:eastAsia="宋体" w:hAnsi="宋体" w:cs="宋体" w:hint="eastAsia"/>
                <w:vertAlign w:val="baseline"/>
              </w:rPr>
            </w:pPr>
            <w:r>
              <w:rPr>
                <w:rFonts w:ascii="宋体" w:eastAsia="宋体" w:hAnsi="宋体" w:cs="宋体" w:hint="eastAsia"/>
                <w:sz w:val="17"/>
                <w:szCs w:val="17"/>
              </w:rPr>
              <w:t xml:space="preserve">部门（单位）代码</w:t>
            </w:r>
          </w:p>
        </w:tc>
        <w:tc>
          <w:tcPr>
            <w:tcW w:w="2162" w:type="dxa"/>
            <w:vMerge w:val="restart"/>
          </w:tcPr>
          <w:p>
            <w:pPr>
              <w:pStyle w:val="Tablecaption|1"/>
              <w:bidi w:val="0"/>
              <w:jc w:val="center"/>
              <w:rPr>
                <w:rFonts w:ascii="宋体" w:eastAsia="宋体" w:hAnsi="宋体" w:cs="宋体" w:hint="eastAsia"/>
                <w:vertAlign w:val="baseline"/>
              </w:rPr>
            </w:pPr>
            <w:r>
              <w:rPr>
                <w:rFonts w:ascii="宋体" w:eastAsia="宋体" w:hAnsi="宋体" w:cs="宋体" w:hint="eastAsia"/>
                <w:sz w:val="17"/>
                <w:szCs w:val="17"/>
              </w:rPr>
              <w:t xml:space="preserve">部门（单位）名称（功能分类科目名称）</w:t>
            </w:r>
          </w:p>
        </w:tc>
        <w:tc>
          <w:tcPr>
            <w:tcW w:w="2222"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sz w:val="17"/>
                <w:szCs w:val="17"/>
              </w:rPr>
              <w:t xml:space="preserve">合计</w:t>
            </w:r>
          </w:p>
        </w:tc>
        <w:tc>
          <w:tcPr>
            <w:tcW w:w="2161"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sz w:val="17"/>
                <w:szCs w:val="17"/>
              </w:rPr>
              <w:t xml:space="preserve">基本支出</w:t>
            </w:r>
          </w:p>
        </w:tc>
        <w:tc>
          <w:tcPr>
            <w:tcW w:w="2161"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sz w:val="17"/>
                <w:szCs w:val="17"/>
              </w:rPr>
              <w:t xml:space="preserve">项目支出</w:t>
            </w:r>
          </w:p>
        </w:tc>
        <w:tc>
          <w:tcPr>
            <w:tcW w:w="2163"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vMerge/>
          </w:tcPr>
          <w:p>
            <w:pPr>
              <w:pStyle w:val="Tablecaption|1"/>
              <w:bidi w:val="0"/>
              <w:jc w:val="both"/>
              <w:rPr>
                <w:rFonts w:ascii="宋体" w:eastAsia="宋体" w:hAnsi="宋体" w:cs="宋体" w:hint="eastAsia"/>
                <w:vertAlign w:val="baseline"/>
              </w:rPr>
            </w:pPr>
          </w:p>
        </w:tc>
        <w:tc>
          <w:tcPr>
            <w:tcW w:w="2161" w:type="dxa"/>
            <w:vMerge/>
          </w:tcPr>
          <w:p>
            <w:pPr>
              <w:pStyle w:val="Tablecaption|1"/>
              <w:bidi w:val="0"/>
              <w:jc w:val="both"/>
              <w:rPr>
                <w:rFonts w:ascii="宋体" w:eastAsia="宋体" w:hAnsi="宋体" w:cs="宋体" w:hint="eastAsia"/>
                <w:vertAlign w:val="baseline"/>
              </w:rPr>
            </w:pPr>
          </w:p>
        </w:tc>
        <w:tc>
          <w:tcPr>
            <w:tcW w:w="2162" w:type="dxa"/>
            <w:vMerge/>
          </w:tcPr>
          <w:p>
            <w:pPr>
              <w:pStyle w:val="Tablecaption|1"/>
              <w:bidi w:val="0"/>
              <w:jc w:val="both"/>
              <w:rPr>
                <w:rFonts w:ascii="宋体" w:eastAsia="宋体" w:hAnsi="宋体" w:cs="宋体" w:hint="eastAsia"/>
                <w:vertAlign w:val="baseline"/>
              </w:rPr>
            </w:pPr>
          </w:p>
        </w:tc>
        <w:tc>
          <w:tcPr>
            <w:tcW w:w="2222"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b/>
                <w:bCs/>
                <w:sz w:val="17"/>
                <w:szCs w:val="17"/>
              </w:rPr>
              <w:t xml:space="preserve">1</w:t>
            </w:r>
          </w:p>
        </w:tc>
        <w:tc>
          <w:tcPr>
            <w:tcW w:w="2161"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b/>
                <w:bCs/>
                <w:sz w:val="17"/>
                <w:szCs w:val="17"/>
              </w:rPr>
              <w:t xml:space="preserve">2</w:t>
            </w:r>
          </w:p>
        </w:tc>
        <w:tc>
          <w:tcPr>
            <w:tcW w:w="2161"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b/>
                <w:bCs/>
                <w:sz w:val="17"/>
                <w:szCs w:val="17"/>
              </w:rPr>
              <w:t xml:space="preserve">3</w:t>
            </w:r>
          </w:p>
        </w:tc>
        <w:tc>
          <w:tcPr>
            <w:tcW w:w="2163"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tcPr>
          <w:p>
            <w:pPr>
              <w:jc w:val="left"/>
              <w:rPr>
                <w:rFonts w:ascii="宋体" w:eastAsia="宋体" w:hAnsi="宋体" w:cs="宋体" w:hint="eastAsia"/>
                <w:vertAlign w:val="baseline"/>
              </w:rPr>
            </w:pPr>
          </w:p>
        </w:tc>
        <w:tc>
          <w:tcPr>
            <w:tcW w:w="2161" w:type="dxa"/>
          </w:tcPr>
          <w:p>
            <w:pPr>
              <w:jc w:val="left"/>
              <w:rPr>
                <w:rFonts w:ascii="宋体" w:eastAsia="宋体" w:hAnsi="宋体" w:cs="宋体" w:hint="eastAsia"/>
                <w:vertAlign w:val="baseline"/>
              </w:rPr>
            </w:pPr>
          </w:p>
        </w:tc>
        <w:tc>
          <w:tcPr>
            <w:tcW w:w="2162" w:type="dxa"/>
            <w:vAlign w:val="center"/>
          </w:tcPr>
          <w:p>
            <w:pPr>
              <w:pStyle w:val="Other|1"/>
              <w:spacing w:line="240" w:lineRule="auto"/>
              <w:ind w:firstLine="0" w:firstLineChars="0"/>
              <w:jc w:val="left"/>
              <w:rPr>
                <w:rFonts w:ascii="宋体" w:eastAsia="宋体" w:hAnsi="宋体" w:cs="宋体" w:hint="eastAsia"/>
                <w:vertAlign w:val="baseline"/>
              </w:rPr>
            </w:pPr>
            <w:r>
              <w:rPr>
                <w:rFonts w:ascii="宋体" w:eastAsia="宋体" w:hAnsi="宋体" w:cs="宋体" w:hint="eastAsia"/>
                <w:sz w:val="17"/>
                <w:szCs w:val="17"/>
              </w:rPr>
              <w:t xml:space="preserve">合计</w:t>
            </w:r>
          </w:p>
        </w:tc>
        <w:tc>
          <w:tcPr>
            <w:tcW w:w="2222" w:type="dxa"/>
            <w:vAlign w:val="center"/>
          </w:tcPr>
          <w:p>
            <w:pPr>
              <w:pStyle w:val="Other|1"/>
              <w:spacing w:line="240" w:lineRule="auto"/>
              <w:ind w:left="1700" w:firstLine="0" w:leftChars="0" w:firstLineChars="0"/>
              <w:jc w:val="right"/>
              <w:rPr>
                <w:rFonts w:ascii="宋体" w:eastAsia="宋体" w:hAnsi="宋体" w:cs="宋体" w:hint="eastAsia"/>
                <w:vertAlign w:val="baseline"/>
              </w:rPr>
            </w:pPr>
            <w:r>
              <w:rPr>
                <w:rFonts w:ascii="宋体" w:eastAsia="宋体" w:hAnsi="宋体" w:cs="宋体" w:hint="eastAsia"/>
                <w:b/>
                <w:bCs/>
                <w:sz w:val="17"/>
                <w:szCs w:val="17"/>
                <w:lang w:val="en-US" w:eastAsia="en-US" w:bidi="en-US"/>
              </w:rPr>
              <w:t xml:space="preserve">0.</w:t>
            </w:r>
            <w:r>
              <w:rPr>
                <w:rFonts w:ascii="宋体" w:eastAsia="宋体" w:hAnsi="宋体" w:cs="宋体" w:hint="eastAsia"/>
                <w:b/>
                <w:bCs/>
                <w:sz w:val="17"/>
                <w:szCs w:val="17"/>
              </w:rPr>
              <w:t xml:space="preserve">00</w:t>
            </w:r>
          </w:p>
        </w:tc>
        <w:tc>
          <w:tcPr>
            <w:tcW w:w="2161" w:type="dxa"/>
            <w:vAlign w:val="center"/>
          </w:tcPr>
          <w:p>
            <w:pPr>
              <w:pStyle w:val="Other|1"/>
              <w:spacing w:line="240" w:lineRule="auto"/>
              <w:ind w:firstLine="0" w:firstLineChars="0"/>
              <w:jc w:val="right"/>
              <w:rPr>
                <w:rFonts w:ascii="宋体" w:eastAsia="宋体" w:hAnsi="宋体" w:cs="宋体" w:hint="eastAsia"/>
                <w:vertAlign w:val="baseline"/>
              </w:rPr>
            </w:pPr>
            <w:r>
              <w:rPr>
                <w:rFonts w:ascii="宋体" w:eastAsia="宋体" w:hAnsi="宋体" w:cs="宋体" w:hint="eastAsia"/>
                <w:b/>
                <w:bCs/>
                <w:sz w:val="17"/>
                <w:szCs w:val="17"/>
                <w:lang w:val="en-US" w:eastAsia="en-US" w:bidi="en-US"/>
              </w:rPr>
              <w:t xml:space="preserve">0.</w:t>
            </w:r>
            <w:r>
              <w:rPr>
                <w:rFonts w:ascii="宋体" w:eastAsia="宋体" w:hAnsi="宋体" w:cs="宋体" w:hint="eastAsia"/>
                <w:b/>
                <w:bCs/>
                <w:sz w:val="17"/>
                <w:szCs w:val="17"/>
              </w:rPr>
              <w:t xml:space="preserve">00</w:t>
            </w:r>
          </w:p>
        </w:tc>
        <w:tc>
          <w:tcPr>
            <w:tcW w:w="2161" w:type="dxa"/>
            <w:vAlign w:val="center"/>
          </w:tcPr>
          <w:p>
            <w:pPr>
              <w:pStyle w:val="Other|1"/>
              <w:spacing w:line="240" w:lineRule="auto"/>
              <w:ind w:firstLine="0" w:firstLineChars="0"/>
              <w:jc w:val="right"/>
              <w:rPr>
                <w:rFonts w:ascii="宋体" w:eastAsia="宋体" w:hAnsi="宋体" w:cs="宋体" w:hint="eastAsia"/>
                <w:vertAlign w:val="baseline"/>
              </w:rPr>
            </w:pPr>
            <w:r>
              <w:rPr>
                <w:rFonts w:ascii="宋体" w:eastAsia="宋体" w:hAnsi="宋体" w:cs="宋体" w:hint="eastAsia"/>
                <w:b/>
                <w:bCs/>
                <w:sz w:val="17"/>
                <w:szCs w:val="17"/>
                <w:lang w:val="en-US" w:eastAsia="en-US" w:bidi="en-US"/>
              </w:rPr>
              <w:t xml:space="preserve">0.</w:t>
            </w:r>
            <w:r>
              <w:rPr>
                <w:rFonts w:ascii="宋体" w:eastAsia="宋体" w:hAnsi="宋体" w:cs="宋体" w:hint="eastAsia"/>
                <w:b/>
                <w:bCs/>
                <w:sz w:val="17"/>
                <w:szCs w:val="17"/>
              </w:rPr>
              <w:t xml:space="preserve">00</w:t>
            </w:r>
          </w:p>
        </w:tc>
        <w:tc>
          <w:tcPr>
            <w:tcW w:w="2163" w:type="dxa"/>
            <w:vAlign w:val="center"/>
          </w:tcPr>
          <w:p>
            <w:pPr>
              <w:pStyle w:val="Other|1"/>
              <w:spacing w:line="240" w:lineRule="auto"/>
              <w:ind w:firstLine="0" w:firstLineChars="0"/>
              <w:jc w:val="right"/>
              <w:rPr>
                <w:rFonts w:ascii="宋体" w:eastAsia="宋体" w:hAnsi="宋体" w:cs="宋体" w:hint="eastAsia"/>
                <w:vertAlign w:val="baseline"/>
              </w:rPr>
            </w:pPr>
            <w:r>
              <w:rPr>
                <w:rFonts w:ascii="宋体" w:eastAsia="宋体" w:hAnsi="宋体" w:cs="宋体" w:hint="eastAsia"/>
                <w:b/>
                <w:bCs/>
                <w:sz w:val="17"/>
                <w:szCs w:val="17"/>
                <w:lang w:val="en-US" w:eastAsia="en-US" w:bidi="en-US"/>
              </w:rPr>
              <w:t xml:space="preserve">0.</w:t>
            </w:r>
            <w:r>
              <w:rPr>
                <w:rFonts w:ascii="宋体" w:eastAsia="宋体" w:hAnsi="宋体" w:cs="宋体" w:hint="eastAsia"/>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7"/>
            <w:tcBorders>
              <w:left w:val="nil"/>
              <w:bottom w:val="nil"/>
              <w:right w:val="nil"/>
            </w:tcBorders>
          </w:tcPr>
          <w:p>
            <w:pPr>
              <w:pStyle w:val="Tablecaption|1"/>
              <w:spacing w:line="302" w:lineRule="exact"/>
              <w:ind w:left="672"/>
              <w:jc w:val="left"/>
              <w:rPr>
                <w:rFonts w:ascii="宋体" w:eastAsia="宋体" w:hAnsi="宋体" w:cs="宋体" w:hint="eastAsia"/>
                <w:b w:val="0"/>
                <w:bCs w:val="0"/>
              </w:rPr>
            </w:pPr>
            <w:r>
              <w:rPr>
                <w:rFonts w:ascii="宋体" w:eastAsia="宋体" w:hAnsi="宋体" w:cs="宋体" w:hint="eastAsia"/>
                <w:b w:val="0"/>
                <w:bCs w:val="0"/>
              </w:rPr>
              <w:t xml:space="preserve">注：本报表金额单位转换时可能存在四舍五入尾数误差。本部门</w:t>
            </w:r>
            <w:r>
              <w:rPr>
                <w:rFonts w:ascii="宋体" w:eastAsia="宋体" w:hAnsi="宋体" w:cs="宋体" w:hint="eastAsia"/>
                <w:b w:val="0"/>
                <w:bCs w:val="0"/>
                <w:lang w:eastAsia="zh-CN"/>
              </w:rPr>
              <w:t xml:space="preserve">2024</w:t>
            </w:r>
            <w:r>
              <w:rPr>
                <w:rFonts w:ascii="宋体" w:eastAsia="宋体" w:hAnsi="宋体" w:cs="宋体"/>
                <w:u w:color="auto"/>
              </w:rPr>
              <w:t xml:space="preserve">年</w:t>
            </w:r>
            <w:r>
              <w:rPr>
                <w:rFonts w:ascii="宋体" w:eastAsia="宋体" w:hAnsi="宋体" w:cs="宋体" w:hint="eastAsia"/>
                <w:b w:val="0"/>
                <w:bCs w:val="0"/>
              </w:rPr>
              <w:t xml:space="preserve">度没有国有资本经营预算支出，故本表无数据</w:t>
            </w:r>
          </w:p>
          <w:p>
            <w:pPr>
              <w:pStyle w:val="Tablecaption|1"/>
              <w:bidi w:val="0"/>
              <w:jc w:val="both"/>
              <w:rPr>
                <w:rFonts w:ascii="宋体" w:eastAsia="宋体" w:hAnsi="宋体" w:cs="宋体" w:hint="eastAsia"/>
                <w:vertAlign w:val="baseline"/>
              </w:rPr>
            </w:pPr>
          </w:p>
        </w:tc>
      </w:tr>
    </w:tbl>
    <w:p>
      <w:pPr>
        <w:pStyle w:val="Tablecaption|1"/>
        <w:bidi w:val="0"/>
        <w:jc w:val="center"/>
        <w:rPr>
          <w:sz w:val="28"/>
          <w:szCs w:val="28"/>
        </w:rPr>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cantSplit/>
          <w:trHeight w:hRule="auto" w:val="0"/>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环江毛南族自治县大安乡中心小学</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201026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环江毛南族自治县大安乡中心小学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大安乡中心小学年初预算数（小卖部租金）（三保）</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4.45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根据年初预算数，小卖部租金用于支付邮电费、水费、电费、差旅费。</w:t>
            </w:r>
            <w:bookmarkStart w:id="31" w:name="_GoBack"/>
            <w:bookmarkEnd w:id="31"/>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201026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环江毛南族自治县大安乡中心小学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公用经费（特教）中央补助</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1.43</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保障学校正常运转</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201026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环江毛南族自治县大安乡中心小学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义务教育阶段家庭经济困难学生生活自治区补助资金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2.60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年中调整</w:t>
            </w:r>
            <w:bookmarkEnd w:id="31"/>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201026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环江毛南族自治县大安乡中心小学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环江县大安乡中心小学年初预算经费(行政办公费)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1.92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确保学校工作正常运转</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201026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环江毛南族自治县大安乡中心小学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自治区公用经费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10.76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ab/>
              <w:tab/>
              <w:tab/>
              <w:tab/>
              <w:tab/>
              <w:tab/>
            </w:r>
            <w:r>
              <w:rPr>
                <w:rFonts w:ascii="宋体" w:eastAsia="宋体" w:hAnsi="宋体" w:cs="宋体" w:hint="eastAsia"/>
                <w:b w:val="0"/>
                <w:bCs w:val="0"/>
                <w:sz w:val="17"/>
                <w:szCs w:val="17"/>
                <w:lang w:val="en-US" w:eastAsia="zh-CN"/>
              </w:rPr>
              <w:br/>
            </w:r>
            <w:r>
              <w:rPr>
                <w:rFonts w:ascii="宋体" w:eastAsia="宋体" w:hAnsi="宋体" w:cs="宋体" w:hint="eastAsia"/>
                <w:b w:val="0"/>
                <w:bCs w:val="0"/>
                <w:sz w:val="17"/>
                <w:szCs w:val="17"/>
                <w:lang w:val="en-US" w:eastAsia="zh-CN"/>
              </w:rPr>
              <w:t xml:space="preserve">主要用于学校日常办公、水电费、网络费、日常维修、教师培训出差等，保障学校正常运转，持续改善学校基本办学条件，促进教育健康发展。</w:t>
              <w:tab/>
            </w:r>
            <w:bookmarkEnd w:id="31"/>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201026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环江毛南族自治县大安乡中心小学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义务教育阶段家庭经济困难学生生活中央补助资金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0.43</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通过发放义务教育阶段家庭困难学生生活费补助资金，帮助学校家庭经济困难学生减轻家庭经济负担，改善家庭经济困难学生的生活质量。</w:t>
              <w:tab/>
              <w:tab/>
              <w:tab/>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201026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环江毛南族自治县大安乡中心小学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自治区级乡村教师生活补助</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1.98</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通过发放乡村教师生活补助，提高乡村教师生活质量。</w:t>
            </w:r>
            <w:bookmarkEnd w:id="31"/>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201026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环江毛南族自治县大安乡中心小学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营养改善计划膳食补助资金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12.07</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年中调整</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201026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环江毛南族自治县大安乡中心小学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义务教育中央级公用经费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16.91</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用于学校日常办公、水电费、网络费、日常维修、教师培训出差等，保障学校正常运转，持续改善学校基本办学条件，促进教育健康发展。</w:t>
              <w:tab/>
              <w:tab/>
            </w:r>
            <w:bookmarkEnd w:id="31"/>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20"/>
          <w:footerReference w:type="default" r:id="rId21"/>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5"/>
      <w:bookmarkStart w:id="33" w:name="bookmark94"/>
      <w:bookmarkStart w:id="34" w:name="bookmark96"/>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2"/>
      <w:footerReference w:type="default" r:id="rId23"/>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865"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12277"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6873"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12279"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6875"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12281"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posOffset>4538345</wp:posOffset>
              </wp:positionH>
              <wp:positionV relativeFrom="paragraph">
                <wp:posOffset>-151765</wp:posOffset>
              </wp:positionV>
              <wp:extent cx="478790" cy="323215"/>
              <wp:effectExtent l="0" t="0" r="0" b="0"/>
              <wp:wrapNone/>
              <wp:docPr id="6876" name="文本框 9"/>
              <wp:cNvGraphicFramePr>
                <a:graphicFrameLocks noChangeAspect="0"/>
              </wp:cNvGraphicFramePr>
              <a:graphic>
                <a:graphicData uri="http://schemas.microsoft.com/office/word/2010/wordprocessingShape">
                  <wps:wsp>
                    <wps:cNvSpPr/>
                    <wps:spPr>
                      <a:xfrm>
                        <a:off x="0" y="0"/>
                        <a:ext cx="478790" cy="32321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9" o:spid="_x0000_s12282" type="#_x0000_t202" style="height:25.45pt;margin-left:357.35pt;margin-top:-11.95pt;mso-height-relative:page;mso-position-horizontal-relative:margin;mso-width-relative:page;mso-wrap-distance-bottom:0;mso-wrap-distance-left:9pt;mso-wrap-distance-right:9pt;mso-wrap-distance-top:0;mso-wrap-style:square;position:absolute;v-text-anchor:top;width:37.7pt;z-index:251664384"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posOffset>4473575</wp:posOffset>
              </wp:positionH>
              <wp:positionV relativeFrom="paragraph">
                <wp:posOffset>-86360</wp:posOffset>
              </wp:positionV>
              <wp:extent cx="447040" cy="267970"/>
              <wp:effectExtent l="0" t="0" r="0" b="0"/>
              <wp:wrapNone/>
              <wp:docPr id="6877" name="文本框 11"/>
              <wp:cNvGraphicFramePr>
                <a:graphicFrameLocks noChangeAspect="0"/>
              </wp:cNvGraphicFramePr>
              <a:graphic>
                <a:graphicData uri="http://schemas.microsoft.com/office/word/2010/wordprocessingShape">
                  <wps:wsp>
                    <wps:cNvSpPr/>
                    <wps:spPr>
                      <a:xfrm>
                        <a:off x="0" y="0"/>
                        <a:ext cx="447040" cy="26797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11" o:spid="_x0000_s12283" type="#_x0000_t202" style="height:21.1pt;margin-left:352.25pt;margin-top:-6.8pt;mso-height-relative:page;mso-position-horizontal-relative:margin;mso-width-relative:page;mso-wrap-distance-bottom:0;mso-wrap-distance-left:9pt;mso-wrap-distance-right:9pt;mso-wrap-distance-top:0;mso-wrap-style:square;position:absolute;v-text-anchor:top;width:35.2pt;z-index:251665408"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878"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12284"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6872"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12278"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6874"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1228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6.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80"/>
  <w:bordersDoNotSurroundFooter w:val="0"/>
  <w:bordersDoNotSurroundHeader w:val="0"/>
  <w:doNotTrackMoves/>
  <w:documentProtection w:enforcement="1" w:edit="readOnly" w:salt="sAy7+Fm5X/tYMdKwg99/FQ==" w:hash="R5qYCPnkbS5PBNSD2o2FnLPTDyHFgBwM3c0YwT7wTcVlq9ADBKaXTtuqTEI2nA2cWhKv7xKds4b5jyt5CpWy2A=="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ODFiOTZkYjkwN2Q1MTBhY2U1NDI3ZmEwNzcyMDM4OG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3.xml" Type="http://schemas.openxmlformats.org/officeDocument/2006/relationships/chart"/><Relationship Id="rId11" Target="charts/chart4.xml" Type="http://schemas.openxmlformats.org/officeDocument/2006/relationships/chart"/><Relationship Id="rId12" Target="charts/chart5.xml" Type="http://schemas.openxmlformats.org/officeDocument/2006/relationships/chart"/><Relationship Id="rId13" Target="charts/chart6.xml" Type="http://schemas.openxmlformats.org/officeDocument/2006/relationships/chart"/><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theme/theme1.xml" Type="http://schemas.openxmlformats.org/officeDocument/2006/relationships/theme"/><Relationship Id="rId25" Target="styles.xml" Type="http://schemas.openxmlformats.org/officeDocument/2006/relationships/styles"/><Relationship Id="rId26" Target="webSettings.xml" Type="http://schemas.openxmlformats.org/officeDocument/2006/relationships/webSettings"/><Relationship Id="rId27" Target="numbering.xml" Type="http://schemas.openxmlformats.org/officeDocument/2006/relationships/numbering"/><Relationship Id="rId28" Target="fontTable.xml" Type="http://schemas.openxmlformats.org/officeDocument/2006/relationships/fontTable"/><Relationship Id="rId29"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header1.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charts/chart1.xml" Type="http://schemas.openxmlformats.org/officeDocument/2006/relationships/chart"/><Relationship Id="rId9" Target="charts/chart2.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1076.33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教育支出</c:v>
                </c:pt>
                <c:pt idx="2">
                  <c:v>社会保障和就业支出</c:v>
                </c:pt>
                <c:pt idx="3">
                  <c:v>住房保障支出</c:v>
                </c:pt>
              </c:strCache>
            </c:strRef>
          </c:cat>
          <c:val>
            <c:numRef>
              <c:f>Sheet1!$B$2:$B$5</c:f>
              <c:numCache>
                <c:ptCount val="4"/>
                <c:pt idx="0">
                  <c:v>12.9</c:v>
                </c:pt>
                <c:pt idx="1">
                  <c:v>847.33</c:v>
                </c:pt>
                <c:pt idx="2">
                  <c:v>92.5</c:v>
                </c:pt>
                <c:pt idx="3">
                  <c:v>77.43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1280.56</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1076.33</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1023.79</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6.37</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12.9</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1010.89</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1010.89</c:v>
                </c:pt>
                <c:pt idx="1">
                  <c:v>12.9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C D D</cp:lastModifiedBy>
  <dcterms:modified xsi:type="dcterms:W3CDTF">2024-03-06T02:48:26Z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TotalTime>
  <ScaleCrop>false</ScaleCrop>
  <LinksUpToDate>false</LinksUpToDate>
  <CharactersWithSpaces>11333</CharactersWithSpaces>
  <Application>WPS Office_12.1.0.16120_F1E327BC-269C-435d-A152-05C5408002CA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12DC9CEE36A04FED99CEAB3C4FE7F44F_13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TotalTime>
  <Pages>35</Pages>
  <Words>8576</Words>
  <Characters>11046</Characters>
  <Application>WPS Office_12.1.0.16120_F1E327BC-269C-435d-A152-05C5408002CA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C D D</cp:lastModifiedBy>
  <dcterms:modified xsi:type="dcterms:W3CDTF">2024-03-07T01:18:15Z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2052-12.1.0.16120</vt:lpstr>
  </property>
  <property fmtid="{D5CDD505-2E9C-101B-9397-08002B2CF9AE}" pid="3" name="ICV">
    <vt:lpstr>12DC9CEE36A04FED99CEAB3C4FE7F44F_13</vt:lpstr>
  </property>
</Properties>
</file>