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lang w:eastAsia="zh-CN"/>
        </w:rPr>
      </w:pPr>
      <w:r>
        <w:rPr>
          <w:rFonts w:hint="eastAsia"/>
          <w:lang w:eastAsia="zh-CN"/>
        </w:rPr>
        <w:t>环江毛南族自治县第七小学</w:t>
      </w:r>
    </w:p>
    <w:p>
      <w:pPr>
        <w:pStyle w:val="10"/>
        <w:jc w:val="center"/>
        <w:sectPr>
          <w:pgSz w:w="11900" w:h="16840"/>
          <w:pgMar w:top="4713" w:right="1913" w:bottom="4713" w:left="2020" w:header="4285" w:footer="4285" w:gutter="0"/>
          <w:pgBorders>
            <w:top w:val="none" w:sz="0" w:space="0"/>
            <w:left w:val="none" w:sz="0" w:space="0"/>
            <w:bottom w:val="none" w:sz="0" w:space="0"/>
            <w:right w:val="none" w:sz="0" w:space="0"/>
          </w:pgBorders>
          <w:pgNumType w:start="1"/>
          <w:cols w:space="720" w:num="1"/>
          <w:docGrid w:linePitch="360" w:charSpace="0"/>
        </w:sectPr>
      </w:pPr>
      <w:r>
        <w:rPr>
          <w:rFonts w:hint="eastAsia"/>
          <w:lang w:eastAsia="zh-CN"/>
        </w:rPr>
        <w:t>20</w:t>
      </w:r>
      <w:bookmarkStart w:id="43" w:name="_GoBack"/>
      <w:bookmarkEnd w:id="43"/>
      <w:r>
        <w:rPr>
          <w:rFonts w:hint="eastAsia"/>
          <w:lang w:eastAsia="zh-CN"/>
        </w:rPr>
        <w:t>24</w:t>
      </w:r>
      <w:r>
        <w:rPr>
          <w:rFonts w:ascii="Times New Roman" w:hAnsi="Times New Roman" w:eastAsia="Times New Roman" w:cs="Times New Roman"/>
          <w:sz w:val="56"/>
          <w:u w:color="auto"/>
        </w:rPr>
        <w:t>年</w:t>
      </w:r>
      <w:r>
        <w:t>度部门预算</w:t>
      </w:r>
    </w:p>
    <w:p>
      <w:pPr>
        <w:pStyle w:val="12"/>
        <w:keepNext/>
        <w:keepLines/>
        <w:spacing w:after="240"/>
        <w:jc w:val="center"/>
      </w:pPr>
      <w:bookmarkStart w:id="0" w:name="bookmark2"/>
      <w:bookmarkStart w:id="1" w:name="bookmark1"/>
      <w:bookmarkStart w:id="2" w:name="bookmark0"/>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环江毛南族自治县第七小学单位</w:t>
      </w:r>
      <w:r>
        <w:t>概况</w:t>
      </w:r>
    </w:p>
    <w:p>
      <w:pPr>
        <w:pStyle w:val="16"/>
        <w:jc w:val="left"/>
      </w:pPr>
      <w:r>
        <w:rPr>
          <w:lang w:val="en-US" w:eastAsia="zh-CN" w:bidi="en-US"/>
        </w:rPr>
        <w:t>—</w:t>
      </w:r>
      <w:r>
        <w:t>、主要职责</w:t>
      </w:r>
    </w:p>
    <w:p>
      <w:pPr>
        <w:pStyle w:val="16"/>
        <w:jc w:val="left"/>
        <w:rPr>
          <w:rFonts w:hint="eastAsia"/>
        </w:rPr>
      </w:pPr>
      <w:r>
        <w:rPr>
          <w:rFonts w:hint="eastAsia"/>
          <w:lang w:val="en-US" w:eastAsia="zh-CN"/>
        </w:rPr>
        <w:t>二、</w:t>
      </w:r>
      <w:r>
        <w:rPr>
          <w:rFonts w:hint="eastAsia"/>
        </w:rPr>
        <w:t>机构设置情况</w:t>
      </w:r>
    </w:p>
    <w:p>
      <w:pPr>
        <w:pStyle w:val="16"/>
        <w:ind w:left="0" w:leftChars="0" w:firstLine="320" w:firstLineChars="100"/>
        <w:jc w:val="left"/>
      </w:pPr>
      <w:r>
        <w:t>第二部分</w:t>
      </w:r>
      <w:r>
        <w:rPr>
          <w:rFonts w:hint="eastAsia"/>
          <w:lang w:eastAsia="zh-CN"/>
        </w:rPr>
        <w:t>：</w:t>
      </w:r>
      <w:r>
        <w:rPr>
          <w:u w:color="auto"/>
        </w:rPr>
        <w:t>环江毛南族自治县第七小学2024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环江毛南族自治县第七小学2024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七、一般公开预算“三公”经费支出情况表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3" w:type="default"/>
          <w:pgSz w:w="11900" w:h="16840"/>
          <w:pgMar w:top="1508" w:right="1674" w:bottom="1508" w:left="1851" w:header="1080" w:footer="3" w:gutter="0"/>
          <w:pgBorders>
            <w:top w:val="none" w:sz="0" w:space="0"/>
            <w:left w:val="none" w:sz="0" w:space="0"/>
            <w:bottom w:val="none" w:sz="0" w:space="0"/>
            <w:right w:val="none" w:sz="0" w:space="0"/>
          </w:pgBorders>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spacing w:after="560"/>
        <w:jc w:val="both"/>
      </w:pPr>
      <w:bookmarkStart w:id="3" w:name="bookmark14"/>
      <w:bookmarkStart w:id="4" w:name="bookmark12"/>
      <w:bookmarkStart w:id="5" w:name="bookmark13"/>
    </w:p>
    <w:p>
      <w:pPr>
        <w:pStyle w:val="12"/>
        <w:keepNext/>
        <w:keepLines/>
        <w:spacing w:after="560"/>
        <w:jc w:val="center"/>
        <w:rPr>
          <w:b/>
          <w:bCs/>
          <w:sz w:val="40"/>
          <w:szCs w:val="40"/>
        </w:rPr>
      </w:pPr>
      <w:r>
        <w:rPr>
          <w:b/>
          <w:bCs/>
          <w:sz w:val="40"/>
          <w:szCs w:val="40"/>
        </w:rPr>
        <w:t>第一部分</w:t>
      </w:r>
      <w:r>
        <w:rPr>
          <w:rFonts w:hint="eastAsia"/>
          <w:b/>
          <w:bCs/>
          <w:sz w:val="40"/>
          <w:szCs w:val="40"/>
          <w:lang w:eastAsia="zh-CN"/>
        </w:rPr>
        <w:t>：</w:t>
      </w:r>
      <w:r>
        <w:rPr>
          <w:b/>
          <w:sz w:val="40"/>
          <w:u w:color="auto"/>
        </w:rPr>
        <w:t>环江毛南族自治县第七小学</w:t>
      </w:r>
      <w:r>
        <w:rPr>
          <w:b/>
          <w:bCs/>
          <w:sz w:val="40"/>
          <w:szCs w:val="40"/>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为全面贯彻党和国家教育方针，全面实施素质教育，全面提高我校教育教学质量、办学水平和管理水平，率先基本实现现代化，根据《中华人民共和国教育法》、《中华人民共和国义务教育法》、《中华人民共和国残疾人教育条例》和《特殊教育学校暂行规程》等相关法律法规，制定本章程。贯彻实施国家教育工作方针、政策和法律法规。制订学校教育改革与发展战略和教育事业发展规划及年度计划；贯彻执行上级教育体制改革的政策，拟定学校教育发展的重点、结构、速度和步骤，并负责进行实施。实施小学义务教育，促进基础教育发展。小学学历教育。</w:t>
      </w:r>
    </w:p>
    <w:p>
      <w:pPr>
        <w:pStyle w:val="18"/>
        <w:spacing w:line="623" w:lineRule="exact"/>
        <w:ind w:left="0" w:leftChars="0" w:firstLine="560" w:firstLineChars="200"/>
        <w:jc w:val="left"/>
        <w:rPr>
          <w:rFonts w:hint="default"/>
          <w:highlight w:val="yellow"/>
          <w:lang w:val="en-US" w:eastAsia="zh-CN"/>
        </w:rPr>
      </w:pPr>
    </w:p>
    <w:p>
      <w:pPr>
        <w:pStyle w:val="16"/>
        <w:tabs>
          <w:tab w:val="left" w:pos="1369"/>
        </w:tabs>
        <w:spacing w:after="0" w:line="623" w:lineRule="exact"/>
        <w:ind w:firstLine="620"/>
        <w:jc w:val="left"/>
        <w:rPr>
          <w:b/>
          <w:bCs/>
        </w:rPr>
      </w:pPr>
      <w:bookmarkStart w:id="6" w:name="bookmark24"/>
      <w:r>
        <w:rPr>
          <w:b/>
          <w:bCs/>
        </w:rPr>
        <w:t>二</w:t>
      </w:r>
      <w:bookmarkEnd w:id="6"/>
      <w:r>
        <w:rPr>
          <w:b/>
          <w:bCs/>
        </w:rPr>
        <w:t>、</w:t>
      </w:r>
      <w:r>
        <w:rPr>
          <w:b/>
          <w:bCs/>
        </w:rPr>
        <w:tab/>
      </w:r>
      <w:r>
        <w:rPr>
          <w:rFonts w:hint="eastAsia"/>
          <w:b/>
          <w:bCs/>
        </w:rPr>
        <w:t>机构设置情况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本预算为环江毛南族自治县第七小学本级预算，环江毛南族自治县第七小学内设机构:校长室，副校长室，政教处，教导处，总务处，工会党建办6个职能室。2024年在职在编64人，包含5名教师的控制数</w:t>
      </w: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spacing w:before="120" w:after="0" w:line="629" w:lineRule="exact"/>
        <w:jc w:val="center"/>
        <w:rPr>
          <w:b/>
          <w:bCs/>
          <w:sz w:val="40"/>
          <w:szCs w:val="40"/>
        </w:rPr>
      </w:pPr>
      <w:bookmarkStart w:id="7" w:name="bookmark70"/>
      <w:bookmarkStart w:id="8" w:name="bookmark68"/>
      <w:bookmarkStart w:id="9" w:name="bookmark69"/>
      <w:bookmarkStart w:id="10" w:name="bookmark27"/>
      <w:bookmarkStart w:id="11" w:name="bookmark26"/>
      <w:bookmarkStart w:id="12" w:name="bookmark28"/>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环江毛南族自治县第七小学</w:t>
      </w:r>
      <w:r>
        <w:rPr>
          <w:b/>
          <w:sz w:val="40"/>
          <w:u w:color="auto"/>
        </w:rPr>
        <w:t>2024年部门预算情况说明</w:t>
      </w:r>
    </w:p>
    <w:p>
      <w:pPr>
        <w:pStyle w:val="16"/>
        <w:tabs>
          <w:tab w:val="left" w:pos="1235"/>
        </w:tabs>
        <w:spacing w:after="0" w:line="624" w:lineRule="exact"/>
        <w:ind w:firstLine="580"/>
        <w:jc w:val="left"/>
        <w:rPr>
          <w:b/>
          <w:bCs/>
        </w:rPr>
      </w:pPr>
      <w:bookmarkStart w:id="13" w:name="bookmark71"/>
      <w:r>
        <w:rPr>
          <w:b/>
          <w:bCs/>
        </w:rPr>
        <w:t>一</w:t>
      </w:r>
      <w:bookmarkEnd w:id="13"/>
      <w:r>
        <w:rPr>
          <w:b/>
          <w:bCs/>
        </w:rPr>
        <w:t>、</w:t>
      </w:r>
      <w:r>
        <w:rPr>
          <w:b/>
          <w:bCs/>
        </w:rPr>
        <w:tab/>
      </w:r>
      <w:r>
        <w:rPr>
          <w:b/>
          <w:bCs/>
        </w:rPr>
        <w:t>部门预算收支总体情况说明</w:t>
      </w:r>
    </w:p>
    <w:p>
      <w:pPr>
        <w:pStyle w:val="18"/>
        <w:spacing w:line="623" w:lineRule="exact"/>
        <w:ind w:left="0" w:leftChars="0" w:firstLine="560" w:firstLineChars="200"/>
        <w:jc w:val="left"/>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868.09</w:t>
      </w:r>
      <w:r>
        <w:rPr>
          <w:rFonts w:hint="eastAsia"/>
          <w:b w:val="0"/>
          <w:bCs w:val="0"/>
          <w:sz w:val="28"/>
          <w:szCs w:val="28"/>
        </w:rPr>
        <w:t>万元，总支出</w:t>
      </w:r>
      <w:r>
        <w:rPr>
          <w:rFonts w:hint="eastAsia"/>
          <w:sz w:val="28"/>
          <w:szCs w:val="28"/>
          <w:lang w:val="en-US" w:eastAsia="zh-CN"/>
        </w:rPr>
        <w:t>868.09</w:t>
      </w:r>
      <w:r>
        <w:rPr>
          <w:rFonts w:hint="eastAsia"/>
          <w:b w:val="0"/>
          <w:bCs w:val="0"/>
          <w:sz w:val="28"/>
          <w:szCs w:val="28"/>
        </w:rPr>
        <w:t>万元。总收入较2023年度预算数</w:t>
      </w:r>
      <w:r>
        <w:rPr>
          <w:rFonts w:hint="eastAsia"/>
          <w:sz w:val="28"/>
          <w:szCs w:val="28"/>
          <w:lang w:val="en-US" w:eastAsia="zh-CN"/>
        </w:rPr>
        <w:t>546.05</w:t>
      </w:r>
      <w:r>
        <w:rPr>
          <w:rFonts w:hint="eastAsia"/>
          <w:b w:val="0"/>
          <w:bCs w:val="0"/>
          <w:sz w:val="28"/>
          <w:szCs w:val="28"/>
        </w:rPr>
        <w:t>万元，</w:t>
      </w:r>
      <w:r>
        <w:rPr>
          <w:rFonts w:hint="eastAsia"/>
          <w:sz w:val="28"/>
          <w:szCs w:val="28"/>
        </w:rPr>
        <w:t>增加322.04</w:t>
      </w:r>
      <w:r>
        <w:rPr>
          <w:rFonts w:hint="eastAsia"/>
          <w:b w:val="0"/>
          <w:bCs w:val="0"/>
          <w:sz w:val="28"/>
          <w:szCs w:val="28"/>
        </w:rPr>
        <w:t>万元，</w:t>
      </w:r>
      <w:r>
        <w:rPr>
          <w:rFonts w:hint="eastAsia"/>
          <w:sz w:val="28"/>
          <w:szCs w:val="28"/>
        </w:rPr>
        <w:t>增长58.98%</w:t>
      </w:r>
      <w:r>
        <w:rPr>
          <w:rFonts w:hint="eastAsia"/>
          <w:b w:val="0"/>
          <w:bCs w:val="0"/>
          <w:sz w:val="28"/>
          <w:szCs w:val="28"/>
        </w:rPr>
        <w:t>，主要原因是</w:t>
      </w:r>
      <w:r>
        <w:rPr>
          <w:rFonts w:hint="eastAsia"/>
          <w:highlight w:val="none"/>
          <w:lang w:val="en-US" w:eastAsia="zh-CN"/>
        </w:rPr>
        <w:t>学生人数增加，班级由24个班增加到29个班，相应的教师数也由41人增加到了72人</w:t>
      </w:r>
      <w:r>
        <w:rPr>
          <w:rFonts w:hint="eastAsia"/>
          <w:b w:val="0"/>
          <w:bCs w:val="0"/>
          <w:sz w:val="28"/>
          <w:szCs w:val="28"/>
        </w:rPr>
        <w:t>。总支出较2023年度预算数</w:t>
      </w:r>
      <w:r>
        <w:rPr>
          <w:rFonts w:hint="eastAsia"/>
          <w:sz w:val="28"/>
          <w:szCs w:val="28"/>
          <w:lang w:val="en-US" w:eastAsia="zh-CN"/>
        </w:rPr>
        <w:t>546.05</w:t>
      </w:r>
      <w:r>
        <w:rPr>
          <w:rFonts w:hint="eastAsia"/>
          <w:b w:val="0"/>
          <w:bCs w:val="0"/>
          <w:sz w:val="28"/>
          <w:szCs w:val="28"/>
        </w:rPr>
        <w:t>万元，</w:t>
      </w:r>
      <w:r>
        <w:rPr>
          <w:rFonts w:hint="eastAsia"/>
          <w:sz w:val="28"/>
          <w:szCs w:val="28"/>
        </w:rPr>
        <w:t>增加322.04</w:t>
      </w:r>
      <w:r>
        <w:rPr>
          <w:rFonts w:hint="eastAsia"/>
          <w:b w:val="0"/>
          <w:bCs w:val="0"/>
          <w:sz w:val="28"/>
          <w:szCs w:val="28"/>
        </w:rPr>
        <w:t>万元，</w:t>
      </w:r>
      <w:r>
        <w:rPr>
          <w:rFonts w:hint="eastAsia"/>
          <w:sz w:val="28"/>
          <w:szCs w:val="28"/>
        </w:rPr>
        <w:t>增长58.98%</w:t>
      </w:r>
      <w:r>
        <w:rPr>
          <w:rFonts w:hint="eastAsia"/>
          <w:b w:val="0"/>
          <w:bCs w:val="0"/>
          <w:sz w:val="28"/>
          <w:szCs w:val="28"/>
        </w:rPr>
        <w:t>，主要原因是</w:t>
      </w:r>
      <w:r>
        <w:rPr>
          <w:rFonts w:hint="eastAsia"/>
          <w:highlight w:val="none"/>
          <w:lang w:val="en-US" w:eastAsia="zh-CN"/>
        </w:rPr>
        <w:t>学生人数增加，班级由24个班增加到29个班，相应的教师数也由41人增加到了72人</w:t>
      </w:r>
      <w:r>
        <w:rPr>
          <w:rFonts w:hint="eastAsia"/>
          <w:b w:val="0"/>
          <w:bCs w:val="0"/>
          <w:sz w:val="28"/>
          <w:szCs w:val="28"/>
        </w:rPr>
        <w:t>。</w:t>
      </w:r>
    </w:p>
    <w:p>
      <w:pPr>
        <w:pStyle w:val="16"/>
        <w:tabs>
          <w:tab w:val="left" w:pos="1235"/>
        </w:tabs>
        <w:spacing w:after="0" w:line="624" w:lineRule="exact"/>
        <w:ind w:firstLine="580"/>
        <w:jc w:val="left"/>
        <w:rPr>
          <w:b/>
          <w:bCs/>
          <w:lang w:val="en-US" w:eastAsia="zh-CN"/>
        </w:rPr>
      </w:pPr>
      <w:r>
        <w:rPr>
          <w:rFonts w:hint="eastAsia"/>
          <w:b/>
          <w:bCs/>
          <w:lang w:val="en-US" w:eastAsia="zh-CN"/>
        </w:rPr>
        <w:t>二、</w:t>
      </w:r>
      <w:r>
        <w:rPr>
          <w:b/>
          <w:bCs/>
        </w:rPr>
        <w:t>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319"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868.09</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546.05</w:t>
      </w:r>
      <w:r>
        <w:rPr>
          <w:rFonts w:hint="eastAsia" w:ascii="宋体" w:hAnsi="宋体" w:eastAsia="宋体" w:cs="宋体"/>
          <w:sz w:val="28"/>
          <w:szCs w:val="28"/>
          <w:u w:color="auto"/>
        </w:rPr>
        <w:t>万元，</w:t>
      </w:r>
      <w:r>
        <w:rPr>
          <w:rFonts w:hint="eastAsia" w:ascii="宋体" w:hAnsi="宋体" w:eastAsia="宋体" w:cs="宋体"/>
          <w:sz w:val="28"/>
          <w:szCs w:val="28"/>
        </w:rPr>
        <w:t>增加322.04</w:t>
      </w:r>
      <w:r>
        <w:rPr>
          <w:rFonts w:hint="eastAsia" w:ascii="宋体" w:hAnsi="宋体" w:eastAsia="宋体" w:cs="宋体"/>
          <w:sz w:val="28"/>
          <w:szCs w:val="28"/>
          <w:u w:color="auto"/>
        </w:rPr>
        <w:t>万元，</w:t>
      </w:r>
      <w:r>
        <w:rPr>
          <w:rFonts w:hint="eastAsia" w:ascii="宋体" w:hAnsi="宋体" w:eastAsia="宋体" w:cs="宋体"/>
          <w:sz w:val="28"/>
          <w:szCs w:val="28"/>
        </w:rPr>
        <w:t>增长58.98%</w:t>
      </w:r>
      <w:r>
        <w:rPr>
          <w:rFonts w:hint="eastAsia" w:ascii="宋体" w:hAnsi="宋体" w:eastAsia="宋体" w:cs="宋体"/>
          <w:sz w:val="28"/>
          <w:szCs w:val="28"/>
          <w:u w:color="auto"/>
        </w:rPr>
        <w:t>，主要原因是</w:t>
      </w:r>
      <w:r>
        <w:rPr>
          <w:rFonts w:hint="eastAsia"/>
          <w:highlight w:val="none"/>
          <w:lang w:val="en-US" w:eastAsia="zh-CN"/>
        </w:rPr>
        <w:t>学生人数增加，班级由24个班增加到29个班，相应的教师数也由41人增加到了72人</w:t>
      </w:r>
      <w:r>
        <w:rPr>
          <w:rFonts w:hint="eastAsia" w:ascii="宋体" w:hAnsi="宋体" w:eastAsia="宋体" w:cs="宋体"/>
          <w:sz w:val="28"/>
          <w:szCs w:val="28"/>
          <w:u w:color="auto"/>
        </w:rPr>
        <w:t>。</w:t>
      </w:r>
    </w:p>
    <w:p>
      <w:pPr>
        <w:pStyle w:val="16"/>
        <w:tabs>
          <w:tab w:val="left" w:pos="1235"/>
        </w:tabs>
        <w:spacing w:after="0" w:line="624" w:lineRule="exact"/>
        <w:ind w:firstLine="580"/>
        <w:jc w:val="left"/>
        <w:rPr>
          <w:b/>
          <w:bCs/>
        </w:rPr>
      </w:pPr>
      <w:r>
        <w:rPr>
          <w:rFonts w:hint="eastAsia"/>
          <w:b/>
          <w:bCs/>
          <w:lang w:val="en-US" w:eastAsia="zh-CN"/>
        </w:rPr>
        <w:t>三、</w:t>
      </w:r>
      <w:r>
        <w:rPr>
          <w:b/>
          <w:bCs/>
        </w:rPr>
        <w:t>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3320"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8"/>
        <w:spacing w:line="623" w:lineRule="exact"/>
        <w:ind w:left="0" w:leftChars="0" w:firstLine="560" w:firstLineChars="200"/>
        <w:jc w:val="left"/>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868.09</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546.05</w:t>
      </w:r>
      <w:r>
        <w:rPr>
          <w:rFonts w:hint="eastAsia" w:ascii="宋体" w:hAnsi="宋体" w:eastAsia="宋体" w:cs="宋体"/>
          <w:sz w:val="28"/>
          <w:szCs w:val="28"/>
          <w:lang w:eastAsia="zh-CN"/>
        </w:rPr>
        <w:t>万元，</w:t>
      </w:r>
      <w:r>
        <w:rPr>
          <w:rFonts w:hint="eastAsia" w:ascii="宋体" w:hAnsi="宋体" w:eastAsia="宋体" w:cs="宋体"/>
          <w:sz w:val="28"/>
          <w:szCs w:val="28"/>
        </w:rPr>
        <w:t>增加322.04</w:t>
      </w:r>
      <w:r>
        <w:rPr>
          <w:rFonts w:hint="eastAsia" w:ascii="宋体" w:hAnsi="宋体" w:eastAsia="宋体" w:cs="宋体"/>
          <w:sz w:val="28"/>
          <w:szCs w:val="28"/>
          <w:lang w:eastAsia="zh-CN"/>
        </w:rPr>
        <w:t>万元，</w:t>
      </w:r>
      <w:r>
        <w:rPr>
          <w:rFonts w:hint="eastAsia" w:ascii="宋体" w:hAnsi="宋体" w:eastAsia="宋体" w:cs="宋体"/>
          <w:sz w:val="28"/>
          <w:szCs w:val="28"/>
        </w:rPr>
        <w:t>增长58.98%</w:t>
      </w:r>
      <w:r>
        <w:rPr>
          <w:rFonts w:hint="eastAsia" w:ascii="宋体" w:hAnsi="宋体" w:eastAsia="宋体" w:cs="宋体"/>
          <w:sz w:val="28"/>
          <w:szCs w:val="28"/>
          <w:lang w:eastAsia="zh-CN"/>
        </w:rPr>
        <w:t>，主要原因是</w:t>
      </w:r>
      <w:r>
        <w:rPr>
          <w:rFonts w:hint="eastAsia"/>
          <w:highlight w:val="none"/>
          <w:lang w:val="en-US" w:eastAsia="zh-CN"/>
        </w:rPr>
        <w:t>学生人数增加，班级由24个班增加到29个班，相应的教师数也由41人增加到了72人</w:t>
      </w:r>
      <w:r>
        <w:rPr>
          <w:rFonts w:hint="eastAsia" w:ascii="Times New Roman" w:hAnsi="Times New Roman" w:cs="Times New Roman"/>
          <w:sz w:val="30"/>
          <w:szCs w:val="30"/>
          <w:lang w:eastAsia="zh-CN"/>
        </w:rPr>
        <w:t>。主要包括：</w:t>
      </w:r>
      <w:r>
        <w:rPr>
          <w:rFonts w:hint="eastAsia"/>
          <w:highlight w:val="none"/>
          <w:lang w:val="en-US" w:eastAsia="zh-CN"/>
        </w:rPr>
        <w:t>教育支出684.35万元，一般公共服务支出12.15万元，社会保障和就业支出93.11万元，住房保障支出78.48万元</w:t>
      </w:r>
      <w:r>
        <w:rPr>
          <w:rFonts w:hint="eastAsia" w:ascii="Times New Roman" w:hAnsi="Times New Roman" w:cs="Times New Roman"/>
          <w:sz w:val="30"/>
          <w:szCs w:val="30"/>
          <w:lang w:eastAsia="zh-CN"/>
        </w:rPr>
        <w:t>。</w:t>
      </w:r>
    </w:p>
    <w:p>
      <w:pPr>
        <w:pStyle w:val="18"/>
        <w:spacing w:after="140" w:line="240" w:lineRule="auto"/>
        <w:ind w:firstLine="0"/>
        <w:jc w:val="left"/>
      </w:pPr>
      <w:r>
        <w:t>（一）按支出功能分类科目划分，共分为</w:t>
      </w:r>
      <w:r>
        <w:rPr>
          <w:rFonts w:hint="eastAsia"/>
          <w:lang w:val="en-US" w:eastAsia="zh-CN"/>
        </w:rPr>
        <w:t>4</w:t>
      </w:r>
      <w:r>
        <w:t>类，其中:</w:t>
      </w:r>
    </w:p>
    <w:p>
      <w:pPr>
        <w:pStyle w:val="18"/>
        <w:spacing w:line="623" w:lineRule="exact"/>
        <w:ind w:left="0" w:leftChars="0" w:firstLine="560" w:firstLineChars="200"/>
        <w:jc w:val="left"/>
        <w:rPr>
          <w:rFonts w:hint="eastAsia"/>
        </w:rPr>
      </w:pPr>
      <w:r>
        <w:rPr>
          <w:rFonts w:hint="eastAsia"/>
        </w:rPr>
        <w:t>(</w:t>
      </w:r>
      <w:r>
        <w:rPr>
          <w:u w:color="auto"/>
        </w:rPr>
        <w:t>1)教育支出</w:t>
      </w:r>
      <w:r>
        <w:rPr>
          <w:rFonts w:hint="eastAsia"/>
          <w:lang w:val="en-US" w:eastAsia="zh-CN"/>
        </w:rPr>
        <w:t>684.35</w:t>
      </w:r>
      <w:r>
        <w:rPr>
          <w:rFonts w:hint="eastAsia"/>
        </w:rPr>
        <w:t>万元，占支出总预算</w:t>
      </w:r>
      <w:r>
        <w:rPr>
          <w:rFonts w:hint="eastAsia"/>
          <w:lang w:val="en-US" w:eastAsia="zh-CN"/>
        </w:rPr>
        <w:t>78.83%</w:t>
      </w:r>
      <w:r>
        <w:rPr>
          <w:rFonts w:hint="eastAsia"/>
        </w:rPr>
        <w:t>,比上年</w:t>
      </w:r>
      <w:r>
        <w:rPr>
          <w:rFonts w:hint="eastAsia"/>
          <w:lang w:val="en-US" w:eastAsia="zh-CN"/>
        </w:rPr>
        <w:t>增长267.37</w:t>
      </w:r>
      <w:r>
        <w:rPr>
          <w:rFonts w:hint="eastAsia"/>
        </w:rPr>
        <w:t>万元，</w:t>
      </w:r>
      <w:r>
        <w:rPr>
          <w:rFonts w:hint="eastAsia"/>
          <w:lang w:val="en-US" w:eastAsia="zh-CN"/>
        </w:rPr>
        <w:t>增长64.12%</w:t>
      </w:r>
      <w:r>
        <w:rPr>
          <w:rFonts w:hint="eastAsia"/>
        </w:rPr>
        <w:t>,</w:t>
      </w:r>
      <w:r>
        <w:rPr>
          <w:rFonts w:hint="eastAsia"/>
          <w:highlight w:val="none"/>
        </w:rPr>
        <w:t>主要原因是：</w:t>
      </w:r>
      <w:r>
        <w:rPr>
          <w:rFonts w:hint="eastAsia"/>
          <w:highlight w:val="none"/>
          <w:lang w:val="en-US" w:eastAsia="zh-CN"/>
        </w:rPr>
        <w:t>学生和教师数增加</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2)一般公共服务支出</w:t>
      </w:r>
      <w:r>
        <w:rPr>
          <w:rFonts w:hint="eastAsia"/>
          <w:lang w:val="en-US" w:eastAsia="zh-CN"/>
        </w:rPr>
        <w:t>12.15</w:t>
      </w:r>
      <w:r>
        <w:rPr>
          <w:rFonts w:hint="eastAsia"/>
        </w:rPr>
        <w:t>万元，占支出总预算</w:t>
      </w:r>
      <w:r>
        <w:rPr>
          <w:rFonts w:hint="eastAsia"/>
          <w:lang w:val="en-US" w:eastAsia="zh-CN"/>
        </w:rPr>
        <w:t>1.40%</w:t>
      </w:r>
      <w:r>
        <w:rPr>
          <w:rFonts w:hint="eastAsia"/>
        </w:rPr>
        <w:t>,比上年</w:t>
      </w:r>
      <w:r>
        <w:rPr>
          <w:rFonts w:hint="eastAsia"/>
          <w:lang w:val="en-US" w:eastAsia="zh-CN"/>
        </w:rPr>
        <w:t>增长3.84</w:t>
      </w:r>
      <w:r>
        <w:rPr>
          <w:rFonts w:hint="eastAsia"/>
        </w:rPr>
        <w:t>万元，</w:t>
      </w:r>
      <w:r>
        <w:rPr>
          <w:rFonts w:hint="eastAsia"/>
          <w:lang w:val="en-US" w:eastAsia="zh-CN"/>
        </w:rPr>
        <w:t>增长46.21%</w:t>
      </w:r>
      <w:r>
        <w:rPr>
          <w:rFonts w:hint="eastAsia"/>
        </w:rPr>
        <w:t>,</w:t>
      </w:r>
      <w:r>
        <w:rPr>
          <w:rFonts w:hint="eastAsia"/>
          <w:highlight w:val="none"/>
        </w:rPr>
        <w:t>主要原因是：</w:t>
      </w:r>
      <w:r>
        <w:rPr>
          <w:rFonts w:hint="eastAsia"/>
          <w:highlight w:val="none"/>
          <w:lang w:val="en-US" w:eastAsia="zh-CN"/>
        </w:rPr>
        <w:t>学生和教师数增加</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3)社会保障和就业支出</w:t>
      </w:r>
      <w:r>
        <w:rPr>
          <w:rFonts w:hint="eastAsia"/>
          <w:lang w:val="en-US" w:eastAsia="zh-CN"/>
        </w:rPr>
        <w:t>93.11</w:t>
      </w:r>
      <w:r>
        <w:rPr>
          <w:rFonts w:hint="eastAsia"/>
        </w:rPr>
        <w:t>万元，占支出总预算</w:t>
      </w:r>
      <w:r>
        <w:rPr>
          <w:rFonts w:hint="eastAsia"/>
          <w:lang w:val="en-US" w:eastAsia="zh-CN"/>
        </w:rPr>
        <w:t>10.73%</w:t>
      </w:r>
      <w:r>
        <w:rPr>
          <w:rFonts w:hint="eastAsia"/>
        </w:rPr>
        <w:t>,比上年</w:t>
      </w:r>
      <w:r>
        <w:rPr>
          <w:rFonts w:hint="eastAsia"/>
          <w:lang w:val="en-US" w:eastAsia="zh-CN"/>
        </w:rPr>
        <w:t>增长24.10</w:t>
      </w:r>
      <w:r>
        <w:rPr>
          <w:rFonts w:hint="eastAsia"/>
        </w:rPr>
        <w:t>万元，</w:t>
      </w:r>
      <w:r>
        <w:rPr>
          <w:rFonts w:hint="eastAsia"/>
          <w:lang w:val="en-US" w:eastAsia="zh-CN"/>
        </w:rPr>
        <w:t>增长34.92%</w:t>
      </w:r>
      <w:r>
        <w:rPr>
          <w:rFonts w:hint="eastAsia"/>
        </w:rPr>
        <w:t>,</w:t>
      </w:r>
      <w:r>
        <w:rPr>
          <w:rFonts w:hint="eastAsia"/>
          <w:highlight w:val="none"/>
        </w:rPr>
        <w:t>主要原因是：</w:t>
      </w:r>
      <w:r>
        <w:rPr>
          <w:rFonts w:hint="eastAsia"/>
          <w:highlight w:val="none"/>
          <w:lang w:val="en-US" w:eastAsia="zh-CN"/>
        </w:rPr>
        <w:t>学生和教师数增加</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4)住房保障支出</w:t>
      </w:r>
      <w:r>
        <w:rPr>
          <w:rFonts w:hint="eastAsia"/>
          <w:lang w:val="en-US" w:eastAsia="zh-CN"/>
        </w:rPr>
        <w:t>78.48</w:t>
      </w:r>
      <w:r>
        <w:rPr>
          <w:rFonts w:hint="eastAsia"/>
        </w:rPr>
        <w:t>万元，占支出总预算</w:t>
      </w:r>
      <w:r>
        <w:rPr>
          <w:rFonts w:hint="eastAsia"/>
          <w:lang w:val="en-US" w:eastAsia="zh-CN"/>
        </w:rPr>
        <w:t>9.04%</w:t>
      </w:r>
      <w:r>
        <w:rPr>
          <w:rFonts w:hint="eastAsia"/>
        </w:rPr>
        <w:t>,比上年</w:t>
      </w:r>
      <w:r>
        <w:rPr>
          <w:rFonts w:hint="eastAsia"/>
          <w:lang w:val="en-US" w:eastAsia="zh-CN"/>
        </w:rPr>
        <w:t>增长26.73</w:t>
      </w:r>
      <w:r>
        <w:rPr>
          <w:rFonts w:hint="eastAsia"/>
        </w:rPr>
        <w:t>万元，</w:t>
      </w:r>
      <w:r>
        <w:rPr>
          <w:rFonts w:hint="eastAsia"/>
          <w:lang w:val="en-US" w:eastAsia="zh-CN"/>
        </w:rPr>
        <w:t>增长51.65%</w:t>
      </w:r>
      <w:r>
        <w:rPr>
          <w:rFonts w:hint="eastAsia"/>
        </w:rPr>
        <w:t>,</w:t>
      </w:r>
      <w:r>
        <w:rPr>
          <w:rFonts w:hint="eastAsia"/>
          <w:highlight w:val="none"/>
        </w:rPr>
        <w:t>主要原因是：</w:t>
      </w:r>
      <w:r>
        <w:rPr>
          <w:rFonts w:hint="eastAsia"/>
          <w:highlight w:val="none"/>
          <w:lang w:val="en-US" w:eastAsia="zh-CN"/>
        </w:rPr>
        <w:t>学生和教师数增加</w:t>
      </w:r>
      <w:r>
        <w:rPr>
          <w:rFonts w:hint="eastAsia"/>
          <w:highlight w:val="none"/>
        </w:rPr>
        <w:t>。</w:t>
      </w:r>
    </w:p>
    <w:p>
      <w:pPr>
        <w:pStyle w:val="18"/>
        <w:spacing w:line="635" w:lineRule="exact"/>
        <w:ind w:firstLine="740"/>
        <w:jc w:val="left"/>
      </w:pPr>
      <w:r>
        <w:t>(二)按支出结构分类划分，分为基本支出预算和项目支出预算。</w:t>
      </w:r>
    </w:p>
    <w:p>
      <w:pPr>
        <w:pStyle w:val="18"/>
        <w:spacing w:line="635" w:lineRule="exact"/>
        <w:ind w:firstLine="600"/>
        <w:jc w:val="left"/>
      </w:pPr>
      <w:r>
        <w:rPr>
          <w:rFonts w:ascii="Times New Roman" w:hAnsi="Times New Roman" w:eastAsia="Times New Roman" w:cs="Times New Roman"/>
          <w:sz w:val="30"/>
          <w:szCs w:val="30"/>
        </w:rPr>
        <w:t>1</w:t>
      </w:r>
      <w:r>
        <w:t>.基本支出预算。</w:t>
      </w:r>
    </w:p>
    <w:p>
      <w:pPr>
        <w:pStyle w:val="18"/>
        <w:spacing w:line="619" w:lineRule="exact"/>
        <w:ind w:firstLine="600"/>
        <w:jc w:val="left"/>
        <w:rPr>
          <w:rFonts w:hint="eastAsia"/>
          <w:lang w:val="en-US" w:eastAsia="zh-CN"/>
        </w:rPr>
      </w:pPr>
      <w:r>
        <w:rPr>
          <w:rFonts w:hint="eastAsia"/>
        </w:rPr>
        <w:t>基本支出预算</w:t>
      </w:r>
      <w:r>
        <w:rPr>
          <w:rFonts w:hint="eastAsia"/>
          <w:lang w:val="en-US" w:eastAsia="zh-CN"/>
        </w:rPr>
        <w:t>845.10</w:t>
      </w:r>
      <w:r>
        <w:rPr>
          <w:rFonts w:hint="eastAsia"/>
        </w:rPr>
        <w:t>万元，占支出预算</w:t>
      </w:r>
      <w:r>
        <w:rPr>
          <w:u w:color="auto"/>
        </w:rPr>
        <w:t>97.35%,比上年增长323.97万元，增长62.17%</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832.92</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98.56%</w:t>
      </w:r>
      <w:r>
        <w:rPr>
          <w:rFonts w:hint="eastAsia"/>
        </w:rPr>
        <w:t>,</w:t>
      </w:r>
      <w:r>
        <w:t>比上年</w:t>
      </w:r>
      <w:r>
        <w:rPr>
          <w:rFonts w:hint="eastAsia"/>
        </w:rPr>
        <w:t>增长320.12</w:t>
      </w:r>
      <w:r>
        <w:t>万元，</w:t>
      </w:r>
      <w:r>
        <w:rPr>
          <w:rFonts w:hint="eastAsia"/>
        </w:rPr>
        <w:t>增长62.43%</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教师人数增加，所以工资福利支出增加</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12.15</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1.44%</w:t>
      </w:r>
      <w:r>
        <w:rPr>
          <w:rFonts w:hint="eastAsia"/>
        </w:rPr>
        <w:t>,</w:t>
      </w:r>
      <w:r>
        <w:t>比上年</w:t>
      </w:r>
      <w:r>
        <w:rPr>
          <w:rFonts w:hint="eastAsia"/>
        </w:rPr>
        <w:t>增长3.84</w:t>
      </w:r>
      <w:r>
        <w:t>万元，</w:t>
      </w:r>
      <w:r>
        <w:rPr>
          <w:rFonts w:hint="eastAsia"/>
        </w:rPr>
        <w:t>增长46.21%</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班级人数增加，教师人数增加，所以商品和服务支出增加</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3)对个人和家庭的补助</w:t>
      </w:r>
      <w:r>
        <w:rPr>
          <w:rFonts w:hint="eastAsia" w:ascii="宋体" w:hAnsi="宋体" w:eastAsia="宋体" w:cs="宋体"/>
          <w:sz w:val="28"/>
          <w:szCs w:val="28"/>
          <w:lang w:val="en-US" w:eastAsia="zh-CN"/>
        </w:rPr>
        <w:t>0.02</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0.00%</w:t>
      </w:r>
      <w:r>
        <w:rPr>
          <w:rFonts w:hint="eastAsia"/>
        </w:rPr>
        <w:t>,</w:t>
      </w:r>
      <w:r>
        <w:t>比上年</w:t>
      </w:r>
      <w:r>
        <w:rPr>
          <w:rFonts w:hint="eastAsia"/>
        </w:rPr>
        <w:t>增长0.00</w:t>
      </w:r>
      <w:r>
        <w:t>万元，</w:t>
      </w:r>
      <w:r>
        <w:rPr>
          <w:rFonts w:hint="eastAsia"/>
        </w:rPr>
        <w:t>增长0.00%</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享受独生子女保健两人不变，所以与去年持平，没有增长</w:t>
      </w:r>
      <w:r>
        <w:rPr>
          <w:rFonts w:hint="eastAsia"/>
          <w:highlight w:val="none"/>
          <w:lang w:val="en-US" w:eastAsia="zh-CN"/>
        </w:rPr>
        <w:t>。</w:t>
      </w:r>
    </w:p>
    <w:p>
      <w:pPr>
        <w:pStyle w:val="18"/>
        <w:numPr>
          <w:ilvl w:val="0"/>
          <w:numId w:val="1"/>
        </w:numPr>
        <w:spacing w:line="614" w:lineRule="exact"/>
        <w:ind w:firstLine="600"/>
        <w:jc w:val="left"/>
      </w:pPr>
      <w:r>
        <w:t>项目支出预算。</w:t>
      </w:r>
    </w:p>
    <w:p>
      <w:pPr>
        <w:pStyle w:val="18"/>
        <w:spacing w:line="619" w:lineRule="exact"/>
        <w:ind w:firstLine="600"/>
        <w:jc w:val="left"/>
        <w:rPr>
          <w:rFonts w:hint="eastAsia"/>
          <w:lang w:val="en-US" w:eastAsia="zh-CN"/>
        </w:rPr>
      </w:pPr>
      <w:r>
        <w:rPr>
          <w:rFonts w:hint="eastAsia"/>
        </w:rPr>
        <w:t>项目支出预算</w:t>
      </w:r>
      <w:r>
        <w:rPr>
          <w:rFonts w:hint="eastAsia"/>
          <w:lang w:val="en-US" w:eastAsia="zh-CN"/>
        </w:rPr>
        <w:t>22.99</w:t>
      </w:r>
      <w:r>
        <w:rPr>
          <w:rFonts w:hint="eastAsia"/>
        </w:rPr>
        <w:t>万元，占支出预算</w:t>
      </w:r>
      <w:r>
        <w:rPr>
          <w:u w:color="auto"/>
        </w:rPr>
        <w:t>2.65%</w:t>
      </w:r>
      <w:r>
        <w:rPr>
          <w:rFonts w:hint="eastAsia"/>
        </w:rPr>
        <w:t>,比上年</w:t>
      </w:r>
      <w:r>
        <w:rPr>
          <w:u w:color="auto"/>
        </w:rPr>
        <w:t>减少1.93</w:t>
      </w:r>
      <w:r>
        <w:rPr>
          <w:rFonts w:hint="eastAsia"/>
        </w:rPr>
        <w:t>万元，</w:t>
      </w:r>
      <w:r>
        <w:rPr>
          <w:u w:color="auto"/>
        </w:rPr>
        <w:t>减少7.74%</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3.43</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14.92%</w:t>
      </w:r>
      <w:r>
        <w:t>,比上年</w:t>
      </w:r>
      <w:r>
        <w:rPr>
          <w:rFonts w:hint="eastAsia"/>
        </w:rPr>
        <w:t>减少4.93</w:t>
      </w:r>
      <w:r>
        <w:t>万元，</w:t>
      </w:r>
      <w:r>
        <w:rPr>
          <w:rFonts w:hint="eastAsia"/>
        </w:rPr>
        <w:t>减少58.97%</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商品和服务支出3.43万元为2023年公用经费预留2023年12月份水电费出去，主要用于2024年1月份支出2023年12月份水电费</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2)对个人和家庭的补助</w:t>
      </w:r>
      <w:r>
        <w:rPr>
          <w:rFonts w:hint="eastAsia" w:ascii="宋体" w:hAnsi="宋体" w:eastAsia="宋体" w:cs="宋体"/>
          <w:sz w:val="28"/>
          <w:szCs w:val="28"/>
          <w:lang w:val="en-US" w:eastAsia="zh-CN"/>
        </w:rPr>
        <w:t>19.56</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85.08%</w:t>
      </w:r>
      <w:r>
        <w:t>,比上年</w:t>
      </w:r>
      <w:r>
        <w:rPr>
          <w:rFonts w:hint="eastAsia"/>
        </w:rPr>
        <w:t>增长12.28</w:t>
      </w:r>
      <w:r>
        <w:t>万元，</w:t>
      </w:r>
      <w:r>
        <w:rPr>
          <w:rFonts w:hint="eastAsia"/>
        </w:rPr>
        <w:t>增长168.68%</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对个人和家庭的补助19.56万元是2023年营养餐结余数，主要用于2024年1月份支出2023年12月份营养餐</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3)资本性支出</w:t>
      </w:r>
      <w:r>
        <w:rPr>
          <w:rFonts w:hint="eastAsia" w:ascii="宋体" w:hAnsi="宋体" w:eastAsia="宋体" w:cs="宋体"/>
          <w:sz w:val="28"/>
          <w:szCs w:val="28"/>
          <w:lang w:val="en-US" w:eastAsia="zh-CN"/>
        </w:rPr>
        <w:t>0.00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0.00%</w:t>
      </w:r>
      <w:r>
        <w:t>,比上年</w:t>
      </w:r>
      <w:r>
        <w:rPr>
          <w:rFonts w:hint="eastAsia"/>
        </w:rPr>
        <w:t>减少9.28</w:t>
      </w:r>
      <w:r>
        <w:t>万元，</w:t>
      </w:r>
      <w:r>
        <w:rPr>
          <w:rFonts w:hint="eastAsia"/>
        </w:rPr>
        <w:t>减少100.00%</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功能科目调整，所以学校2024年没有资本性支出</w:t>
      </w:r>
      <w:r>
        <w:rPr>
          <w:rFonts w:hint="eastAsia"/>
          <w:highlight w:val="none"/>
          <w:lang w:val="en-US" w:eastAsia="zh-CN"/>
        </w:rPr>
        <w:t>。</w:t>
      </w:r>
    </w:p>
    <w:p>
      <w:pPr>
        <w:pStyle w:val="16"/>
        <w:numPr>
          <w:ilvl w:val="0"/>
          <w:numId w:val="0"/>
        </w:numPr>
        <w:tabs>
          <w:tab w:val="left" w:pos="1238"/>
        </w:tabs>
        <w:spacing w:after="0" w:line="625" w:lineRule="exact"/>
        <w:jc w:val="left"/>
        <w:rPr>
          <w:b/>
          <w:bCs/>
        </w:rPr>
      </w:pPr>
    </w:p>
    <w:p>
      <w:pPr>
        <w:pStyle w:val="16"/>
        <w:tabs>
          <w:tab w:val="left" w:pos="1235"/>
        </w:tabs>
        <w:spacing w:after="0" w:line="624" w:lineRule="exact"/>
        <w:ind w:firstLine="580"/>
        <w:jc w:val="left"/>
        <w:rPr>
          <w:b/>
          <w:bCs/>
        </w:rPr>
      </w:pPr>
      <w:r>
        <w:rPr>
          <w:rFonts w:hint="eastAsia"/>
          <w:b/>
          <w:bCs/>
          <w:lang w:val="en-US" w:eastAsia="zh-CN"/>
        </w:rPr>
        <w:t>四、</w:t>
      </w:r>
      <w:r>
        <w:rPr>
          <w:b/>
          <w:bCs/>
        </w:rPr>
        <w:t>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3321"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spacing w:line="624" w:lineRule="exact"/>
        <w:ind w:firstLine="6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868.09</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868.09</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546.05</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增加322.04</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增长58.98%</w:t>
      </w:r>
      <w:r>
        <w:rPr>
          <w:rFonts w:hint="eastAsia" w:ascii="宋体" w:hAnsi="宋体" w:eastAsia="宋体" w:cs="宋体"/>
          <w:sz w:val="28"/>
          <w:szCs w:val="28"/>
        </w:rPr>
        <w:t>，主要原因是</w:t>
      </w:r>
      <w:r>
        <w:rPr>
          <w:rFonts w:hint="eastAsia"/>
          <w:highlight w:val="none"/>
          <w:lang w:val="en-US" w:eastAsia="zh-CN"/>
        </w:rPr>
        <w:t>学校招收班级人数增加，教师人数增加</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546.05</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增加322.04</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增长58.98%</w:t>
      </w:r>
      <w:r>
        <w:rPr>
          <w:rFonts w:hint="eastAsia" w:ascii="宋体" w:hAnsi="宋体" w:eastAsia="宋体" w:cs="宋体"/>
          <w:sz w:val="28"/>
          <w:szCs w:val="28"/>
        </w:rPr>
        <w:t>，主要原因是</w:t>
      </w:r>
      <w:r>
        <w:rPr>
          <w:rFonts w:hint="eastAsia"/>
          <w:highlight w:val="none"/>
          <w:lang w:val="en-US" w:eastAsia="zh-CN"/>
        </w:rPr>
        <w:t>2学校招收班级人数增加，教师人数增加</w:t>
      </w:r>
      <w:r>
        <w:rPr>
          <w:rFonts w:hint="eastAsia" w:ascii="宋体" w:hAnsi="宋体" w:eastAsia="宋体" w:cs="宋体"/>
          <w:sz w:val="28"/>
          <w:szCs w:val="28"/>
        </w:rPr>
        <w:t>。</w:t>
      </w:r>
    </w:p>
    <w:p>
      <w:pPr>
        <w:pStyle w:val="16"/>
        <w:numPr>
          <w:ilvl w:val="0"/>
          <w:numId w:val="0"/>
        </w:numPr>
        <w:tabs>
          <w:tab w:val="left" w:pos="1238"/>
        </w:tabs>
        <w:spacing w:after="0" w:line="625" w:lineRule="exact"/>
        <w:ind w:firstLine="560" w:firstLineChars="200"/>
        <w:jc w:val="left"/>
        <w:rPr>
          <w:rFonts w:hint="eastAsia"/>
          <w:sz w:val="28"/>
          <w:szCs w:val="28"/>
        </w:rPr>
      </w:pPr>
    </w:p>
    <w:p>
      <w:pPr>
        <w:pStyle w:val="16"/>
        <w:tabs>
          <w:tab w:val="left" w:pos="1235"/>
        </w:tabs>
        <w:spacing w:after="0" w:line="624" w:lineRule="exact"/>
        <w:ind w:firstLine="580"/>
        <w:jc w:val="left"/>
        <w:rPr>
          <w:b/>
          <w:bCs/>
        </w:rPr>
      </w:pPr>
      <w:r>
        <w:rPr>
          <w:rFonts w:hint="eastAsia"/>
          <w:b/>
          <w:bCs/>
          <w:lang w:val="en-US" w:eastAsia="zh-CN"/>
        </w:rPr>
        <w:t>五、</w:t>
      </w:r>
      <w:r>
        <w:rPr>
          <w:b/>
          <w:bCs/>
        </w:rPr>
        <w:t>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3322"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868.09</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546.05</w:t>
      </w:r>
      <w:r>
        <w:rPr>
          <w:rFonts w:hint="eastAsia" w:ascii="宋体" w:hAnsi="宋体" w:eastAsia="宋体" w:cs="宋体"/>
          <w:sz w:val="28"/>
          <w:szCs w:val="28"/>
        </w:rPr>
        <w:t>万元，</w:t>
      </w:r>
      <w:r>
        <w:rPr>
          <w:rFonts w:hint="eastAsia" w:ascii="宋体" w:hAnsi="宋体" w:eastAsia="宋体" w:cs="宋体"/>
          <w:sz w:val="28"/>
          <w:szCs w:val="28"/>
          <w:lang w:val="en-US" w:eastAsia="zh-CN"/>
        </w:rPr>
        <w:t>增加322.04</w:t>
      </w:r>
      <w:r>
        <w:rPr>
          <w:rFonts w:hint="eastAsia" w:ascii="宋体" w:hAnsi="宋体" w:eastAsia="宋体" w:cs="宋体"/>
          <w:sz w:val="28"/>
          <w:szCs w:val="28"/>
        </w:rPr>
        <w:t>万元，</w:t>
      </w:r>
      <w:r>
        <w:rPr>
          <w:rFonts w:hint="eastAsia" w:ascii="宋体" w:hAnsi="宋体" w:eastAsia="宋体" w:cs="宋体"/>
          <w:sz w:val="28"/>
          <w:szCs w:val="28"/>
          <w:lang w:val="en-US" w:eastAsia="zh-CN"/>
        </w:rPr>
        <w:t>增长58.98%</w:t>
      </w:r>
      <w:r>
        <w:rPr>
          <w:rFonts w:hint="eastAsia" w:ascii="宋体" w:hAnsi="宋体" w:eastAsia="宋体" w:cs="宋体"/>
          <w:sz w:val="28"/>
          <w:szCs w:val="28"/>
        </w:rPr>
        <w:t>，主要原因是</w:t>
      </w:r>
      <w:r>
        <w:rPr>
          <w:rFonts w:hint="eastAsia"/>
          <w:highlight w:val="none"/>
          <w:lang w:val="en-US" w:eastAsia="zh-CN"/>
        </w:rPr>
        <w:t>学校招收班级人数增加，教师人数增加</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12.15</w:t>
      </w:r>
      <w:r>
        <w:rPr>
          <w:rFonts w:hint="eastAsia" w:ascii="宋体" w:hAnsi="宋体" w:eastAsia="宋体" w:cs="宋体"/>
          <w:sz w:val="28"/>
          <w:szCs w:val="28"/>
        </w:rPr>
        <w:t>万元，占支出总预算的</w:t>
      </w:r>
      <w:r>
        <w:rPr>
          <w:rFonts w:ascii="宋体" w:hAnsi="宋体" w:eastAsia="宋体" w:cs="宋体"/>
          <w:sz w:val="28"/>
          <w:u w:color="auto"/>
        </w:rPr>
        <w:t>1.40%</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8.31</w:t>
      </w:r>
      <w:r>
        <w:rPr>
          <w:rFonts w:hint="eastAsia" w:ascii="宋体" w:hAnsi="宋体" w:eastAsia="宋体" w:cs="宋体"/>
          <w:sz w:val="28"/>
          <w:szCs w:val="28"/>
        </w:rPr>
        <w:t>万元，</w:t>
      </w:r>
      <w:r>
        <w:rPr>
          <w:rFonts w:ascii="宋体" w:hAnsi="宋体" w:eastAsia="宋体" w:cs="宋体"/>
          <w:sz w:val="28"/>
          <w:u w:color="auto"/>
        </w:rPr>
        <w:t>增长3.84</w:t>
      </w:r>
      <w:r>
        <w:rPr>
          <w:rFonts w:hint="eastAsia" w:ascii="宋体" w:hAnsi="宋体" w:eastAsia="宋体" w:cs="宋体"/>
          <w:sz w:val="28"/>
          <w:szCs w:val="28"/>
        </w:rPr>
        <w:t>万元，</w:t>
      </w:r>
      <w:r>
        <w:rPr>
          <w:rFonts w:ascii="宋体" w:hAnsi="宋体" w:eastAsia="宋体" w:cs="宋体"/>
          <w:sz w:val="28"/>
          <w:u w:color="auto"/>
        </w:rPr>
        <w:t>增长46.21%</w:t>
      </w:r>
      <w:r>
        <w:rPr>
          <w:rFonts w:hint="eastAsia" w:ascii="宋体" w:hAnsi="宋体" w:eastAsia="宋体" w:cs="宋体"/>
          <w:sz w:val="28"/>
          <w:szCs w:val="28"/>
        </w:rPr>
        <w:t>，主要原因是：</w:t>
      </w:r>
      <w:r>
        <w:rPr>
          <w:rFonts w:hint="eastAsia"/>
          <w:highlight w:val="none"/>
        </w:rPr>
        <w:t>学校招收班级人数增加，教师人数增加</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78.48</w:t>
      </w:r>
      <w:r>
        <w:rPr>
          <w:rFonts w:hint="eastAsia" w:ascii="宋体" w:hAnsi="宋体" w:eastAsia="宋体" w:cs="宋体"/>
          <w:sz w:val="28"/>
          <w:szCs w:val="28"/>
        </w:rPr>
        <w:t>万元，占支出总预算的</w:t>
      </w:r>
      <w:r>
        <w:rPr>
          <w:rFonts w:ascii="宋体" w:hAnsi="宋体" w:eastAsia="宋体" w:cs="宋体"/>
          <w:sz w:val="28"/>
          <w:u w:color="auto"/>
        </w:rPr>
        <w:t>9.04%</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51.75</w:t>
      </w:r>
      <w:r>
        <w:rPr>
          <w:rFonts w:hint="eastAsia" w:ascii="宋体" w:hAnsi="宋体" w:eastAsia="宋体" w:cs="宋体"/>
          <w:sz w:val="28"/>
          <w:szCs w:val="28"/>
        </w:rPr>
        <w:t>万元，</w:t>
      </w:r>
      <w:r>
        <w:rPr>
          <w:rFonts w:ascii="宋体" w:hAnsi="宋体" w:eastAsia="宋体" w:cs="宋体"/>
          <w:sz w:val="28"/>
          <w:u w:color="auto"/>
        </w:rPr>
        <w:t>增长26.73</w:t>
      </w:r>
      <w:r>
        <w:rPr>
          <w:rFonts w:hint="eastAsia" w:ascii="宋体" w:hAnsi="宋体" w:eastAsia="宋体" w:cs="宋体"/>
          <w:sz w:val="28"/>
          <w:szCs w:val="28"/>
        </w:rPr>
        <w:t>万元，</w:t>
      </w:r>
      <w:r>
        <w:rPr>
          <w:rFonts w:ascii="宋体" w:hAnsi="宋体" w:eastAsia="宋体" w:cs="宋体"/>
          <w:sz w:val="28"/>
          <w:u w:color="auto"/>
        </w:rPr>
        <w:t>增长51.65%</w:t>
      </w:r>
      <w:r>
        <w:rPr>
          <w:rFonts w:hint="eastAsia" w:ascii="宋体" w:hAnsi="宋体" w:eastAsia="宋体" w:cs="宋体"/>
          <w:sz w:val="28"/>
          <w:szCs w:val="28"/>
        </w:rPr>
        <w:t>，主要原因是：</w:t>
      </w:r>
      <w:r>
        <w:rPr>
          <w:rFonts w:hint="eastAsia"/>
          <w:highlight w:val="none"/>
        </w:rPr>
        <w:t>教师人数增加，所以住房保障支出增加</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教育支出（类）支出</w:t>
      </w:r>
      <w:r>
        <w:rPr>
          <w:rFonts w:ascii="宋体" w:hAnsi="宋体" w:eastAsia="宋体" w:cs="宋体"/>
          <w:sz w:val="28"/>
          <w:u w:color="auto"/>
        </w:rPr>
        <w:t>684.35</w:t>
      </w:r>
      <w:r>
        <w:rPr>
          <w:rFonts w:hint="eastAsia" w:ascii="宋体" w:hAnsi="宋体" w:eastAsia="宋体" w:cs="宋体"/>
          <w:sz w:val="28"/>
          <w:szCs w:val="28"/>
        </w:rPr>
        <w:t>万元，占支出总预算的</w:t>
      </w:r>
      <w:r>
        <w:rPr>
          <w:rFonts w:ascii="宋体" w:hAnsi="宋体" w:eastAsia="宋体" w:cs="宋体"/>
          <w:sz w:val="28"/>
          <w:u w:color="auto"/>
        </w:rPr>
        <w:t>78.83%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416.98</w:t>
      </w:r>
      <w:r>
        <w:rPr>
          <w:rFonts w:hint="eastAsia" w:ascii="宋体" w:hAnsi="宋体" w:eastAsia="宋体" w:cs="宋体"/>
          <w:sz w:val="28"/>
          <w:szCs w:val="28"/>
        </w:rPr>
        <w:t>万元，</w:t>
      </w:r>
      <w:r>
        <w:rPr>
          <w:rFonts w:ascii="宋体" w:hAnsi="宋体" w:eastAsia="宋体" w:cs="宋体"/>
          <w:sz w:val="28"/>
          <w:u w:color="auto"/>
        </w:rPr>
        <w:t>增长267.37</w:t>
      </w:r>
      <w:r>
        <w:rPr>
          <w:rFonts w:hint="eastAsia" w:ascii="宋体" w:hAnsi="宋体" w:eastAsia="宋体" w:cs="宋体"/>
          <w:sz w:val="28"/>
          <w:szCs w:val="28"/>
        </w:rPr>
        <w:t>万元，</w:t>
      </w:r>
      <w:r>
        <w:rPr>
          <w:rFonts w:ascii="宋体" w:hAnsi="宋体" w:eastAsia="宋体" w:cs="宋体"/>
          <w:sz w:val="28"/>
          <w:u w:color="auto"/>
        </w:rPr>
        <w:t>增长64.12%</w:t>
      </w:r>
      <w:r>
        <w:rPr>
          <w:rFonts w:hint="eastAsia" w:ascii="宋体" w:hAnsi="宋体" w:eastAsia="宋体" w:cs="宋体"/>
          <w:sz w:val="28"/>
          <w:szCs w:val="28"/>
        </w:rPr>
        <w:t>，主要原因是：</w:t>
      </w:r>
      <w:r>
        <w:rPr>
          <w:rFonts w:hint="eastAsia"/>
          <w:highlight w:val="none"/>
        </w:rPr>
        <w:t>招收班级人数增加，教师人数增加</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93.11</w:t>
      </w:r>
      <w:r>
        <w:rPr>
          <w:rFonts w:hint="eastAsia" w:ascii="宋体" w:hAnsi="宋体" w:eastAsia="宋体" w:cs="宋体"/>
          <w:sz w:val="28"/>
          <w:szCs w:val="28"/>
        </w:rPr>
        <w:t>万元，占支出总预算的</w:t>
      </w:r>
      <w:r>
        <w:rPr>
          <w:rFonts w:ascii="宋体" w:hAnsi="宋体" w:eastAsia="宋体" w:cs="宋体"/>
          <w:sz w:val="28"/>
          <w:u w:color="auto"/>
        </w:rPr>
        <w:t>10.73%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69.01</w:t>
      </w:r>
      <w:r>
        <w:rPr>
          <w:rFonts w:hint="eastAsia" w:ascii="宋体" w:hAnsi="宋体" w:eastAsia="宋体" w:cs="宋体"/>
          <w:sz w:val="28"/>
          <w:szCs w:val="28"/>
        </w:rPr>
        <w:t>万元，</w:t>
      </w:r>
      <w:r>
        <w:rPr>
          <w:rFonts w:ascii="宋体" w:hAnsi="宋体" w:eastAsia="宋体" w:cs="宋体"/>
          <w:sz w:val="28"/>
          <w:u w:color="auto"/>
        </w:rPr>
        <w:t>增长24.10</w:t>
      </w:r>
      <w:r>
        <w:rPr>
          <w:rFonts w:hint="eastAsia" w:ascii="宋体" w:hAnsi="宋体" w:eastAsia="宋体" w:cs="宋体"/>
          <w:sz w:val="28"/>
          <w:szCs w:val="28"/>
        </w:rPr>
        <w:t>万元，</w:t>
      </w:r>
      <w:r>
        <w:rPr>
          <w:rFonts w:ascii="宋体" w:hAnsi="宋体" w:eastAsia="宋体" w:cs="宋体"/>
          <w:sz w:val="28"/>
          <w:u w:color="auto"/>
        </w:rPr>
        <w:t>增长34.92%</w:t>
      </w:r>
      <w:r>
        <w:rPr>
          <w:rFonts w:hint="eastAsia" w:ascii="宋体" w:hAnsi="宋体" w:eastAsia="宋体" w:cs="宋体"/>
          <w:sz w:val="28"/>
          <w:szCs w:val="28"/>
        </w:rPr>
        <w:t>，主要原因是：</w:t>
      </w:r>
      <w:r>
        <w:rPr>
          <w:rFonts w:hint="eastAsia"/>
          <w:highlight w:val="none"/>
        </w:rPr>
        <w:t>教师人数增加，所以社会保障和就业支出增加</w:t>
      </w:r>
      <w:r>
        <w:rPr>
          <w:rFonts w:hint="eastAsia" w:ascii="宋体" w:hAnsi="宋体" w:eastAsia="宋体" w:cs="宋体"/>
          <w:sz w:val="28"/>
          <w:szCs w:val="28"/>
        </w:rPr>
        <w:t>。</w:t>
      </w:r>
    </w:p>
    <w:p>
      <w:pPr>
        <w:pStyle w:val="16"/>
        <w:tabs>
          <w:tab w:val="left" w:pos="1235"/>
        </w:tabs>
        <w:spacing w:after="0" w:line="624" w:lineRule="exact"/>
        <w:ind w:firstLine="580"/>
        <w:jc w:val="left"/>
        <w:rPr>
          <w:b/>
          <w:bCs/>
        </w:rPr>
      </w:pPr>
      <w:r>
        <w:rPr>
          <w:rFonts w:hint="eastAsia"/>
          <w:b/>
          <w:bCs/>
          <w:lang w:val="en-US" w:eastAsia="zh-CN"/>
        </w:rPr>
        <w:t>六、</w:t>
      </w:r>
      <w:r>
        <w:rPr>
          <w:b/>
          <w:bCs/>
        </w:rPr>
        <w:t>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323"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spacing w:line="623" w:lineRule="exact"/>
        <w:ind w:left="0" w:leftChars="0" w:firstLine="560" w:firstLineChars="200"/>
        <w:jc w:val="left"/>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845.10</w:t>
      </w:r>
      <w:r>
        <w:rPr>
          <w:rFonts w:hint="eastAsia"/>
        </w:rPr>
        <w:t>万元，较2023年度预算数</w:t>
      </w:r>
      <w:r>
        <w:rPr>
          <w:rFonts w:hint="eastAsia"/>
          <w:lang w:val="en-US" w:eastAsia="zh-CN"/>
        </w:rPr>
        <w:t>521.13</w:t>
      </w:r>
      <w:r>
        <w:rPr>
          <w:rFonts w:hint="eastAsia"/>
        </w:rPr>
        <w:t>万元</w:t>
      </w:r>
      <w:r>
        <w:rPr>
          <w:rFonts w:hint="eastAsia"/>
          <w:lang w:val="en-US" w:eastAsia="zh-CN"/>
        </w:rPr>
        <w:t>,</w:t>
      </w:r>
      <w:r>
        <w:rPr>
          <w:u w:color="auto"/>
        </w:rPr>
        <w:t>增加323.97</w:t>
      </w:r>
      <w:r>
        <w:rPr>
          <w:rFonts w:hint="eastAsia"/>
        </w:rPr>
        <w:t>万元，</w:t>
      </w:r>
      <w:r>
        <w:rPr>
          <w:rFonts w:hint="eastAsia"/>
          <w:lang w:val="en-US" w:eastAsia="zh-CN"/>
        </w:rPr>
        <w:t>增长62.17%</w:t>
      </w:r>
      <w:r>
        <w:rPr>
          <w:rFonts w:hint="eastAsia"/>
        </w:rPr>
        <w:t>，主要原因是</w:t>
      </w:r>
      <w:r>
        <w:rPr>
          <w:rFonts w:hint="eastAsia"/>
          <w:highlight w:val="none"/>
          <w:lang w:val="en-US" w:eastAsia="zh-CN"/>
        </w:rPr>
        <w:t>学校招收班级人数增加，教师人数增加</w:t>
      </w:r>
      <w:r>
        <w:rPr>
          <w:rFonts w:hint="eastAsia"/>
        </w:rPr>
        <w:t>。具体情况为：</w:t>
      </w:r>
    </w:p>
    <w:p>
      <w:pPr>
        <w:pStyle w:val="18"/>
        <w:spacing w:line="626" w:lineRule="exact"/>
        <w:ind w:firstLine="600"/>
        <w:jc w:val="left"/>
        <w:rPr>
          <w:rFonts w:hint="default"/>
          <w:lang w:val="en-US" w:eastAsia="zh-CN"/>
        </w:rPr>
      </w:pPr>
      <w:r>
        <w:rPr>
          <w:rFonts w:hint="eastAsia"/>
          <w:lang w:val="en-US" w:eastAsia="zh-CN"/>
        </w:rPr>
        <w:t>工资福利支出</w:t>
      </w:r>
      <w:r>
        <w:rPr>
          <w:rFonts w:hint="eastAsia"/>
        </w:rPr>
        <w:t>支出预算</w:t>
      </w:r>
      <w:r>
        <w:rPr>
          <w:rFonts w:hint="eastAsia"/>
          <w:lang w:val="en-US" w:eastAsia="zh-CN"/>
        </w:rPr>
        <w:t>832.92</w:t>
      </w:r>
      <w:r>
        <w:t>万元</w:t>
      </w:r>
      <w:r>
        <w:rPr>
          <w:rFonts w:hint="eastAsia"/>
          <w:lang w:eastAsia="zh-CN"/>
        </w:rPr>
        <w:t>，</w:t>
      </w:r>
      <w:r>
        <w:rPr>
          <w:rFonts w:hint="eastAsia"/>
        </w:rPr>
        <w:t>占基本支出预算的</w:t>
      </w:r>
      <w:r>
        <w:rPr>
          <w:rFonts w:hint="eastAsia"/>
          <w:lang w:val="en-US" w:eastAsia="zh-CN"/>
        </w:rPr>
        <w:t>98.56%</w:t>
      </w:r>
      <w:r>
        <w:rPr>
          <w:rFonts w:hint="eastAsia"/>
        </w:rPr>
        <w:t>，较2023年度预算数</w:t>
      </w:r>
      <w:r>
        <w:rPr>
          <w:rFonts w:hint="eastAsia"/>
          <w:lang w:val="en-US" w:eastAsia="zh-CN"/>
        </w:rPr>
        <w:t>512.80</w:t>
      </w:r>
      <w:r>
        <w:rPr>
          <w:rFonts w:hint="eastAsia"/>
        </w:rPr>
        <w:t>万元，</w:t>
      </w:r>
      <w:r>
        <w:rPr>
          <w:rFonts w:hint="eastAsia"/>
          <w:lang w:val="en-US" w:eastAsia="zh-CN"/>
        </w:rPr>
        <w:t>增长320.12</w:t>
      </w:r>
      <w:r>
        <w:rPr>
          <w:rFonts w:hint="eastAsia"/>
        </w:rPr>
        <w:t>万元，</w:t>
      </w:r>
      <w:r>
        <w:rPr>
          <w:rFonts w:hint="eastAsia"/>
          <w:lang w:val="en-US" w:eastAsia="zh-CN"/>
        </w:rPr>
        <w:t>增长62.43%</w:t>
      </w:r>
      <w:r>
        <w:rPr>
          <w:rFonts w:hint="eastAsia"/>
        </w:rPr>
        <w:t>，主要原因是：</w:t>
      </w:r>
      <w:r>
        <w:rPr>
          <w:rFonts w:hint="eastAsia"/>
          <w:highlight w:val="none"/>
        </w:rPr>
        <w:t>教师人数增加，所以工资福利支出增加</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12.15</w:t>
      </w:r>
      <w:r>
        <w:t>万元</w:t>
      </w:r>
      <w:r>
        <w:rPr>
          <w:rFonts w:hint="eastAsia"/>
          <w:lang w:eastAsia="zh-CN"/>
        </w:rPr>
        <w:t>，</w:t>
      </w:r>
      <w:r>
        <w:rPr>
          <w:rFonts w:hint="eastAsia"/>
        </w:rPr>
        <w:t>占基本支出预算的</w:t>
      </w:r>
      <w:r>
        <w:rPr>
          <w:rFonts w:hint="eastAsia"/>
          <w:lang w:val="en-US" w:eastAsia="zh-CN"/>
        </w:rPr>
        <w:t>1.44%</w:t>
      </w:r>
      <w:r>
        <w:rPr>
          <w:rFonts w:hint="eastAsia"/>
        </w:rPr>
        <w:t>，较2023年度预算数</w:t>
      </w:r>
      <w:r>
        <w:rPr>
          <w:rFonts w:hint="eastAsia"/>
          <w:lang w:val="en-US" w:eastAsia="zh-CN"/>
        </w:rPr>
        <w:t>8.31</w:t>
      </w:r>
      <w:r>
        <w:rPr>
          <w:rFonts w:hint="eastAsia"/>
        </w:rPr>
        <w:t>万元，</w:t>
      </w:r>
      <w:r>
        <w:rPr>
          <w:rFonts w:hint="eastAsia"/>
          <w:lang w:val="en-US" w:eastAsia="zh-CN"/>
        </w:rPr>
        <w:t>增长3.84</w:t>
      </w:r>
      <w:r>
        <w:rPr>
          <w:rFonts w:hint="eastAsia"/>
        </w:rPr>
        <w:t>万元，</w:t>
      </w:r>
      <w:r>
        <w:rPr>
          <w:rFonts w:hint="eastAsia"/>
          <w:lang w:val="en-US" w:eastAsia="zh-CN"/>
        </w:rPr>
        <w:t>增长46.21%</w:t>
      </w:r>
      <w:r>
        <w:rPr>
          <w:rFonts w:hint="eastAsia"/>
        </w:rPr>
        <w:t>，主要原因是：</w:t>
      </w:r>
      <w:r>
        <w:rPr>
          <w:rFonts w:hint="eastAsia"/>
          <w:highlight w:val="none"/>
        </w:rPr>
        <w:t>学校招收班级人数增加，教师人数增加</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0.02</w:t>
      </w:r>
      <w:r>
        <w:t>万元</w:t>
      </w:r>
      <w:r>
        <w:rPr>
          <w:rFonts w:hint="eastAsia"/>
          <w:lang w:eastAsia="zh-CN"/>
        </w:rPr>
        <w:t>，</w:t>
      </w:r>
      <w:r>
        <w:rPr>
          <w:rFonts w:hint="eastAsia"/>
        </w:rPr>
        <w:t>占基本支出预算的</w:t>
      </w:r>
      <w:r>
        <w:rPr>
          <w:rFonts w:hint="eastAsia"/>
          <w:lang w:val="en-US" w:eastAsia="zh-CN"/>
        </w:rPr>
        <w:t>0.00%</w:t>
      </w:r>
      <w:r>
        <w:rPr>
          <w:rFonts w:hint="eastAsia"/>
        </w:rPr>
        <w:t>，较2023年度预算数</w:t>
      </w:r>
      <w:r>
        <w:rPr>
          <w:rFonts w:hint="eastAsia"/>
          <w:lang w:val="en-US" w:eastAsia="zh-CN"/>
        </w:rPr>
        <w:t>0.02</w:t>
      </w:r>
      <w:r>
        <w:rPr>
          <w:rFonts w:hint="eastAsia"/>
        </w:rPr>
        <w:t>万元，</w:t>
      </w:r>
      <w:r>
        <w:rPr>
          <w:rFonts w:hint="eastAsia"/>
          <w:lang w:val="en-US" w:eastAsia="zh-CN"/>
        </w:rPr>
        <w:t>增长0.00</w:t>
      </w:r>
      <w:r>
        <w:rPr>
          <w:rFonts w:hint="eastAsia"/>
        </w:rPr>
        <w:t>万元，</w:t>
      </w:r>
      <w:r>
        <w:rPr>
          <w:rFonts w:hint="eastAsia"/>
          <w:lang w:val="en-US" w:eastAsia="zh-CN"/>
        </w:rPr>
        <w:t>增长0.00%</w:t>
      </w:r>
      <w:r>
        <w:rPr>
          <w:rFonts w:hint="eastAsia"/>
        </w:rPr>
        <w:t>，主要原因是：</w:t>
      </w:r>
      <w:r>
        <w:rPr>
          <w:rFonts w:hint="eastAsia"/>
          <w:highlight w:val="none"/>
        </w:rPr>
        <w:t>享受独生子女保健两人不变，所以与去年持平，没有增长</w:t>
      </w:r>
      <w:r>
        <w:rPr>
          <w:rFonts w:hint="eastAsia"/>
          <w:highlight w:val="none"/>
          <w:lang w:val="en-US" w:eastAsia="zh-CN"/>
        </w:rPr>
        <w:t>。</w:t>
      </w:r>
    </w:p>
    <w:p>
      <w:pPr>
        <w:pStyle w:val="16"/>
        <w:tabs>
          <w:tab w:val="left" w:pos="1235"/>
        </w:tabs>
        <w:spacing w:after="0" w:line="624" w:lineRule="exact"/>
        <w:ind w:firstLine="580"/>
        <w:jc w:val="left"/>
        <w:rPr>
          <w:rFonts w:hint="eastAsia"/>
          <w:b/>
          <w:bCs/>
        </w:rPr>
      </w:pPr>
      <w:r>
        <w:rPr>
          <w:rFonts w:hint="eastAsia"/>
          <w:b/>
          <w:bCs/>
          <w:lang w:val="en-US" w:eastAsia="zh-CN"/>
        </w:rPr>
        <w:t>七、</w:t>
      </w:r>
      <w:r>
        <w:rPr>
          <w:b/>
          <w:bCs/>
        </w:rPr>
        <w:t>一般公共预算</w:t>
      </w:r>
      <w:r>
        <w:rPr>
          <w:b/>
          <w:bCs/>
          <w:lang w:val="zh-CN" w:eastAsia="zh-CN" w:bidi="zh-CN"/>
        </w:rPr>
        <w:t>“三</w:t>
      </w:r>
      <w:r>
        <w:rPr>
          <w:b/>
          <w:bCs/>
        </w:rPr>
        <w:t>公”</w:t>
      </w:r>
      <w:r>
        <w:rPr>
          <w:rFonts w:hint="eastAsia"/>
          <w:b/>
          <w:bCs/>
        </w:rPr>
        <w:t>经费支出情况说明</w:t>
      </w:r>
    </w:p>
    <w:p>
      <w:pPr>
        <w:pStyle w:val="16"/>
        <w:numPr>
          <w:ilvl w:val="0"/>
          <w:numId w:val="0"/>
        </w:numPr>
        <w:spacing w:after="0"/>
        <w:jc w:val="left"/>
        <w:rPr>
          <w:rFonts w:hint="eastAsia"/>
          <w:b/>
          <w:bCs/>
        </w:rPr>
      </w:pP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324"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6"/>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0.00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0.00</w:t>
      </w:r>
      <w:r>
        <w:rPr>
          <w:rFonts w:hint="eastAsia"/>
          <w:b w:val="0"/>
          <w:bCs w:val="0"/>
          <w:sz w:val="28"/>
          <w:szCs w:val="28"/>
        </w:rPr>
        <w:t>万元，同口径较2023年度预算数</w:t>
      </w:r>
      <w:r>
        <w:rPr>
          <w:rFonts w:hint="eastAsia"/>
          <w:b w:val="0"/>
          <w:bCs w:val="0"/>
          <w:sz w:val="28"/>
          <w:szCs w:val="28"/>
          <w:lang w:val="en-US" w:eastAsia="zh-CN"/>
        </w:rPr>
        <w:t>0.00</w:t>
      </w:r>
      <w:r>
        <w:rPr>
          <w:rFonts w:hint="eastAsia"/>
          <w:b w:val="0"/>
          <w:bCs w:val="0"/>
          <w:sz w:val="28"/>
          <w:szCs w:val="28"/>
        </w:rPr>
        <w:t>万元，</w:t>
      </w:r>
      <w:r>
        <w:rPr>
          <w:rFonts w:hint="eastAsia"/>
          <w:b w:val="0"/>
          <w:bCs w:val="0"/>
          <w:sz w:val="28"/>
          <w:szCs w:val="28"/>
          <w:lang w:val="en-US" w:eastAsia="zh-CN"/>
        </w:rPr>
        <w:t>增长0.00</w:t>
      </w:r>
      <w:r>
        <w:rPr>
          <w:rFonts w:hint="eastAsia"/>
          <w:b w:val="0"/>
          <w:bCs w:val="0"/>
          <w:sz w:val="28"/>
          <w:szCs w:val="28"/>
        </w:rPr>
        <w:t>万元，</w:t>
      </w:r>
      <w:r>
        <w:rPr>
          <w:rFonts w:hint="eastAsia"/>
          <w:b w:val="0"/>
          <w:bCs w:val="0"/>
          <w:sz w:val="28"/>
          <w:szCs w:val="28"/>
          <w:lang w:val="en-US" w:eastAsia="zh-CN"/>
        </w:rPr>
        <w:t>增长0%</w:t>
      </w:r>
      <w:r>
        <w:rPr>
          <w:rFonts w:hint="eastAsia"/>
          <w:b w:val="0"/>
          <w:bCs w:val="0"/>
          <w:sz w:val="28"/>
          <w:szCs w:val="28"/>
        </w:rPr>
        <w:t>，具体如下：</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本部门2024年度没有财政拨款“三公”经费收入，也没有财政拨款“三公”经费安排的支出，故本内容无数据”</w:t>
      </w:r>
      <w:r>
        <w:rPr>
          <w:rFonts w:hint="eastAsia"/>
          <w:b w:val="0"/>
          <w:bCs w:val="0"/>
          <w:sz w:val="28"/>
          <w:szCs w:val="28"/>
        </w:rPr>
        <w:t>。</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本部门2024年度没有公务接待费</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主要原因是实行公务用车管理制度改革后，单位不能再购置公务用车</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主要原因是实行公务用车管理制度改革后，单位不能再购置公务用车</w:t>
      </w:r>
      <w:r>
        <w:rPr>
          <w:rFonts w:hint="eastAsia"/>
          <w:b w:val="0"/>
          <w:bCs w:val="0"/>
          <w:sz w:val="28"/>
          <w:szCs w:val="28"/>
        </w:rPr>
        <w:t>。</w:t>
      </w:r>
    </w:p>
    <w:p>
      <w:pPr>
        <w:pStyle w:val="16"/>
        <w:tabs>
          <w:tab w:val="left" w:pos="1235"/>
        </w:tabs>
        <w:spacing w:after="0" w:line="624" w:lineRule="exact"/>
        <w:ind w:firstLine="580"/>
        <w:jc w:val="left"/>
        <w:rPr>
          <w:b/>
          <w:bCs/>
        </w:rPr>
      </w:pPr>
      <w:r>
        <w:rPr>
          <w:b/>
          <w:bCs/>
        </w:rPr>
        <w:t>八</w:t>
      </w:r>
      <w:bookmarkEnd w:id="14"/>
      <w:r>
        <w:rPr>
          <w:b/>
          <w:bCs/>
        </w:rPr>
        <w:t>、</w:t>
      </w:r>
      <w:r>
        <w:rPr>
          <w:b/>
          <w:bCs/>
        </w:rPr>
        <w:tab/>
      </w:r>
      <w:r>
        <w:rPr>
          <w:b/>
          <w:bCs/>
        </w:rPr>
        <w:t>政府性基金预算支出情况说明</w:t>
      </w:r>
    </w:p>
    <w:p>
      <w:pPr>
        <w:pStyle w:val="18"/>
        <w:spacing w:line="629" w:lineRule="exact"/>
        <w:ind w:firstLine="600"/>
        <w:jc w:val="left"/>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0.00</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增加0.00</w:t>
      </w:r>
      <w:r>
        <w:rPr>
          <w:rFonts w:hint="eastAsia"/>
        </w:rPr>
        <w:t>万元，</w:t>
      </w:r>
      <w:r>
        <w:rPr>
          <w:rFonts w:hint="eastAsia"/>
          <w:b w:val="0"/>
          <w:bCs w:val="0"/>
          <w:sz w:val="28"/>
          <w:szCs w:val="28"/>
          <w:lang w:eastAsia="zh-CN"/>
        </w:rPr>
        <w:t>增长0%</w:t>
      </w:r>
      <w:r>
        <w:rPr>
          <w:rFonts w:hint="eastAsia"/>
        </w:rPr>
        <w:t>，主要原因是</w:t>
      </w:r>
      <w:r>
        <w:rPr>
          <w:rFonts w:hint="eastAsia"/>
          <w:highlight w:val="none"/>
          <w:lang w:val="en-US" w:eastAsia="zh-CN"/>
        </w:rPr>
        <w:t>学校2024年度没有政府性基金预算财政拨款收入，也没有政府性基金预算财政拨款安排的支出，故本内容无数据</w:t>
      </w:r>
      <w:r>
        <w:rPr>
          <w:rFonts w:hint="eastAsia"/>
        </w:rPr>
        <w:t>。</w:t>
      </w:r>
    </w:p>
    <w:p>
      <w:pPr>
        <w:pStyle w:val="16"/>
        <w:tabs>
          <w:tab w:val="left" w:pos="1235"/>
        </w:tabs>
        <w:spacing w:after="0" w:line="624" w:lineRule="exact"/>
        <w:ind w:firstLine="580"/>
        <w:jc w:val="left"/>
        <w:rPr>
          <w:b/>
          <w:bCs/>
        </w:rPr>
      </w:pPr>
      <w:bookmarkStart w:id="15" w:name="bookmark91"/>
      <w:r>
        <w:rPr>
          <w:b/>
          <w:bCs/>
        </w:rPr>
        <w:t>九</w:t>
      </w:r>
      <w:bookmarkEnd w:id="15"/>
      <w:r>
        <w:rPr>
          <w:b/>
          <w:bCs/>
        </w:rPr>
        <w:t>、</w:t>
      </w:r>
      <w:r>
        <w:rPr>
          <w:b/>
          <w:bCs/>
        </w:rPr>
        <w:tab/>
      </w:r>
      <w:r>
        <w:rPr>
          <w:b/>
          <w:bCs/>
        </w:rPr>
        <w:t>国有资本经营预算支出情况说明</w:t>
      </w:r>
    </w:p>
    <w:p>
      <w:pPr>
        <w:pStyle w:val="18"/>
        <w:spacing w:line="437" w:lineRule="auto"/>
        <w:ind w:firstLine="600"/>
        <w:jc w:val="left"/>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学校2024年没有国有资本经营预算财政拨款收入，也没有国有资本经营预算财政拨款安排的支出，故本内容无数据</w:t>
      </w:r>
      <w:r>
        <w:rPr>
          <w:rFonts w:hint="eastAsia"/>
        </w:rPr>
        <w:t>。</w:t>
      </w:r>
    </w:p>
    <w:p>
      <w:pPr>
        <w:pStyle w:val="16"/>
        <w:tabs>
          <w:tab w:val="left" w:pos="1235"/>
        </w:tabs>
        <w:spacing w:after="0" w:line="624" w:lineRule="exact"/>
        <w:ind w:firstLine="580"/>
        <w:jc w:val="left"/>
        <w:rPr>
          <w:b/>
          <w:bCs/>
        </w:rPr>
      </w:pPr>
      <w:r>
        <w:rPr>
          <w:b/>
          <w:bCs/>
        </w:rPr>
        <w:t>十、其他重要事项</w:t>
      </w:r>
      <w:r>
        <w:rPr>
          <w:rFonts w:hint="eastAsia"/>
          <w:b/>
          <w:bCs/>
          <w:lang w:val="en-US" w:eastAsia="zh-CN"/>
        </w:rPr>
        <w:t>情况</w:t>
      </w:r>
      <w:r>
        <w:rPr>
          <w:b/>
          <w:bCs/>
        </w:rPr>
        <w:t>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2024</w:t>
      </w:r>
      <w:r>
        <w:rPr>
          <w:rFonts w:hint="eastAsia" w:ascii="宋体" w:hAnsi="宋体" w:eastAsia="宋体" w:cs="宋体"/>
          <w:sz w:val="28"/>
          <w:szCs w:val="28"/>
          <w:lang w:eastAsia="zh-CN"/>
        </w:rPr>
        <w:t>年本部门机关运行经费预算</w:t>
      </w:r>
      <w:r>
        <w:rPr>
          <w:rFonts w:hint="eastAsia" w:ascii="宋体" w:hAnsi="宋体" w:eastAsia="宋体" w:cs="宋体"/>
          <w:sz w:val="28"/>
          <w:szCs w:val="28"/>
          <w:lang w:val="en-US" w:eastAsia="zh-CN"/>
        </w:rPr>
        <w:t>12.15</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8.31</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增加3.84</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增长46.21%</w:t>
      </w:r>
      <w:r>
        <w:rPr>
          <w:rFonts w:hint="eastAsia" w:ascii="宋体" w:hAnsi="宋体" w:eastAsia="宋体" w:cs="宋体"/>
          <w:sz w:val="28"/>
          <w:szCs w:val="28"/>
          <w:lang w:eastAsia="zh-CN"/>
        </w:rPr>
        <w:t>，主要原因是：</w:t>
      </w:r>
      <w:r>
        <w:rPr>
          <w:rFonts w:hint="eastAsia"/>
          <w:highlight w:val="none"/>
          <w:lang w:val="en-US" w:eastAsia="zh-CN"/>
        </w:rPr>
        <w:t>工会会员人数增加，所以预算数增加，主要用于学校工会活动，如文体比赛活动、节日慰问、红白喜事慰问、教师医疗互助等方面支出</w:t>
      </w:r>
      <w:r>
        <w:rPr>
          <w:rFonts w:hint="eastAsia" w:ascii="宋体" w:hAnsi="宋体" w:eastAsia="宋体" w:cs="宋体"/>
          <w:sz w:val="28"/>
          <w:szCs w:val="28"/>
          <w:lang w:eastAsia="zh-CN"/>
        </w:rPr>
        <w:t>。</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spacing w:line="624" w:lineRule="exact"/>
        <w:ind w:firstLine="600"/>
        <w:jc w:val="left"/>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highlight w:val="none"/>
          <w:lang w:val="en-US" w:eastAsia="zh-CN"/>
        </w:rPr>
        <w:t>0</w:t>
      </w:r>
      <w:r>
        <w:rPr>
          <w:rFonts w:hint="eastAsia" w:ascii="宋体" w:hAnsi="宋体" w:eastAsia="宋体" w:cs="宋体"/>
          <w:sz w:val="28"/>
          <w:szCs w:val="28"/>
          <w:lang w:eastAsia="zh-CN"/>
        </w:rPr>
        <w:t>万元。其中：货物类采购</w:t>
      </w:r>
      <w:r>
        <w:rPr>
          <w:rFonts w:hint="eastAsia"/>
          <w:highlight w:val="none"/>
          <w:lang w:val="en-US" w:eastAsia="zh-CN"/>
        </w:rPr>
        <w:t>0</w:t>
      </w:r>
      <w:r>
        <w:rPr>
          <w:rFonts w:hint="eastAsia" w:ascii="宋体" w:hAnsi="宋体" w:eastAsia="宋体" w:cs="宋体"/>
          <w:sz w:val="28"/>
          <w:szCs w:val="28"/>
          <w:lang w:eastAsia="zh-CN"/>
        </w:rPr>
        <w:t>万元、工程类采购</w:t>
      </w:r>
      <w:r>
        <w:rPr>
          <w:rFonts w:hint="eastAsia"/>
          <w:highlight w:val="none"/>
          <w:lang w:val="en-US" w:eastAsia="zh-CN"/>
        </w:rPr>
        <w:t>0</w:t>
      </w:r>
      <w:r>
        <w:rPr>
          <w:rFonts w:hint="eastAsia" w:ascii="宋体" w:hAnsi="宋体" w:eastAsia="宋体" w:cs="宋体"/>
          <w:sz w:val="28"/>
          <w:szCs w:val="28"/>
          <w:lang w:eastAsia="zh-CN"/>
        </w:rPr>
        <w:t>万元、服务类采购</w:t>
      </w:r>
      <w:r>
        <w:rPr>
          <w:rFonts w:hint="eastAsia"/>
          <w:highlight w:val="none"/>
          <w:lang w:val="en-US" w:eastAsia="zh-CN"/>
        </w:rPr>
        <w:t>0</w:t>
      </w:r>
      <w:r>
        <w:rPr>
          <w:rFonts w:hint="eastAsia" w:ascii="宋体" w:hAnsi="宋体" w:eastAsia="宋体" w:cs="宋体"/>
          <w:sz w:val="28"/>
          <w:szCs w:val="28"/>
          <w:lang w:eastAsia="zh-CN"/>
        </w:rPr>
        <w:t>万元。</w:t>
      </w:r>
      <w:r>
        <w:rPr>
          <w:rFonts w:hint="eastAsia" w:cs="宋体"/>
          <w:sz w:val="28"/>
          <w:szCs w:val="28"/>
          <w:lang w:val="en-US" w:eastAsia="zh-CN"/>
        </w:rPr>
        <w:t>主要用于：</w:t>
      </w:r>
      <w:r>
        <w:rPr>
          <w:rFonts w:hint="eastAsia"/>
          <w:highlight w:val="none"/>
          <w:lang w:val="en-US" w:eastAsia="zh-CN"/>
        </w:rPr>
        <w:t>政府采购预算无安排</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0</w:t>
      </w:r>
      <w:r>
        <w:rPr>
          <w:rFonts w:hint="eastAsia" w:ascii="宋体" w:hAnsi="宋体" w:eastAsia="宋体" w:cs="宋体"/>
          <w:sz w:val="28"/>
          <w:szCs w:val="28"/>
          <w:lang w:eastAsia="zh-CN"/>
        </w:rPr>
        <w:t>辆，其中，应急机要通信用车</w:t>
      </w:r>
      <w:r>
        <w:rPr>
          <w:rFonts w:hint="eastAsia"/>
          <w:highlight w:val="none"/>
          <w:lang w:val="en-US" w:eastAsia="zh-CN"/>
        </w:rPr>
        <w:t>0</w:t>
      </w:r>
      <w:r>
        <w:rPr>
          <w:rFonts w:hint="eastAsia" w:ascii="宋体" w:hAnsi="宋体" w:eastAsia="宋体" w:cs="宋体"/>
          <w:sz w:val="28"/>
          <w:szCs w:val="28"/>
          <w:lang w:eastAsia="zh-CN"/>
        </w:rPr>
        <w:t>辆、一般执法执勤用车</w:t>
      </w:r>
      <w:r>
        <w:rPr>
          <w:rFonts w:hint="eastAsia"/>
          <w:highlight w:val="none"/>
          <w:lang w:val="en-US" w:eastAsia="zh-CN"/>
        </w:rPr>
        <w:t>0</w:t>
      </w:r>
      <w:r>
        <w:rPr>
          <w:rFonts w:hint="eastAsia" w:ascii="宋体" w:hAnsi="宋体" w:eastAsia="宋体" w:cs="宋体"/>
          <w:sz w:val="28"/>
          <w:szCs w:val="28"/>
          <w:lang w:eastAsia="zh-CN"/>
        </w:rPr>
        <w:t>辆、特种专业技术用车</w:t>
      </w:r>
      <w:r>
        <w:rPr>
          <w:rFonts w:hint="eastAsia"/>
          <w:highlight w:val="none"/>
          <w:lang w:val="en-US" w:eastAsia="zh-CN"/>
        </w:rPr>
        <w:t>0</w:t>
      </w:r>
      <w:r>
        <w:rPr>
          <w:rFonts w:hint="eastAsia" w:ascii="宋体" w:hAnsi="宋体" w:eastAsia="宋体" w:cs="宋体"/>
          <w:sz w:val="28"/>
          <w:szCs w:val="28"/>
          <w:lang w:eastAsia="zh-CN"/>
        </w:rPr>
        <w:t>辆、其他用车</w:t>
      </w:r>
      <w:r>
        <w:rPr>
          <w:rFonts w:hint="eastAsia"/>
          <w:highlight w:val="none"/>
          <w:lang w:val="en-US" w:eastAsia="zh-CN"/>
        </w:rPr>
        <w:t>0</w:t>
      </w:r>
      <w:r>
        <w:rPr>
          <w:rFonts w:hint="eastAsia" w:ascii="宋体" w:hAnsi="宋体" w:eastAsia="宋体" w:cs="宋体"/>
          <w:sz w:val="28"/>
          <w:szCs w:val="28"/>
          <w:lang w:eastAsia="zh-CN"/>
        </w:rPr>
        <w:t>辆，单位价值200万元以上大型设备</w:t>
      </w:r>
      <w:r>
        <w:rPr>
          <w:rFonts w:hint="eastAsia"/>
          <w:highlight w:val="none"/>
          <w:lang w:val="en-US" w:eastAsia="zh-CN"/>
        </w:rPr>
        <w:t>0</w:t>
      </w:r>
      <w:r>
        <w:rPr>
          <w:rFonts w:hint="eastAsia" w:ascii="宋体" w:hAnsi="宋体" w:eastAsia="宋体" w:cs="宋体"/>
          <w:sz w:val="28"/>
          <w:szCs w:val="28"/>
          <w:lang w:eastAsia="zh-CN"/>
        </w:rPr>
        <w:t>台（套）。</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4</w:t>
      </w:r>
      <w:r>
        <w:rPr>
          <w:rFonts w:hint="eastAsia" w:ascii="宋体" w:hAnsi="宋体" w:eastAsia="宋体" w:cs="宋体"/>
          <w:sz w:val="28"/>
          <w:szCs w:val="28"/>
          <w:lang w:eastAsia="zh-CN"/>
        </w:rPr>
        <w:t>个，预算资金</w:t>
      </w:r>
      <w:r>
        <w:rPr>
          <w:rFonts w:hint="eastAsia"/>
          <w:highlight w:val="none"/>
          <w:lang w:val="en-US" w:eastAsia="zh-CN"/>
        </w:rPr>
        <w:t>22.98</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spacing w:line="624" w:lineRule="exact"/>
        <w:ind w:firstLine="600"/>
        <w:jc w:val="left"/>
        <w:rPr>
          <w:rFonts w:hint="eastAsia"/>
          <w:highlight w:val="none"/>
          <w:lang w:val="en-US" w:eastAsia="zh-CN"/>
        </w:rPr>
      </w:pPr>
      <w:r>
        <w:rPr>
          <w:rFonts w:hint="eastAsia"/>
          <w:highlight w:val="none"/>
          <w:lang w:val="en-US" w:eastAsia="zh-CN"/>
        </w:rPr>
        <w:t>2024年我单位项目绩效考评3个。</w:t>
      </w:r>
    </w:p>
    <w:p>
      <w:pPr>
        <w:pStyle w:val="18"/>
        <w:spacing w:line="624" w:lineRule="exact"/>
        <w:ind w:firstLine="600"/>
        <w:jc w:val="left"/>
        <w:rPr>
          <w:rFonts w:hint="eastAsia"/>
          <w:highlight w:val="none"/>
          <w:lang w:val="en-US" w:eastAsia="zh-CN"/>
        </w:rPr>
      </w:pPr>
      <w:r>
        <w:rPr>
          <w:rFonts w:hint="eastAsia"/>
          <w:highlight w:val="none"/>
          <w:lang w:val="en-US" w:eastAsia="zh-CN"/>
        </w:rPr>
        <w:t>一是义务教育中央级公用经费，桂财教〔2022〕123号关于提前下达2023年城乡义务教育中央自治区补助经费预算的通知，预算金额2.69万元，年度绩效目标是通过义务教育中央级公用经费的拨付，保障学校各项工作的正常开展，提高教育教学质量。二是桂财教〔2022〕123号关于提前下达2023年城乡义务教育中央自治区补助经费预算的通知（营养膳食补助）的拨付，预算金额19.56万元提高学生生活水平，促进身体健康成长。</w:t>
      </w:r>
    </w:p>
    <w:p>
      <w:pPr>
        <w:pStyle w:val="18"/>
        <w:spacing w:line="624" w:lineRule="exact"/>
        <w:ind w:firstLine="600"/>
        <w:jc w:val="left"/>
        <w:rPr>
          <w:rFonts w:hint="eastAsia"/>
          <w:highlight w:val="none"/>
          <w:lang w:val="en-US" w:eastAsia="zh-CN"/>
        </w:rPr>
      </w:pPr>
      <w:r>
        <w:rPr>
          <w:rFonts w:hint="eastAsia"/>
          <w:highlight w:val="none"/>
          <w:lang w:val="en-US" w:eastAsia="zh-CN"/>
        </w:rPr>
        <w:t>三是自治区公用经费，桂财教〔2022〕123号关于提前下达2023年城乡义务教育中央自治区补助经费预算的通知，预算金额0.59万元，四是公用经费（特教）自治区公用经费预算金额0.14万元，年度绩效目标是通过义务教育中央级公用经费的拨付，保障学校各项工作的正常开展，提高教育教学质量，年内支付完成</w:t>
      </w:r>
    </w:p>
    <w:p>
      <w:pPr>
        <w:pStyle w:val="18"/>
        <w:spacing w:line="624" w:lineRule="exact"/>
        <w:ind w:firstLine="600"/>
        <w:jc w:val="left"/>
        <w:rPr>
          <w:rFonts w:hint="eastAsia"/>
          <w:highlight w:val="none"/>
          <w:lang w:val="en-US" w:eastAsia="zh-CN"/>
        </w:rPr>
      </w:pPr>
    </w:p>
    <w:p>
      <w:pPr>
        <w:pStyle w:val="18"/>
        <w:spacing w:line="624" w:lineRule="exact"/>
        <w:ind w:firstLine="600"/>
        <w:jc w:val="left"/>
        <w:rPr>
          <w:rFonts w:hint="default"/>
          <w:highlight w:val="none"/>
          <w:lang w:val="en-US" w:eastAsia="zh-CN"/>
        </w:rPr>
        <w:sectPr>
          <w:headerReference r:id="rId4" w:type="default"/>
          <w:footerReference r:id="rId5" w:type="default"/>
          <w:pgSz w:w="11900" w:h="16840"/>
          <w:pgMar w:top="1440" w:right="1800" w:bottom="1440" w:left="1800" w:header="0" w:footer="3" w:gutter="0"/>
          <w:pgBorders>
            <w:top w:val="none" w:sz="0" w:space="0"/>
            <w:left w:val="none" w:sz="0" w:space="0"/>
            <w:bottom w:val="none" w:sz="0" w:space="0"/>
            <w:right w:val="none" w:sz="0" w:space="0"/>
          </w:pgBorders>
          <w:cols w:space="720" w:num="1"/>
          <w:docGrid w:linePitch="360" w:charSpace="0"/>
        </w:sectPr>
      </w:pPr>
    </w:p>
    <w:bookmarkEnd w:id="10"/>
    <w:bookmarkEnd w:id="11"/>
    <w:bookmarkEnd w:id="12"/>
    <w:p>
      <w:pPr>
        <w:pStyle w:val="12"/>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环江毛南族自治县第七小学</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22"/>
        <w:keepNext/>
        <w:keepLines/>
        <w:spacing w:after="240"/>
        <w:jc w:val="center"/>
      </w:pPr>
      <w:bookmarkStart w:id="16" w:name="bookmark31"/>
      <w:bookmarkStart w:id="17" w:name="bookmark29"/>
      <w:bookmarkStart w:id="18" w:name="bookmark30"/>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环江毛南族自治县第七小学</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845.10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12.15</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845.10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684.35</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93.11</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78.48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845.10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868.09</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22.99</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868.09</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868.09</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3" w:gutter="0"/>
          <w:pgBorders>
            <w:top w:val="none" w:sz="0" w:space="0"/>
            <w:left w:val="none" w:sz="0" w:space="0"/>
            <w:bottom w:val="none" w:sz="0" w:space="0"/>
            <w:right w:val="none" w:sz="0" w:space="0"/>
          </w:pgBorders>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环江毛南族自治县第七小学</w:t>
            </w:r>
            <w:r>
              <w:rPr>
                <w:rFonts w:hint="eastAsia"/>
                <w:lang w:val="en-US" w:eastAsia="zh-CN"/>
              </w:rPr>
              <w:t xml:space="preserve">                                                                                  </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left"/>
              <w:rPr>
                <w:rFonts w:hint="eastAsia" w:eastAsia="宋体"/>
                <w:vertAlign w:val="baseline"/>
                <w:lang w:val="en-US" w:eastAsia="zh-CN"/>
              </w:rPr>
            </w:pP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24"/>
              <w:spacing w:line="312" w:lineRule="exact"/>
              <w:ind w:firstLine="0"/>
              <w:jc w:val="left"/>
              <w:rPr>
                <w:sz w:val="17"/>
                <w:szCs w:val="17"/>
              </w:rPr>
            </w:pPr>
            <w:r>
              <w:rPr>
                <w:sz w:val="17"/>
                <w:szCs w:val="17"/>
              </w:rPr>
              <w:t>财政专户管理资金</w:t>
            </w:r>
          </w:p>
          <w:p>
            <w:pPr>
              <w:pStyle w:val="24"/>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24"/>
              <w:spacing w:line="312" w:lineRule="exact"/>
              <w:ind w:firstLine="0"/>
              <w:jc w:val="left"/>
              <w:rPr>
                <w:sz w:val="17"/>
                <w:szCs w:val="17"/>
              </w:rPr>
            </w:pPr>
            <w:r>
              <w:rPr>
                <w:sz w:val="17"/>
                <w:szCs w:val="17"/>
              </w:rPr>
              <w:t>财政专户管理资金</w:t>
            </w:r>
          </w:p>
          <w:p>
            <w:pPr>
              <w:pStyle w:val="24"/>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24"/>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24"/>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24"/>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24"/>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868.09</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868.09</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868.09</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201024</w:t>
            </w:r>
          </w:p>
        </w:tc>
        <w:tc>
          <w:tcPr>
            <w:tcW w:w="1279" w:type="dxa"/>
          </w:tcPr>
          <w:p>
            <w:pPr>
              <w:pStyle w:val="24"/>
              <w:spacing w:line="326" w:lineRule="exact"/>
              <w:ind w:firstLine="0" w:firstLineChars="0"/>
              <w:jc w:val="left"/>
              <w:rPr>
                <w:rFonts w:hint="eastAsia" w:eastAsia="宋体"/>
                <w:vertAlign w:val="baseline"/>
                <w:lang w:val="en-US" w:eastAsia="zh-CN"/>
              </w:rPr>
            </w:pP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868.09</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868.09</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868.09</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26"/>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22"/>
        <w:keepNext/>
        <w:keepLines/>
        <w:spacing w:after="240"/>
        <w:jc w:val="center"/>
      </w:pPr>
      <w:bookmarkStart w:id="19" w:name="bookmark41"/>
      <w:bookmarkStart w:id="20" w:name="bookmark42"/>
      <w:bookmarkStart w:id="21" w:name="bookmark43"/>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环江毛南族自治县第七小学</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868.09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845.10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22.99</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201024</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868.09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845.10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22.99</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12.15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12.15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2050202</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小学教育</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684.20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661.36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22.85</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2050701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特殊学校教育</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0.14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0.14</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93.11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93.11</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78.48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78.48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6"/>
        <w:ind w:left="672"/>
        <w:jc w:val="left"/>
      </w:pPr>
      <w:r>
        <w:t>注：本报表金额单位转换时可能存在四舍五入尾数误差。</w:t>
      </w:r>
      <w:r>
        <w:br w:type="page"/>
      </w:r>
    </w:p>
    <w:p>
      <w:pPr>
        <w:pStyle w:val="22"/>
        <w:keepNext/>
        <w:keepLines/>
        <w:spacing w:after="240"/>
        <w:jc w:val="center"/>
      </w:pPr>
      <w:bookmarkStart w:id="22" w:name="bookmark46"/>
      <w:bookmarkStart w:id="23" w:name="bookmark44"/>
      <w:bookmarkStart w:id="24" w:name="bookmark45"/>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环江毛南族自治县第七小学</w:t>
            </w:r>
            <w:r>
              <w:rPr>
                <w:rFonts w:hint="eastAsia"/>
                <w:sz w:val="17"/>
                <w:szCs w:val="17"/>
                <w:lang w:val="en-US" w:eastAsia="zh-CN"/>
              </w:rPr>
              <w:t xml:space="preserve">                         </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845.10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12.15</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845.10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684.35</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93.11</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78.48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845.10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868.09</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22.99</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868.09</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868.09</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1600"/>
        <w:gridCol w:w="1574"/>
        <w:gridCol w:w="1744"/>
        <w:gridCol w:w="2050"/>
        <w:gridCol w:w="1804"/>
        <w:gridCol w:w="1712"/>
        <w:gridCol w:w="71"/>
        <w:gridCol w:w="167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环江毛南族自治县第七小学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p>
        </w:tc>
        <w:tc>
          <w:tcPr>
            <w:tcW w:w="1676"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201024</w:t>
            </w:r>
          </w:p>
        </w:tc>
        <w:tc>
          <w:tcPr>
            <w:tcW w:w="1662" w:type="dxa"/>
            <w:vAlign w:val="center"/>
          </w:tcPr>
          <w:p>
            <w:pPr>
              <w:pStyle w:val="24"/>
              <w:spacing w:line="240" w:lineRule="auto"/>
              <w:ind w:firstLine="0" w:firstLineChars="0"/>
              <w:jc w:val="center"/>
              <w:rPr>
                <w:rFonts w:hint="eastAsia"/>
                <w:vertAlign w:val="baseline"/>
                <w:lang w:eastAsia="zh-CN"/>
              </w:rPr>
            </w:pP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868.09</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845.10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832.95</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12.15</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22.99</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12.15</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12.15</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12.15</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2050202</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小学教育</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684.20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661.36</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661.36</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22.85</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2050701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特殊学校教育</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0.14</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0.14</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93.11</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93.11</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93.11</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78.48</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78.48</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78.48</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6"/>
      <w:bookmarkStart w:id="26" w:name="bookmark57"/>
      <w:bookmarkStart w:id="27" w:name="bookmark58"/>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环江毛南族自治县第七小学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845.09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832.94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832.92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832.92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279.89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279.89</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19.84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19.84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150.69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150.69</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137.88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137.88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93.11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93.11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37.24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37.24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83.86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83.86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26.28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26.28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12.15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12.15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助学金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6"/>
      <w:bookmarkStart w:id="29" w:name="bookmark67"/>
      <w:bookmarkStart w:id="30" w:name="bookmark65"/>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环江毛南族自治县第七小学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24"/>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201024</w:t>
            </w:r>
          </w:p>
        </w:tc>
        <w:tc>
          <w:tcPr>
            <w:tcW w:w="1918" w:type="dxa"/>
            <w:vAlign w:val="center"/>
          </w:tcPr>
          <w:p>
            <w:pPr>
              <w:pStyle w:val="24"/>
              <w:spacing w:line="240" w:lineRule="auto"/>
              <w:ind w:firstLine="0" w:firstLineChars="0"/>
              <w:jc w:val="left"/>
              <w:rPr>
                <w:rFonts w:hint="eastAsia"/>
                <w:vertAlign w:val="baseline"/>
                <w:lang w:val="en-US" w:eastAsia="zh-CN"/>
              </w:rPr>
            </w:pPr>
          </w:p>
        </w:tc>
        <w:tc>
          <w:tcPr>
            <w:tcW w:w="1884"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5"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0"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7" w:type="dxa"/>
            <w:gridSpan w:val="2"/>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环江毛南族自治县第七小学</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26"/>
              <w:bidi w:val="0"/>
              <w:jc w:val="center"/>
              <w:rPr>
                <w:vertAlign w:val="baseline"/>
              </w:rPr>
            </w:pPr>
            <w:r>
              <w:rPr>
                <w:sz w:val="17"/>
                <w:szCs w:val="17"/>
              </w:rPr>
              <w:t>科目编码</w:t>
            </w:r>
          </w:p>
        </w:tc>
        <w:tc>
          <w:tcPr>
            <w:tcW w:w="2161" w:type="dxa"/>
          </w:tcPr>
          <w:p>
            <w:pPr>
              <w:pStyle w:val="26"/>
              <w:bidi w:val="0"/>
              <w:jc w:val="center"/>
              <w:rPr>
                <w:vertAlign w:val="baseline"/>
              </w:rPr>
            </w:pPr>
            <w:r>
              <w:rPr>
                <w:sz w:val="17"/>
                <w:szCs w:val="17"/>
              </w:rPr>
              <w:t>部门（单位）代码</w:t>
            </w:r>
          </w:p>
        </w:tc>
        <w:tc>
          <w:tcPr>
            <w:tcW w:w="2162" w:type="dxa"/>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2050202</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小学教育</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2050701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特殊学校教育</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bidi w:val="0"/>
              <w:jc w:val="both"/>
              <w:rPr>
                <w:vertAlign w:val="baseline"/>
              </w:rPr>
            </w:pPr>
            <w:r>
              <w:t>注：本报表金额单位转换时可能存在四舍五入尾数误差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环江毛南族自治县第七小学</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环江毛南族自治县第七小学</w:t>
            </w:r>
            <w:r>
              <w:rPr>
                <w:rFonts w:hint="eastAsia" w:cs="宋体"/>
                <w:sz w:val="17"/>
                <w:szCs w:val="17"/>
                <w:lang w:val="en-US" w:eastAsia="zh-CN"/>
              </w:rPr>
              <w:t xml:space="preserve">            </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201024</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环江毛南族自治县第七小学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义务教育中央级公用经费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2.69</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通过义务教育中央级公用经费的拨付，保障学校各项工作的正常开展，提高教育教学质量。</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201024</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环江毛南族自治县第七小学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营养改善计划膳食补助资金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19.56</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 xml:space="preserve">通过学生营养改善计划膳食补助经费开支，解决家庭经济困难生活问题，提高学生的生活质量。  </w:t>
            </w:r>
            <w:r>
              <w:rPr>
                <w:rFonts w:hint="eastAsia" w:ascii="宋体" w:hAnsi="宋体" w:eastAsia="宋体" w:cs="宋体"/>
                <w:b/>
                <w:bCs/>
                <w:sz w:val="17"/>
                <w:szCs w:val="17"/>
                <w:lang w:val="en-US" w:eastAsia="zh-CN"/>
              </w:rPr>
              <w:tab/>
            </w:r>
            <w:r>
              <w:rPr>
                <w:rFonts w:hint="eastAsia" w:ascii="宋体" w:hAnsi="宋体" w:eastAsia="宋体" w:cs="宋体"/>
                <w:b/>
                <w:bCs/>
                <w:sz w:val="17"/>
                <w:szCs w:val="17"/>
                <w:lang w:val="en-US" w:eastAsia="zh-CN"/>
              </w:rPr>
              <w:tab/>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201024</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环江毛南族自治县第七小学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自治区公用经费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0.59</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保障学校正常运转，持续改善学校基本办学条件，促进教育健康发展</w:t>
            </w:r>
            <w:r>
              <w:rPr>
                <w:rFonts w:hint="eastAsia" w:ascii="宋体" w:hAnsi="宋体" w:eastAsia="宋体" w:cs="宋体"/>
                <w:b/>
                <w:bCs/>
                <w:sz w:val="17"/>
                <w:szCs w:val="17"/>
                <w:lang w:val="en-US" w:eastAsia="zh-CN"/>
              </w:rPr>
              <w:tab/>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201024</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环江毛南族自治县第七小学</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公用经费（特教）自治区补助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0.14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公用经费（特教）自治区补助年内支付完成</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p>
    <w:p>
      <w:pPr>
        <w:pStyle w:val="12"/>
        <w:keepNext/>
        <w:keepLines/>
        <w:spacing w:before="200" w:after="0"/>
        <w:jc w:val="center"/>
        <w:rPr>
          <w:sz w:val="40"/>
          <w:szCs w:val="40"/>
        </w:rPr>
      </w:pPr>
      <w:bookmarkStart w:id="31" w:name="bookmark95"/>
      <w:bookmarkStart w:id="32" w:name="bookmark94"/>
      <w:bookmarkStart w:id="33" w:name="bookmark96"/>
      <w:r>
        <w:rPr>
          <w:sz w:val="40"/>
          <w:szCs w:val="40"/>
        </w:rPr>
        <w:t>第四部</w:t>
      </w:r>
      <w:r>
        <w:rPr>
          <w:rFonts w:hint="eastAsia"/>
          <w:sz w:val="40"/>
          <w:szCs w:val="40"/>
          <w:lang w:val="en-US" w:eastAsia="zh-CN"/>
        </w:rPr>
        <w:t xml:space="preserve">  </w:t>
      </w:r>
      <w:r>
        <w:rPr>
          <w:sz w:val="40"/>
          <w:szCs w:val="40"/>
        </w:rPr>
        <w:t>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2" w:type="default"/>
      <w:footerReference r:id="rId13" w:type="default"/>
      <w:type w:val="continuous"/>
      <w:pgSz w:w="11900" w:h="16840"/>
      <w:pgMar w:top="1302" w:right="1735" w:bottom="1568" w:left="1793" w:header="874" w:footer="3"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325"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Y&#10;wIsR2wAAAA0BAAAPAAAAAAAAAAEAIAAAACIAAABkcnMvZG93bnJldi54bWxQSwECFAAUAAAACACH&#10;TuJAl4X1U+gBAADlAwAADgAAAAAAAAABACAAAAAqAQAAZHJzL2Uyb0RvYy54bWxQSwUGAAAAAAYA&#10;BgBZAQAAhAU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326"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Cqm5lY6gEAAOUDAAAOAAAAAAAAAAEAIAAAACoBAABkcnMvZTJvRG9jLnhtbFBLBQYAAAAA&#10;BgAGAFkBAACGBQ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readOnly" w:enforcement="1" w:cryptProviderType="rsaAES" w:cryptAlgorithmClass="hash" w:cryptAlgorithmType="typeAny" w:cryptAlgorithmSid="14" w:cryptSpinCount="100000" w:hash="uxqmK8BP0Tn+xUh3jcnimAhZnb4vJhvuX+G5Y9/tH0Rt2yLmsPDo6SpsU68i0JihARfG4XU7acSdARqFDdwUbQ==" w:salt="B9o8hRoVY/JUOeKTPdKcvg=="/>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TZkYjkwN2Q1MTBhY2U1NDI3ZmEwNzcyMDM4OGMifQ=="/>
  </w:docVars>
  <w:rsids>
    <w:rsidRoot w:val="00000000"/>
    <w:rsid w:val="777528E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autoRedefine/>
    <w:qFormat/>
    <w:uiPriority w:val="0"/>
  </w:style>
  <w:style w:type="character" w:customStyle="1" w:styleId="8">
    <w:name w:val="Comment Reference"/>
    <w:basedOn w:val="6"/>
    <w:autoRedefine/>
    <w:qFormat/>
    <w:uiPriority w:val="0"/>
    <w:rPr>
      <w:sz w:val="21"/>
      <w:szCs w:val="21"/>
    </w:rPr>
  </w:style>
  <w:style w:type="character" w:customStyle="1" w:styleId="9">
    <w:name w:val="Body text|5_"/>
    <w:basedOn w:val="6"/>
    <w:link w:val="10"/>
    <w:autoRedefine/>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autoRedefine/>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autoRedefine/>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autoRedefine/>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autoRedefine/>
    <w:qFormat/>
    <w:uiPriority w:val="0"/>
    <w:rPr>
      <w:sz w:val="20"/>
      <w:szCs w:val="20"/>
      <w:u w:val="none"/>
      <w:shd w:val="clear" w:color="auto" w:fill="auto"/>
      <w:lang w:val="zh-TW" w:eastAsia="zh-TW" w:bidi="zh-TW"/>
    </w:rPr>
  </w:style>
  <w:style w:type="paragraph" w:customStyle="1" w:styleId="14">
    <w:name w:val="Header or footer|2"/>
    <w:basedOn w:val="1"/>
    <w:link w:val="13"/>
    <w:autoRedefine/>
    <w:qFormat/>
    <w:uiPriority w:val="0"/>
    <w:rPr>
      <w:sz w:val="20"/>
      <w:szCs w:val="20"/>
      <w:lang w:val="zh-TW" w:eastAsia="zh-TW" w:bidi="zh-TW"/>
    </w:rPr>
  </w:style>
  <w:style w:type="character" w:customStyle="1" w:styleId="15">
    <w:name w:val="Body text|2_"/>
    <w:basedOn w:val="6"/>
    <w:link w:val="16"/>
    <w:autoRedefine/>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autoRedefine/>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autoRedefine/>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autoRedefine/>
    <w:qFormat/>
    <w:uiPriority w:val="0"/>
    <w:rPr>
      <w:b/>
      <w:bCs/>
      <w:sz w:val="17"/>
      <w:szCs w:val="17"/>
      <w:u w:val="none"/>
      <w:shd w:val="clear" w:color="auto" w:fill="auto"/>
      <w:lang w:val="zh-TW" w:eastAsia="zh-TW" w:bidi="zh-TW"/>
    </w:rPr>
  </w:style>
  <w:style w:type="paragraph" w:customStyle="1" w:styleId="20">
    <w:name w:val="Header or footer|1"/>
    <w:basedOn w:val="1"/>
    <w:link w:val="19"/>
    <w:autoRedefine/>
    <w:qFormat/>
    <w:uiPriority w:val="0"/>
    <w:rPr>
      <w:b/>
      <w:bCs/>
      <w:sz w:val="17"/>
      <w:szCs w:val="17"/>
      <w:lang w:val="zh-TW" w:eastAsia="zh-TW" w:bidi="zh-TW"/>
    </w:rPr>
  </w:style>
  <w:style w:type="character" w:customStyle="1" w:styleId="21">
    <w:name w:val="Heading #2|1_"/>
    <w:basedOn w:val="6"/>
    <w:link w:val="22"/>
    <w:autoRedefine/>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autoRedefine/>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autoRedefine/>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autoRedefine/>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autoRedefine/>
    <w:qFormat/>
    <w:uiPriority w:val="0"/>
    <w:rPr>
      <w:rFonts w:ascii="宋体" w:hAnsi="宋体" w:eastAsia="宋体" w:cs="宋体"/>
      <w:sz w:val="17"/>
      <w:szCs w:val="17"/>
      <w:lang w:val="zh-TW" w:eastAsia="zh-TW" w:bidi="zh-TW"/>
    </w:rPr>
  </w:style>
  <w:style w:type="character" w:customStyle="1" w:styleId="27">
    <w:name w:val="Body text|4_"/>
    <w:basedOn w:val="6"/>
    <w:link w:val="28"/>
    <w:autoRedefine/>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autoRedefine/>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autoRedefine/>
    <w:qFormat/>
    <w:uiPriority w:val="0"/>
    <w:rPr>
      <w:sz w:val="30"/>
      <w:szCs w:val="30"/>
      <w:u w:val="none"/>
      <w:shd w:val="clear" w:color="auto" w:fill="auto"/>
      <w:lang w:val="zh-TW" w:eastAsia="zh-TW" w:bidi="zh-TW"/>
    </w:rPr>
  </w:style>
  <w:style w:type="paragraph" w:customStyle="1" w:styleId="30">
    <w:name w:val="Body text|3"/>
    <w:basedOn w:val="1"/>
    <w:link w:val="29"/>
    <w:autoRedefine/>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868.09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formatCode>General</c:formatCode>
                <c:ptCount val="4"/>
                <c:pt idx="0">
                  <c:v>12.15</c:v>
                </c:pt>
                <c:pt idx="1">
                  <c:v>661.36</c:v>
                </c:pt>
                <c:pt idx="2">
                  <c:v>93.11</c:v>
                </c:pt>
                <c:pt idx="3">
                  <c:v>78.48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521.13</c:v>
                </c:pt>
                <c:pt idx="1">
                  <c:v>521.13</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845.1</c:v>
                </c:pt>
                <c:pt idx="1">
                  <c:v>845.1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845.1</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0</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12.15</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832.95</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832.95</c:v>
                </c:pt>
                <c:pt idx="1">
                  <c:v>12.15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c3baa-c671-4215-8603-a6a4a8a94027}">
  <ds:schemaRefs/>
</ds:datastoreItem>
</file>

<file path=customXml/itemProps3.xml><?xml version="1.0" encoding="utf-8"?>
<ds:datastoreItem xmlns:ds="http://schemas.openxmlformats.org/officeDocument/2006/customXml" ds:itemID="{8d320b05-a042-4892-b0e9-700f29d7109d}">
  <ds:schemaRefs/>
</ds:datastoreItem>
</file>

<file path=customXml/itemProps4.xml><?xml version="1.0" encoding="utf-8"?>
<ds:datastoreItem xmlns:ds="http://schemas.openxmlformats.org/officeDocument/2006/customXml" ds:itemID="{80fb8445-ab0e-4261-aadb-a603aaff8bf7}">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全</cp:lastModifiedBy>
  <dcterms:modified xsi:type="dcterms:W3CDTF">2024-02-29T09:20:03Z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D057E16FF2554D92B5D85978A2359D6F_13</vt:lpwstr>
  </property>
</Properties>
</file>