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环江毛南族自治县第六小学</w:t>
      </w:r>
    </w:p>
    <w:p>
      <w:pPr>
        <w:pStyle w:val="10"/>
        <w:jc w:val="center"/>
        <w:rPr>
          <w:sz w:val="56"/>
          <w:szCs w:val="56"/>
        </w:rPr>
        <w:sectPr>
          <w:headerReference r:id="rId3" w:type="default"/>
          <w:footerReference r:id="rId4" w:type="default"/>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1"/>
      <w:bookmarkStart w:id="1" w:name="bookmark2"/>
      <w:bookmarkStart w:id="2" w:name="bookmark0"/>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环江毛南族自治县第六小学单位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环江毛南族自治县第六小学2024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环江毛南族自治县第六小学2024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5"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第一部分</w:t>
      </w:r>
      <w:r>
        <w:rPr>
          <w:rFonts w:hint="eastAsia"/>
          <w:b/>
          <w:bCs/>
          <w:sz w:val="40"/>
          <w:szCs w:val="40"/>
          <w:lang w:eastAsia="zh-CN"/>
        </w:rPr>
        <w:t>：</w:t>
      </w:r>
      <w:r>
        <w:rPr>
          <w:b/>
          <w:sz w:val="40"/>
          <w:u w:color="auto"/>
        </w:rPr>
        <w:t>环江毛南族自治县第六小学</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（一）贯彻党的教育方针，坚持社会主义办学方向，实行教育与生产劳动相结合，对学生进行德育、智育、体育、美育和劳动等方面的教育。</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（二）编制本校小学教育发展规划并检查实施情况，向上级教育局作出报告</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（三）负责配合各级人民政府依法动员、组织适龄儿童、少年入学，严格控制学生辍学，依法保证适龄儿童、少年接受九年义务教育。</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（四）负责制定学校教育发展规划，并抓好组织实施和落实工作。</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（五）负责按照教育主管部门发布的指导性教学计划、教学大纲，组织实施教育教学活动。</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（六）负责依据国家教育主管部门有关教学计划、课程设置等方面的规定，决定和实施本校的教学计划，组织教学评比、集体备课，对学生进行统考核、考试等。</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（七）负责学籍管理并对学生实施奖励或处分</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（八）负责依法制定本校教师及其他职工聘任办法并对教师及其他员工实施包括奖励、处分在内的具体管理活动，依法聘任、解聘有关教师和其他职工。</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（九）负责聘任、培训、考核教师，依法奖励或处分教师和其他职工</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（十）负责科学管理、合理使用学校的设施和经费并积极筹措资金，改善办学条件。</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（十一）负责维护学校、师生的合法权益，有权拒绝任何组织和个人对教育教学活动进行非法干</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（十二）完成自治县教育局交办的其他工作</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预算为环江毛南族自治县第六小学本级预算，环江毛南族自治县第六小学内设机构：校长室、工会党建室、工会室、政教处、教务处、后勤处、财务室有七个职能室。2024年学校在职在编77人，包括7人教师控制数</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环江毛南族自治县第六小学</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1101.27</w:t>
      </w:r>
      <w:r>
        <w:rPr>
          <w:rFonts w:hint="eastAsia"/>
          <w:b w:val="0"/>
          <w:bCs w:val="0"/>
          <w:sz w:val="28"/>
          <w:szCs w:val="28"/>
        </w:rPr>
        <w:t>万元，总支出</w:t>
      </w:r>
      <w:r>
        <w:rPr>
          <w:rFonts w:hint="eastAsia"/>
          <w:sz w:val="28"/>
          <w:szCs w:val="28"/>
          <w:lang w:val="en-US" w:eastAsia="zh-CN"/>
        </w:rPr>
        <w:t>1101.27</w:t>
      </w:r>
      <w:r>
        <w:rPr>
          <w:rFonts w:hint="eastAsia"/>
          <w:b w:val="0"/>
          <w:bCs w:val="0"/>
          <w:sz w:val="28"/>
          <w:szCs w:val="28"/>
        </w:rPr>
        <w:t>万元。总收入较2023年度预算数</w:t>
      </w:r>
      <w:r>
        <w:rPr>
          <w:rFonts w:hint="eastAsia"/>
          <w:sz w:val="28"/>
          <w:szCs w:val="28"/>
          <w:lang w:val="en-US" w:eastAsia="zh-CN"/>
        </w:rPr>
        <w:t>773.90</w:t>
      </w:r>
      <w:r>
        <w:rPr>
          <w:rFonts w:hint="eastAsia"/>
          <w:b w:val="0"/>
          <w:bCs w:val="0"/>
          <w:sz w:val="28"/>
          <w:szCs w:val="28"/>
        </w:rPr>
        <w:t>万元，</w:t>
      </w:r>
      <w:r>
        <w:rPr>
          <w:rFonts w:hint="eastAsia"/>
          <w:sz w:val="28"/>
          <w:szCs w:val="28"/>
        </w:rPr>
        <w:t>增加327.37</w:t>
      </w:r>
      <w:r>
        <w:rPr>
          <w:rFonts w:hint="eastAsia"/>
          <w:b w:val="0"/>
          <w:bCs w:val="0"/>
          <w:sz w:val="28"/>
          <w:szCs w:val="28"/>
        </w:rPr>
        <w:t>万元，</w:t>
      </w:r>
      <w:r>
        <w:rPr>
          <w:rFonts w:hint="eastAsia"/>
          <w:sz w:val="28"/>
          <w:szCs w:val="28"/>
        </w:rPr>
        <w:t>增长42.30%</w:t>
      </w:r>
      <w:r>
        <w:rPr>
          <w:rFonts w:hint="eastAsia"/>
          <w:b w:val="0"/>
          <w:bCs w:val="0"/>
          <w:sz w:val="28"/>
          <w:szCs w:val="28"/>
        </w:rPr>
        <w:t>，主要原因是</w:t>
      </w:r>
      <w:r>
        <w:rPr>
          <w:rFonts w:hint="eastAsia"/>
          <w:highlight w:val="none"/>
          <w:lang w:val="en-US" w:eastAsia="zh-CN"/>
        </w:rPr>
        <w:t>学生人数增加，班级有30个班，相应的教师数也由57人增加到了77人</w:t>
      </w:r>
      <w:r>
        <w:rPr>
          <w:rFonts w:hint="eastAsia"/>
          <w:b w:val="0"/>
          <w:bCs w:val="0"/>
          <w:sz w:val="28"/>
          <w:szCs w:val="28"/>
        </w:rPr>
        <w:t>。总支出较2023年度预算数</w:t>
      </w:r>
      <w:r>
        <w:rPr>
          <w:rFonts w:hint="eastAsia"/>
          <w:sz w:val="28"/>
          <w:szCs w:val="28"/>
          <w:lang w:val="en-US" w:eastAsia="zh-CN"/>
        </w:rPr>
        <w:t>773.90</w:t>
      </w:r>
      <w:r>
        <w:rPr>
          <w:rFonts w:hint="eastAsia"/>
          <w:b w:val="0"/>
          <w:bCs w:val="0"/>
          <w:sz w:val="28"/>
          <w:szCs w:val="28"/>
        </w:rPr>
        <w:t>万元，</w:t>
      </w:r>
      <w:r>
        <w:rPr>
          <w:rFonts w:hint="eastAsia"/>
          <w:sz w:val="28"/>
          <w:szCs w:val="28"/>
        </w:rPr>
        <w:t>增加327.37</w:t>
      </w:r>
      <w:r>
        <w:rPr>
          <w:rFonts w:hint="eastAsia"/>
          <w:b w:val="0"/>
          <w:bCs w:val="0"/>
          <w:sz w:val="28"/>
          <w:szCs w:val="28"/>
        </w:rPr>
        <w:t>万元，</w:t>
      </w:r>
      <w:r>
        <w:rPr>
          <w:rFonts w:hint="eastAsia"/>
          <w:sz w:val="28"/>
          <w:szCs w:val="28"/>
        </w:rPr>
        <w:t>增长42.30%</w:t>
      </w:r>
      <w:r>
        <w:rPr>
          <w:rFonts w:hint="eastAsia"/>
          <w:b w:val="0"/>
          <w:bCs w:val="0"/>
          <w:sz w:val="28"/>
          <w:szCs w:val="28"/>
        </w:rPr>
        <w:t>，主要原因是</w:t>
      </w:r>
      <w:r>
        <w:rPr>
          <w:rFonts w:hint="eastAsia"/>
          <w:highlight w:val="none"/>
          <w:lang w:val="en-US" w:eastAsia="zh-CN"/>
        </w:rPr>
        <w:t>学生人数增加，班级30个班，相应的教师数也由57人增加到了77人</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1580"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1101.27</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773.90</w:t>
      </w:r>
      <w:r>
        <w:rPr>
          <w:rFonts w:hint="eastAsia" w:ascii="宋体" w:hAnsi="宋体" w:eastAsia="宋体" w:cs="宋体"/>
          <w:sz w:val="28"/>
          <w:szCs w:val="28"/>
          <w:u w:color="auto"/>
        </w:rPr>
        <w:t>万元，</w:t>
      </w:r>
      <w:r>
        <w:rPr>
          <w:rFonts w:hint="eastAsia" w:ascii="宋体" w:hAnsi="宋体" w:eastAsia="宋体" w:cs="宋体"/>
          <w:sz w:val="28"/>
          <w:szCs w:val="28"/>
        </w:rPr>
        <w:t>增加327.37</w:t>
      </w:r>
      <w:r>
        <w:rPr>
          <w:rFonts w:hint="eastAsia" w:ascii="宋体" w:hAnsi="宋体" w:eastAsia="宋体" w:cs="宋体"/>
          <w:sz w:val="28"/>
          <w:szCs w:val="28"/>
          <w:u w:color="auto"/>
        </w:rPr>
        <w:t>万元，</w:t>
      </w:r>
      <w:r>
        <w:rPr>
          <w:rFonts w:hint="eastAsia" w:ascii="宋体" w:hAnsi="宋体" w:eastAsia="宋体" w:cs="宋体"/>
          <w:sz w:val="28"/>
          <w:szCs w:val="28"/>
        </w:rPr>
        <w:t>增长42.30%</w:t>
      </w:r>
      <w:r>
        <w:rPr>
          <w:rFonts w:hint="eastAsia" w:ascii="宋体" w:hAnsi="宋体" w:eastAsia="宋体" w:cs="宋体"/>
          <w:sz w:val="28"/>
          <w:szCs w:val="28"/>
          <w:u w:color="auto"/>
        </w:rPr>
        <w:t>，主要原因是</w:t>
      </w:r>
      <w:r>
        <w:rPr>
          <w:rFonts w:hint="eastAsia"/>
          <w:highlight w:val="none"/>
          <w:lang w:val="en-US" w:eastAsia="zh-CN"/>
        </w:rPr>
        <w:t>学生人数增加，班级30个班，相应的教师数也由57人增加到了77人</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1581"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1101.27</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773.90</w:t>
      </w:r>
      <w:r>
        <w:rPr>
          <w:rFonts w:hint="eastAsia" w:ascii="宋体" w:hAnsi="宋体" w:eastAsia="宋体" w:cs="宋体"/>
          <w:sz w:val="28"/>
          <w:szCs w:val="28"/>
          <w:lang w:eastAsia="zh-CN"/>
        </w:rPr>
        <w:t>万元，</w:t>
      </w:r>
      <w:r>
        <w:rPr>
          <w:rFonts w:hint="eastAsia" w:ascii="宋体" w:hAnsi="宋体" w:eastAsia="宋体" w:cs="宋体"/>
          <w:sz w:val="28"/>
          <w:szCs w:val="28"/>
        </w:rPr>
        <w:t>增加327.37</w:t>
      </w:r>
      <w:r>
        <w:rPr>
          <w:rFonts w:hint="eastAsia" w:ascii="宋体" w:hAnsi="宋体" w:eastAsia="宋体" w:cs="宋体"/>
          <w:sz w:val="28"/>
          <w:szCs w:val="28"/>
          <w:lang w:eastAsia="zh-CN"/>
        </w:rPr>
        <w:t>万元，</w:t>
      </w:r>
      <w:r>
        <w:rPr>
          <w:rFonts w:hint="eastAsia" w:ascii="宋体" w:hAnsi="宋体" w:eastAsia="宋体" w:cs="宋体"/>
          <w:sz w:val="28"/>
          <w:szCs w:val="28"/>
        </w:rPr>
        <w:t>增长42.30%</w:t>
      </w:r>
      <w:r>
        <w:rPr>
          <w:rFonts w:hint="eastAsia" w:ascii="宋体" w:hAnsi="宋体" w:eastAsia="宋体" w:cs="宋体"/>
          <w:sz w:val="28"/>
          <w:szCs w:val="28"/>
          <w:lang w:eastAsia="zh-CN"/>
        </w:rPr>
        <w:t>，主要原因是</w:t>
      </w:r>
      <w:r>
        <w:rPr>
          <w:rFonts w:hint="eastAsia" w:ascii="宋体" w:hAnsi="宋体" w:eastAsia="宋体" w:cs="宋体"/>
          <w:sz w:val="28"/>
          <w:szCs w:val="28"/>
          <w:highlight w:val="none"/>
          <w:lang w:val="en-US" w:eastAsia="zh-CN"/>
        </w:rPr>
        <w:t>学生人数增加，班级30个班，相应的教师数也由57人增加到了77人</w:t>
      </w:r>
      <w:r>
        <w:rPr>
          <w:rFonts w:hint="eastAsia" w:ascii="宋体" w:hAnsi="宋体" w:eastAsia="宋体" w:cs="宋体"/>
          <w:sz w:val="28"/>
          <w:szCs w:val="28"/>
          <w:lang w:eastAsia="zh-CN"/>
        </w:rPr>
        <w:t>。主要包括：</w:t>
      </w:r>
      <w:r>
        <w:rPr>
          <w:rFonts w:hint="eastAsia" w:ascii="宋体" w:hAnsi="宋体" w:eastAsia="宋体" w:cs="宋体"/>
          <w:sz w:val="28"/>
          <w:szCs w:val="28"/>
          <w:highlight w:val="none"/>
          <w:lang w:val="en-US" w:eastAsia="zh-CN"/>
        </w:rPr>
        <w:t>教育支出871.81万元，一般公共服务支出15.30万元，社会保障和就业支出116.35万元，住房保障支出97.81万元</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hint="eastAsia" w:ascii="宋体" w:hAnsi="宋体" w:eastAsia="宋体" w:cs="宋体"/>
          <w:sz w:val="28"/>
          <w:szCs w:val="28"/>
        </w:rPr>
      </w:pPr>
      <w:r>
        <w:rPr>
          <w:rFonts w:hint="eastAsia" w:ascii="宋体" w:hAnsi="宋体" w:eastAsia="宋体" w:cs="宋体"/>
          <w:sz w:val="28"/>
          <w:szCs w:val="28"/>
        </w:rPr>
        <w:t>（一）按支出功能分类科目划分，共分为</w:t>
      </w:r>
      <w:r>
        <w:rPr>
          <w:rFonts w:hint="eastAsia" w:ascii="宋体" w:hAnsi="宋体" w:eastAsia="宋体" w:cs="宋体"/>
          <w:sz w:val="28"/>
          <w:szCs w:val="28"/>
          <w:lang w:val="en-US" w:eastAsia="zh-CN"/>
        </w:rPr>
        <w:t>4</w:t>
      </w:r>
      <w:r>
        <w:rPr>
          <w:rFonts w:hint="eastAsia" w:ascii="宋体" w:hAnsi="宋体" w:eastAsia="宋体" w:cs="宋体"/>
          <w:sz w:val="28"/>
          <w:szCs w:val="28"/>
        </w:rP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1)教育支出</w:t>
      </w:r>
      <w:r>
        <w:rPr>
          <w:rFonts w:hint="eastAsia" w:ascii="宋体" w:hAnsi="宋体" w:eastAsia="宋体" w:cs="宋体"/>
          <w:sz w:val="28"/>
          <w:szCs w:val="28"/>
          <w:lang w:val="en-US" w:eastAsia="zh-CN"/>
        </w:rPr>
        <w:t>871.81</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79.16%</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增长273.60</w:t>
      </w:r>
      <w:r>
        <w:rPr>
          <w:rFonts w:hint="eastAsia" w:ascii="宋体" w:hAnsi="宋体" w:eastAsia="宋体" w:cs="宋体"/>
          <w:sz w:val="28"/>
          <w:szCs w:val="28"/>
        </w:rPr>
        <w:t>万元，</w:t>
      </w:r>
      <w:r>
        <w:rPr>
          <w:rFonts w:hint="eastAsia" w:ascii="宋体" w:hAnsi="宋体" w:eastAsia="宋体" w:cs="宋体"/>
          <w:sz w:val="28"/>
          <w:szCs w:val="28"/>
          <w:lang w:val="en-US" w:eastAsia="zh-CN"/>
        </w:rPr>
        <w:t>增长45.74%</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学生和教师数增加</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2)住房保障支出</w:t>
      </w:r>
      <w:r>
        <w:rPr>
          <w:rFonts w:hint="eastAsia" w:ascii="宋体" w:hAnsi="宋体" w:eastAsia="宋体" w:cs="宋体"/>
          <w:sz w:val="28"/>
          <w:szCs w:val="28"/>
          <w:lang w:val="en-US" w:eastAsia="zh-CN"/>
        </w:rPr>
        <w:t>97.81</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8.88%</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增长27.35</w:t>
      </w:r>
      <w:r>
        <w:rPr>
          <w:rFonts w:hint="eastAsia" w:ascii="宋体" w:hAnsi="宋体" w:eastAsia="宋体" w:cs="宋体"/>
          <w:sz w:val="28"/>
          <w:szCs w:val="28"/>
        </w:rPr>
        <w:t>万元，</w:t>
      </w:r>
      <w:r>
        <w:rPr>
          <w:rFonts w:hint="eastAsia" w:ascii="宋体" w:hAnsi="宋体" w:eastAsia="宋体" w:cs="宋体"/>
          <w:sz w:val="28"/>
          <w:szCs w:val="28"/>
          <w:lang w:val="en-US" w:eastAsia="zh-CN"/>
        </w:rPr>
        <w:t>增长38.82%</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教师数增加</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3)社会保障和就业支出</w:t>
      </w:r>
      <w:r>
        <w:rPr>
          <w:rFonts w:hint="eastAsia" w:ascii="宋体" w:hAnsi="宋体" w:eastAsia="宋体" w:cs="宋体"/>
          <w:sz w:val="28"/>
          <w:szCs w:val="28"/>
          <w:lang w:val="en-US" w:eastAsia="zh-CN"/>
        </w:rPr>
        <w:t>116.35</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10.57%</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增长22.41</w:t>
      </w:r>
      <w:r>
        <w:rPr>
          <w:rFonts w:hint="eastAsia" w:ascii="宋体" w:hAnsi="宋体" w:eastAsia="宋体" w:cs="宋体"/>
          <w:sz w:val="28"/>
          <w:szCs w:val="28"/>
        </w:rPr>
        <w:t>万元，</w:t>
      </w:r>
      <w:r>
        <w:rPr>
          <w:rFonts w:hint="eastAsia" w:ascii="宋体" w:hAnsi="宋体" w:eastAsia="宋体" w:cs="宋体"/>
          <w:sz w:val="28"/>
          <w:szCs w:val="28"/>
          <w:lang w:val="en-US" w:eastAsia="zh-CN"/>
        </w:rPr>
        <w:t>增长23.86%</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教师数增加</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4)一般公共服务支出</w:t>
      </w:r>
      <w:r>
        <w:rPr>
          <w:rFonts w:hint="eastAsia" w:ascii="宋体" w:hAnsi="宋体" w:eastAsia="宋体" w:cs="宋体"/>
          <w:sz w:val="28"/>
          <w:szCs w:val="28"/>
          <w:lang w:val="en-US" w:eastAsia="zh-CN"/>
        </w:rPr>
        <w:t>15.30</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1.39%</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增长4.00</w:t>
      </w:r>
      <w:r>
        <w:rPr>
          <w:rFonts w:hint="eastAsia" w:ascii="宋体" w:hAnsi="宋体" w:eastAsia="宋体" w:cs="宋体"/>
          <w:sz w:val="28"/>
          <w:szCs w:val="28"/>
        </w:rPr>
        <w:t>万元，</w:t>
      </w:r>
      <w:r>
        <w:rPr>
          <w:rFonts w:hint="eastAsia" w:ascii="宋体" w:hAnsi="宋体" w:eastAsia="宋体" w:cs="宋体"/>
          <w:sz w:val="28"/>
          <w:szCs w:val="28"/>
          <w:lang w:val="en-US" w:eastAsia="zh-CN"/>
        </w:rPr>
        <w:t>增长35.40%</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学生和教师数增加</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hint="eastAsia" w:ascii="宋体" w:hAnsi="宋体" w:eastAsia="宋体" w:cs="宋体"/>
          <w:sz w:val="28"/>
          <w:szCs w:val="28"/>
        </w:rPr>
      </w:pPr>
      <w:r>
        <w:rPr>
          <w:rFonts w:hint="eastAsia" w:ascii="宋体" w:hAnsi="宋体" w:eastAsia="宋体" w:cs="宋体"/>
          <w:sz w:val="28"/>
          <w:szCs w:val="28"/>
        </w:rP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基本支出预算</w:t>
      </w:r>
      <w:r>
        <w:rPr>
          <w:rFonts w:hint="eastAsia" w:ascii="宋体" w:hAnsi="宋体" w:eastAsia="宋体" w:cs="宋体"/>
          <w:sz w:val="28"/>
          <w:szCs w:val="28"/>
          <w:lang w:val="en-US" w:eastAsia="zh-CN"/>
        </w:rPr>
        <w:t>1069.74</w:t>
      </w:r>
      <w:r>
        <w:rPr>
          <w:rFonts w:hint="eastAsia" w:ascii="宋体" w:hAnsi="宋体" w:eastAsia="宋体" w:cs="宋体"/>
          <w:sz w:val="28"/>
          <w:szCs w:val="28"/>
        </w:rPr>
        <w:t>万元，占支出预算</w:t>
      </w:r>
      <w:r>
        <w:rPr>
          <w:rFonts w:ascii="宋体" w:hAnsi="宋体" w:eastAsia="宋体" w:cs="宋体"/>
          <w:sz w:val="28"/>
          <w:u w:color="auto"/>
        </w:rPr>
        <w:t>97.14%,比上年增长360.66万元，增长50.86%</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1054.42</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98.57%</w:t>
      </w:r>
      <w:r>
        <w:rPr>
          <w:rFonts w:hint="eastAsia" w:ascii="宋体" w:hAnsi="宋体" w:eastAsia="宋体" w:cs="宋体"/>
          <w:sz w:val="28"/>
          <w:szCs w:val="28"/>
        </w:rPr>
        <w:t>,比上年</w:t>
      </w:r>
      <w:r>
        <w:rPr>
          <w:rFonts w:ascii="宋体" w:hAnsi="宋体" w:eastAsia="宋体" w:cs="宋体"/>
          <w:sz w:val="28"/>
          <w:u w:color="auto"/>
        </w:rPr>
        <w:t>增长356.65万元，增长51.11%,主要原因是：教师人数增加，所以工资福利支出增加</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2)对个人和家庭的补助</w:t>
      </w:r>
      <w:r>
        <w:rPr>
          <w:rFonts w:hint="eastAsia" w:ascii="宋体" w:hAnsi="宋体" w:eastAsia="宋体" w:cs="宋体"/>
          <w:sz w:val="28"/>
          <w:szCs w:val="28"/>
          <w:lang w:val="en-US" w:eastAsia="zh-CN"/>
        </w:rPr>
        <w:t>0.01</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0.00%</w:t>
      </w:r>
      <w:r>
        <w:rPr>
          <w:rFonts w:hint="eastAsia" w:ascii="宋体" w:hAnsi="宋体" w:eastAsia="宋体" w:cs="宋体"/>
          <w:sz w:val="28"/>
          <w:szCs w:val="28"/>
        </w:rPr>
        <w:t>,比上年</w:t>
      </w:r>
      <w:r>
        <w:rPr>
          <w:rFonts w:ascii="宋体" w:hAnsi="宋体" w:eastAsia="宋体" w:cs="宋体"/>
          <w:sz w:val="28"/>
          <w:u w:color="auto"/>
        </w:rPr>
        <w:t>增长0.00万元，增长0.00%,主要原因是：享受独生子女保健两人不变，所以与去年持平，没有增长</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3)商品和服务支出</w:t>
      </w:r>
      <w:r>
        <w:rPr>
          <w:rFonts w:hint="eastAsia" w:ascii="宋体" w:hAnsi="宋体" w:eastAsia="宋体" w:cs="宋体"/>
          <w:sz w:val="28"/>
          <w:szCs w:val="28"/>
          <w:lang w:val="en-US" w:eastAsia="zh-CN"/>
        </w:rPr>
        <w:t>15.30</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1.43%</w:t>
      </w:r>
      <w:r>
        <w:rPr>
          <w:rFonts w:hint="eastAsia" w:ascii="宋体" w:hAnsi="宋体" w:eastAsia="宋体" w:cs="宋体"/>
          <w:sz w:val="28"/>
          <w:szCs w:val="28"/>
        </w:rPr>
        <w:t>,比上年</w:t>
      </w:r>
      <w:r>
        <w:rPr>
          <w:rFonts w:ascii="宋体" w:hAnsi="宋体" w:eastAsia="宋体" w:cs="宋体"/>
          <w:sz w:val="28"/>
          <w:u w:color="auto"/>
        </w:rPr>
        <w:t>增长4.00万元，增长35.40%,主要原因是：班级人数增加，教师人数增加，所以商品和服务支出增加</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项目支出预算</w:t>
      </w:r>
      <w:r>
        <w:rPr>
          <w:rFonts w:hint="eastAsia" w:ascii="宋体" w:hAnsi="宋体" w:eastAsia="宋体" w:cs="宋体"/>
          <w:sz w:val="28"/>
          <w:szCs w:val="28"/>
          <w:lang w:val="en-US" w:eastAsia="zh-CN"/>
        </w:rPr>
        <w:t>31.53</w:t>
      </w:r>
      <w:r>
        <w:rPr>
          <w:rFonts w:hint="eastAsia" w:ascii="宋体" w:hAnsi="宋体" w:eastAsia="宋体" w:cs="宋体"/>
          <w:sz w:val="28"/>
          <w:szCs w:val="28"/>
        </w:rPr>
        <w:t>万元，占支出预算</w:t>
      </w:r>
      <w:r>
        <w:rPr>
          <w:rFonts w:ascii="宋体" w:hAnsi="宋体" w:eastAsia="宋体" w:cs="宋体"/>
          <w:sz w:val="28"/>
          <w:u w:color="auto"/>
        </w:rPr>
        <w:t>2.86%</w:t>
      </w:r>
      <w:r>
        <w:rPr>
          <w:rFonts w:hint="eastAsia" w:ascii="宋体" w:hAnsi="宋体" w:eastAsia="宋体" w:cs="宋体"/>
          <w:sz w:val="28"/>
          <w:szCs w:val="28"/>
        </w:rPr>
        <w:t>,比上年</w:t>
      </w:r>
      <w:r>
        <w:rPr>
          <w:rFonts w:ascii="宋体" w:hAnsi="宋体" w:eastAsia="宋体" w:cs="宋体"/>
          <w:sz w:val="28"/>
          <w:u w:color="auto"/>
        </w:rPr>
        <w:t>减少33.29</w:t>
      </w:r>
      <w:r>
        <w:rPr>
          <w:rFonts w:hint="eastAsia" w:ascii="宋体" w:hAnsi="宋体" w:eastAsia="宋体" w:cs="宋体"/>
          <w:sz w:val="28"/>
          <w:szCs w:val="28"/>
        </w:rPr>
        <w:t>万元，</w:t>
      </w:r>
      <w:r>
        <w:rPr>
          <w:rFonts w:ascii="宋体" w:hAnsi="宋体" w:eastAsia="宋体" w:cs="宋体"/>
          <w:sz w:val="28"/>
          <w:u w:color="auto"/>
        </w:rPr>
        <w:t>减少51.36%</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10.03</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31.81%</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减少39.20万元，减少79.63%,主要原因是：</w:t>
      </w:r>
      <w:r>
        <w:rPr>
          <w:rFonts w:hint="eastAsia" w:ascii="宋体" w:hAnsi="宋体" w:eastAsia="宋体" w:cs="宋体"/>
          <w:color w:val="000000"/>
          <w:sz w:val="28"/>
          <w:szCs w:val="28"/>
          <w:lang w:val="zh-TW" w:eastAsia="zh-TW" w:bidi="zh-TW"/>
        </w:rPr>
        <w:t>商品和服务支出10.03万元为2023年公用经费预留2023年12月份水电费、物业管理费、差旅费、维修（护）费、其他商品和服务支出出去，</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color w:val="000000"/>
          <w:sz w:val="28"/>
          <w:szCs w:val="28"/>
          <w:lang w:val="zh-TW" w:eastAsia="zh-TW" w:bidi="zh-TW"/>
        </w:rPr>
        <w:t>主要用于2024年1月份支出2023年12月份水电费、物业管理费、差旅费、维修（护）费、其他商品和服务支出</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2)对个人和家庭的补助</w:t>
      </w:r>
      <w:r>
        <w:rPr>
          <w:rFonts w:hint="eastAsia" w:ascii="宋体" w:hAnsi="宋体" w:eastAsia="宋体" w:cs="宋体"/>
          <w:sz w:val="28"/>
          <w:szCs w:val="28"/>
          <w:lang w:val="en-US" w:eastAsia="zh-CN"/>
        </w:rPr>
        <w:t>18.51</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58.71%</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增长5.87万元，增长46.44%,主要原因是：</w:t>
      </w:r>
      <w:r>
        <w:rPr>
          <w:rFonts w:hint="eastAsia" w:ascii="宋体" w:hAnsi="宋体" w:eastAsia="宋体" w:cs="宋体"/>
          <w:color w:val="000000"/>
          <w:sz w:val="28"/>
          <w:szCs w:val="28"/>
          <w:lang w:val="zh-TW" w:eastAsia="zh-TW" w:bidi="zh-TW"/>
        </w:rPr>
        <w:t>对个人和家庭的补助18.51万元是2023年营养餐结余数，主要用于2024年1月份支出2023年12月份营养餐</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3)资本性支出</w:t>
      </w:r>
      <w:r>
        <w:rPr>
          <w:rFonts w:hint="eastAsia" w:ascii="宋体" w:hAnsi="宋体" w:eastAsia="宋体" w:cs="宋体"/>
          <w:sz w:val="28"/>
          <w:szCs w:val="28"/>
          <w:lang w:val="en-US" w:eastAsia="zh-CN"/>
        </w:rPr>
        <w:t>2.99</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9.48%</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增长0.04万元，增长1.36%,主要原因是：</w:t>
      </w:r>
      <w:r>
        <w:rPr>
          <w:rFonts w:hint="eastAsia" w:ascii="宋体" w:hAnsi="宋体" w:eastAsia="宋体" w:cs="宋体"/>
          <w:color w:val="000000"/>
          <w:sz w:val="28"/>
          <w:szCs w:val="28"/>
          <w:lang w:val="zh-TW" w:eastAsia="zh-TW" w:bidi="zh-TW"/>
        </w:rPr>
        <w:t>资本性支出2.99万元是2023年办公设备购置结余数，主要用于2024年1月份支出2023年12月份办公设备购置</w:t>
      </w:r>
      <w:r>
        <w:rPr>
          <w:rFonts w:hint="eastAsia" w:ascii="宋体" w:hAnsi="宋体" w:eastAsia="宋体" w:cs="宋体"/>
          <w:color w:val="000000"/>
          <w:sz w:val="28"/>
          <w:szCs w:val="28"/>
          <w:lang w:val="en-US" w:eastAsia="zh-CN" w:bidi="zh-TW"/>
        </w:rP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1582"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1101.27</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1101.27</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773.90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增加327.37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增长42.30%</w:t>
      </w:r>
      <w:r>
        <w:rPr>
          <w:rFonts w:hint="eastAsia" w:ascii="宋体" w:hAnsi="宋体" w:eastAsia="宋体" w:cs="宋体"/>
          <w:sz w:val="28"/>
          <w:szCs w:val="28"/>
        </w:rPr>
        <w:t>，主要原因是</w:t>
      </w:r>
      <w:r>
        <w:rPr>
          <w:rFonts w:hint="eastAsia"/>
          <w:highlight w:val="none"/>
          <w:lang w:val="en-US" w:eastAsia="zh-CN"/>
        </w:rPr>
        <w:t>学校招收班级人数增加，教师人数增加</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773.90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增加327.37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增长42.30%</w:t>
      </w:r>
      <w:r>
        <w:rPr>
          <w:rFonts w:hint="eastAsia" w:ascii="宋体" w:hAnsi="宋体" w:eastAsia="宋体" w:cs="宋体"/>
          <w:sz w:val="28"/>
          <w:szCs w:val="28"/>
        </w:rPr>
        <w:t>，主要原因是</w:t>
      </w:r>
      <w:r>
        <w:rPr>
          <w:rFonts w:hint="eastAsia"/>
          <w:highlight w:val="none"/>
          <w:lang w:val="en-US" w:eastAsia="zh-CN"/>
        </w:rPr>
        <w:t>学校招收班级人数增加，教师人数增加</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1583"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1101.27</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773.90</w:t>
      </w:r>
      <w:r>
        <w:rPr>
          <w:rFonts w:hint="eastAsia" w:ascii="宋体" w:hAnsi="宋体" w:eastAsia="宋体" w:cs="宋体"/>
          <w:sz w:val="28"/>
          <w:szCs w:val="28"/>
        </w:rPr>
        <w:t>万元，</w:t>
      </w:r>
      <w:r>
        <w:rPr>
          <w:rFonts w:hint="eastAsia" w:ascii="宋体" w:hAnsi="宋体" w:eastAsia="宋体" w:cs="宋体"/>
          <w:sz w:val="28"/>
          <w:szCs w:val="28"/>
          <w:lang w:val="en-US" w:eastAsia="zh-CN"/>
        </w:rPr>
        <w:t>增加327.37</w:t>
      </w:r>
      <w:r>
        <w:rPr>
          <w:rFonts w:hint="eastAsia" w:ascii="宋体" w:hAnsi="宋体" w:eastAsia="宋体" w:cs="宋体"/>
          <w:sz w:val="28"/>
          <w:szCs w:val="28"/>
        </w:rPr>
        <w:t>万元，</w:t>
      </w:r>
      <w:r>
        <w:rPr>
          <w:rFonts w:hint="eastAsia" w:ascii="宋体" w:hAnsi="宋体" w:eastAsia="宋体" w:cs="宋体"/>
          <w:sz w:val="28"/>
          <w:szCs w:val="28"/>
          <w:lang w:val="en-US" w:eastAsia="zh-CN"/>
        </w:rPr>
        <w:t>增长42.30%</w:t>
      </w:r>
      <w:r>
        <w:rPr>
          <w:rFonts w:hint="eastAsia" w:ascii="宋体" w:hAnsi="宋体" w:eastAsia="宋体" w:cs="宋体"/>
          <w:sz w:val="28"/>
          <w:szCs w:val="28"/>
        </w:rPr>
        <w:t>，主要原因是</w:t>
      </w:r>
      <w:r>
        <w:rPr>
          <w:rFonts w:hint="eastAsia"/>
          <w:highlight w:val="none"/>
          <w:lang w:val="en-US" w:eastAsia="zh-CN"/>
        </w:rPr>
        <w:t>学校招收班级人数增加，教师人数增加</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15.30</w:t>
      </w:r>
      <w:r>
        <w:rPr>
          <w:rFonts w:hint="eastAsia" w:ascii="宋体" w:hAnsi="宋体" w:eastAsia="宋体" w:cs="宋体"/>
          <w:sz w:val="28"/>
          <w:szCs w:val="28"/>
        </w:rPr>
        <w:t>万元，占支出总预算的</w:t>
      </w:r>
      <w:r>
        <w:rPr>
          <w:rFonts w:ascii="宋体" w:hAnsi="宋体" w:eastAsia="宋体" w:cs="宋体"/>
          <w:sz w:val="28"/>
          <w:u w:color="auto"/>
        </w:rPr>
        <w:t>1.39%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11.30</w:t>
      </w:r>
      <w:r>
        <w:rPr>
          <w:rFonts w:hint="eastAsia" w:ascii="宋体" w:hAnsi="宋体" w:eastAsia="宋体" w:cs="宋体"/>
          <w:sz w:val="28"/>
          <w:szCs w:val="28"/>
        </w:rPr>
        <w:t>万元，</w:t>
      </w:r>
      <w:r>
        <w:rPr>
          <w:rFonts w:ascii="宋体" w:hAnsi="宋体" w:eastAsia="宋体" w:cs="宋体"/>
          <w:sz w:val="28"/>
          <w:u w:color="auto"/>
        </w:rPr>
        <w:t>增长4.00</w:t>
      </w:r>
      <w:r>
        <w:rPr>
          <w:rFonts w:hint="eastAsia" w:ascii="宋体" w:hAnsi="宋体" w:eastAsia="宋体" w:cs="宋体"/>
          <w:sz w:val="28"/>
          <w:szCs w:val="28"/>
        </w:rPr>
        <w:t>万元，</w:t>
      </w:r>
      <w:r>
        <w:rPr>
          <w:rFonts w:ascii="宋体" w:hAnsi="宋体" w:eastAsia="宋体" w:cs="宋体"/>
          <w:sz w:val="28"/>
          <w:u w:color="auto"/>
        </w:rPr>
        <w:t>增长35.40%</w:t>
      </w:r>
      <w:r>
        <w:rPr>
          <w:rFonts w:hint="eastAsia" w:ascii="宋体" w:hAnsi="宋体" w:eastAsia="宋体" w:cs="宋体"/>
          <w:sz w:val="28"/>
          <w:szCs w:val="28"/>
        </w:rPr>
        <w:t>，主要原因是：</w:t>
      </w:r>
      <w:r>
        <w:rPr>
          <w:rFonts w:hint="eastAsia"/>
          <w:highlight w:val="none"/>
        </w:rPr>
        <w:t>学校招收班级人数增加，教师人数增加</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97.81</w:t>
      </w:r>
      <w:r>
        <w:rPr>
          <w:rFonts w:hint="eastAsia" w:ascii="宋体" w:hAnsi="宋体" w:eastAsia="宋体" w:cs="宋体"/>
          <w:sz w:val="28"/>
          <w:szCs w:val="28"/>
        </w:rPr>
        <w:t>万元，占支出总预算的</w:t>
      </w:r>
      <w:r>
        <w:rPr>
          <w:rFonts w:ascii="宋体" w:hAnsi="宋体" w:eastAsia="宋体" w:cs="宋体"/>
          <w:sz w:val="28"/>
          <w:u w:color="auto"/>
        </w:rPr>
        <w:t>8.88%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70.46</w:t>
      </w:r>
      <w:r>
        <w:rPr>
          <w:rFonts w:hint="eastAsia" w:ascii="宋体" w:hAnsi="宋体" w:eastAsia="宋体" w:cs="宋体"/>
          <w:sz w:val="28"/>
          <w:szCs w:val="28"/>
        </w:rPr>
        <w:t>万元，</w:t>
      </w:r>
      <w:r>
        <w:rPr>
          <w:rFonts w:ascii="宋体" w:hAnsi="宋体" w:eastAsia="宋体" w:cs="宋体"/>
          <w:sz w:val="28"/>
          <w:u w:color="auto"/>
        </w:rPr>
        <w:t>增长27.35</w:t>
      </w:r>
      <w:r>
        <w:rPr>
          <w:rFonts w:hint="eastAsia" w:ascii="宋体" w:hAnsi="宋体" w:eastAsia="宋体" w:cs="宋体"/>
          <w:sz w:val="28"/>
          <w:szCs w:val="28"/>
        </w:rPr>
        <w:t>万元，</w:t>
      </w:r>
      <w:r>
        <w:rPr>
          <w:rFonts w:ascii="宋体" w:hAnsi="宋体" w:eastAsia="宋体" w:cs="宋体"/>
          <w:sz w:val="28"/>
          <w:u w:color="auto"/>
        </w:rPr>
        <w:t>增长38.82%</w:t>
      </w:r>
      <w:r>
        <w:rPr>
          <w:rFonts w:hint="eastAsia" w:ascii="宋体" w:hAnsi="宋体" w:eastAsia="宋体" w:cs="宋体"/>
          <w:sz w:val="28"/>
          <w:szCs w:val="28"/>
        </w:rPr>
        <w:t>，主要原因是：</w:t>
      </w:r>
      <w:r>
        <w:rPr>
          <w:rFonts w:hint="eastAsia"/>
          <w:highlight w:val="none"/>
        </w:rPr>
        <w:t>教师人数增加，所以住房保障支出增加</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教育支出（类）支出</w:t>
      </w:r>
      <w:r>
        <w:rPr>
          <w:rFonts w:ascii="宋体" w:hAnsi="宋体" w:eastAsia="宋体" w:cs="宋体"/>
          <w:sz w:val="28"/>
          <w:u w:color="auto"/>
        </w:rPr>
        <w:t>871.81</w:t>
      </w:r>
      <w:r>
        <w:rPr>
          <w:rFonts w:hint="eastAsia" w:ascii="宋体" w:hAnsi="宋体" w:eastAsia="宋体" w:cs="宋体"/>
          <w:sz w:val="28"/>
          <w:szCs w:val="28"/>
        </w:rPr>
        <w:t>万元，占支出总预算的</w:t>
      </w:r>
      <w:r>
        <w:rPr>
          <w:rFonts w:ascii="宋体" w:hAnsi="宋体" w:eastAsia="宋体" w:cs="宋体"/>
          <w:sz w:val="28"/>
          <w:u w:color="auto"/>
        </w:rPr>
        <w:t>79.16%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598.21</w:t>
      </w:r>
      <w:r>
        <w:rPr>
          <w:rFonts w:hint="eastAsia" w:ascii="宋体" w:hAnsi="宋体" w:eastAsia="宋体" w:cs="宋体"/>
          <w:sz w:val="28"/>
          <w:szCs w:val="28"/>
        </w:rPr>
        <w:t>万元，</w:t>
      </w:r>
      <w:r>
        <w:rPr>
          <w:rFonts w:ascii="宋体" w:hAnsi="宋体" w:eastAsia="宋体" w:cs="宋体"/>
          <w:sz w:val="28"/>
          <w:u w:color="auto"/>
        </w:rPr>
        <w:t>增长273.60</w:t>
      </w:r>
      <w:r>
        <w:rPr>
          <w:rFonts w:hint="eastAsia" w:ascii="宋体" w:hAnsi="宋体" w:eastAsia="宋体" w:cs="宋体"/>
          <w:sz w:val="28"/>
          <w:szCs w:val="28"/>
        </w:rPr>
        <w:t>万元，</w:t>
      </w:r>
      <w:r>
        <w:rPr>
          <w:rFonts w:ascii="宋体" w:hAnsi="宋体" w:eastAsia="宋体" w:cs="宋体"/>
          <w:sz w:val="28"/>
          <w:u w:color="auto"/>
        </w:rPr>
        <w:t>增长45.74%</w:t>
      </w:r>
      <w:r>
        <w:rPr>
          <w:rFonts w:hint="eastAsia" w:ascii="宋体" w:hAnsi="宋体" w:eastAsia="宋体" w:cs="宋体"/>
          <w:sz w:val="28"/>
          <w:szCs w:val="28"/>
        </w:rPr>
        <w:t>，主要原因是：</w:t>
      </w:r>
      <w:r>
        <w:rPr>
          <w:rFonts w:hint="eastAsia"/>
          <w:highlight w:val="none"/>
        </w:rPr>
        <w:t>学校招收班级人数增加，教师人数增加</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116.35</w:t>
      </w:r>
      <w:r>
        <w:rPr>
          <w:rFonts w:hint="eastAsia" w:ascii="宋体" w:hAnsi="宋体" w:eastAsia="宋体" w:cs="宋体"/>
          <w:sz w:val="28"/>
          <w:szCs w:val="28"/>
        </w:rPr>
        <w:t>万元，占支出总预算的</w:t>
      </w:r>
      <w:r>
        <w:rPr>
          <w:rFonts w:ascii="宋体" w:hAnsi="宋体" w:eastAsia="宋体" w:cs="宋体"/>
          <w:sz w:val="28"/>
          <w:u w:color="auto"/>
        </w:rPr>
        <w:t>10.57%</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93.94</w:t>
      </w:r>
      <w:r>
        <w:rPr>
          <w:rFonts w:hint="eastAsia" w:ascii="宋体" w:hAnsi="宋体" w:eastAsia="宋体" w:cs="宋体"/>
          <w:sz w:val="28"/>
          <w:szCs w:val="28"/>
        </w:rPr>
        <w:t>万元，</w:t>
      </w:r>
      <w:r>
        <w:rPr>
          <w:rFonts w:ascii="宋体" w:hAnsi="宋体" w:eastAsia="宋体" w:cs="宋体"/>
          <w:sz w:val="28"/>
          <w:u w:color="auto"/>
        </w:rPr>
        <w:t>增长22.41</w:t>
      </w:r>
      <w:r>
        <w:rPr>
          <w:rFonts w:hint="eastAsia" w:ascii="宋体" w:hAnsi="宋体" w:eastAsia="宋体" w:cs="宋体"/>
          <w:sz w:val="28"/>
          <w:szCs w:val="28"/>
        </w:rPr>
        <w:t>万元，</w:t>
      </w:r>
      <w:r>
        <w:rPr>
          <w:rFonts w:ascii="宋体" w:hAnsi="宋体" w:eastAsia="宋体" w:cs="宋体"/>
          <w:sz w:val="28"/>
          <w:u w:color="auto"/>
        </w:rPr>
        <w:t>增长23.86%</w:t>
      </w:r>
      <w:r>
        <w:rPr>
          <w:rFonts w:hint="eastAsia" w:ascii="宋体" w:hAnsi="宋体" w:eastAsia="宋体" w:cs="宋体"/>
          <w:sz w:val="28"/>
          <w:szCs w:val="28"/>
        </w:rPr>
        <w:t>，主要原因是：</w:t>
      </w:r>
      <w:r>
        <w:rPr>
          <w:rFonts w:hint="eastAsia"/>
          <w:highlight w:val="none"/>
        </w:rPr>
        <w:t>教师人数增加，所以社会保障和就业支出增加</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1584"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1069.74</w:t>
      </w:r>
      <w:r>
        <w:rPr>
          <w:rFonts w:hint="eastAsia"/>
        </w:rPr>
        <w:t>万元，较2023年度预算数</w:t>
      </w:r>
      <w:r>
        <w:rPr>
          <w:rFonts w:hint="eastAsia"/>
          <w:lang w:val="en-US" w:eastAsia="zh-CN"/>
        </w:rPr>
        <w:t>709.08</w:t>
      </w:r>
      <w:r>
        <w:rPr>
          <w:rFonts w:hint="eastAsia"/>
        </w:rPr>
        <w:t>万元</w:t>
      </w:r>
      <w:r>
        <w:rPr>
          <w:rFonts w:hint="eastAsia"/>
          <w:lang w:val="en-US" w:eastAsia="zh-CN"/>
        </w:rPr>
        <w:t>,</w:t>
      </w:r>
      <w:r>
        <w:rPr>
          <w:u w:color="auto"/>
        </w:rPr>
        <w:t>增加360.66</w:t>
      </w:r>
      <w:r>
        <w:rPr>
          <w:rFonts w:hint="eastAsia"/>
        </w:rPr>
        <w:t>万元，</w:t>
      </w:r>
      <w:r>
        <w:rPr>
          <w:rFonts w:hint="eastAsia"/>
          <w:lang w:val="en-US" w:eastAsia="zh-CN"/>
        </w:rPr>
        <w:t>增长50.86%</w:t>
      </w:r>
      <w:r>
        <w:rPr>
          <w:rFonts w:hint="eastAsia"/>
        </w:rPr>
        <w:t>，主要原因是</w:t>
      </w:r>
      <w:r>
        <w:rPr>
          <w:rFonts w:hint="eastAsia"/>
          <w:highlight w:val="none"/>
          <w:lang w:val="en-US" w:eastAsia="zh-CN"/>
        </w:rPr>
        <w:t>学校招收班级人数增加，教师人数增加</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1054.42</w:t>
      </w:r>
      <w:r>
        <w:t>万元</w:t>
      </w:r>
      <w:r>
        <w:rPr>
          <w:rFonts w:hint="eastAsia"/>
          <w:lang w:eastAsia="zh-CN"/>
        </w:rPr>
        <w:t>，</w:t>
      </w:r>
      <w:r>
        <w:rPr>
          <w:rFonts w:hint="eastAsia"/>
        </w:rPr>
        <w:t>占基本支出预算的</w:t>
      </w:r>
      <w:r>
        <w:rPr>
          <w:rFonts w:hint="eastAsia"/>
          <w:lang w:val="en-US" w:eastAsia="zh-CN"/>
        </w:rPr>
        <w:t>98.57%</w:t>
      </w:r>
      <w:r>
        <w:rPr>
          <w:rFonts w:hint="eastAsia"/>
        </w:rPr>
        <w:t>，较2023年度预算数</w:t>
      </w:r>
      <w:r>
        <w:rPr>
          <w:rFonts w:hint="eastAsia"/>
          <w:lang w:val="en-US" w:eastAsia="zh-CN"/>
        </w:rPr>
        <w:t>697.77</w:t>
      </w:r>
      <w:r>
        <w:rPr>
          <w:rFonts w:hint="eastAsia"/>
        </w:rPr>
        <w:t>万元，</w:t>
      </w:r>
      <w:r>
        <w:rPr>
          <w:rFonts w:hint="eastAsia"/>
          <w:lang w:val="en-US" w:eastAsia="zh-CN"/>
        </w:rPr>
        <w:t>增长356.65</w:t>
      </w:r>
      <w:r>
        <w:rPr>
          <w:rFonts w:hint="eastAsia"/>
        </w:rPr>
        <w:t>万元，</w:t>
      </w:r>
      <w:r>
        <w:rPr>
          <w:rFonts w:hint="eastAsia"/>
          <w:lang w:val="en-US" w:eastAsia="zh-CN"/>
        </w:rPr>
        <w:t>增长51.11%</w:t>
      </w:r>
      <w:r>
        <w:rPr>
          <w:rFonts w:hint="eastAsia"/>
        </w:rPr>
        <w:t>，主要原因是：</w:t>
      </w:r>
      <w:r>
        <w:rPr>
          <w:rFonts w:hint="eastAsia"/>
          <w:highlight w:val="none"/>
        </w:rPr>
        <w:t>教师人数增加，所以工资福利支出增加</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0.01</w:t>
      </w:r>
      <w:r>
        <w:t>万元</w:t>
      </w:r>
      <w:r>
        <w:rPr>
          <w:rFonts w:hint="eastAsia"/>
          <w:lang w:eastAsia="zh-CN"/>
        </w:rPr>
        <w:t>，</w:t>
      </w:r>
      <w:r>
        <w:rPr>
          <w:rFonts w:hint="eastAsia"/>
        </w:rPr>
        <w:t>占基本支出预算的</w:t>
      </w:r>
      <w:r>
        <w:rPr>
          <w:rFonts w:hint="eastAsia"/>
          <w:lang w:val="en-US" w:eastAsia="zh-CN"/>
        </w:rPr>
        <w:t>0.00%</w:t>
      </w:r>
      <w:r>
        <w:rPr>
          <w:rFonts w:hint="eastAsia"/>
        </w:rPr>
        <w:t>，较2023年度预算数</w:t>
      </w:r>
      <w:r>
        <w:rPr>
          <w:rFonts w:hint="eastAsia"/>
          <w:lang w:val="en-US" w:eastAsia="zh-CN"/>
        </w:rPr>
        <w:t>0.01</w:t>
      </w:r>
      <w:r>
        <w:rPr>
          <w:rFonts w:hint="eastAsia"/>
        </w:rPr>
        <w:t>万元，</w:t>
      </w:r>
      <w:r>
        <w:rPr>
          <w:rFonts w:hint="eastAsia"/>
          <w:lang w:val="en-US" w:eastAsia="zh-CN"/>
        </w:rPr>
        <w:t>增长0.00</w:t>
      </w:r>
      <w:r>
        <w:rPr>
          <w:rFonts w:hint="eastAsia"/>
        </w:rPr>
        <w:t>万元，</w:t>
      </w:r>
      <w:r>
        <w:rPr>
          <w:rFonts w:hint="eastAsia"/>
          <w:lang w:val="en-US" w:eastAsia="zh-CN"/>
        </w:rPr>
        <w:t>增长0.00%</w:t>
      </w:r>
      <w:r>
        <w:rPr>
          <w:rFonts w:hint="eastAsia"/>
        </w:rPr>
        <w:t>，主要原因是：</w:t>
      </w:r>
      <w:r>
        <w:rPr>
          <w:rFonts w:hint="eastAsia"/>
          <w:highlight w:val="none"/>
        </w:rPr>
        <w:t>享受独生子女保健两人不变，所以与去年持平，没有增长</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15.30</w:t>
      </w:r>
      <w:r>
        <w:t>万元</w:t>
      </w:r>
      <w:r>
        <w:rPr>
          <w:rFonts w:hint="eastAsia"/>
          <w:lang w:eastAsia="zh-CN"/>
        </w:rPr>
        <w:t>，</w:t>
      </w:r>
      <w:r>
        <w:rPr>
          <w:rFonts w:hint="eastAsia"/>
        </w:rPr>
        <w:t>占基本支出预算的</w:t>
      </w:r>
      <w:r>
        <w:rPr>
          <w:rFonts w:hint="eastAsia"/>
          <w:lang w:val="en-US" w:eastAsia="zh-CN"/>
        </w:rPr>
        <w:t>1.43%</w:t>
      </w:r>
      <w:r>
        <w:rPr>
          <w:rFonts w:hint="eastAsia"/>
        </w:rPr>
        <w:t>，较2023年度预算数</w:t>
      </w:r>
      <w:r>
        <w:rPr>
          <w:rFonts w:hint="eastAsia"/>
          <w:lang w:val="en-US" w:eastAsia="zh-CN"/>
        </w:rPr>
        <w:t>11.30</w:t>
      </w:r>
      <w:r>
        <w:rPr>
          <w:rFonts w:hint="eastAsia"/>
        </w:rPr>
        <w:t>万元，</w:t>
      </w:r>
      <w:r>
        <w:rPr>
          <w:rFonts w:hint="eastAsia"/>
          <w:lang w:val="en-US" w:eastAsia="zh-CN"/>
        </w:rPr>
        <w:t>增长4.00</w:t>
      </w:r>
      <w:r>
        <w:rPr>
          <w:rFonts w:hint="eastAsia"/>
        </w:rPr>
        <w:t>万元，</w:t>
      </w:r>
      <w:r>
        <w:rPr>
          <w:rFonts w:hint="eastAsia"/>
          <w:lang w:val="en-US" w:eastAsia="zh-CN"/>
        </w:rPr>
        <w:t>增长35.40%</w:t>
      </w:r>
      <w:r>
        <w:rPr>
          <w:rFonts w:hint="eastAsia"/>
        </w:rPr>
        <w:t>，主要原因是：</w:t>
      </w:r>
      <w:r>
        <w:rPr>
          <w:rFonts w:hint="eastAsia"/>
          <w:highlight w:val="none"/>
        </w:rPr>
        <w:t>学校招收班级人数增加，教师人数增加</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585"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本部门2024年度没有财政拨款“三公”经费收入，也没有财政拨款“三公”经费安排的支出，故本内容无数据”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本部门2024年度没有公务接待费</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实行公务用车管理制度改革后，单位不能再购置公务用车</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实行公务用车管理制度改革后，单位不能再购置公务用车</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学校2024年度没有政府性基金预算财政拨款收入，也没有政府性基金预算财政拨款安排的支出，故本内容无数据</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学校2024年没有国有资本经营预算财政拨款收入，也没有国有资本经营预算财政拨款安排的支出，故本内容无数据</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15.30</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11.30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增加4.00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增长35.40%</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工会会员人数增加，所以预算数增加，主要用于学校工会活动，如文体比赛活动、节日慰问、红白喜事慰问、教师医疗互助等方面支出</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政府采购预算无安排</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主要用于：政府采购预算无安排</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3</w:t>
      </w:r>
      <w:r>
        <w:rPr>
          <w:rFonts w:hint="eastAsia" w:ascii="宋体" w:hAnsi="宋体" w:eastAsia="宋体" w:cs="宋体"/>
          <w:sz w:val="28"/>
          <w:szCs w:val="28"/>
          <w:lang w:eastAsia="zh-CN"/>
        </w:rPr>
        <w:t>个，预算资金</w:t>
      </w:r>
      <w:r>
        <w:rPr>
          <w:rFonts w:hint="eastAsia"/>
          <w:sz w:val="28"/>
          <w:szCs w:val="28"/>
          <w:highlight w:val="none"/>
          <w:lang w:val="en-US" w:eastAsia="zh-CN"/>
        </w:rPr>
        <w:t>31.53</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2024年我单位项目绩效考评3个。</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一是义务教育中央级公用经费，桂财教〔2022〕123号关于提前下达2023年城乡义务教育中央自治区补助经费预算的通知，预算金额5.28万元，年度绩效目标是通过义务教育中央级公用经费的拨付，保障学校各项工作的正常开展，提高教育教学质量。二是桂财教〔2022〕123号关于提前下达2023年城乡义务教育中央自治区补助经费预算的通知（营养膳食补助）的拨付，预算金额18.51万元提高学生生活水平，促进身体健康成长。</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三是自治区公用经费，桂财教〔2022〕123号关于提前下达2023年城乡义务教育中央自治区补助经费预算的通知，预算金额7.74万元，年度绩效目标是通过义务教育中央级公用经费的拨付，保障学校各项工作的正常开展，提高教育教学质量，年内支付完成</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6" w:type="default"/>
          <w:footerReference r:id="rId7"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环江毛南族自治县第六小学</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0"/>
      <w:bookmarkStart w:id="17" w:name="bookmark29"/>
      <w:bookmarkStart w:id="18" w:name="bookmark31"/>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环江毛南族自治县第六小学</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1069.74</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15.30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1069.74</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871.81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116.35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97.81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1069.74</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1101.27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31.53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1101.27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1101.27</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8" w:type="default"/>
          <w:footerReference r:id="rId9"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环江毛南族自治县第六小学</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vAlign w:val="center"/>
          </w:tcPr>
          <w:p>
            <w:pPr>
              <w:tabs>
                <w:tab w:val="left" w:pos="859"/>
              </w:tabs>
              <w:jc w:val="center"/>
              <w:rPr>
                <w:rFonts w:hint="eastAsia" w:eastAsia="宋体"/>
                <w:vertAlign w:val="baseline"/>
                <w:lang w:val="en-US" w:eastAsia="zh-CN"/>
              </w:rPr>
            </w:pPr>
            <w:r>
              <w:rPr>
                <w:sz w:val="17"/>
                <w:szCs w:val="17"/>
              </w:rPr>
              <w:t>部门（单位）代码</w:t>
            </w:r>
          </w:p>
        </w:tc>
        <w:tc>
          <w:tcPr>
            <w:tcW w:w="1279" w:type="dxa"/>
            <w:vMerge w:val="restart"/>
            <w:vAlign w:val="center"/>
          </w:tcPr>
          <w:p>
            <w:pPr>
              <w:tabs>
                <w:tab w:val="left" w:pos="859"/>
              </w:tabs>
              <w:jc w:val="center"/>
              <w:rPr>
                <w:rFonts w:hint="eastAsia" w:eastAsia="宋体"/>
                <w:vertAlign w:val="baseline"/>
                <w:lang w:val="en-US" w:eastAsia="zh-CN"/>
              </w:rPr>
            </w:pPr>
            <w:r>
              <w:rPr>
                <w:sz w:val="17"/>
                <w:szCs w:val="17"/>
              </w:rPr>
              <w:t>部门（单位）名称</w:t>
            </w:r>
          </w:p>
        </w:tc>
        <w:tc>
          <w:tcPr>
            <w:tcW w:w="990" w:type="dxa"/>
            <w:vMerge w:val="restart"/>
            <w:vAlign w:val="center"/>
          </w:tcPr>
          <w:p>
            <w:pPr>
              <w:pStyle w:val="24"/>
              <w:spacing w:line="240" w:lineRule="auto"/>
              <w:ind w:left="0" w:leftChars="0" w:firstLine="0" w:firstLineChars="0"/>
              <w:jc w:val="center"/>
              <w:rPr>
                <w:rFonts w:hint="eastAsia" w:eastAsia="宋体"/>
                <w:vertAlign w:val="baseline"/>
                <w:lang w:val="en-US" w:eastAsia="zh-CN"/>
              </w:rPr>
            </w:pPr>
            <w:r>
              <w:rPr>
                <w:rFonts w:hint="eastAsia"/>
                <w:sz w:val="17"/>
                <w:szCs w:val="17"/>
                <w:lang w:val="en-US" w:eastAsia="zh-CN"/>
              </w:rPr>
              <w:t>合</w:t>
            </w:r>
            <w:r>
              <w:rPr>
                <w:sz w:val="17"/>
                <w:szCs w:val="17"/>
              </w:rPr>
              <w:t>计</w:t>
            </w:r>
          </w:p>
        </w:tc>
        <w:tc>
          <w:tcPr>
            <w:tcW w:w="5843" w:type="dxa"/>
            <w:gridSpan w:val="6"/>
          </w:tcPr>
          <w:p>
            <w:pPr>
              <w:tabs>
                <w:tab w:val="left" w:pos="859"/>
              </w:tabs>
              <w:jc w:val="center"/>
              <w:rPr>
                <w:rFonts w:hint="eastAsia" w:eastAsia="宋体"/>
                <w:vertAlign w:val="baseline"/>
                <w:lang w:val="en-US" w:eastAsia="zh-CN"/>
              </w:rPr>
            </w:pPr>
            <w:r>
              <w:rPr>
                <w:sz w:val="17"/>
                <w:szCs w:val="17"/>
              </w:rPr>
              <w:t>本年收入</w:t>
            </w:r>
          </w:p>
        </w:tc>
        <w:tc>
          <w:tcPr>
            <w:tcW w:w="5809" w:type="dxa"/>
            <w:gridSpan w:val="7"/>
          </w:tcPr>
          <w:p>
            <w:pPr>
              <w:tabs>
                <w:tab w:val="left" w:pos="859"/>
              </w:tabs>
              <w:jc w:val="center"/>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center"/>
              <w:rPr>
                <w:rFonts w:hint="eastAsia" w:eastAsia="宋体"/>
                <w:vertAlign w:val="baseline"/>
                <w:lang w:val="en-US" w:eastAsia="zh-CN"/>
              </w:rPr>
            </w:pPr>
          </w:p>
        </w:tc>
        <w:tc>
          <w:tcPr>
            <w:tcW w:w="1279" w:type="dxa"/>
            <w:vMerge w:val="continue"/>
          </w:tcPr>
          <w:p>
            <w:pPr>
              <w:tabs>
                <w:tab w:val="left" w:pos="859"/>
              </w:tabs>
              <w:jc w:val="center"/>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center"/>
              <w:rPr>
                <w:rFonts w:hint="eastAsia" w:eastAsia="宋体"/>
                <w:vertAlign w:val="baseline"/>
                <w:lang w:val="en-US" w:eastAsia="zh-CN"/>
              </w:rPr>
            </w:pPr>
          </w:p>
        </w:tc>
        <w:tc>
          <w:tcPr>
            <w:tcW w:w="926"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968"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990"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1078" w:type="dxa"/>
          </w:tcPr>
          <w:p>
            <w:pPr>
              <w:pStyle w:val="24"/>
              <w:spacing w:line="312" w:lineRule="exact"/>
              <w:ind w:firstLine="0"/>
              <w:jc w:val="center"/>
              <w:rPr>
                <w:sz w:val="17"/>
                <w:szCs w:val="17"/>
              </w:rPr>
            </w:pPr>
            <w:r>
              <w:rPr>
                <w:sz w:val="17"/>
                <w:szCs w:val="17"/>
              </w:rPr>
              <w:t>财政专户管理资金</w:t>
            </w:r>
          </w:p>
          <w:p>
            <w:pPr>
              <w:pStyle w:val="24"/>
              <w:spacing w:line="312" w:lineRule="exact"/>
              <w:ind w:firstLine="0" w:firstLineChars="0"/>
              <w:jc w:val="center"/>
              <w:rPr>
                <w:rFonts w:hint="eastAsia" w:eastAsia="宋体"/>
                <w:vertAlign w:val="baseline"/>
                <w:lang w:val="en-US" w:eastAsia="zh-CN"/>
              </w:rPr>
            </w:pPr>
            <w:r>
              <w:rPr>
                <w:sz w:val="17"/>
                <w:szCs w:val="17"/>
              </w:rPr>
              <w:t>收入</w:t>
            </w:r>
          </w:p>
        </w:tc>
        <w:tc>
          <w:tcPr>
            <w:tcW w:w="972" w:type="dxa"/>
            <w:vAlign w:val="center"/>
          </w:tcPr>
          <w:p>
            <w:pPr>
              <w:pStyle w:val="24"/>
              <w:spacing w:line="240" w:lineRule="auto"/>
              <w:ind w:firstLine="0" w:firstLineChars="0"/>
              <w:jc w:val="center"/>
              <w:rPr>
                <w:rFonts w:hint="eastAsia" w:eastAsia="宋体"/>
                <w:vertAlign w:val="baseline"/>
                <w:lang w:val="en-US" w:eastAsia="zh-CN"/>
              </w:rPr>
            </w:pPr>
            <w:r>
              <w:rPr>
                <w:sz w:val="17"/>
                <w:szCs w:val="17"/>
              </w:rPr>
              <w:t>单位资金</w:t>
            </w:r>
          </w:p>
        </w:tc>
        <w:tc>
          <w:tcPr>
            <w:tcW w:w="919"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937" w:type="dxa"/>
          </w:tcPr>
          <w:p>
            <w:pPr>
              <w:pStyle w:val="24"/>
              <w:spacing w:line="312" w:lineRule="exact"/>
              <w:ind w:firstLine="0"/>
              <w:jc w:val="center"/>
              <w:rPr>
                <w:sz w:val="17"/>
                <w:szCs w:val="17"/>
              </w:rPr>
            </w:pPr>
            <w:r>
              <w:rPr>
                <w:sz w:val="17"/>
                <w:szCs w:val="17"/>
              </w:rPr>
              <w:t>财政专户管理资金</w:t>
            </w:r>
          </w:p>
          <w:p>
            <w:pPr>
              <w:pStyle w:val="24"/>
              <w:spacing w:line="312" w:lineRule="exact"/>
              <w:ind w:right="280" w:rightChars="0" w:firstLine="0" w:firstLineChars="0"/>
              <w:jc w:val="center"/>
              <w:rPr>
                <w:rFonts w:hint="eastAsia" w:eastAsia="宋体"/>
                <w:vertAlign w:val="baseline"/>
                <w:lang w:val="en-US" w:eastAsia="zh-CN"/>
              </w:rPr>
            </w:pPr>
            <w:r>
              <w:rPr>
                <w:sz w:val="17"/>
                <w:szCs w:val="17"/>
              </w:rPr>
              <w:t>收入</w:t>
            </w:r>
          </w:p>
        </w:tc>
        <w:tc>
          <w:tcPr>
            <w:tcW w:w="989" w:type="dxa"/>
            <w:vAlign w:val="center"/>
          </w:tcPr>
          <w:p>
            <w:pPr>
              <w:pStyle w:val="24"/>
              <w:spacing w:line="240" w:lineRule="auto"/>
              <w:ind w:firstLine="140" w:firstLineChars="0"/>
              <w:jc w:val="center"/>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96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990"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107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972"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919"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937" w:type="dxa"/>
            <w:vAlign w:val="center"/>
          </w:tcPr>
          <w:p>
            <w:pPr>
              <w:pStyle w:val="24"/>
              <w:spacing w:line="240" w:lineRule="auto"/>
              <w:ind w:right="38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989" w:type="dxa"/>
            <w:vAlign w:val="center"/>
          </w:tcPr>
          <w:p>
            <w:pPr>
              <w:pStyle w:val="24"/>
              <w:spacing w:line="240" w:lineRule="auto"/>
              <w:ind w:right="42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201023</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环江毛南族自治县第六小学</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1101.27</w:t>
            </w:r>
          </w:p>
        </w:tc>
        <w:tc>
          <w:tcPr>
            <w:tcW w:w="926"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1069.74</w:t>
            </w:r>
          </w:p>
        </w:tc>
        <w:tc>
          <w:tcPr>
            <w:tcW w:w="909"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1069.74</w:t>
            </w:r>
          </w:p>
        </w:tc>
        <w:tc>
          <w:tcPr>
            <w:tcW w:w="968"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78"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72"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1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31.53</w:t>
            </w:r>
          </w:p>
        </w:tc>
        <w:tc>
          <w:tcPr>
            <w:tcW w:w="1011"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31.53</w:t>
            </w:r>
          </w:p>
        </w:tc>
        <w:tc>
          <w:tcPr>
            <w:tcW w:w="859"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94" w:type="dxa"/>
            <w:gridSpan w:val="2"/>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37"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8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10" w:type="default"/>
          <w:footerReference r:id="rId11"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2"/>
      <w:bookmarkStart w:id="20" w:name="bookmark43"/>
      <w:bookmarkStart w:id="21" w:name="bookmark41"/>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环江毛南族自治县第六小学</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1101.27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1069.74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31.53</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201023</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1101.27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1069.74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31.53</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15.30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15.30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2050202</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小学教育</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871.81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840.28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31.53</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116.35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116.35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97.81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97.81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环江毛南族自治县第六小学</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1069.74</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15.30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1069.74</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871.81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116.35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97.81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1069.74</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1101.27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31.53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1101.27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1101.27</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529"/>
        <w:gridCol w:w="1491"/>
        <w:gridCol w:w="1829"/>
        <w:gridCol w:w="2136"/>
        <w:gridCol w:w="1889"/>
        <w:gridCol w:w="1707"/>
        <w:gridCol w:w="70"/>
        <w:gridCol w:w="166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环江毛南族自治县第六小学</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201023</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1101.27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1069.74</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1054.44</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15.30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31.53</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15.30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15.30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15.30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2050202</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小学教育</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871.81</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840.28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840.28</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31.53</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116.35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116.35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116.35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97.81</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97.81</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97.81</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8"/>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环江毛南族自治县第六小学</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1069.73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1054.43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1054.42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1054.42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354.22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354.22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24.76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24.76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189.43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189.43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173.59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173.59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116.35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116.35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46.54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46.54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5.15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5.15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105.54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105.54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38.84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38.84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30205</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30206</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电费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物业管理费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维修（护）费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对个人和家庭的补助</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助学金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其他对个人和家庭的补助</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资本性支出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办公设备购置</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6"/>
      <w:bookmarkStart w:id="29" w:name="bookmark65"/>
      <w:bookmarkStart w:id="30" w:name="bookmark67"/>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环江毛南族自治县第六小学</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201023</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环江毛南族自治县第六小学</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2050202</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小学教育</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环江毛南族自治县第六小学</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环江毛南族自治县第六小学</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201023</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环江毛南族自治县第六小学</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义务教育中央级公用经费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5.28</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项目立项依据：根据自治区财政厅，教育厅《关于提前下达2022年城乡义务教育中央补助经费预算的通知》(桂财教{2021)141号)及《关于提前下达2022年城乡义务教育自治X补助经费预营的通知》(桂财教(2021}152号)精神，2022年农村义务教育阶段公用经费补助标准为小学470元／生／学期春季学期：我校学生人数为1598人。1598人／470元人=751060元；秋季学期：我校学生人数为人，</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可行性和必要性：保障学校正常运转，持续改善学校基本办学条件，促进教育健康发展。</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支持范围：学校日常办公运行保障学校正常运转，</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实施内容：学校日常办公、水电费、网络费、日常维修、教师培训出差等。</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201023</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环江毛南族自治县第六小学</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营养改善计划膳食补助资金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18.51</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项目立项依据：根据自治区财政厅、教育厅《关于提前下达2022年城乡义务教育中央补助经费预算的通知》(桂财教{2021}141号)等文件精神；</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可行性和必要性：解决困难家庭及学生的经济负担保障学校教育教学正常运转，增强学生体质，保障学生健康成长，促进教育均衡发展。</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支持范围：环江县第六小学全体学生</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实施内容：通过学生营养改善计划膳食补助经费开支，解决家庭经济困难生活问题，提高学生的生活质量。</w:t>
            </w:r>
            <w:r>
              <w:rPr>
                <w:rFonts w:hint="eastAsia" w:ascii="宋体" w:hAnsi="宋体" w:eastAsia="宋体" w:cs="宋体"/>
                <w:b/>
                <w:bCs/>
                <w:sz w:val="17"/>
                <w:szCs w:val="17"/>
                <w:lang w:val="en-US" w:eastAsia="zh-CN"/>
              </w:rPr>
              <w:br w:type="textWrapping"/>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201023</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环江毛南族自治县第六小学</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自治区公用经费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7.74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项目立项依据：根据自治区财政厅，教育厅《关于提前下达2022年城乡义务教育中央补助经费预算的通知》(桂财教{2021)141号)及《关于提前下达2022年城乡义务教育自治X补助经费预营的通知》(桂财教(2021}152号)精神，2022年农村义务教育阶段公用经费补助标准为小学元／生／学期春季学期：我校学生人数为1598人。可行性和必要性：保障学校正常运转，持续改善学校基本办学条件，促进教育健康发展。支持范围：学校日常办公运行保障学校正常运转，；实施内容：学校日常办公、水电费、网络费、日常维修、教师培训出差等。</w:t>
            </w:r>
          </w:p>
        </w:tc>
      </w:tr>
    </w:tbl>
    <w:p>
      <w:pPr>
        <w:jc w:val="left"/>
        <w:rPr>
          <w:rFonts w:hint="eastAsia"/>
        </w:rPr>
      </w:pPr>
      <w:r>
        <w:t>注：本报表金额单位转换时可能存在四舍五入尾数误差。</w:t>
      </w:r>
    </w:p>
    <w:p>
      <w:pPr>
        <w:jc w:val="left"/>
        <w:rPr>
          <w:rFonts w:hint="eastAsia"/>
          <w:lang w:eastAsia="zh-CN"/>
        </w:rPr>
        <w:sectPr>
          <w:headerReference r:id="rId12" w:type="default"/>
          <w:footerReference r:id="rId13"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6"/>
      <w:bookmarkStart w:id="32" w:name="bookmark95"/>
      <w:bookmarkStart w:id="33" w:name="bookmark94"/>
      <w:r>
        <w:rPr>
          <w:sz w:val="40"/>
          <w:szCs w:val="40"/>
        </w:rPr>
        <w:t>第四部分名词解释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4" w:type="default"/>
      <w:footerReference r:id="rId15"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9"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D78X7d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1587"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XXEI9kAAAAHAQAADwAAAAAAAAABACAAAAAi&#10;AAAAZHJzL2Rvd25yZXYueG1sUEsBAhQAFAAAAAgAh07iQAbemCgJAgAADAQAAA4AAAAAAAAAAQAg&#10;AAAAKA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1589"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0y47dgAAAAHAQAADwAAAAAAAAABACAAAAAi&#10;AAAAZHJzL2Rvd25yZXYueG1sUEsBAhQAFAAAAAgAh07iQB2tkMsKAgAADAQAAA4AAAAAAAAAAQAg&#10;AAAAJw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1590" name="文本框 9"/>
              <wp:cNvGraphicFramePr/>
              <a:graphic xmlns:a="http://schemas.openxmlformats.org/drawingml/2006/main">
                <a:graphicData uri="http://schemas.microsoft.com/office/word/2010/wordprocessingShape">
                  <wps:wsp>
                    <wps:cNvSpPr/>
                    <wps:spPr>
                      <a:xfrm>
                        <a:off x="0" y="0"/>
                        <a:ext cx="478790" cy="32321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9" o:spid="_x0000_s1026" o:spt="1" style="position:absolute;left:0pt;margin-left:357.35pt;margin-top:-11.95pt;height:25.45pt;width:37.7pt;mso-position-horizontal-relative:margin;z-index:251664384;mso-width-relative:page;mso-height-relative:page;" filled="f" stroked="f" coordsize="21600,21600" o:gfxdata="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EtyXbAAAACgEAAA8AAAAAAAAAAQAgAAAA&#10;IgAAAGRycy9kb3ducmV2LnhtbFBLAQIUABQAAAAIAIdO4kB+O39XCAIAAAwEAAAOAAAAAAAAAAEA&#10;IAAAACoBAABkcnMvZTJvRG9jLnhtbFBLBQYAAAAABgAGAFkBAACkBQ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1591" name="文本框 11"/>
              <wp:cNvGraphicFramePr/>
              <a:graphic xmlns:a="http://schemas.openxmlformats.org/drawingml/2006/main">
                <a:graphicData uri="http://schemas.microsoft.com/office/word/2010/wordprocessingShape">
                  <wps:wsp>
                    <wps:cNvSpPr/>
                    <wps:spPr>
                      <a:xfrm>
                        <a:off x="0" y="0"/>
                        <a:ext cx="447040" cy="26797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11" o:spid="_x0000_s1026" o:spt="1" style="position:absolute;left:0pt;margin-left:352.25pt;margin-top:-6.8pt;height:21.1pt;width:35.2pt;mso-position-horizontal-relative:margin;z-index:251665408;mso-width-relative:page;mso-height-relative:page;" filled="f" stroked="f" coordsize="21600,21600" o:gfxdata="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8Cr2wAAAAoBAAAPAAAAAAAAAAEAIAAA&#10;ACIAAABkcnMvZG93bnJldi54bWxQSwECFAAUAAAACACHTuJACGRU1AkCAAANBAAADgAAAAAAAAAB&#10;ACAAAAAqAQAAZHJzL2Uyb0RvYy54bWxQSwUGAAAAAAYABgBZAQAApQ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2"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Cvkm/9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586"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G3jlsn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588"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E9wken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readOnly" w:enforcement="1" w:cryptProviderType="rsaAES" w:cryptAlgorithmClass="hash" w:cryptAlgorithmType="typeAny" w:cryptAlgorithmSid="14" w:cryptSpinCount="100000" w:hash="np5ev3AdLtrMYZ3SJsAT8EeGbxzla8liiM2HPk1PmNj9Ze4a9a0RCoXjeKQBdjGHJkdfwYMgw14/owKH9PQTKQ==" w:salt="iG+rwEOw8P286kmXZpKT3g=="/>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5C313C1E"/>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1101.27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formatCode>General</c:formatCode>
                <c:ptCount val="4"/>
                <c:pt idx="0">
                  <c:v>15.3</c:v>
                </c:pt>
                <c:pt idx="1">
                  <c:v>840.28</c:v>
                </c:pt>
                <c:pt idx="2">
                  <c:v>116.35</c:v>
                </c:pt>
                <c:pt idx="3">
                  <c:v>97.81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773.9</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1101.27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1069.74</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当年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当年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当年</c:v>
                </c:pt>
              </c:strCache>
            </c:strRef>
          </c:cat>
          <c:val>
            <c:numRef>
              <c:f>Sheet1!$E$2</c:f>
              <c:numCache>
                <c:formatCode>General</c:formatCode>
                <c:ptCount val="1"/>
                <c:pt idx="0">
                  <c:v>15.3</c:v>
                </c:pt>
              </c:numCache>
            </c:numRef>
          </c:val>
        </c:ser>
        <c:ser>
          <c:idx val="4"/>
          <c:order val="4"/>
          <c:tx>
            <c:strRef>
              <c:f>Sheet1!$F$1</c:f>
              <c:strCache>
                <c:ptCount val="1"/>
                <c:pt idx="0">
                  <c:v>人员经费</c:v>
                </c:pt>
              </c:strCache>
            </c:strRef>
          </c:tx>
          <c:invertIfNegative val="0"/>
          <c:dLbls>
            <c:delete val="1"/>
          </c:dLbls>
          <c:cat>
            <c:strRef>
              <c:f>Sheet1!$A$2</c:f>
              <c:strCache>
                <c:ptCount val="1"/>
                <c:pt idx="0">
                  <c:v>当年</c:v>
                </c:pt>
              </c:strCache>
            </c:strRef>
          </c:cat>
          <c:val>
            <c:numRef>
              <c:f>Sheet1!$F$2</c:f>
              <c:numCache>
                <c:formatCode>General</c:formatCode>
                <c:ptCount val="1"/>
                <c:pt idx="0">
                  <c:v>1054.44</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1054.44</c:v>
                </c:pt>
                <c:pt idx="1">
                  <c:v>15.3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A1158A810E2E47C2B7C51B7F68B2B44A_13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22</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2024-03-01T01:22:10Z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a4efd-220a-49ad-8870-373a39ec1cb6}">
  <ds:schemaRefs/>
</ds:datastoreItem>
</file>

<file path=customXml/itemProps3.xml><?xml version="1.0" encoding="utf-8"?>
<ds:datastoreItem xmlns:ds="http://schemas.openxmlformats.org/officeDocument/2006/customXml" ds:itemID="{92a5ce65-36c9-4b20-bf7e-53c0198b9325}">
  <ds:schemaRefs/>
</ds:datastoreItem>
</file>

<file path=customXml/itemProps4.xml><?xml version="1.0" encoding="utf-8"?>
<ds:datastoreItem xmlns:ds="http://schemas.openxmlformats.org/officeDocument/2006/customXml" ds:itemID="{6c8ccee0-296e-43cc-b670-b13ffc85ea9f}">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22</TotalTime>
  <ScaleCrop>false</ScaleCrop>
  <LinksUpToDate>false</LinksUpToDate>
  <CharactersWithSpaces>11333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Administrator</cp:lastModifiedBy>
  <dcterms:modified xsi:type="dcterms:W3CDTF">2024-03-01T02:51:15Z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C6A5708CACC2462FA902820C0CED97B4_13</vt:lpwstr>
  </property>
</Properties>
</file>