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环江毛南族自治县第四小学</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val="en-US"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环江毛南族自治县第四小学</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环江毛南族自治县第四小学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环江毛南族自治县第四小学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环江毛南族自治县第四小学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（一）学校贯彻执行党和国家的教育方针、政策和法律法规；拟订学校教育改革与发展规划并组织实施。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（二）编制学校教育事业发展规划并检查实施情况，向自治县人民政府和上级教育部门作出报告。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（三）督促检查学校贯彻执行教育方针、政策、法令、法规和上级的各项规定；评估学校教育教学工作。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（四）执行义务教育均衡发展和促进教育公平。</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（五）负责学校教师队伍建设，包括教师岗位培训、后备干部队伍建设、教师学历教育、继续教育等。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（六）学校做好学生的德、智、体、美、劳达标检测和学生学籍管理工作。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（七）按照中央关于全面推进素质教育要求，负责学校教育教学管理、教育教学改革及教育教学科学研究工作，检查指导教师实施素质教育工作，并组织推广先进的教育教学经验。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（八）检查教师的教育教学设备装备、管理和使用工作。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（九）检查学校教师开展电化教育和信息化教学工作。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（十）组织学校教师参加初级专业技术职务资格和中、高级专业技术职务资格的申报工作。按照管理权限对教师进行考核、聘任、奖惩等工作。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（十一）规范学校经费管理与使用工作。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（十二）负责组织学校教学教育常规管理工作，包括德育、体育、卫生、艺术、安全等。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（十三）组织学生进行其中和期末教学质量检测工作。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（十四）负责指导学校学生资助管理工作。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（十六）完成上级部门交办的其他工作。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（一）内设机构情况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学校设有12个处室，分别为：行政办公室、总务处、教务处、教研处、政教处、安全办、资助办、财务室、工会室、少先队员办公室、心理辅导室。</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（二）人员构成情况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2024年学校编制人数85人，其中行政编0人，事业编制数84人，教师控制数编辑1人，机关后勤服务中心聘用人员控制数0人；实有在职人数84人，其中行政在职0人，事业在职83人，教师控制数1人，机关后勤服务中心聘用人员控制数0人；退休人员2人,政府购买服务人员0人，学校专职保安人员2人，兼职协管人员0人，食堂钟点工4人。</w:t>
      </w: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环江毛南族自治县第四小学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1246.38</w:t>
      </w:r>
      <w:r>
        <w:rPr>
          <w:rFonts w:hint="eastAsia"/>
          <w:b w:val="0"/>
          <w:bCs w:val="0"/>
          <w:sz w:val="28"/>
          <w:szCs w:val="28"/>
        </w:rPr>
        <w:t xml:space="preserve">万元，总支出</w:t>
      </w:r>
      <w:r>
        <w:rPr>
          <w:rFonts w:hint="eastAsia"/>
          <w:sz w:val="28"/>
          <w:szCs w:val="28"/>
          <w:lang w:val="en-US" w:eastAsia="zh-CN"/>
        </w:rPr>
        <w:t xml:space="preserve">1246.38</w:t>
      </w:r>
      <w:r>
        <w:rPr>
          <w:rFonts w:hint="eastAsia"/>
          <w:b w:val="0"/>
          <w:bCs w:val="0"/>
          <w:sz w:val="28"/>
          <w:szCs w:val="28"/>
        </w:rPr>
        <w:t xml:space="preserve">万元。总收入较2023年度预算数</w:t>
      </w:r>
      <w:r>
        <w:rPr>
          <w:rFonts w:hint="eastAsia"/>
          <w:sz w:val="28"/>
          <w:szCs w:val="28"/>
          <w:lang w:val="en-US" w:eastAsia="zh-CN"/>
        </w:rPr>
        <w:t xml:space="preserve">829.99</w:t>
      </w:r>
      <w:r>
        <w:rPr>
          <w:rFonts w:hint="eastAsia"/>
          <w:b w:val="0"/>
          <w:bCs w:val="0"/>
          <w:sz w:val="28"/>
          <w:szCs w:val="28"/>
        </w:rPr>
        <w:t xml:space="preserve">万元，</w:t>
      </w:r>
      <w:r>
        <w:rPr>
          <w:rFonts w:hint="eastAsia"/>
          <w:sz w:val="28"/>
          <w:szCs w:val="28"/>
        </w:rPr>
        <w:t xml:space="preserve">增加416.39</w:t>
      </w:r>
      <w:r>
        <w:rPr>
          <w:rFonts w:hint="eastAsia"/>
          <w:b w:val="0"/>
          <w:bCs w:val="0"/>
          <w:sz w:val="28"/>
          <w:szCs w:val="28"/>
        </w:rPr>
        <w:t xml:space="preserve">万元，</w:t>
      </w:r>
      <w:r>
        <w:rPr>
          <w:rFonts w:hint="eastAsia"/>
          <w:sz w:val="28"/>
          <w:szCs w:val="28"/>
        </w:rPr>
        <w:t xml:space="preserve">增长50.17%</w:t>
      </w:r>
      <w:r>
        <w:rPr>
          <w:rFonts w:hint="eastAsia"/>
          <w:b w:val="0"/>
          <w:bCs w:val="0"/>
          <w:sz w:val="28"/>
          <w:szCs w:val="28"/>
        </w:rPr>
        <w:t xml:space="preserve">，主要原因是</w:t>
      </w:r>
      <w:r>
        <w:rPr>
          <w:rFonts w:hint="eastAsia"/>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hint="eastAsia"/>
          <w:b w:val="0"/>
          <w:bCs w:val="0"/>
          <w:sz w:val="28"/>
          <w:szCs w:val="28"/>
        </w:rPr>
        <w:t xml:space="preserve">。总支出较2023年度预算数</w:t>
      </w:r>
      <w:r>
        <w:rPr>
          <w:rFonts w:hint="eastAsia"/>
          <w:sz w:val="28"/>
          <w:szCs w:val="28"/>
          <w:lang w:val="en-US" w:eastAsia="zh-CN"/>
        </w:rPr>
        <w:t xml:space="preserve">829.99</w:t>
      </w:r>
      <w:r>
        <w:rPr>
          <w:rFonts w:hint="eastAsia"/>
          <w:b w:val="0"/>
          <w:bCs w:val="0"/>
          <w:sz w:val="28"/>
          <w:szCs w:val="28"/>
        </w:rPr>
        <w:t xml:space="preserve">万元，</w:t>
      </w:r>
      <w:r>
        <w:rPr>
          <w:rFonts w:hint="eastAsia"/>
          <w:sz w:val="28"/>
          <w:szCs w:val="28"/>
        </w:rPr>
        <w:t xml:space="preserve">增加416.39</w:t>
      </w:r>
      <w:r>
        <w:rPr>
          <w:rFonts w:hint="eastAsia"/>
          <w:b w:val="0"/>
          <w:bCs w:val="0"/>
          <w:sz w:val="28"/>
          <w:szCs w:val="28"/>
        </w:rPr>
        <w:t xml:space="preserve">万元，</w:t>
      </w:r>
      <w:r>
        <w:rPr>
          <w:rFonts w:hint="eastAsia"/>
          <w:sz w:val="28"/>
          <w:szCs w:val="28"/>
        </w:rPr>
        <w:t xml:space="preserve">增长50.17%</w:t>
      </w:r>
      <w:r>
        <w:rPr>
          <w:rFonts w:hint="eastAsia"/>
          <w:b w:val="0"/>
          <w:bCs w:val="0"/>
          <w:sz w:val="28"/>
          <w:szCs w:val="28"/>
        </w:rPr>
        <w:t xml:space="preserve">，主要原因是</w:t>
      </w:r>
      <w:r>
        <w:rPr>
          <w:rFonts w:hint="eastAsia"/>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007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1246.38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829.99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增加416.39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增长50.17%</w:t>
      </w:r>
      <w:r>
        <w:rPr>
          <w:rFonts w:ascii="宋体" w:eastAsia="宋体" w:hAnsi="宋体" w:cs="宋体" w:hint="eastAsia"/>
          <w:sz w:val="28"/>
          <w:szCs w:val="28"/>
          <w:u w:color="auto"/>
        </w:rPr>
        <w:t xml:space="preserve">，主要原因是</w:t>
      </w:r>
      <w:r>
        <w:rPr>
          <w:rFonts w:hint="eastAsia"/>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007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1246.38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829.99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增加416.39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增长50.17%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56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972.01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77.99%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增长330.88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增长51.61%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17.57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1.41%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增长44.85%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139.71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11.21%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增长38.72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增长38.34%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117.09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9.39%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增长41.34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增长54.57%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1211.41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97.19%</w:t>
      </w:r>
      <w:r>
        <w:rPr>
          <w:rFonts w:ascii="宋体" w:eastAsia="宋体" w:hAnsi="宋体" w:cs="宋体"/>
          <w:sz w:val="28"/>
          <w:u w:color="auto"/>
        </w:rPr>
        <w:t xml:space="preserve">,比上年</w:t>
      </w:r>
      <w:r>
        <w:rPr>
          <w:rFonts w:ascii="宋体" w:eastAsia="宋体" w:hAnsi="宋体" w:cs="宋体"/>
          <w:sz w:val="28"/>
          <w:u w:color="auto"/>
        </w:rPr>
        <w:t xml:space="preserve">增长445.29</w:t>
      </w:r>
      <w:r>
        <w:rPr>
          <w:rFonts w:ascii="宋体" w:eastAsia="宋体" w:hAnsi="宋体" w:cs="宋体"/>
          <w:sz w:val="28"/>
          <w:u w:color="auto"/>
        </w:rPr>
        <w:t xml:space="preserve">万元，</w:t>
      </w:r>
      <w:r>
        <w:rPr>
          <w:rFonts w:ascii="宋体" w:eastAsia="宋体" w:hAnsi="宋体" w:cs="宋体"/>
          <w:sz w:val="28"/>
          <w:u w:color="auto"/>
        </w:rPr>
        <w:t xml:space="preserve">增长58.12%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1192.54</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98.44%</w:t>
      </w:r>
      <w:r>
        <w:rPr>
          <w:rFonts w:ascii="宋体" w:eastAsia="宋体" w:hAnsi="宋体" w:cs="宋体" w:hint="eastAsia"/>
          <w:sz w:val="28"/>
          <w:szCs w:val="28"/>
        </w:rPr>
        <w:t xml:space="preserve">,比上年</w:t>
      </w:r>
      <w:r>
        <w:rPr>
          <w:rFonts w:ascii="宋体" w:eastAsia="宋体" w:hAnsi="宋体" w:cs="宋体"/>
          <w:sz w:val="28"/>
          <w:u w:color="auto"/>
        </w:rPr>
        <w:t xml:space="preserve">增长438.58</w:t>
      </w:r>
      <w:r>
        <w:rPr>
          <w:rFonts w:ascii="宋体" w:eastAsia="宋体" w:hAnsi="宋体" w:cs="宋体"/>
          <w:sz w:val="28"/>
          <w:u w:color="auto"/>
        </w:rPr>
        <w:t xml:space="preserve">万元，</w:t>
      </w:r>
      <w:r>
        <w:rPr>
          <w:rFonts w:ascii="宋体" w:eastAsia="宋体" w:hAnsi="宋体" w:cs="宋体"/>
          <w:sz w:val="28"/>
          <w:u w:color="auto"/>
        </w:rPr>
        <w:t xml:space="preserve">增长58.17%</w:t>
      </w:r>
      <w:r>
        <w:rPr>
          <w:rFonts w:ascii="宋体" w:eastAsia="宋体" w:hAnsi="宋体" w:cs="宋体"/>
          <w:sz w:val="28"/>
          <w:u w:color="auto"/>
        </w:rPr>
        <w:t xml:space="preserve">,主要原因是：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17.57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1.45%</w:t>
      </w:r>
      <w:r>
        <w:rPr>
          <w:rFonts w:ascii="宋体" w:eastAsia="宋体" w:hAnsi="宋体" w:cs="宋体" w:hint="eastAsia"/>
          <w:sz w:val="28"/>
          <w:szCs w:val="28"/>
        </w:rPr>
        <w:t xml:space="preserve">,比上年</w:t>
      </w:r>
      <w:r>
        <w:rPr>
          <w:rFonts w:ascii="宋体" w:eastAsia="宋体" w:hAnsi="宋体" w:cs="宋体"/>
          <w:sz w:val="28"/>
          <w:u w:color="auto"/>
        </w:rPr>
        <w:t xml:space="preserve">增长5.44</w:t>
      </w:r>
      <w:r>
        <w:rPr>
          <w:rFonts w:ascii="宋体" w:eastAsia="宋体" w:hAnsi="宋体" w:cs="宋体"/>
          <w:sz w:val="28"/>
          <w:u w:color="auto"/>
        </w:rPr>
        <w:t xml:space="preserve">万元，</w:t>
      </w:r>
      <w:r>
        <w:rPr>
          <w:rFonts w:ascii="宋体" w:eastAsia="宋体" w:hAnsi="宋体" w:cs="宋体"/>
          <w:sz w:val="28"/>
          <w:u w:color="auto"/>
        </w:rPr>
        <w:t xml:space="preserve">增长44.85%</w:t>
      </w:r>
      <w:r>
        <w:rPr>
          <w:rFonts w:ascii="宋体" w:eastAsia="宋体" w:hAnsi="宋体" w:cs="宋体"/>
          <w:sz w:val="28"/>
          <w:u w:color="auto"/>
        </w:rPr>
        <w:t xml:space="preserve">,主要原因是：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1.30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0.11%</w:t>
      </w:r>
      <w:r>
        <w:rPr>
          <w:rFonts w:ascii="宋体" w:eastAsia="宋体" w:hAnsi="宋体" w:cs="宋体" w:hint="eastAsia"/>
          <w:sz w:val="28"/>
          <w:szCs w:val="28"/>
        </w:rPr>
        <w:t xml:space="preserve">,比上年</w:t>
      </w:r>
      <w:r>
        <w:rPr>
          <w:rFonts w:ascii="宋体" w:eastAsia="宋体" w:hAnsi="宋体" w:cs="宋体"/>
          <w:sz w:val="28"/>
          <w:u w:color="auto"/>
        </w:rPr>
        <w:t xml:space="preserve">增长1.27</w:t>
      </w:r>
      <w:r>
        <w:rPr>
          <w:rFonts w:ascii="宋体" w:eastAsia="宋体" w:hAnsi="宋体" w:cs="宋体"/>
          <w:sz w:val="28"/>
          <w:u w:color="auto"/>
        </w:rPr>
        <w:t xml:space="preserve">万元，</w:t>
      </w:r>
      <w:r>
        <w:rPr>
          <w:rFonts w:ascii="宋体" w:eastAsia="宋体" w:hAnsi="宋体" w:cs="宋体"/>
          <w:sz w:val="28"/>
          <w:u w:color="auto"/>
        </w:rPr>
        <w:t xml:space="preserve">增长4233.33%</w:t>
      </w:r>
      <w:r>
        <w:rPr>
          <w:rFonts w:ascii="宋体" w:eastAsia="宋体" w:hAnsi="宋体" w:cs="宋体"/>
          <w:sz w:val="28"/>
          <w:u w:color="auto"/>
        </w:rPr>
        <w:t xml:space="preserve">,主要原因是：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34.97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2.81%</w:t>
      </w:r>
      <w:r>
        <w:rPr>
          <w:rFonts w:ascii="宋体" w:eastAsia="宋体" w:hAnsi="宋体" w:cs="宋体" w:hint="eastAsia"/>
          <w:sz w:val="28"/>
          <w:szCs w:val="28"/>
        </w:rPr>
        <w:t xml:space="preserve">,比上年</w:t>
      </w:r>
      <w:r>
        <w:rPr>
          <w:rFonts w:ascii="宋体" w:eastAsia="宋体" w:hAnsi="宋体" w:cs="宋体"/>
          <w:sz w:val="28"/>
          <w:u w:color="auto"/>
        </w:rPr>
        <w:t xml:space="preserve">减少28.90</w:t>
      </w:r>
      <w:r>
        <w:rPr>
          <w:rFonts w:ascii="宋体" w:eastAsia="宋体" w:hAnsi="宋体" w:cs="宋体" w:hint="eastAsia"/>
          <w:sz w:val="28"/>
          <w:szCs w:val="28"/>
        </w:rPr>
        <w:t xml:space="preserve">万元，</w:t>
      </w:r>
      <w:r>
        <w:rPr>
          <w:rFonts w:ascii="宋体" w:eastAsia="宋体" w:hAnsi="宋体" w:cs="宋体"/>
          <w:sz w:val="28"/>
          <w:u w:color="auto"/>
        </w:rPr>
        <w:t xml:space="preserve">减少45.25%</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15.87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45.38%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减少32.90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减少67.46%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17.23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49.27%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增长2.12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增长14.03%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1.87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5.35%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增长1.87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007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1246.38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1246.38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829.99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增加416.39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增长50.17%</w:t>
      </w:r>
      <w:r>
        <w:rPr>
          <w:rFonts w:ascii="宋体" w:eastAsia="宋体" w:hAnsi="宋体" w:cs="宋体" w:hint="eastAsia"/>
          <w:sz w:val="28"/>
          <w:szCs w:val="28"/>
        </w:rPr>
        <w:t xml:space="preserve">，主要原因是</w:t>
      </w:r>
      <w:r>
        <w:rPr>
          <w:rFonts w:hint="eastAsia"/>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829.99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增加416.39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增长50.17%</w:t>
      </w:r>
      <w:r>
        <w:rPr>
          <w:rFonts w:ascii="宋体" w:eastAsia="宋体" w:hAnsi="宋体" w:cs="宋体" w:hint="eastAsia"/>
          <w:sz w:val="28"/>
          <w:szCs w:val="28"/>
        </w:rPr>
        <w:t xml:space="preserve">，主要原因是</w:t>
      </w:r>
      <w:r>
        <w:rPr>
          <w:rFonts w:hint="eastAsia"/>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007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1246.38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829.99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增加416.39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增长50.17%</w:t>
      </w:r>
      <w:r>
        <w:rPr>
          <w:rFonts w:ascii="宋体" w:eastAsia="宋体" w:hAnsi="宋体" w:cs="宋体" w:hint="eastAsia"/>
          <w:sz w:val="28"/>
          <w:szCs w:val="28"/>
        </w:rPr>
        <w:t xml:space="preserve">，主要原因是</w:t>
      </w:r>
      <w:r>
        <w:rPr>
          <w:rFonts w:hint="eastAsia"/>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17.57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1.41%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12.13</w:t>
      </w:r>
      <w:r>
        <w:rPr>
          <w:rFonts w:ascii="宋体" w:eastAsia="宋体" w:hAnsi="宋体" w:cs="宋体" w:hint="eastAsia"/>
          <w:sz w:val="28"/>
          <w:szCs w:val="28"/>
        </w:rPr>
        <w:t xml:space="preserve">万元，</w:t>
      </w:r>
      <w:r>
        <w:rPr>
          <w:rFonts w:ascii="宋体" w:eastAsia="宋体" w:hAnsi="宋体" w:cs="宋体"/>
          <w:sz w:val="28"/>
          <w:u w:color="auto"/>
        </w:rPr>
        <w:t xml:space="preserve">增长5.44</w:t>
      </w:r>
      <w:r>
        <w:rPr>
          <w:rFonts w:ascii="宋体" w:eastAsia="宋体" w:hAnsi="宋体" w:cs="宋体" w:hint="eastAsia"/>
          <w:sz w:val="28"/>
          <w:szCs w:val="28"/>
        </w:rPr>
        <w:t xml:space="preserve">万元，</w:t>
      </w:r>
      <w:r>
        <w:rPr>
          <w:rFonts w:ascii="宋体" w:eastAsia="宋体" w:hAnsi="宋体" w:cs="宋体"/>
          <w:sz w:val="28"/>
          <w:u w:color="auto"/>
        </w:rPr>
        <w:t xml:space="preserve">增长44.85%</w:t>
      </w:r>
      <w:r>
        <w:rPr>
          <w:rFonts w:ascii="宋体" w:eastAsia="宋体" w:hAnsi="宋体" w:cs="宋体" w:hint="eastAsia"/>
          <w:sz w:val="28"/>
          <w:szCs w:val="28"/>
        </w:rPr>
        <w:t xml:space="preserve">，主要原因是：</w:t>
      </w:r>
      <w:r>
        <w:rPr>
          <w:rFonts w:hint="eastAsia"/>
          <w:highlight w:val="none"/>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117.09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9.39%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75.75</w:t>
      </w:r>
      <w:r>
        <w:rPr>
          <w:rFonts w:ascii="宋体" w:eastAsia="宋体" w:hAnsi="宋体" w:cs="宋体" w:hint="eastAsia"/>
          <w:sz w:val="28"/>
          <w:szCs w:val="28"/>
        </w:rPr>
        <w:t xml:space="preserve">万元，</w:t>
      </w:r>
      <w:r>
        <w:rPr>
          <w:rFonts w:ascii="宋体" w:eastAsia="宋体" w:hAnsi="宋体" w:cs="宋体"/>
          <w:sz w:val="28"/>
          <w:u w:color="auto"/>
        </w:rPr>
        <w:t xml:space="preserve">增长41.34</w:t>
      </w:r>
      <w:r>
        <w:rPr>
          <w:rFonts w:ascii="宋体" w:eastAsia="宋体" w:hAnsi="宋体" w:cs="宋体" w:hint="eastAsia"/>
          <w:sz w:val="28"/>
          <w:szCs w:val="28"/>
        </w:rPr>
        <w:t xml:space="preserve">万元，</w:t>
      </w:r>
      <w:r>
        <w:rPr>
          <w:rFonts w:ascii="宋体" w:eastAsia="宋体" w:hAnsi="宋体" w:cs="宋体"/>
          <w:sz w:val="28"/>
          <w:u w:color="auto"/>
        </w:rPr>
        <w:t xml:space="preserve">增长54.57%</w:t>
      </w:r>
      <w:r>
        <w:rPr>
          <w:rFonts w:ascii="宋体" w:eastAsia="宋体" w:hAnsi="宋体" w:cs="宋体" w:hint="eastAsia"/>
          <w:sz w:val="28"/>
          <w:szCs w:val="28"/>
        </w:rPr>
        <w:t xml:space="preserve">，主要原因是：</w:t>
      </w:r>
      <w:r>
        <w:rPr>
          <w:rFonts w:hint="eastAsia"/>
          <w:highlight w:val="none"/>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972.01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641.13</w:t>
      </w:r>
      <w:r>
        <w:rPr>
          <w:rFonts w:ascii="宋体" w:eastAsia="宋体" w:hAnsi="宋体" w:cs="宋体" w:hint="eastAsia"/>
          <w:sz w:val="28"/>
          <w:szCs w:val="28"/>
        </w:rPr>
        <w:t xml:space="preserve">万元，</w:t>
      </w:r>
      <w:r>
        <w:rPr>
          <w:rFonts w:ascii="宋体" w:eastAsia="宋体" w:hAnsi="宋体" w:cs="宋体"/>
          <w:sz w:val="28"/>
          <w:u w:color="auto"/>
        </w:rPr>
        <w:t xml:space="preserve">增长330.88</w:t>
      </w:r>
      <w:r>
        <w:rPr>
          <w:rFonts w:ascii="宋体" w:eastAsia="宋体" w:hAnsi="宋体" w:cs="宋体" w:hint="eastAsia"/>
          <w:sz w:val="28"/>
          <w:szCs w:val="28"/>
        </w:rPr>
        <w:t xml:space="preserve">万元，</w:t>
      </w:r>
      <w:r>
        <w:rPr>
          <w:rFonts w:ascii="宋体" w:eastAsia="宋体" w:hAnsi="宋体" w:cs="宋体"/>
          <w:sz w:val="28"/>
          <w:u w:color="auto"/>
        </w:rPr>
        <w:t xml:space="preserve">增长51.61%</w:t>
      </w:r>
      <w:r>
        <w:rPr>
          <w:rFonts w:ascii="宋体" w:eastAsia="宋体" w:hAnsi="宋体" w:cs="宋体" w:hint="eastAsia"/>
          <w:sz w:val="28"/>
          <w:szCs w:val="28"/>
        </w:rPr>
        <w:t xml:space="preserve">，主要原因是：</w:t>
      </w:r>
      <w:r>
        <w:rPr>
          <w:rFonts w:hint="eastAsia"/>
          <w:highlight w:val="none"/>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139.71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11.21%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100.99</w:t>
      </w:r>
      <w:r>
        <w:rPr>
          <w:rFonts w:ascii="宋体" w:eastAsia="宋体" w:hAnsi="宋体" w:cs="宋体" w:hint="eastAsia"/>
          <w:sz w:val="28"/>
          <w:szCs w:val="28"/>
        </w:rPr>
        <w:t xml:space="preserve">万元，</w:t>
      </w:r>
      <w:r>
        <w:rPr>
          <w:rFonts w:ascii="宋体" w:eastAsia="宋体" w:hAnsi="宋体" w:cs="宋体"/>
          <w:sz w:val="28"/>
          <w:u w:color="auto"/>
        </w:rPr>
        <w:t xml:space="preserve">增长38.72</w:t>
      </w:r>
      <w:r>
        <w:rPr>
          <w:rFonts w:ascii="宋体" w:eastAsia="宋体" w:hAnsi="宋体" w:cs="宋体" w:hint="eastAsia"/>
          <w:sz w:val="28"/>
          <w:szCs w:val="28"/>
        </w:rPr>
        <w:t xml:space="preserve">万元，</w:t>
      </w:r>
      <w:r>
        <w:rPr>
          <w:rFonts w:ascii="宋体" w:eastAsia="宋体" w:hAnsi="宋体" w:cs="宋体"/>
          <w:sz w:val="28"/>
          <w:u w:color="auto"/>
        </w:rPr>
        <w:t xml:space="preserve">增长38.34%</w:t>
      </w:r>
      <w:r>
        <w:rPr>
          <w:rFonts w:ascii="宋体" w:eastAsia="宋体" w:hAnsi="宋体" w:cs="宋体" w:hint="eastAsia"/>
          <w:sz w:val="28"/>
          <w:szCs w:val="28"/>
        </w:rPr>
        <w:t xml:space="preserve">，主要原因是：</w:t>
      </w:r>
      <w:r>
        <w:rPr>
          <w:rFonts w:hint="eastAsia"/>
          <w:highlight w:val="none"/>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008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1211.41</w:t>
      </w:r>
      <w:r>
        <w:rPr>
          <w:rFonts w:hint="eastAsia"/>
        </w:rPr>
        <w:t xml:space="preserve">万元，较2023年度预算数</w:t>
      </w:r>
      <w:r>
        <w:rPr>
          <w:rFonts w:hint="eastAsia"/>
          <w:lang w:val="en-US" w:eastAsia="zh-CN"/>
        </w:rPr>
        <w:t xml:space="preserve">766.12</w:t>
      </w:r>
      <w:r>
        <w:rPr>
          <w:rFonts w:hint="eastAsia"/>
        </w:rPr>
        <w:t xml:space="preserve">万元</w:t>
      </w:r>
      <w:r>
        <w:rPr>
          <w:rFonts w:hint="eastAsia"/>
          <w:lang w:val="en-US" w:eastAsia="zh-CN"/>
        </w:rPr>
        <w:t xml:space="preserve">,</w:t>
      </w:r>
      <w:r>
        <w:rPr>
          <w:u w:color="auto"/>
        </w:rPr>
        <w:t xml:space="preserve">增加445.29</w:t>
      </w:r>
      <w:r>
        <w:rPr>
          <w:rFonts w:hint="eastAsia"/>
        </w:rPr>
        <w:t xml:space="preserve">万元，</w:t>
      </w:r>
      <w:r>
        <w:rPr>
          <w:rFonts w:hint="eastAsia"/>
          <w:lang w:val="en-US" w:eastAsia="zh-CN"/>
        </w:rPr>
        <w:t xml:space="preserve">增长58.12%</w:t>
      </w:r>
      <w:r>
        <w:rPr>
          <w:rFonts w:hint="eastAsia"/>
        </w:rPr>
        <w:t xml:space="preserve">，主要原因是</w:t>
      </w:r>
      <w:r>
        <w:rPr>
          <w:rFonts w:hint="eastAsia"/>
          <w:highlight w:val="none"/>
          <w:lang w:val="en-US" w:eastAsia="zh-CN"/>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1192.54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98.44%</w:t>
      </w:r>
      <w:r>
        <w:rPr>
          <w:rFonts w:hint="eastAsia"/>
        </w:rPr>
        <w:t xml:space="preserve">，较2023年度预算数</w:t>
      </w:r>
      <w:r>
        <w:rPr>
          <w:rFonts w:hint="eastAsia"/>
          <w:lang w:val="en-US" w:eastAsia="zh-CN"/>
        </w:rPr>
        <w:t xml:space="preserve">753.96</w:t>
      </w:r>
      <w:r>
        <w:rPr>
          <w:rFonts w:hint="eastAsia"/>
        </w:rPr>
        <w:t xml:space="preserve">万元，</w:t>
      </w:r>
      <w:r>
        <w:rPr>
          <w:rFonts w:hint="eastAsia"/>
          <w:lang w:val="en-US" w:eastAsia="zh-CN"/>
        </w:rPr>
        <w:t xml:space="preserve">增长438.58</w:t>
      </w:r>
      <w:r>
        <w:rPr>
          <w:rFonts w:hint="eastAsia"/>
        </w:rPr>
        <w:t xml:space="preserve">万元，</w:t>
      </w:r>
      <w:r>
        <w:rPr>
          <w:rFonts w:hint="eastAsia"/>
          <w:lang w:val="en-US" w:eastAsia="zh-CN"/>
        </w:rPr>
        <w:t xml:space="preserve">增长58.17%</w:t>
      </w:r>
      <w:r>
        <w:rPr>
          <w:rFonts w:hint="eastAsia"/>
        </w:rPr>
        <w:t xml:space="preserve">，主要原因是：</w:t>
      </w:r>
      <w:r>
        <w:rPr>
          <w:rFonts w:hint="eastAsia"/>
          <w:highlight w:val="none"/>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17.57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1.45%</w:t>
      </w:r>
      <w:r>
        <w:rPr>
          <w:rFonts w:hint="eastAsia"/>
        </w:rPr>
        <w:t xml:space="preserve">，较2023年度预算数</w:t>
      </w:r>
      <w:r>
        <w:rPr>
          <w:rFonts w:hint="eastAsia"/>
          <w:lang w:val="en-US" w:eastAsia="zh-CN"/>
        </w:rPr>
        <w:t xml:space="preserve">12.13</w:t>
      </w:r>
      <w:r>
        <w:rPr>
          <w:rFonts w:hint="eastAsia"/>
        </w:rPr>
        <w:t xml:space="preserve">万元，</w:t>
      </w:r>
      <w:r>
        <w:rPr>
          <w:rFonts w:hint="eastAsia"/>
          <w:lang w:val="en-US" w:eastAsia="zh-CN"/>
        </w:rPr>
        <w:t xml:space="preserve">增长5.44</w:t>
      </w:r>
      <w:r>
        <w:rPr>
          <w:rFonts w:hint="eastAsia"/>
        </w:rPr>
        <w:t xml:space="preserve">万元，</w:t>
      </w:r>
      <w:r>
        <w:rPr>
          <w:rFonts w:hint="eastAsia"/>
          <w:lang w:val="en-US" w:eastAsia="zh-CN"/>
        </w:rPr>
        <w:t xml:space="preserve">增长44.85%</w:t>
      </w:r>
      <w:r>
        <w:rPr>
          <w:rFonts w:hint="eastAsia"/>
        </w:rPr>
        <w:t xml:space="preserve">，主要原因是：</w:t>
      </w:r>
      <w:r>
        <w:rPr>
          <w:rFonts w:hint="eastAsia"/>
          <w:highlight w:val="none"/>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1.30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0.11%</w:t>
      </w:r>
      <w:r>
        <w:rPr>
          <w:rFonts w:hint="eastAsia"/>
        </w:rPr>
        <w:t xml:space="preserve">，较2023年度预算数</w:t>
      </w:r>
      <w:r>
        <w:rPr>
          <w:rFonts w:hint="eastAsia"/>
          <w:lang w:val="en-US" w:eastAsia="zh-CN"/>
        </w:rPr>
        <w:t xml:space="preserve">0.03</w:t>
      </w:r>
      <w:r>
        <w:rPr>
          <w:rFonts w:hint="eastAsia"/>
        </w:rPr>
        <w:t xml:space="preserve">万元，</w:t>
      </w:r>
      <w:r>
        <w:rPr>
          <w:rFonts w:hint="eastAsia"/>
          <w:lang w:val="en-US" w:eastAsia="zh-CN"/>
        </w:rPr>
        <w:t xml:space="preserve">增长1.27</w:t>
      </w:r>
      <w:r>
        <w:rPr>
          <w:rFonts w:hint="eastAsia"/>
        </w:rPr>
        <w:t xml:space="preserve">万元，</w:t>
      </w:r>
      <w:r>
        <w:rPr>
          <w:rFonts w:hint="eastAsia"/>
          <w:lang w:val="en-US" w:eastAsia="zh-CN"/>
        </w:rPr>
        <w:t xml:space="preserve">增长4233.33%</w:t>
      </w:r>
      <w:r>
        <w:rPr>
          <w:rFonts w:hint="eastAsia"/>
        </w:rPr>
        <w:t xml:space="preserve">，主要原因是：</w:t>
      </w:r>
      <w:r>
        <w:rPr>
          <w:rFonts w:hint="eastAsia"/>
          <w:highlight w:val="none"/>
        </w:rPr>
        <w:t xml:space="preserve">学校在本年度调入教师人数29人；1人调出，2人退休，人员增幅大。预发及清算发放2022年的政府绩效考评奖；调整提高并发放2023年度的基础性绩效工资增量；发放2023年度的1-9月份的奖励性绩效工资；教师岗位变动，工资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008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本单位没有此项经费支出安排</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本单位没有此项经费支出安排</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17.57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12.13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增加5.44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增长44.85%</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学校在本年度调入教师人数29人；预发及清算发放2022年的政府绩效考评奖；调整提高并发放2023年度的基础性绩效工资增量；发放2023年度的1-9月份的奖励性绩效工资；教师岗位变动，工资提高</w:t>
      </w:r>
      <w:r>
        <w:rPr>
          <w:rFonts w:cs="宋体" w:hint="eastAsia"/>
          <w:sz w:val="28"/>
          <w:szCs w:val="28"/>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主要用于：0.00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本单位在本年度没有重点项目支出安排</w:t>
      </w:r>
    </w:p>
    <w:p>
      <w:pPr>
        <w:pStyle w:val="Bodytext|1"/>
        <w:spacing w:line="624" w:lineRule="exact"/>
        <w:ind w:left="0" w:firstLine="0" w:leftChars="0" w:firstLineChars="0"/>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环江毛南族自治县第四小学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环江毛南族自治县第四小学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1213.38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17.57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1213.38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972.01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139.71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117.09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1213.38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1246.38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1246.38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1246.38</w:t>
            </w:r>
          </w:p>
        </w:tc>
      </w:tr>
    </w:tbl>
    <w:p>
      <w:pPr>
        <w:pStyle w:val="Tablecaption|1"/>
        <w:ind w:left="101"/>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r>
        <w:t xml:space="preserve">注：报表金额单位转换时可能存在四舍五入尾数误差。</w:t>
      </w: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环江毛南族自治县第四小学</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201021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环江毛南族自治县第四小学</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1246.38</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1213.38</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1213.38</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33.00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33.00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环江毛南族自治县第四小学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1246.38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1211.41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34.97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1246.38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1211.41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34.97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971.62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937.04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34.59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139.71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139.71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117.09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117.09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环江毛南族自治县第四小学</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1213.38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17.57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1213.38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972.01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139.71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117.09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1213.38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1246.38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1246.38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1246.38</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环江毛南族自治县第四小学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201021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1246.38</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1211.41</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1193.84</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34.97</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17.57</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2050202</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小学教育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971.62</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937.04</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937.04</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34.59</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2050701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特殊学校教育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0.38</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0.38</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139.71</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139.71</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139.71</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117.09</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117.09</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117.09</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rPr>
          <w:lang w:eastAsia="zh-CN"/>
        </w:rPr>
      </w:pPr>
      <w:r>
        <w:br w:type="page"/>
      </w: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环江毛南族自治县第四小学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1211.41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1193.84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1192.54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1192.54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435.28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435.28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29.55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29.55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209.74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209.74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192.52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192.52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139.71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139.71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55.88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55.88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6.18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6.18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118.19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118.19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5.48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5.48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助学金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bl>
    <w:p>
      <w:pPr>
        <w:jc w:val="left"/>
        <w:rPr>
          <w:lang w:eastAsia="zh-CN"/>
        </w:rPr>
      </w:pPr>
      <w:r>
        <w:rPr>
          <w:rFonts w:ascii="宋体" w:eastAsia="宋体" w:hAnsi="宋体" w:cs="宋体" w:hint="eastAsia"/>
          <w:sz w:val="17"/>
          <w:szCs w:val="17"/>
        </w:rPr>
        <w:t xml:space="preserve">注：本报表金额单位转换时可能存在四舍五入尾数误差。</w:t>
      </w:r>
      <w:r>
        <w:br w:type="page"/>
      </w:r>
    </w:p>
    <w:p>
      <w:pPr>
        <w:pStyle w:val="Heading#2|1"/>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环江毛南族自治县第四小学</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201021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r>
        <w:br w:type="page"/>
      </w: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环江毛南族自治县第四小学</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49"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50"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r>
        <w:br w:type="page"/>
      </w:r>
    </w:p>
    <w:p>
      <w:pPr>
        <w:pStyle w:val="Tablecaption|1"/>
        <w:bidi w:val="0"/>
        <w:jc w:val="center"/>
        <w:rPr>
          <w:sz w:val="28"/>
          <w:szCs w:val="28"/>
        </w:rPr>
      </w:pPr>
      <w:r>
        <w:rPr>
          <w:sz w:val="28"/>
          <w:szCs w:val="28"/>
        </w:rPr>
        <w:t xml:space="preserve">国有资本经营预算支出情况表</w:t>
      </w:r>
    </w:p>
    <w:tbl>
      <w:tblPr>
        <w:tblStyle w:val="TableGrid"/>
        <w:tblpPr w:leftFromText="180" w:rightFromText="180" w:vertAnchor="text" w:horzAnchor="page" w:tblpX="707" w:tblpY="36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9"/>
        <w:gridCol w:w="2155"/>
        <w:gridCol w:w="2156"/>
        <w:gridCol w:w="2259"/>
        <w:gridCol w:w="2155"/>
        <w:gridCol w:w="2155"/>
        <w:gridCol w:w="215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rPr>
              <w:t xml:space="preserve">单位名称：</w:t>
            </w:r>
            <w:r>
              <w:rPr>
                <w:rFonts w:ascii="宋体" w:eastAsia="宋体" w:hAnsi="宋体" w:cs="宋体" w:hint="eastAsia"/>
                <w:lang w:eastAsia="zh-CN"/>
              </w:rPr>
              <w:t xml:space="preserve">环江毛南族自治县第四小学</w:t>
            </w:r>
            <w:r>
              <w:rPr>
                <w:rFonts w:ascii="宋体" w:eastAsia="宋体" w:hAnsi="宋体" w:cs="宋体" w:hint="eastAsia"/>
              </w:rPr>
              <w:tab/>
            </w:r>
            <w:r>
              <w:rPr>
                <w:rFonts w:ascii="宋体" w:eastAsia="宋体" w:hAnsi="宋体" w:cs="宋体" w:hint="eastAsia"/>
              </w:rPr>
              <w:t xml:space="preserve">单位：万元</w:t>
            </w:r>
          </w:p>
        </w:tc>
        <w:tc>
          <w:tcPr>
            <w:tcW w:w="2163" w:type="dxa"/>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科目编码</w:t>
            </w:r>
          </w:p>
        </w:tc>
        <w:tc>
          <w:tcPr>
            <w:tcW w:w="2161"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部门（单位）代码</w:t>
            </w:r>
          </w:p>
        </w:tc>
        <w:tc>
          <w:tcPr>
            <w:tcW w:w="2162"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基本支出</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项目支出</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cs="宋体" w:hint="eastAsia"/>
                <w:vertAlign w:val="baseline"/>
              </w:rPr>
            </w:pPr>
          </w:p>
        </w:tc>
        <w:tc>
          <w:tcPr>
            <w:tcW w:w="2161" w:type="dxa"/>
            <w:vMerge/>
          </w:tcPr>
          <w:p>
            <w:pPr>
              <w:pStyle w:val="Tablecaption|1"/>
              <w:bidi w:val="0"/>
              <w:jc w:val="both"/>
              <w:rPr>
                <w:rFonts w:ascii="宋体" w:eastAsia="宋体" w:hAnsi="宋体" w:cs="宋体" w:hint="eastAsia"/>
                <w:vertAlign w:val="baseline"/>
              </w:rPr>
            </w:pPr>
          </w:p>
        </w:tc>
        <w:tc>
          <w:tcPr>
            <w:tcW w:w="2162" w:type="dxa"/>
            <w:vMerge/>
          </w:tcPr>
          <w:p>
            <w:pPr>
              <w:pStyle w:val="Tablecaption|1"/>
              <w:bidi w:val="0"/>
              <w:jc w:val="both"/>
              <w:rPr>
                <w:rFonts w:ascii="宋体" w:eastAsia="宋体" w:hAnsi="宋体" w:cs="宋体" w:hint="eastAsia"/>
                <w:vertAlign w:val="baseline"/>
              </w:rPr>
            </w:pP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1</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2</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3</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cs="宋体" w:hint="eastAsia"/>
                <w:vertAlign w:val="baseline"/>
              </w:rPr>
            </w:pPr>
          </w:p>
        </w:tc>
        <w:tc>
          <w:tcPr>
            <w:tcW w:w="2161" w:type="dxa"/>
          </w:tcPr>
          <w:p>
            <w:pPr>
              <w:jc w:val="left"/>
              <w:rPr>
                <w:rFonts w:ascii="宋体" w:eastAsia="宋体" w:hAnsi="宋体" w:cs="宋体" w:hint="eastAsia"/>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3"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rFonts w:ascii="宋体" w:eastAsia="宋体" w:hAnsi="宋体" w:cs="宋体" w:hint="eastAsia"/>
                <w:vertAlign w:val="baseline"/>
              </w:rPr>
            </w:pPr>
          </w:p>
        </w:tc>
      </w:tr>
    </w:tbl>
    <w:p>
      <w:pPr>
        <w:pStyle w:val="Tablecaption|1"/>
        <w:bidi w:val="0"/>
        <w:jc w:val="center"/>
        <w:rPr>
          <w:sz w:val="28"/>
          <w:szCs w:val="28"/>
        </w:rPr>
      </w:pPr>
    </w:p>
    <w:p>
      <w:pPr/>
      <w:r>
        <w:br w:type="page"/>
      </w:r>
    </w:p>
    <w:p>
      <w:pPr>
        <w:pStyle w:val="Tablecaption|1"/>
        <w:bidi w:val="0"/>
        <w:jc w:val="center"/>
        <w:rPr>
          <w:rFonts w:hint="default"/>
          <w:sz w:val="28"/>
          <w:szCs w:val="28"/>
          <w:lang w:val="en-US" w:eastAsia="zh-CN"/>
        </w:rPr>
      </w:pPr>
      <w:r>
        <w:rPr>
          <w:rFonts w:hint="eastAsia"/>
          <w:sz w:val="28"/>
          <w:szCs w:val="28"/>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auto" w:val="0"/>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环江毛南族自治县第四小学</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环江四小年初预算经费（经销店门面租金）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根据年初预算，本校2024年门面租金预算总额19740元，用于安排支付办公费11000；其他培训费5000元；扶贫差旅费3740元，以保障学校正常运转，持续改善学校基本办公条件，促进教育健康发展。</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可行性和必要性：增加学校办公经费收入，为学校的正常运转和可持续发展提供经济保障。</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支持范围：环江毛南族自治县第四小学。</w:t>
            </w:r>
            <w:r>
              <w:rPr>
                <w:rFonts w:ascii="宋体" w:eastAsia="宋体" w:hAnsi="宋体" w:cs="宋体" w:hint="eastAsia"/>
                <w:b w:val="0"/>
                <w:bCs w:val="0"/>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公用经费（特教）中央补助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保障学校正常运转</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5.99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义务教育阶段家庭经济困难学生生活中央补助资金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15.96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9.39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保障学校正常运转，持续改善学校基本办学条件，促进教育健康发展。</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6"/>
      <w:bookmarkStart w:id="33"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4" w:name="bookmark97"/>
      <w:r>
        <w:t xml:space="preserve">一</w:t>
      </w:r>
      <w:bookmarkEnd w:id="34"/>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5" w:name="bookmark98"/>
      <w:r>
        <w:t xml:space="preserve">二</w:t>
      </w:r>
      <w:bookmarkEnd w:id="35"/>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6" w:name="bookmark99"/>
      <w:r>
        <w:t xml:space="preserve">三</w:t>
      </w:r>
      <w:bookmarkEnd w:id="36"/>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7" w:name="bookmark100"/>
      <w:r>
        <w:t xml:space="preserve">四</w:t>
      </w:r>
      <w:bookmarkEnd w:id="37"/>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8" w:name="bookmark101"/>
      <w:r>
        <w:t xml:space="preserve">五</w:t>
      </w:r>
      <w:bookmarkEnd w:id="38"/>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39" w:name="bookmark102"/>
      <w:r>
        <w:t xml:space="preserve">六</w:t>
      </w:r>
      <w:bookmarkEnd w:id="39"/>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0" w:name="bookmark103"/>
      <w:r>
        <w:t xml:space="preserve">七</w:t>
      </w:r>
      <w:bookmarkEnd w:id="40"/>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1" w:name="bookmark104"/>
      <w:r>
        <w:t xml:space="preserve">八</w:t>
      </w:r>
      <w:bookmarkEnd w:id="41"/>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2" w:name="bookmark105"/>
      <w:r>
        <w:t xml:space="preserve">九</w:t>
      </w:r>
      <w:bookmarkEnd w:id="42"/>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7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74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008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741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008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741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0086"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741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0087"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741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8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74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08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741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08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741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5O9s0849dIn0f5aVebW5WQ==" w:hash="8zRcM+VxMVNqTwWyTrQvO8MVi00cTD5iOjzNlHwHQLAyFxQyjKJqH6PGbS9iuA1Lm4DFpshKSjyH1CAvjV098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1246.38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17.57</c:v>
                </c:pt>
                <c:pt idx="1">
                  <c:v>939.01</c:v>
                </c:pt>
                <c:pt idx="2">
                  <c:v>139.71</c:v>
                </c:pt>
                <c:pt idx="3">
                  <c:v>117.09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829.99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1246.38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1211.41</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1.97</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17.57</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1193.84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1193.84</c:v>
                </c:pt>
                <c:pt idx="1">
                  <c:v>17.57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2024-03-07T01:17:36Z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6</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12DC9CEE36A04FED99CEAB3C4FE7F44F_13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2024-03-07T04:08:22Z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12DC9CEE36A04FED99CEAB3C4FE7F44F_13</vt:lpstr>
  </property>
</Properties>
</file>