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环江毛南族自治县第二小学</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环江毛南族自治县第二小学</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环江毛南族自治县第二小学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环江毛南族自治县第二小学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环江毛南族自治县第二小学</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一、主要职能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（一）负责贯彻党的教育方针，坚持社会主义办学方向，实行教育与生产劳动相结合，对学生进行德育、智育、体育、美育和劳动等方面的教育。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（二）负责依法制定学校章程，并按照章程自主管理。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（三）负责配合各级人民政府依法动员、组织适龄儿童、少年入学，严格控制学生辍学，依法保证适龄儿童、少年接受九年义务教育。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（四）负责制定学校教育发展规划，并抓好组织实施和落实工作。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（五）负责按照教育主管部门发布的指导性教学计划、教学大纲，组织实施教育教学活动。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（六）负责依据国家教育主管部门有关教学计划、课程设置等方面的规定，决定和实施本校的教学计划，组织教学评比、集体备课，对学生进行统考核、考试等。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（七）负责学籍管理并对学生实施奖励或处分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（八）负责依法制定本校教师及其他职工聘任办法并对教师及其他员工实施包括奖励、处分在内的具体管理活动，依法聘任、解聘有关教师和其他职工。</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（九）负责聘任、培训、考核教师，依法奖励或处分教师和其他职工</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（十）负责科学管理、合理使用学校的设施和经费并积极筹措资金，改善办学条件。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（十一）负责维护学校、师生的合法权益，有权拒绝任何组织和个人对教育教学活动进行非法干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（十二）依法接受各级教育行政部门的检查指导和人民群众的监督。</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学校有七个内设机构，分别为：党工委办公室、行政办公室、工会室、安全办、政教处、教务处、总务处。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2024年学校总编制人数94人，其中事业编制数90人，机关控制数4人；实有在职人数86人，其中事业在职86人，控制数4人；退休人员29人。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环江毛南族自治县第二小学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1343.93</w:t>
      </w:r>
      <w:r>
        <w:rPr>
          <w:rFonts w:hint="eastAsia"/>
          <w:b w:val="0"/>
          <w:bCs w:val="0"/>
          <w:sz w:val="28"/>
          <w:szCs w:val="28"/>
        </w:rPr>
        <w:t xml:space="preserve">万元，总支出</w:t>
      </w:r>
      <w:r>
        <w:rPr>
          <w:rFonts w:hint="eastAsia"/>
          <w:sz w:val="28"/>
          <w:szCs w:val="28"/>
          <w:lang w:val="en-US" w:eastAsia="zh-CN"/>
        </w:rPr>
        <w:t xml:space="preserve">1343.93</w:t>
      </w:r>
      <w:r>
        <w:rPr>
          <w:rFonts w:hint="eastAsia"/>
          <w:b w:val="0"/>
          <w:bCs w:val="0"/>
          <w:sz w:val="28"/>
          <w:szCs w:val="28"/>
        </w:rPr>
        <w:t xml:space="preserve">万元。总收入较2023年度预算数</w:t>
      </w:r>
      <w:r>
        <w:rPr>
          <w:rFonts w:hint="eastAsia"/>
          <w:sz w:val="28"/>
          <w:szCs w:val="28"/>
          <w:lang w:val="en-US" w:eastAsia="zh-CN"/>
        </w:rPr>
        <w:t xml:space="preserve">1137.68</w:t>
      </w:r>
      <w:r>
        <w:rPr>
          <w:rFonts w:hint="eastAsia"/>
          <w:b w:val="0"/>
          <w:bCs w:val="0"/>
          <w:sz w:val="28"/>
          <w:szCs w:val="28"/>
        </w:rPr>
        <w:t xml:space="preserve">万元，</w:t>
      </w:r>
      <w:r>
        <w:rPr>
          <w:rFonts w:hint="eastAsia"/>
          <w:sz w:val="28"/>
          <w:szCs w:val="28"/>
        </w:rPr>
        <w:t xml:space="preserve">增加206.25</w:t>
      </w:r>
      <w:r>
        <w:rPr>
          <w:rFonts w:hint="eastAsia"/>
          <w:b w:val="0"/>
          <w:bCs w:val="0"/>
          <w:sz w:val="28"/>
          <w:szCs w:val="28"/>
        </w:rPr>
        <w:t xml:space="preserve">万元，</w:t>
      </w:r>
      <w:r>
        <w:rPr>
          <w:rFonts w:hint="eastAsia"/>
          <w:sz w:val="28"/>
          <w:szCs w:val="28"/>
        </w:rPr>
        <w:t xml:space="preserve">增长18.13%</w:t>
      </w:r>
      <w:r>
        <w:rPr>
          <w:rFonts w:hint="eastAsia"/>
          <w:b w:val="0"/>
          <w:bCs w:val="0"/>
          <w:sz w:val="28"/>
          <w:szCs w:val="28"/>
        </w:rPr>
        <w:t xml:space="preserve">，主要原因是</w:t>
      </w:r>
      <w:r>
        <w:rPr>
          <w:rFonts w:hint="eastAsia"/>
          <w:highlight w:val="none"/>
          <w:lang w:val="en-US" w:eastAsia="zh-CN"/>
        </w:rPr>
        <w:t xml:space="preserve">1.工资标准比2023年有所提高；2.养老保险及住房公积金缴纳基数提高</w:t>
      </w:r>
      <w:r>
        <w:rPr>
          <w:rFonts w:hint="eastAsia"/>
          <w:b w:val="0"/>
          <w:bCs w:val="0"/>
          <w:sz w:val="28"/>
          <w:szCs w:val="28"/>
        </w:rPr>
        <w:t xml:space="preserve">。总支出较2023年度预算数</w:t>
      </w:r>
      <w:r>
        <w:rPr>
          <w:rFonts w:hint="eastAsia"/>
          <w:sz w:val="28"/>
          <w:szCs w:val="28"/>
          <w:lang w:val="en-US" w:eastAsia="zh-CN"/>
        </w:rPr>
        <w:t xml:space="preserve">1137.68</w:t>
      </w:r>
      <w:r>
        <w:rPr>
          <w:rFonts w:hint="eastAsia"/>
          <w:b w:val="0"/>
          <w:bCs w:val="0"/>
          <w:sz w:val="28"/>
          <w:szCs w:val="28"/>
        </w:rPr>
        <w:t xml:space="preserve">万元，</w:t>
      </w:r>
      <w:r>
        <w:rPr>
          <w:rFonts w:hint="eastAsia"/>
          <w:sz w:val="28"/>
          <w:szCs w:val="28"/>
        </w:rPr>
        <w:t xml:space="preserve">增加206.25</w:t>
      </w:r>
      <w:r>
        <w:rPr>
          <w:rFonts w:hint="eastAsia"/>
          <w:b w:val="0"/>
          <w:bCs w:val="0"/>
          <w:sz w:val="28"/>
          <w:szCs w:val="28"/>
        </w:rPr>
        <w:t xml:space="preserve">万元，</w:t>
      </w:r>
      <w:r>
        <w:rPr>
          <w:rFonts w:hint="eastAsia"/>
          <w:sz w:val="28"/>
          <w:szCs w:val="28"/>
        </w:rPr>
        <w:t xml:space="preserve">增长18.13%</w:t>
      </w:r>
      <w:r>
        <w:rPr>
          <w:rFonts w:hint="eastAsia"/>
          <w:b w:val="0"/>
          <w:bCs w:val="0"/>
          <w:sz w:val="28"/>
          <w:szCs w:val="28"/>
        </w:rPr>
        <w:t xml:space="preserve">，主要原因是</w:t>
      </w:r>
      <w:r>
        <w:rPr>
          <w:rFonts w:hint="eastAsia"/>
          <w:highlight w:val="none"/>
          <w:lang w:val="en-US" w:eastAsia="zh-CN"/>
        </w:rPr>
        <w:t xml:space="preserve">1.工资标准比2023年有所提高；2.养老保险及住房公积金缴纳数提高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59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1343.93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1137.68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增加206.25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增长18.13%</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1.工资标准比2023年有所提高；2.养老保险及住房公积金缴纳数提高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59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1343.93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1137.68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增加206.25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增长18.13%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1.工资标准比2023年有所提高；2.养老保险及住房公积金缴纳数提高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教育支出1061.45万元，一般公共服务支出18.38万元，社会保障和就业支出143.71万元，住房保障支出120.38万元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1061.45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78.98%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增长177.53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增长20.08%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工资标准比2023年有所提高；2.养老保险及住房公积金缴纳数提高。学生及教师人数增多</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143.71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10.69%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增长8.01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.养老保险及住房公积金缴纳数提高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120.38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8.96%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增长18.61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增长18.29%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住房公积金缴纳基数提高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18.38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1.37%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增长12.83%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教师人数增加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1316.96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97.99%</w:t>
      </w:r>
      <w:r>
        <w:rPr>
          <w:rFonts w:ascii="宋体" w:eastAsia="宋体" w:hAnsi="宋体" w:cs="宋体"/>
          <w:sz w:val="28"/>
          <w:u w:color="auto"/>
        </w:rPr>
        <w:t xml:space="preserve">,比上年</w:t>
      </w:r>
      <w:r>
        <w:rPr>
          <w:rFonts w:ascii="宋体" w:eastAsia="宋体" w:hAnsi="宋体" w:cs="宋体"/>
          <w:sz w:val="28"/>
          <w:u w:color="auto"/>
        </w:rPr>
        <w:t xml:space="preserve">增长263.55</w:t>
      </w:r>
      <w:r>
        <w:rPr>
          <w:rFonts w:ascii="宋体" w:eastAsia="宋体" w:hAnsi="宋体" w:cs="宋体"/>
          <w:sz w:val="28"/>
          <w:u w:color="auto"/>
        </w:rPr>
        <w:t xml:space="preserve">万元，</w:t>
      </w:r>
      <w:r>
        <w:rPr>
          <w:rFonts w:ascii="宋体" w:eastAsia="宋体" w:hAnsi="宋体" w:cs="宋体"/>
          <w:sz w:val="28"/>
          <w:u w:color="auto"/>
        </w:rPr>
        <w:t xml:space="preserve">增长25.02%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1257.87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95.51%</w:t>
      </w:r>
      <w:r>
        <w:rPr>
          <w:rFonts w:ascii="宋体" w:eastAsia="宋体" w:hAnsi="宋体" w:cs="宋体" w:hint="eastAsia"/>
          <w:sz w:val="28"/>
          <w:szCs w:val="28"/>
        </w:rPr>
        <w:t xml:space="preserve">,比上年</w:t>
      </w:r>
      <w:r>
        <w:rPr>
          <w:rFonts w:ascii="宋体" w:eastAsia="宋体" w:hAnsi="宋体" w:cs="宋体"/>
          <w:sz w:val="28"/>
          <w:u w:color="auto"/>
        </w:rPr>
        <w:t xml:space="preserve">增长244.97</w:t>
      </w:r>
      <w:r>
        <w:rPr>
          <w:rFonts w:ascii="宋体" w:eastAsia="宋体" w:hAnsi="宋体" w:cs="宋体"/>
          <w:sz w:val="28"/>
          <w:u w:color="auto"/>
        </w:rPr>
        <w:t xml:space="preserve">万元，</w:t>
      </w:r>
      <w:r>
        <w:rPr>
          <w:rFonts w:ascii="宋体" w:eastAsia="宋体" w:hAnsi="宋体" w:cs="宋体"/>
          <w:sz w:val="28"/>
          <w:u w:color="auto"/>
        </w:rPr>
        <w:t xml:space="preserve">增长24.19%</w:t>
      </w:r>
      <w:r>
        <w:rPr>
          <w:rFonts w:ascii="宋体" w:eastAsia="宋体" w:hAnsi="宋体" w:cs="宋体"/>
          <w:sz w:val="28"/>
          <w:u w:color="auto"/>
        </w:rPr>
        <w:t xml:space="preserve">,主要原因是：工资标准比2023年有所提高；2.养老保险及住房公积金缴纳数提高。学生及教师人数增多</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40.71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3.09%</w:t>
      </w:r>
      <w:r>
        <w:rPr>
          <w:rFonts w:ascii="宋体" w:eastAsia="宋体" w:hAnsi="宋体" w:cs="宋体" w:hint="eastAsia"/>
          <w:sz w:val="28"/>
          <w:szCs w:val="28"/>
        </w:rPr>
        <w:t xml:space="preserve">,比上年</w:t>
      </w:r>
      <w:r>
        <w:rPr>
          <w:rFonts w:ascii="宋体" w:eastAsia="宋体" w:hAnsi="宋体" w:cs="宋体"/>
          <w:sz w:val="28"/>
          <w:u w:color="auto"/>
        </w:rPr>
        <w:t xml:space="preserve">增长16.49</w:t>
      </w:r>
      <w:r>
        <w:rPr>
          <w:rFonts w:ascii="宋体" w:eastAsia="宋体" w:hAnsi="宋体" w:cs="宋体"/>
          <w:sz w:val="28"/>
          <w:u w:color="auto"/>
        </w:rPr>
        <w:t xml:space="preserve">万元，</w:t>
      </w:r>
      <w:r>
        <w:rPr>
          <w:rFonts w:ascii="宋体" w:eastAsia="宋体" w:hAnsi="宋体" w:cs="宋体"/>
          <w:sz w:val="28"/>
          <w:u w:color="auto"/>
        </w:rPr>
        <w:t xml:space="preserve">增长68.08%</w:t>
      </w:r>
      <w:r>
        <w:rPr>
          <w:rFonts w:ascii="宋体" w:eastAsia="宋体" w:hAnsi="宋体" w:cs="宋体"/>
          <w:sz w:val="28"/>
          <w:u w:color="auto"/>
        </w:rPr>
        <w:t xml:space="preserve">,主要原因是：学生及教师人数增多</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18.38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1.40%</w:t>
      </w:r>
      <w:r>
        <w:rPr>
          <w:rFonts w:ascii="宋体" w:eastAsia="宋体" w:hAnsi="宋体" w:cs="宋体" w:hint="eastAsia"/>
          <w:sz w:val="28"/>
          <w:szCs w:val="28"/>
        </w:rPr>
        <w:t xml:space="preserve">,比上年</w:t>
      </w:r>
      <w:r>
        <w:rPr>
          <w:rFonts w:ascii="宋体" w:eastAsia="宋体" w:hAnsi="宋体" w:cs="宋体"/>
          <w:sz w:val="28"/>
          <w:u w:color="auto"/>
        </w:rPr>
        <w:t xml:space="preserve">增长2.09</w:t>
      </w:r>
      <w:r>
        <w:rPr>
          <w:rFonts w:ascii="宋体" w:eastAsia="宋体" w:hAnsi="宋体" w:cs="宋体"/>
          <w:sz w:val="28"/>
          <w:u w:color="auto"/>
        </w:rPr>
        <w:t xml:space="preserve">万元，</w:t>
      </w:r>
      <w:r>
        <w:rPr>
          <w:rFonts w:ascii="宋体" w:eastAsia="宋体" w:hAnsi="宋体" w:cs="宋体"/>
          <w:sz w:val="28"/>
          <w:u w:color="auto"/>
        </w:rPr>
        <w:t xml:space="preserve">增长12.83%</w:t>
      </w:r>
      <w:r>
        <w:rPr>
          <w:rFonts w:ascii="宋体" w:eastAsia="宋体" w:hAnsi="宋体" w:cs="宋体"/>
          <w:sz w:val="28"/>
          <w:u w:color="auto"/>
        </w:rPr>
        <w:t xml:space="preserve">,主要原因是：教师人数增加，工会活动增多</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26.97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2.01%</w:t>
      </w:r>
      <w:r>
        <w:rPr>
          <w:rFonts w:ascii="宋体" w:eastAsia="宋体" w:hAnsi="宋体" w:cs="宋体" w:hint="eastAsia"/>
          <w:sz w:val="28"/>
          <w:szCs w:val="28"/>
        </w:rPr>
        <w:t xml:space="preserve">,比上年</w:t>
      </w:r>
      <w:r>
        <w:rPr>
          <w:rFonts w:ascii="宋体" w:eastAsia="宋体" w:hAnsi="宋体" w:cs="宋体"/>
          <w:sz w:val="28"/>
          <w:u w:color="auto"/>
        </w:rPr>
        <w:t xml:space="preserve">减少57.30</w:t>
      </w:r>
      <w:r>
        <w:rPr>
          <w:rFonts w:ascii="宋体" w:eastAsia="宋体" w:hAnsi="宋体" w:cs="宋体" w:hint="eastAsia"/>
          <w:sz w:val="28"/>
          <w:szCs w:val="28"/>
        </w:rPr>
        <w:t xml:space="preserve">万元，</w:t>
      </w:r>
      <w:r>
        <w:rPr>
          <w:rFonts w:ascii="宋体" w:eastAsia="宋体" w:hAnsi="宋体" w:cs="宋体"/>
          <w:sz w:val="28"/>
          <w:u w:color="auto"/>
        </w:rPr>
        <w:t xml:space="preserve">减少68.00%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23.17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85.91%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减少61.10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减少72.51%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有些报账材料未得报账</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3.80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14.09%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增长3.80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有些报账材料未得报账</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59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1343.93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1343.93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1137.68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增加206.25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增长18.13%</w:t>
      </w:r>
      <w:r>
        <w:rPr>
          <w:rFonts w:ascii="宋体" w:eastAsia="宋体" w:hAnsi="宋体" w:cs="宋体" w:hint="eastAsia"/>
          <w:sz w:val="28"/>
          <w:szCs w:val="28"/>
        </w:rPr>
        <w:t xml:space="preserve">，主要原因是</w:t>
      </w:r>
      <w:r>
        <w:rPr>
          <w:rFonts w:hint="eastAsia"/>
          <w:highlight w:val="none"/>
          <w:lang w:val="en-US" w:eastAsia="zh-CN"/>
        </w:rPr>
        <w:t xml:space="preserve">工资标准比2023年有所提高；2.养老保险及住房公积金缴纳数提高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1137.68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增加206.25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增长18.13%</w:t>
      </w:r>
      <w:r>
        <w:rPr>
          <w:rFonts w:ascii="宋体" w:eastAsia="宋体" w:hAnsi="宋体" w:cs="宋体" w:hint="eastAsia"/>
          <w:sz w:val="28"/>
          <w:szCs w:val="28"/>
        </w:rPr>
        <w:t xml:space="preserve">，主要原因是</w:t>
      </w:r>
      <w:r>
        <w:rPr>
          <w:rFonts w:hint="eastAsia"/>
          <w:highlight w:val="none"/>
          <w:lang w:val="en-US" w:eastAsia="zh-CN"/>
        </w:rPr>
        <w:t xml:space="preserve">工资标准比2023年有所提高；2.养老保险及住房公积金缴纳数提高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59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1343.93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1137.68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增加206.25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增长18.13%</w:t>
      </w:r>
      <w:r>
        <w:rPr>
          <w:rFonts w:ascii="宋体" w:eastAsia="宋体" w:hAnsi="宋体" w:cs="宋体" w:hint="eastAsia"/>
          <w:sz w:val="28"/>
          <w:szCs w:val="28"/>
        </w:rPr>
        <w:t xml:space="preserve">，主要原因是</w:t>
      </w:r>
      <w:r>
        <w:rPr>
          <w:rFonts w:hint="eastAsia"/>
          <w:highlight w:val="none"/>
          <w:lang w:val="en-US" w:eastAsia="zh-CN"/>
        </w:rPr>
        <w:t xml:space="preserve">工资标准比2023年有所提高；2.养老保险及住房公积金缴纳数提高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18.38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16.29</w:t>
      </w:r>
      <w:r>
        <w:rPr>
          <w:rFonts w:ascii="宋体" w:eastAsia="宋体" w:hAnsi="宋体" w:cs="宋体" w:hint="eastAsia"/>
          <w:sz w:val="28"/>
          <w:szCs w:val="28"/>
        </w:rPr>
        <w:t xml:space="preserve">万元，</w:t>
      </w:r>
      <w:r>
        <w:rPr>
          <w:rFonts w:ascii="宋体" w:eastAsia="宋体" w:hAnsi="宋体" w:cs="宋体"/>
          <w:sz w:val="28"/>
          <w:u w:color="auto"/>
        </w:rPr>
        <w:t xml:space="preserve">增长2.09</w:t>
      </w:r>
      <w:r>
        <w:rPr>
          <w:rFonts w:ascii="宋体" w:eastAsia="宋体" w:hAnsi="宋体" w:cs="宋体" w:hint="eastAsia"/>
          <w:sz w:val="28"/>
          <w:szCs w:val="28"/>
        </w:rPr>
        <w:t xml:space="preserve">万元，</w:t>
      </w:r>
      <w:r>
        <w:rPr>
          <w:rFonts w:ascii="宋体" w:eastAsia="宋体" w:hAnsi="宋体" w:cs="宋体"/>
          <w:sz w:val="28"/>
          <w:u w:color="auto"/>
        </w:rPr>
        <w:t xml:space="preserve">增长12.83%</w:t>
      </w:r>
      <w:r>
        <w:rPr>
          <w:rFonts w:ascii="宋体" w:eastAsia="宋体" w:hAnsi="宋体" w:cs="宋体" w:hint="eastAsia"/>
          <w:sz w:val="28"/>
          <w:szCs w:val="28"/>
        </w:rPr>
        <w:t xml:space="preserve">，主要原因是：</w:t>
      </w:r>
      <w:r>
        <w:rPr>
          <w:rFonts w:hint="eastAsia"/>
          <w:highlight w:val="none"/>
        </w:rPr>
        <w:t xml:space="preserve">工资标准比2023年有所提高；2.养老保险及住房公积金缴纳数提高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120.38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8.96%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101.77</w:t>
      </w:r>
      <w:r>
        <w:rPr>
          <w:rFonts w:ascii="宋体" w:eastAsia="宋体" w:hAnsi="宋体" w:cs="宋体" w:hint="eastAsia"/>
          <w:sz w:val="28"/>
          <w:szCs w:val="28"/>
        </w:rPr>
        <w:t xml:space="preserve">万元，</w:t>
      </w:r>
      <w:r>
        <w:rPr>
          <w:rFonts w:ascii="宋体" w:eastAsia="宋体" w:hAnsi="宋体" w:cs="宋体"/>
          <w:sz w:val="28"/>
          <w:u w:color="auto"/>
        </w:rPr>
        <w:t xml:space="preserve">增长18.61</w:t>
      </w:r>
      <w:r>
        <w:rPr>
          <w:rFonts w:ascii="宋体" w:eastAsia="宋体" w:hAnsi="宋体" w:cs="宋体" w:hint="eastAsia"/>
          <w:sz w:val="28"/>
          <w:szCs w:val="28"/>
        </w:rPr>
        <w:t xml:space="preserve">万元，</w:t>
      </w:r>
      <w:r>
        <w:rPr>
          <w:rFonts w:ascii="宋体" w:eastAsia="宋体" w:hAnsi="宋体" w:cs="宋体"/>
          <w:sz w:val="28"/>
          <w:u w:color="auto"/>
        </w:rPr>
        <w:t xml:space="preserve">增长18.29%</w:t>
      </w:r>
      <w:r>
        <w:rPr>
          <w:rFonts w:ascii="宋体" w:eastAsia="宋体" w:hAnsi="宋体" w:cs="宋体" w:hint="eastAsia"/>
          <w:sz w:val="28"/>
          <w:szCs w:val="28"/>
        </w:rPr>
        <w:t xml:space="preserve">，主要原因是：</w:t>
      </w:r>
      <w:r>
        <w:rPr>
          <w:rFonts w:hint="eastAsia"/>
          <w:highlight w:val="none"/>
        </w:rPr>
        <w:t xml:space="preserve">工资标准比2023年有所提高；2.养老保险及住房公积金缴纳数提高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1061.45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78.98%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883.92</w:t>
      </w:r>
      <w:r>
        <w:rPr>
          <w:rFonts w:ascii="宋体" w:eastAsia="宋体" w:hAnsi="宋体" w:cs="宋体" w:hint="eastAsia"/>
          <w:sz w:val="28"/>
          <w:szCs w:val="28"/>
        </w:rPr>
        <w:t xml:space="preserve">万元，</w:t>
      </w:r>
      <w:r>
        <w:rPr>
          <w:rFonts w:ascii="宋体" w:eastAsia="宋体" w:hAnsi="宋体" w:cs="宋体"/>
          <w:sz w:val="28"/>
          <w:u w:color="auto"/>
        </w:rPr>
        <w:t xml:space="preserve">增长177.53</w:t>
      </w:r>
      <w:r>
        <w:rPr>
          <w:rFonts w:ascii="宋体" w:eastAsia="宋体" w:hAnsi="宋体" w:cs="宋体" w:hint="eastAsia"/>
          <w:sz w:val="28"/>
          <w:szCs w:val="28"/>
        </w:rPr>
        <w:t xml:space="preserve">万元，</w:t>
      </w:r>
      <w:r>
        <w:rPr>
          <w:rFonts w:ascii="宋体" w:eastAsia="宋体" w:hAnsi="宋体" w:cs="宋体"/>
          <w:sz w:val="28"/>
          <w:u w:color="auto"/>
        </w:rPr>
        <w:t xml:space="preserve">增长20.08%</w:t>
      </w:r>
      <w:r>
        <w:rPr>
          <w:rFonts w:ascii="宋体" w:eastAsia="宋体" w:hAnsi="宋体" w:cs="宋体" w:hint="eastAsia"/>
          <w:sz w:val="28"/>
          <w:szCs w:val="28"/>
        </w:rPr>
        <w:t xml:space="preserve">，主要原因是：</w:t>
      </w:r>
      <w:r>
        <w:rPr>
          <w:rFonts w:hint="eastAsia"/>
          <w:highlight w:val="none"/>
        </w:rPr>
        <w:t xml:space="preserve">工资标准比2023年有所提高；2.养老保险及住房公积金缴纳数提高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143.71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135.70</w:t>
      </w:r>
      <w:r>
        <w:rPr>
          <w:rFonts w:ascii="宋体" w:eastAsia="宋体" w:hAnsi="宋体" w:cs="宋体" w:hint="eastAsia"/>
          <w:sz w:val="28"/>
          <w:szCs w:val="28"/>
        </w:rPr>
        <w:t xml:space="preserve">万元，</w:t>
      </w:r>
      <w:r>
        <w:rPr>
          <w:rFonts w:ascii="宋体" w:eastAsia="宋体" w:hAnsi="宋体" w:cs="宋体"/>
          <w:sz w:val="28"/>
          <w:u w:color="auto"/>
        </w:rPr>
        <w:t xml:space="preserve">增长8.01</w:t>
      </w:r>
      <w:r>
        <w:rPr>
          <w:rFonts w:ascii="宋体" w:eastAsia="宋体" w:hAnsi="宋体" w:cs="宋体" w:hint="eastAsia"/>
          <w:sz w:val="28"/>
          <w:szCs w:val="28"/>
        </w:rPr>
        <w:t xml:space="preserve">万元，</w:t>
      </w:r>
      <w:r>
        <w:rPr>
          <w:rFonts w:ascii="宋体" w:eastAsia="宋体" w:hAnsi="宋体" w:cs="宋体"/>
          <w:sz w:val="28"/>
          <w:u w:color="auto"/>
        </w:rPr>
        <w:t xml:space="preserve">增长5.90%</w:t>
      </w:r>
      <w:r>
        <w:rPr>
          <w:rFonts w:ascii="宋体" w:eastAsia="宋体" w:hAnsi="宋体" w:cs="宋体" w:hint="eastAsia"/>
          <w:sz w:val="28"/>
          <w:szCs w:val="28"/>
        </w:rPr>
        <w:t xml:space="preserve">，主要原因是：</w:t>
      </w:r>
      <w:r>
        <w:rPr>
          <w:rFonts w:hint="eastAsia"/>
          <w:highlight w:val="none"/>
        </w:rPr>
        <w:t xml:space="preserve">工资标准比2023年有所提高；2.养老保险及住房公积金缴纳数提高</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59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1316.96</w:t>
      </w:r>
      <w:r>
        <w:rPr>
          <w:rFonts w:hint="eastAsia"/>
        </w:rPr>
        <w:t xml:space="preserve">万元，较2023年度预算数</w:t>
      </w:r>
      <w:r>
        <w:rPr>
          <w:rFonts w:hint="eastAsia"/>
          <w:lang w:val="en-US" w:eastAsia="zh-CN"/>
        </w:rPr>
        <w:t xml:space="preserve">1053.41</w:t>
      </w:r>
      <w:r>
        <w:rPr>
          <w:rFonts w:hint="eastAsia"/>
        </w:rPr>
        <w:t xml:space="preserve">万元</w:t>
      </w:r>
      <w:r>
        <w:rPr>
          <w:rFonts w:hint="eastAsia"/>
          <w:lang w:val="en-US" w:eastAsia="zh-CN"/>
        </w:rPr>
        <w:t xml:space="preserve">,</w:t>
      </w:r>
      <w:r>
        <w:rPr>
          <w:u w:color="auto"/>
        </w:rPr>
        <w:t xml:space="preserve">增加263.55</w:t>
      </w:r>
      <w:r>
        <w:rPr>
          <w:rFonts w:hint="eastAsia"/>
        </w:rPr>
        <w:t xml:space="preserve">万元，</w:t>
      </w:r>
      <w:r>
        <w:rPr>
          <w:rFonts w:hint="eastAsia"/>
          <w:lang w:val="en-US" w:eastAsia="zh-CN"/>
        </w:rPr>
        <w:t xml:space="preserve">增长25.02%</w:t>
      </w:r>
      <w:r>
        <w:rPr>
          <w:rFonts w:hint="eastAsia"/>
        </w:rPr>
        <w:t xml:space="preserve">，主要原因是</w:t>
      </w:r>
      <w:r>
        <w:rPr>
          <w:rFonts w:hint="eastAsia"/>
          <w:highlight w:val="none"/>
          <w:lang w:val="en-US" w:eastAsia="zh-CN"/>
        </w:rPr>
        <w:t xml:space="preserve">工资标准比2023年有所提高；2.养老保险及住房公积金缴纳数提高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1257.87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95.51%</w:t>
      </w:r>
      <w:r>
        <w:rPr>
          <w:rFonts w:hint="eastAsia"/>
        </w:rPr>
        <w:t xml:space="preserve">，较2023年度预算数</w:t>
      </w:r>
      <w:r>
        <w:rPr>
          <w:rFonts w:hint="eastAsia"/>
          <w:lang w:val="en-US" w:eastAsia="zh-CN"/>
        </w:rPr>
        <w:t xml:space="preserve">1012.90</w:t>
      </w:r>
      <w:r>
        <w:rPr>
          <w:rFonts w:hint="eastAsia"/>
        </w:rPr>
        <w:t xml:space="preserve">万元，</w:t>
      </w:r>
      <w:r>
        <w:rPr>
          <w:rFonts w:hint="eastAsia"/>
          <w:lang w:val="en-US" w:eastAsia="zh-CN"/>
        </w:rPr>
        <w:t xml:space="preserve">增长244.97</w:t>
      </w:r>
      <w:r>
        <w:rPr>
          <w:rFonts w:hint="eastAsia"/>
        </w:rPr>
        <w:t xml:space="preserve">万元，</w:t>
      </w:r>
      <w:r>
        <w:rPr>
          <w:rFonts w:hint="eastAsia"/>
          <w:lang w:val="en-US" w:eastAsia="zh-CN"/>
        </w:rPr>
        <w:t xml:space="preserve">增长24.19%</w:t>
      </w:r>
      <w:r>
        <w:rPr>
          <w:rFonts w:hint="eastAsia"/>
        </w:rPr>
        <w:t xml:space="preserve">，主要原因是：</w:t>
      </w:r>
      <w:r>
        <w:rPr>
          <w:rFonts w:hint="eastAsia"/>
          <w:highlight w:val="none"/>
        </w:rPr>
        <w:t xml:space="preserve">工资标准比2023年有所提高；2.养老保险及住房公积金缴纳数提高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40.71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3.09%</w:t>
      </w:r>
      <w:r>
        <w:rPr>
          <w:rFonts w:hint="eastAsia"/>
        </w:rPr>
        <w:t xml:space="preserve">，较2023年度预算数</w:t>
      </w:r>
      <w:r>
        <w:rPr>
          <w:rFonts w:hint="eastAsia"/>
          <w:lang w:val="en-US" w:eastAsia="zh-CN"/>
        </w:rPr>
        <w:t xml:space="preserve">24.22</w:t>
      </w:r>
      <w:r>
        <w:rPr>
          <w:rFonts w:hint="eastAsia"/>
        </w:rPr>
        <w:t xml:space="preserve">万元，</w:t>
      </w:r>
      <w:r>
        <w:rPr>
          <w:rFonts w:hint="eastAsia"/>
          <w:lang w:val="en-US" w:eastAsia="zh-CN"/>
        </w:rPr>
        <w:t xml:space="preserve">增长16.49</w:t>
      </w:r>
      <w:r>
        <w:rPr>
          <w:rFonts w:hint="eastAsia"/>
        </w:rPr>
        <w:t xml:space="preserve">万元，</w:t>
      </w:r>
      <w:r>
        <w:rPr>
          <w:rFonts w:hint="eastAsia"/>
          <w:lang w:val="en-US" w:eastAsia="zh-CN"/>
        </w:rPr>
        <w:t xml:space="preserve">增长68.08%</w:t>
      </w:r>
      <w:r>
        <w:rPr>
          <w:rFonts w:hint="eastAsia"/>
        </w:rPr>
        <w:t xml:space="preserve">，主要原因是：</w:t>
      </w:r>
      <w:r>
        <w:rPr>
          <w:rFonts w:hint="eastAsia"/>
          <w:highlight w:val="none"/>
        </w:rPr>
        <w:t xml:space="preserve">工资标准比2023年有所提高；2.养老保险及住房公积金缴纳数提高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18.38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1.40%</w:t>
      </w:r>
      <w:r>
        <w:rPr>
          <w:rFonts w:hint="eastAsia"/>
        </w:rPr>
        <w:t xml:space="preserve">，较2023年度预算数</w:t>
      </w:r>
      <w:r>
        <w:rPr>
          <w:rFonts w:hint="eastAsia"/>
          <w:lang w:val="en-US" w:eastAsia="zh-CN"/>
        </w:rPr>
        <w:t xml:space="preserve">16.29</w:t>
      </w:r>
      <w:r>
        <w:rPr>
          <w:rFonts w:hint="eastAsia"/>
        </w:rPr>
        <w:t xml:space="preserve">万元，</w:t>
      </w:r>
      <w:r>
        <w:rPr>
          <w:rFonts w:hint="eastAsia"/>
          <w:lang w:val="en-US" w:eastAsia="zh-CN"/>
        </w:rPr>
        <w:t xml:space="preserve">增长2.09</w:t>
      </w:r>
      <w:r>
        <w:rPr>
          <w:rFonts w:hint="eastAsia"/>
        </w:rPr>
        <w:t xml:space="preserve">万元，</w:t>
      </w:r>
      <w:r>
        <w:rPr>
          <w:rFonts w:hint="eastAsia"/>
          <w:lang w:val="en-US" w:eastAsia="zh-CN"/>
        </w:rPr>
        <w:t xml:space="preserve">增长12.83%</w:t>
      </w:r>
      <w:r>
        <w:rPr>
          <w:rFonts w:hint="eastAsia"/>
        </w:rPr>
        <w:t xml:space="preserve">，主要原因是：</w:t>
      </w:r>
      <w:r>
        <w:rPr>
          <w:rFonts w:hint="eastAsia"/>
          <w:highlight w:val="none"/>
        </w:rPr>
        <w:t xml:space="preserve">工资标准比2023年有所提高；2.养老保险及住房公积金缴纳数提高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59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无三公经费支出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无三公经费支出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无三公经费支出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无公务用车运行维护费支出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无政府性基金支出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本单位无国有资本经营资金支出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18.38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16.29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增加2.09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增长12.83%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学校工会会员人数增加，预算数增加，主要用于学校工会活动，如文体比赛活动、节日慰问、红白喜事慰问、教师医疗互助等方面支出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主要用于：学校办设备的更新及办公用品的采购</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4</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26.96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1.义务教育中央级公用经费</w:t>
        <w:tab/>
        <w:t xml:space="preserve">12.78万元</w:t>
        <w:tab/>
        <w:t xml:space="preserve">年度绩效目标是通过义务教育中央级公用经费的拨付，保障学校各项工作的正常开展，提高教育教学质量。</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2.C广西民族教育发展专项经费(补助市县)</w:t>
        <w:tab/>
        <w:t xml:space="preserve">5.38</w:t>
        <w:tab/>
        <w:t xml:space="preserve">"可行性和必要性：解围绕立德树人根本任务和教育高质量发展要求,把铸牢中华民族共同体意识纳入国民教育全过程,坚持不懈开展马克思主义国家观、民族观、历史观、文化观、宗教观宣传教育,广泛开展中华优秀传统文化、革命文化和社会主义先进文化教育，全面加强国家通用语言文字教育教学。</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支持范围：环江县第二小学族团结进步教育</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实施内容：建立完善民族团结进步教育常态化机制，不断改进和创新教育形式，确保民族团结进步教育落实到学校教育教学各环节。</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3.自治区公用经费</w:t>
        <w:tab/>
        <w:t xml:space="preserve">8.60</w:t>
        <w:tab/>
        <w:t xml:space="preserve">年度绩效目标是保障学校各项工作的正常开展，提高教育教学质量。</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4.公用经费（特教）中央补助</w:t>
        <w:tab/>
        <w:t xml:space="preserve">0.22</w:t>
        <w:tab/>
        <w:t xml:space="preserve">年度绩效目标是保障学校各项工作的正常开展，提高教育教学质量</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环江毛南族自治县第二小学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环江毛南族自治县第二小学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1316.96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18.38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1316.96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1061.45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143.71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120.38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1316.96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1343.93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26.97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1343.93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1343.93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环江毛南族自治县第二小学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201019</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环江毛南族自治县第二小学</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1343.93</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1316.96</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1316.96</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26.97</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26.97</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环江毛南族自治县第二小学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1343.93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1316.96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26.97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1343.93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1316.96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26.97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1061.24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1034.48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26.75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0.22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0.22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143.71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143.71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环江毛南族自治县第二小学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1316.96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1316.96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1061.45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143.71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120.38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1316.96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1343.93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26.97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1343.93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1343.93</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环江毛南族自治县第二小学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201019</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1343.93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1316.96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1298.58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26.97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18.38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小学教育</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1061.24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1034.48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1034.48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26.75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2050701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特殊学校教育</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0.22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0.22</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143.71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143.71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143.71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120.38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120.38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120.38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环江毛南族自治县第二小学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1316.96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1298.58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1257.87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1257.87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452.76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452.76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29.98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29.98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221.99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221.99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199.50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199.50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143.71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143.71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57.48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57.48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6.36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124.72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124.72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40.71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40.71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39.95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环江毛南族自治县第二小学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201019</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环江毛南族自治县第二小学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环江毛南族自治县第二小学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环江毛南族自治县第二小学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12.78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C广西民族教育发展专项经费(补助市县)</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5.38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可行性和必要性：解围绕立德树人根本任务和教育高质量发展要求,把铸牢中华民族共同体意识纳入国民教育全过程,坚持不懈开展马克思主义国家观、民族观、历史观、文化观、宗教观宣传教育,广泛开展中华优秀传统文化、革命文化和社会主义先进文化教育，全面加强国家通用语言文字教育教学。</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支持范围：环江县第二小学族团结进步教育</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实施内容：建立完善民族团结进步教育常态化机制，不断改进和创新教育形式，确保民族团结进步教育落实到学校教育教学各环节。</w:t>
            </w:r>
            <w:r>
              <w:rPr>
                <w:rFonts w:ascii="宋体" w:eastAsia="宋体" w:hAnsi="宋体" w:cs="宋体" w:hint="eastAsia"/>
                <w:b w:val="0"/>
                <w:bCs w:val="0"/>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201019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公用经费（特教）中央补助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0.22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5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59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53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60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53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60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54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60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54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5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9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53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0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53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uj8clbyYZ6ezueQRllHppg==" w:hash="50/rmLkFaDLr4QeYlH/END2TnO/9Z35JOAHXT35uLHUet+jjL18mW+WvV2/xcUtjaEp9JEBROv/p1FwmEP+Mq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1343.93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18.38</c:v>
                </c:pt>
                <c:pt idx="1">
                  <c:v>1034.48</c:v>
                </c:pt>
                <c:pt idx="2">
                  <c:v>143.71</c:v>
                </c:pt>
                <c:pt idx="3">
                  <c:v>120.38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1137.68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1343.93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1316.96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18.38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1298.58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1298.58</c:v>
                </c:pt>
                <c:pt idx="1">
                  <c:v>18.38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2024-03-01T10:55:43Z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