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lang w:eastAsia="zh-CN"/>
        </w:rPr>
      </w:pPr>
      <w:bookmarkStart w:id="43" w:name="_GoBack"/>
      <w:bookmarkEnd w:id="43"/>
      <w:r>
        <w:rPr>
          <w:rFonts w:hint="eastAsia"/>
          <w:sz w:val="56"/>
          <w:szCs w:val="56"/>
          <w:lang w:eastAsia="zh-CN"/>
        </w:rPr>
        <w:t>环江毛南族自治县东兴镇中心幼儿园</w:t>
      </w:r>
    </w:p>
    <w:p>
      <w:pPr>
        <w:pStyle w:val="10"/>
        <w:jc w:val="center"/>
        <w:rPr>
          <w:sz w:val="56"/>
          <w:szCs w:val="56"/>
        </w:rPr>
        <w:sectPr>
          <w:headerReference r:id="rId3" w:type="default"/>
          <w:footerReference r:id="rId4" w:type="default"/>
          <w:pgSz w:w="11900" w:h="16840"/>
          <w:pgMar w:top="4713" w:right="1913" w:bottom="4713" w:left="2020" w:header="4285" w:footer="2381" w:gutter="0"/>
          <w:pgBorders>
            <w:top w:val="none" w:sz="0" w:space="0"/>
            <w:left w:val="none" w:sz="0" w:space="0"/>
            <w:bottom w:val="none" w:sz="0" w:space="0"/>
            <w:right w:val="none" w:sz="0" w:space="0"/>
          </w:pgBorders>
          <w:pgNumType w:fmt="decimal" w:start="1"/>
          <w:cols w:space="720" w:num="1"/>
          <w:docGrid w:linePitch="360" w:charSpace="0"/>
        </w:sectPr>
      </w:pPr>
      <w:r>
        <w:rPr>
          <w:rFonts w:hint="eastAsia"/>
          <w:sz w:val="56"/>
          <w:szCs w:val="56"/>
          <w:lang w:eastAsia="zh-CN"/>
        </w:rPr>
        <w:t>2024</w:t>
      </w:r>
      <w:r>
        <w:rPr>
          <w:rFonts w:hint="eastAsia" w:asciiTheme="majorEastAsia" w:hAnsiTheme="majorEastAsia" w:eastAsiaTheme="majorEastAsia" w:cstheme="majorEastAsia"/>
          <w:sz w:val="56"/>
          <w:szCs w:val="56"/>
          <w:u w:color="auto"/>
        </w:rPr>
        <w:t>年</w:t>
      </w:r>
      <w:r>
        <w:rPr>
          <w:rFonts w:hint="eastAsia" w:asciiTheme="majorEastAsia" w:hAnsiTheme="majorEastAsia" w:eastAsiaTheme="majorEastAsia" w:cstheme="majorEastAsia"/>
          <w:sz w:val="56"/>
          <w:szCs w:val="56"/>
        </w:rPr>
        <w:t>度部门预算</w:t>
      </w:r>
    </w:p>
    <w:p>
      <w:pPr>
        <w:pStyle w:val="12"/>
        <w:keepNext/>
        <w:keepLines/>
        <w:spacing w:after="240"/>
        <w:jc w:val="center"/>
      </w:pPr>
      <w:bookmarkStart w:id="0" w:name="bookmark2"/>
      <w:bookmarkStart w:id="1" w:name="bookmark1"/>
      <w:bookmarkStart w:id="2" w:name="bookmark0"/>
      <w:r>
        <w:t>目录</w:t>
      </w:r>
      <w:bookmarkEnd w:id="0"/>
      <w:bookmarkEnd w:id="1"/>
      <w:bookmarkEnd w:id="2"/>
    </w:p>
    <w:p>
      <w:pPr>
        <w:pStyle w:val="16"/>
        <w:ind w:left="0" w:leftChars="0" w:firstLine="320" w:firstLineChars="100"/>
        <w:jc w:val="left"/>
      </w:pPr>
      <w:r>
        <w:t>第一部分</w:t>
      </w:r>
      <w:r>
        <w:rPr>
          <w:rFonts w:hint="eastAsia"/>
          <w:lang w:eastAsia="zh-CN"/>
        </w:rPr>
        <w:t>：</w:t>
      </w:r>
      <w:r>
        <w:rPr>
          <w:u w:color="auto"/>
        </w:rPr>
        <w:t>环江毛南族自治县东兴镇中心幼儿园单位</w:t>
      </w:r>
      <w:r>
        <w:t>概况</w:t>
      </w:r>
    </w:p>
    <w:p>
      <w:pPr>
        <w:pStyle w:val="16"/>
        <w:jc w:val="left"/>
      </w:pPr>
      <w:r>
        <w:rPr>
          <w:lang w:val="en-US" w:eastAsia="zh-CN" w:bidi="en-US"/>
        </w:rPr>
        <w:t>—</w:t>
      </w:r>
      <w:r>
        <w:t>、主要职责</w:t>
      </w:r>
    </w:p>
    <w:p>
      <w:pPr>
        <w:pStyle w:val="16"/>
        <w:jc w:val="left"/>
        <w:rPr>
          <w:rFonts w:hint="eastAsia"/>
        </w:rPr>
      </w:pPr>
      <w:r>
        <w:rPr>
          <w:rFonts w:hint="eastAsia"/>
          <w:lang w:val="en-US" w:eastAsia="zh-CN"/>
        </w:rPr>
        <w:t>二、</w:t>
      </w:r>
      <w:r>
        <w:rPr>
          <w:rFonts w:hint="eastAsia"/>
        </w:rPr>
        <w:t>机构设置情况</w:t>
      </w:r>
    </w:p>
    <w:p>
      <w:pPr>
        <w:pStyle w:val="16"/>
        <w:ind w:left="0" w:leftChars="0" w:firstLine="320" w:firstLineChars="100"/>
        <w:jc w:val="left"/>
      </w:pPr>
      <w:r>
        <w:t>第二部分</w:t>
      </w:r>
      <w:r>
        <w:rPr>
          <w:rFonts w:hint="eastAsia"/>
          <w:lang w:eastAsia="zh-CN"/>
        </w:rPr>
        <w:t>：</w:t>
      </w:r>
      <w:r>
        <w:rPr>
          <w:u w:color="auto"/>
        </w:rPr>
        <w:t>环江毛南族自治县东兴镇中心幼儿园2024</w:t>
      </w:r>
      <w:r>
        <w:t>部门预算情况说明</w:t>
      </w:r>
    </w:p>
    <w:p>
      <w:pPr>
        <w:pStyle w:val="16"/>
        <w:numPr>
          <w:ilvl w:val="0"/>
          <w:numId w:val="0"/>
        </w:numPr>
        <w:ind w:firstLine="640" w:firstLineChars="200"/>
        <w:jc w:val="left"/>
        <w:rPr>
          <w:rFonts w:hint="eastAsia"/>
        </w:rPr>
      </w:pPr>
      <w:r>
        <w:rPr>
          <w:rFonts w:hint="eastAsia"/>
        </w:rPr>
        <w:t>一、部门收支总体情况说明</w:t>
      </w:r>
    </w:p>
    <w:p>
      <w:pPr>
        <w:pStyle w:val="16"/>
        <w:numPr>
          <w:ilvl w:val="0"/>
          <w:numId w:val="0"/>
        </w:numPr>
        <w:ind w:firstLine="640" w:firstLineChars="200"/>
        <w:jc w:val="left"/>
        <w:rPr>
          <w:rFonts w:hint="eastAsia"/>
        </w:rPr>
      </w:pPr>
      <w:r>
        <w:rPr>
          <w:rFonts w:hint="eastAsia"/>
        </w:rPr>
        <w:t>二、部门收入总体情况说明</w:t>
      </w:r>
    </w:p>
    <w:p>
      <w:pPr>
        <w:pStyle w:val="16"/>
        <w:numPr>
          <w:ilvl w:val="0"/>
          <w:numId w:val="0"/>
        </w:numPr>
        <w:ind w:firstLine="640" w:firstLineChars="200"/>
        <w:jc w:val="left"/>
        <w:rPr>
          <w:rFonts w:hint="eastAsia"/>
        </w:rPr>
      </w:pPr>
      <w:r>
        <w:rPr>
          <w:rFonts w:hint="eastAsia"/>
        </w:rPr>
        <w:t>三、部门支出总体情况说明</w:t>
      </w:r>
    </w:p>
    <w:p>
      <w:pPr>
        <w:pStyle w:val="16"/>
        <w:numPr>
          <w:ilvl w:val="0"/>
          <w:numId w:val="0"/>
        </w:numPr>
        <w:ind w:firstLine="640" w:firstLineChars="200"/>
        <w:jc w:val="left"/>
        <w:rPr>
          <w:rFonts w:hint="eastAsia"/>
        </w:rPr>
      </w:pPr>
      <w:r>
        <w:rPr>
          <w:rFonts w:hint="eastAsia"/>
        </w:rPr>
        <w:t>四、财政拨款收支总体情况说明</w:t>
      </w:r>
    </w:p>
    <w:p>
      <w:pPr>
        <w:pStyle w:val="16"/>
        <w:numPr>
          <w:ilvl w:val="0"/>
          <w:numId w:val="0"/>
        </w:numPr>
        <w:ind w:firstLine="640" w:firstLineChars="200"/>
        <w:jc w:val="left"/>
        <w:rPr>
          <w:rFonts w:hint="eastAsia"/>
        </w:rPr>
      </w:pPr>
      <w:r>
        <w:rPr>
          <w:rFonts w:hint="eastAsia"/>
        </w:rPr>
        <w:t>五、一般公共预算支出情况说明</w:t>
      </w:r>
    </w:p>
    <w:p>
      <w:pPr>
        <w:pStyle w:val="16"/>
        <w:numPr>
          <w:ilvl w:val="0"/>
          <w:numId w:val="0"/>
        </w:numPr>
        <w:ind w:firstLine="640" w:firstLineChars="200"/>
        <w:jc w:val="left"/>
        <w:rPr>
          <w:rFonts w:hint="eastAsia"/>
        </w:rPr>
      </w:pPr>
      <w:r>
        <w:rPr>
          <w:rFonts w:hint="eastAsia"/>
        </w:rPr>
        <w:t>六、一般公共预算基本支出情况说明</w:t>
      </w:r>
    </w:p>
    <w:p>
      <w:pPr>
        <w:pStyle w:val="16"/>
        <w:numPr>
          <w:ilvl w:val="0"/>
          <w:numId w:val="0"/>
        </w:numPr>
        <w:ind w:firstLine="640" w:firstLineChars="200"/>
        <w:jc w:val="left"/>
        <w:rPr>
          <w:rFonts w:hint="eastAsia"/>
        </w:rPr>
      </w:pPr>
      <w:r>
        <w:rPr>
          <w:rFonts w:hint="eastAsia"/>
        </w:rPr>
        <w:t>七、一般公共预算“三公”经费支出情况说明</w:t>
      </w:r>
    </w:p>
    <w:p>
      <w:pPr>
        <w:pStyle w:val="16"/>
        <w:numPr>
          <w:ilvl w:val="0"/>
          <w:numId w:val="0"/>
        </w:numPr>
        <w:ind w:firstLine="640" w:firstLineChars="200"/>
        <w:jc w:val="left"/>
        <w:rPr>
          <w:rFonts w:hint="eastAsia"/>
        </w:rPr>
      </w:pPr>
      <w:r>
        <w:rPr>
          <w:rFonts w:hint="eastAsia"/>
        </w:rPr>
        <w:t>八、政府性基金预算支出情况说明</w:t>
      </w:r>
    </w:p>
    <w:p>
      <w:pPr>
        <w:pStyle w:val="16"/>
        <w:numPr>
          <w:ilvl w:val="0"/>
          <w:numId w:val="0"/>
        </w:numPr>
        <w:ind w:firstLine="640" w:firstLineChars="200"/>
        <w:jc w:val="left"/>
        <w:rPr>
          <w:rFonts w:hint="eastAsia"/>
        </w:rPr>
      </w:pPr>
      <w:r>
        <w:rPr>
          <w:rFonts w:hint="eastAsia"/>
        </w:rPr>
        <w:t>九、国有资本经营预算支出情况说明</w:t>
      </w:r>
    </w:p>
    <w:p>
      <w:pPr>
        <w:pStyle w:val="16"/>
        <w:numPr>
          <w:ilvl w:val="0"/>
          <w:numId w:val="0"/>
        </w:numPr>
        <w:ind w:firstLine="640" w:firstLineChars="200"/>
        <w:jc w:val="left"/>
      </w:pPr>
      <w:r>
        <w:rPr>
          <w:rFonts w:hint="eastAsia"/>
        </w:rPr>
        <w:t>十、其他重要事项情况说明</w:t>
      </w:r>
    </w:p>
    <w:p>
      <w:pPr>
        <w:pStyle w:val="16"/>
        <w:ind w:left="0" w:leftChars="0" w:firstLine="320" w:firstLineChars="100"/>
        <w:jc w:val="left"/>
      </w:pPr>
      <w:r>
        <w:t>第三部分</w:t>
      </w:r>
      <w:r>
        <w:rPr>
          <w:rFonts w:hint="eastAsia"/>
          <w:lang w:eastAsia="zh-CN"/>
        </w:rPr>
        <w:t>：</w:t>
      </w:r>
      <w:r>
        <w:rPr>
          <w:u w:color="auto"/>
        </w:rPr>
        <w:t>环江毛南族自治县东兴镇中心幼儿园2024</w:t>
      </w:r>
      <w:r>
        <w:rPr>
          <w:rFonts w:ascii="Times New Roman" w:hAnsi="Times New Roman" w:cs="Times New Roman"/>
          <w:u w:color="auto"/>
        </w:rPr>
        <w:t>年</w:t>
      </w:r>
      <w:r>
        <w:t>部门预算</w:t>
      </w:r>
      <w:r>
        <w:rPr>
          <w:rFonts w:hint="eastAsia"/>
          <w:lang w:val="en-US" w:eastAsia="zh-CN"/>
        </w:rPr>
        <w:t>相关报</w:t>
      </w:r>
      <w:r>
        <w:t>表</w:t>
      </w:r>
    </w:p>
    <w:p>
      <w:pPr>
        <w:pStyle w:val="16"/>
        <w:jc w:val="left"/>
        <w:rPr>
          <w:rFonts w:hint="eastAsia"/>
        </w:rPr>
      </w:pPr>
      <w:r>
        <w:rPr>
          <w:rFonts w:hint="eastAsia"/>
        </w:rPr>
        <w:t>一、部门收支总体情况表</w:t>
      </w:r>
    </w:p>
    <w:p>
      <w:pPr>
        <w:pStyle w:val="16"/>
        <w:jc w:val="left"/>
        <w:rPr>
          <w:rFonts w:hint="eastAsia"/>
        </w:rPr>
      </w:pPr>
      <w:r>
        <w:rPr>
          <w:rFonts w:hint="eastAsia"/>
        </w:rPr>
        <w:t>二、部门收入总体情况表</w:t>
      </w:r>
    </w:p>
    <w:p>
      <w:pPr>
        <w:pStyle w:val="16"/>
        <w:jc w:val="left"/>
        <w:rPr>
          <w:rFonts w:hint="eastAsia"/>
        </w:rPr>
      </w:pPr>
      <w:r>
        <w:rPr>
          <w:rFonts w:hint="eastAsia"/>
        </w:rPr>
        <w:t>三、部门支出总体情况表</w:t>
      </w:r>
    </w:p>
    <w:p>
      <w:pPr>
        <w:pStyle w:val="16"/>
        <w:jc w:val="left"/>
        <w:rPr>
          <w:rFonts w:hint="eastAsia"/>
        </w:rPr>
      </w:pPr>
      <w:r>
        <w:rPr>
          <w:rFonts w:hint="eastAsia"/>
        </w:rPr>
        <w:t>四、财政拨款收支总体情况表</w:t>
      </w:r>
    </w:p>
    <w:p>
      <w:pPr>
        <w:pStyle w:val="16"/>
        <w:jc w:val="left"/>
        <w:rPr>
          <w:rFonts w:hint="eastAsia"/>
        </w:rPr>
      </w:pPr>
      <w:r>
        <w:rPr>
          <w:rFonts w:hint="eastAsia"/>
        </w:rPr>
        <w:t>五、一般公共预算支出情况表</w:t>
      </w:r>
    </w:p>
    <w:p>
      <w:pPr>
        <w:pStyle w:val="16"/>
        <w:jc w:val="left"/>
        <w:rPr>
          <w:rFonts w:hint="eastAsia"/>
        </w:rPr>
      </w:pPr>
      <w:r>
        <w:rPr>
          <w:rFonts w:hint="eastAsia"/>
        </w:rPr>
        <w:t>六、一般公共预算基本支出情况表</w:t>
      </w:r>
    </w:p>
    <w:p>
      <w:pPr>
        <w:pStyle w:val="16"/>
        <w:jc w:val="left"/>
        <w:rPr>
          <w:rFonts w:hint="eastAsia"/>
        </w:rPr>
      </w:pPr>
      <w:r>
        <w:rPr>
          <w:rFonts w:hint="eastAsia"/>
        </w:rPr>
        <w:t>七、一般公开预算“三公”经费支出情况表</w:t>
      </w:r>
    </w:p>
    <w:p>
      <w:pPr>
        <w:pStyle w:val="16"/>
        <w:jc w:val="left"/>
        <w:rPr>
          <w:rFonts w:hint="eastAsia"/>
        </w:rPr>
      </w:pPr>
      <w:r>
        <w:rPr>
          <w:rFonts w:hint="eastAsia"/>
        </w:rPr>
        <w:t>八、政府性基金预算支出情况表</w:t>
      </w:r>
    </w:p>
    <w:p>
      <w:pPr>
        <w:pStyle w:val="16"/>
        <w:jc w:val="left"/>
        <w:rPr>
          <w:rFonts w:hint="eastAsia"/>
        </w:rPr>
      </w:pPr>
      <w:r>
        <w:rPr>
          <w:rFonts w:hint="eastAsia"/>
        </w:rPr>
        <w:t>九、国有资本经营预算支出情况表</w:t>
      </w:r>
    </w:p>
    <w:p>
      <w:pPr>
        <w:pStyle w:val="16"/>
        <w:jc w:val="left"/>
        <w:rPr>
          <w:rFonts w:hint="eastAsia" w:eastAsia="宋体"/>
          <w:lang w:eastAsia="zh-CN"/>
        </w:rPr>
      </w:pPr>
      <w:r>
        <w:rPr>
          <w:rFonts w:hint="eastAsia"/>
        </w:rPr>
        <w:t>十、2024年度预算项目绩效目标公开表</w:t>
      </w:r>
    </w:p>
    <w:p>
      <w:pPr>
        <w:pStyle w:val="16"/>
        <w:ind w:left="0" w:leftChars="0" w:firstLine="320" w:firstLineChars="100"/>
        <w:jc w:val="left"/>
        <w:rPr>
          <w:rFonts w:hint="eastAsia" w:eastAsia="宋体"/>
          <w:lang w:eastAsia="zh-CN"/>
        </w:rPr>
        <w:sectPr>
          <w:footerReference r:id="rId5" w:type="default"/>
          <w:pgSz w:w="11900" w:h="16840"/>
          <w:pgMar w:top="1508" w:right="1674" w:bottom="1508" w:left="1851" w:header="0" w:footer="1077" w:gutter="0"/>
          <w:pgBorders>
            <w:top w:val="none" w:sz="0" w:space="0"/>
            <w:left w:val="none" w:sz="0" w:space="0"/>
            <w:bottom w:val="none" w:sz="0" w:space="0"/>
            <w:right w:val="none" w:sz="0" w:space="0"/>
          </w:pgBorders>
          <w:pgNumType w:fmt="decimal"/>
          <w:cols w:space="720" w:num="1"/>
          <w:docGrid w:linePitch="360" w:charSpace="0"/>
        </w:sectPr>
      </w:pPr>
      <w:r>
        <w:t>第四部分</w:t>
      </w:r>
      <w:r>
        <w:rPr>
          <w:rFonts w:hint="eastAsia"/>
          <w:lang w:eastAsia="zh-CN"/>
        </w:rPr>
        <w:t>：</w:t>
      </w:r>
      <w:r>
        <w:t>名词</w:t>
      </w:r>
      <w:r>
        <w:rPr>
          <w:rFonts w:hint="eastAsia"/>
          <w:lang w:val="en-US" w:eastAsia="zh-CN"/>
        </w:rPr>
        <w:t>解释</w:t>
      </w:r>
    </w:p>
    <w:p>
      <w:pPr>
        <w:pStyle w:val="12"/>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第一部分</w:t>
      </w:r>
      <w:r>
        <w:rPr>
          <w:rFonts w:hint="eastAsia"/>
          <w:b/>
          <w:bCs/>
          <w:sz w:val="40"/>
          <w:szCs w:val="40"/>
          <w:lang w:eastAsia="zh-CN"/>
        </w:rPr>
        <w:t>：</w:t>
      </w:r>
      <w:r>
        <w:rPr>
          <w:b/>
          <w:sz w:val="40"/>
          <w:u w:color="auto"/>
        </w:rPr>
        <w:t>环江毛南族自治县东兴镇中心幼儿园</w:t>
      </w:r>
      <w:r>
        <w:rPr>
          <w:b/>
          <w:bCs/>
          <w:sz w:val="40"/>
          <w:szCs w:val="40"/>
        </w:rPr>
        <w:t>概况</w:t>
      </w:r>
      <w:bookmarkEnd w:id="3"/>
      <w:bookmarkEnd w:id="4"/>
      <w:bookmarkEnd w:id="5"/>
    </w:p>
    <w:p>
      <w:pPr>
        <w:pStyle w:val="16"/>
        <w:spacing w:after="0" w:line="619" w:lineRule="exact"/>
        <w:ind w:firstLine="620"/>
        <w:jc w:val="left"/>
        <w:rPr>
          <w:b/>
          <w:bCs/>
        </w:rPr>
      </w:pPr>
      <w:r>
        <w:rPr>
          <w:rFonts w:hint="eastAsia"/>
          <w:b/>
          <w:bCs/>
          <w:lang w:val="en-US" w:eastAsia="zh-CN"/>
        </w:rPr>
        <w:t>一、</w:t>
      </w:r>
      <w:r>
        <w:rPr>
          <w:b/>
          <w:bCs/>
        </w:rPr>
        <w:t>主要职责</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一）贯彻执行党和国家的教育方针、政策和法律法规；拟订全园教育改革与发展规划并组织实施。（二）编制本园教育事业发展规划并检查实施情况，向自治县人民政府和上级教育部门作出报告。（三）督促检查全园贯彻执行教育方针、政策、法令、法规和上级的各项规定；评估指导全园教育教学工作。（四）负责推进学前教育均衡发展和促进教育公平。（五）负责全园人才队伍和教师队伍建设，包括园长岗位培训、后备干部队伍建设、教师学历教育、继续教育等。（六）负责组织学籍管理工作。（七）按照中央关于全面推进素质教育要求，负责教育教学管理、教育教学改革及教育教学科学研究工作，检查指导全园实施素质教育工作，并组织推广先进的教育教学经验。（八）检查指导幼儿园教育教学设备的装备、管理和使用工作。（九）检查指导全园开展电化教育和信息化教学工作。（十）负责全园教师初级专业技术职务资格的评审，中、高级专业技术职务资格的申报工作。按照管理权限对教师进行考核、聘任、奖惩、晋升等工作。（十一）负责指导全园学生资助管理工作及安全管理工作。（十二）负责语言文字和指导推广普通话工作。（十三）完成上级部门交办的其他工作</w:t>
      </w:r>
    </w:p>
    <w:p>
      <w:pPr>
        <w:pStyle w:val="16"/>
        <w:spacing w:after="0" w:line="619" w:lineRule="exact"/>
        <w:ind w:firstLine="620"/>
        <w:jc w:val="left"/>
        <w:rPr>
          <w:rFonts w:hint="eastAsia"/>
          <w:b/>
          <w:bCs/>
          <w:lang w:val="en-US" w:eastAsia="zh-CN"/>
        </w:rPr>
      </w:pPr>
      <w:bookmarkStart w:id="6" w:name="bookmark24"/>
      <w:r>
        <w:rPr>
          <w:rFonts w:hint="eastAsia"/>
          <w:b/>
          <w:bCs/>
          <w:lang w:val="en-US" w:eastAsia="zh-CN"/>
        </w:rPr>
        <w:t>二</w:t>
      </w:r>
      <w:bookmarkEnd w:id="6"/>
      <w:r>
        <w:rPr>
          <w:rFonts w:hint="eastAsia"/>
          <w:b/>
          <w:bCs/>
          <w:lang w:val="en-US" w:eastAsia="zh-CN"/>
        </w:rPr>
        <w:t>、机构设置情况</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本部门无下属机构，有五个内设机构，分别为：园长办公室、保教室、总务处。（一）园长办公室负责幼儿园日常运转工作，负责信息、督查、安全保密、来信来访及答复、政务公开、人事编制，幼儿园的安全稳定、安全教育等工作。（二）保教室指导教师掌握新课程标准，帮助教师理解教材，改进教学方法，更新教学手段，不断创新，全面提高课堂教学效益；组织开展形式多样的教研活动，总结推广先进教学经验，表彰教学研究和教学改革中的先进单位和个人同时负债按有关规定开展免除保教费申报、评审、认定、公示和发放工作；加强免保教费补助资金的管理，加强幼儿园学生资助其他方面工作的指导和管理。（三）总务处负责国有资产、预决算、财务管理、内部审计、政府采购、承担教育基本信息统计、分析、发布工作</w:t>
      </w:r>
    </w:p>
    <w:p>
      <w:pPr>
        <w:pStyle w:val="18"/>
        <w:spacing w:line="623" w:lineRule="exact"/>
        <w:ind w:left="0" w:leftChars="0" w:firstLine="560" w:firstLineChars="200"/>
        <w:jc w:val="left"/>
        <w:rPr>
          <w:rFonts w:hint="default"/>
          <w:highlight w:val="yellow"/>
          <w:lang w:val="en-US" w:eastAsia="zh-CN"/>
        </w:rPr>
      </w:pPr>
    </w:p>
    <w:p>
      <w:pPr>
        <w:pStyle w:val="18"/>
        <w:spacing w:line="623" w:lineRule="exact"/>
        <w:ind w:firstLine="1018" w:firstLineChars="0"/>
        <w:jc w:val="left"/>
        <w:rPr>
          <w:rFonts w:hint="eastAsia"/>
          <w:highlight w:val="none"/>
          <w:lang w:val="en-US" w:eastAsia="zh-CN"/>
        </w:rPr>
      </w:pPr>
    </w:p>
    <w:p>
      <w:pPr>
        <w:pStyle w:val="18"/>
        <w:spacing w:line="623" w:lineRule="exact"/>
        <w:ind w:firstLine="1018" w:firstLineChars="0"/>
        <w:jc w:val="left"/>
        <w:rPr>
          <w:rFonts w:hint="eastAsia"/>
          <w:highlight w:val="none"/>
          <w:lang w:val="en-US" w:eastAsia="zh-CN"/>
        </w:rPr>
      </w:pPr>
    </w:p>
    <w:p>
      <w:r>
        <w:br w:type="page"/>
      </w:r>
    </w:p>
    <w:p>
      <w:pPr>
        <w:pStyle w:val="12"/>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68"/>
      <w:bookmarkStart w:id="9" w:name="bookmark70"/>
      <w:bookmarkStart w:id="10" w:name="bookmark27"/>
      <w:bookmarkStart w:id="11" w:name="bookmark28"/>
      <w:bookmarkStart w:id="12" w:name="bookmark26"/>
      <w:r>
        <w:rPr>
          <w:b/>
          <w:bCs/>
          <w:sz w:val="40"/>
          <w:szCs w:val="40"/>
        </w:rPr>
        <w:t>第</w:t>
      </w:r>
      <w:r>
        <w:rPr>
          <w:rFonts w:hint="eastAsia"/>
          <w:b/>
          <w:bCs/>
          <w:sz w:val="40"/>
          <w:szCs w:val="40"/>
          <w:lang w:val="en-US" w:eastAsia="zh-CN"/>
        </w:rPr>
        <w:t>二</w:t>
      </w:r>
      <w:r>
        <w:rPr>
          <w:b/>
          <w:bCs/>
          <w:sz w:val="40"/>
          <w:szCs w:val="40"/>
        </w:rPr>
        <w:t>部分</w:t>
      </w:r>
      <w:r>
        <w:rPr>
          <w:rFonts w:hint="eastAsia"/>
          <w:b/>
          <w:bCs/>
          <w:sz w:val="40"/>
          <w:szCs w:val="40"/>
          <w:lang w:eastAsia="zh-CN"/>
        </w:rPr>
        <w:t>：</w:t>
      </w:r>
      <w:bookmarkEnd w:id="7"/>
      <w:bookmarkEnd w:id="8"/>
      <w:bookmarkEnd w:id="9"/>
      <w:r>
        <w:rPr>
          <w:rFonts w:hint="eastAsia"/>
          <w:b/>
          <w:bCs/>
          <w:sz w:val="40"/>
          <w:szCs w:val="40"/>
          <w:lang w:eastAsia="zh-CN"/>
        </w:rPr>
        <w:t>环江毛南族自治县东兴镇中心幼儿园</w:t>
      </w:r>
      <w:r>
        <w:rPr>
          <w:b/>
          <w:sz w:val="40"/>
          <w:u w:color="auto"/>
        </w:rPr>
        <w:t>2024年部门预算情况说明</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一</w:t>
      </w:r>
      <w:bookmarkEnd w:id="13"/>
      <w:r>
        <w:rPr>
          <w:rFonts w:hint="eastAsia"/>
          <w:b/>
          <w:bCs/>
          <w:lang w:val="en-US" w:eastAsia="zh-CN"/>
        </w:rPr>
        <w:t>、部门预算收支总体情况说明</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210.88</w:t>
      </w:r>
      <w:r>
        <w:rPr>
          <w:rFonts w:hint="eastAsia"/>
          <w:b w:val="0"/>
          <w:bCs w:val="0"/>
          <w:sz w:val="28"/>
          <w:szCs w:val="28"/>
        </w:rPr>
        <w:t>万元，总支出</w:t>
      </w:r>
      <w:r>
        <w:rPr>
          <w:rFonts w:hint="eastAsia"/>
          <w:sz w:val="28"/>
          <w:szCs w:val="28"/>
          <w:lang w:val="en-US" w:eastAsia="zh-CN"/>
        </w:rPr>
        <w:t>210.88</w:t>
      </w:r>
      <w:r>
        <w:rPr>
          <w:rFonts w:hint="eastAsia"/>
          <w:b w:val="0"/>
          <w:bCs w:val="0"/>
          <w:sz w:val="28"/>
          <w:szCs w:val="28"/>
        </w:rPr>
        <w:t>万元。总收入较2023年度预算数</w:t>
      </w:r>
      <w:r>
        <w:rPr>
          <w:rFonts w:hint="eastAsia"/>
          <w:sz w:val="28"/>
          <w:szCs w:val="28"/>
          <w:lang w:val="en-US" w:eastAsia="zh-CN"/>
        </w:rPr>
        <w:t>197.95</w:t>
      </w:r>
      <w:r>
        <w:rPr>
          <w:rFonts w:hint="eastAsia"/>
          <w:b w:val="0"/>
          <w:bCs w:val="0"/>
          <w:sz w:val="28"/>
          <w:szCs w:val="28"/>
        </w:rPr>
        <w:t>万元，</w:t>
      </w:r>
      <w:r>
        <w:rPr>
          <w:rFonts w:hint="eastAsia"/>
          <w:sz w:val="28"/>
          <w:szCs w:val="28"/>
        </w:rPr>
        <w:t>增加12.93</w:t>
      </w:r>
      <w:r>
        <w:rPr>
          <w:rFonts w:hint="eastAsia"/>
          <w:b w:val="0"/>
          <w:bCs w:val="0"/>
          <w:sz w:val="28"/>
          <w:szCs w:val="28"/>
        </w:rPr>
        <w:t>万元，</w:t>
      </w:r>
      <w:r>
        <w:rPr>
          <w:rFonts w:hint="eastAsia"/>
          <w:sz w:val="28"/>
          <w:szCs w:val="28"/>
        </w:rPr>
        <w:t>增长6.53%</w:t>
      </w:r>
      <w:r>
        <w:rPr>
          <w:rFonts w:hint="eastAsia"/>
          <w:b w:val="0"/>
          <w:bCs w:val="0"/>
          <w:sz w:val="28"/>
          <w:szCs w:val="28"/>
        </w:rPr>
        <w:t>，主要原因是</w:t>
      </w:r>
      <w:r>
        <w:rPr>
          <w:rFonts w:hint="eastAsia"/>
          <w:highlight w:val="none"/>
          <w:lang w:val="en-US" w:eastAsia="zh-CN"/>
        </w:rPr>
        <w:t>1.工资标准比2023年有所提高；2.部分教师社会保障费及住房公积金缴纳基数提高；3.教育系统干部职工基础性绩效工资增量基数增加</w:t>
      </w:r>
      <w:r>
        <w:rPr>
          <w:rFonts w:hint="eastAsia"/>
          <w:b w:val="0"/>
          <w:bCs w:val="0"/>
          <w:sz w:val="28"/>
          <w:szCs w:val="28"/>
        </w:rPr>
        <w:t>。总支出较2023年度预算数</w:t>
      </w:r>
      <w:r>
        <w:rPr>
          <w:rFonts w:hint="eastAsia"/>
          <w:sz w:val="28"/>
          <w:szCs w:val="28"/>
          <w:lang w:val="en-US" w:eastAsia="zh-CN"/>
        </w:rPr>
        <w:t>197.95</w:t>
      </w:r>
      <w:r>
        <w:rPr>
          <w:rFonts w:hint="eastAsia"/>
          <w:b w:val="0"/>
          <w:bCs w:val="0"/>
          <w:sz w:val="28"/>
          <w:szCs w:val="28"/>
        </w:rPr>
        <w:t>万元，</w:t>
      </w:r>
      <w:r>
        <w:rPr>
          <w:rFonts w:hint="eastAsia"/>
          <w:sz w:val="28"/>
          <w:szCs w:val="28"/>
        </w:rPr>
        <w:t>增加12.93</w:t>
      </w:r>
      <w:r>
        <w:rPr>
          <w:rFonts w:hint="eastAsia"/>
          <w:b w:val="0"/>
          <w:bCs w:val="0"/>
          <w:sz w:val="28"/>
          <w:szCs w:val="28"/>
        </w:rPr>
        <w:t>万元，</w:t>
      </w:r>
      <w:r>
        <w:rPr>
          <w:rFonts w:hint="eastAsia"/>
          <w:sz w:val="28"/>
          <w:szCs w:val="28"/>
        </w:rPr>
        <w:t>增长6.53%</w:t>
      </w:r>
      <w:r>
        <w:rPr>
          <w:rFonts w:hint="eastAsia"/>
          <w:b w:val="0"/>
          <w:bCs w:val="0"/>
          <w:sz w:val="28"/>
          <w:szCs w:val="28"/>
        </w:rPr>
        <w:t>，主要原因是</w:t>
      </w:r>
      <w:r>
        <w:rPr>
          <w:rFonts w:hint="eastAsia"/>
          <w:highlight w:val="none"/>
          <w:lang w:val="en-US" w:eastAsia="zh-CN"/>
        </w:rPr>
        <w:t>1.工资标准比2023年有所提高；2.部分教师社会保障费及住房公积金缴纳基数提高；3.教育系统干部职工基础性绩效工资增量基数增加</w:t>
      </w:r>
      <w:r>
        <w:rPr>
          <w:rFonts w:hint="eastAsia"/>
          <w:b w:val="0"/>
          <w:bCs w:val="0"/>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二、部门收入总体情况说明</w:t>
      </w:r>
    </w:p>
    <w:p>
      <w:pPr>
        <w:pStyle w:val="18"/>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2179"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210.88</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197.95</w:t>
      </w:r>
      <w:r>
        <w:rPr>
          <w:rFonts w:hint="eastAsia" w:ascii="宋体" w:hAnsi="宋体" w:eastAsia="宋体" w:cs="宋体"/>
          <w:sz w:val="28"/>
          <w:szCs w:val="28"/>
          <w:u w:color="auto"/>
        </w:rPr>
        <w:t>万元，</w:t>
      </w:r>
      <w:r>
        <w:rPr>
          <w:rFonts w:hint="eastAsia" w:ascii="宋体" w:hAnsi="宋体" w:eastAsia="宋体" w:cs="宋体"/>
          <w:sz w:val="28"/>
          <w:szCs w:val="28"/>
        </w:rPr>
        <w:t>增加12.93</w:t>
      </w:r>
      <w:r>
        <w:rPr>
          <w:rFonts w:hint="eastAsia" w:ascii="宋体" w:hAnsi="宋体" w:eastAsia="宋体" w:cs="宋体"/>
          <w:sz w:val="28"/>
          <w:szCs w:val="28"/>
          <w:u w:color="auto"/>
        </w:rPr>
        <w:t>万元，</w:t>
      </w:r>
      <w:r>
        <w:rPr>
          <w:rFonts w:hint="eastAsia" w:ascii="宋体" w:hAnsi="宋体" w:eastAsia="宋体" w:cs="宋体"/>
          <w:sz w:val="28"/>
          <w:szCs w:val="28"/>
        </w:rPr>
        <w:t>增长6.53%</w:t>
      </w:r>
      <w:r>
        <w:rPr>
          <w:rFonts w:hint="eastAsia" w:ascii="宋体" w:hAnsi="宋体" w:eastAsia="宋体" w:cs="宋体"/>
          <w:sz w:val="28"/>
          <w:szCs w:val="28"/>
          <w:u w:color="auto"/>
        </w:rPr>
        <w:t>，主要原因是</w:t>
      </w:r>
      <w:r>
        <w:rPr>
          <w:rFonts w:hint="eastAsia"/>
          <w:highlight w:val="none"/>
          <w:lang w:val="en-US" w:eastAsia="zh-CN"/>
        </w:rPr>
        <w:t>1.工资标准比2023年有所提高；2.部分教师社会保障费及住房公积金缴纳基数提高；3.教育系统干部职工基础性绩效工资增量基数增加</w:t>
      </w:r>
      <w:r>
        <w:rPr>
          <w:rFonts w:hint="eastAsia" w:ascii="宋体" w:hAnsi="宋体" w:eastAsia="宋体" w:cs="宋体"/>
          <w:sz w:val="28"/>
          <w:szCs w:val="28"/>
          <w:u w:color="auto"/>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三、部门支出总体情况说明</w:t>
      </w:r>
    </w:p>
    <w:p>
      <w:pPr>
        <w:pStyle w:val="18"/>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20955" b="14605"/>
            <wp:docPr id="2180"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210.88</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197.95</w:t>
      </w:r>
      <w:r>
        <w:rPr>
          <w:rFonts w:hint="eastAsia" w:ascii="宋体" w:hAnsi="宋体" w:eastAsia="宋体" w:cs="宋体"/>
          <w:sz w:val="28"/>
          <w:szCs w:val="28"/>
          <w:lang w:eastAsia="zh-CN"/>
        </w:rPr>
        <w:t>万元，</w:t>
      </w:r>
      <w:r>
        <w:rPr>
          <w:rFonts w:hint="eastAsia" w:ascii="宋体" w:hAnsi="宋体" w:eastAsia="宋体" w:cs="宋体"/>
          <w:sz w:val="28"/>
          <w:szCs w:val="28"/>
        </w:rPr>
        <w:t>增加12.93</w:t>
      </w:r>
      <w:r>
        <w:rPr>
          <w:rFonts w:hint="eastAsia" w:ascii="宋体" w:hAnsi="宋体" w:eastAsia="宋体" w:cs="宋体"/>
          <w:sz w:val="28"/>
          <w:szCs w:val="28"/>
          <w:lang w:eastAsia="zh-CN"/>
        </w:rPr>
        <w:t>万元，</w:t>
      </w:r>
      <w:r>
        <w:rPr>
          <w:rFonts w:hint="eastAsia" w:ascii="宋体" w:hAnsi="宋体" w:eastAsia="宋体" w:cs="宋体"/>
          <w:sz w:val="28"/>
          <w:szCs w:val="28"/>
        </w:rPr>
        <w:t>增长6.53%</w:t>
      </w:r>
      <w:r>
        <w:rPr>
          <w:rFonts w:hint="eastAsia" w:ascii="宋体" w:hAnsi="宋体" w:eastAsia="宋体" w:cs="宋体"/>
          <w:sz w:val="28"/>
          <w:szCs w:val="28"/>
          <w:lang w:eastAsia="zh-CN"/>
        </w:rPr>
        <w:t>，主要原因是</w:t>
      </w:r>
      <w:r>
        <w:rPr>
          <w:rFonts w:hint="eastAsia" w:ascii="宋体" w:hAnsi="宋体" w:eastAsia="宋体" w:cs="宋体"/>
          <w:sz w:val="28"/>
          <w:szCs w:val="28"/>
          <w:highlight w:val="none"/>
          <w:lang w:val="en-US" w:eastAsia="zh-CN"/>
        </w:rPr>
        <w:t>1.工资标准比2023年有所提高；2.部分教师社会保障费及住房公积金缴纳基数提高；3.教育系统干部职工基础性绩效工资增量基数增加</w:t>
      </w:r>
      <w:r>
        <w:rPr>
          <w:rFonts w:hint="eastAsia" w:ascii="宋体" w:hAnsi="宋体" w:eastAsia="宋体" w:cs="宋体"/>
          <w:sz w:val="28"/>
          <w:szCs w:val="28"/>
          <w:lang w:eastAsia="zh-CN"/>
        </w:rPr>
        <w:t>。主要包括：</w:t>
      </w:r>
      <w:r>
        <w:rPr>
          <w:rFonts w:hint="eastAsia" w:ascii="宋体" w:hAnsi="宋体" w:eastAsia="宋体" w:cs="宋体"/>
          <w:sz w:val="28"/>
          <w:szCs w:val="28"/>
          <w:highlight w:val="none"/>
          <w:lang w:val="en-US" w:eastAsia="zh-CN"/>
        </w:rPr>
        <w:t>教育类支出</w:t>
      </w:r>
      <w:r>
        <w:rPr>
          <w:rFonts w:hint="eastAsia" w:ascii="宋体" w:hAnsi="宋体" w:eastAsia="宋体" w:cs="宋体"/>
          <w:sz w:val="28"/>
          <w:szCs w:val="28"/>
          <w:lang w:eastAsia="zh-CN"/>
        </w:rPr>
        <w:t>。</w:t>
      </w:r>
    </w:p>
    <w:p>
      <w:pPr>
        <w:pStyle w:val="18"/>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hint="eastAsia" w:ascii="宋体" w:hAnsi="宋体" w:eastAsia="宋体" w:cs="宋体"/>
          <w:sz w:val="28"/>
          <w:szCs w:val="28"/>
        </w:rPr>
      </w:pPr>
      <w:r>
        <w:rPr>
          <w:rFonts w:hint="eastAsia" w:ascii="宋体" w:hAnsi="宋体" w:eastAsia="宋体" w:cs="宋体"/>
          <w:sz w:val="28"/>
          <w:szCs w:val="28"/>
        </w:rPr>
        <w:t>（一）按支出功能分类科目划分，共分为</w:t>
      </w:r>
      <w:r>
        <w:rPr>
          <w:rFonts w:hint="eastAsia" w:ascii="宋体" w:hAnsi="宋体" w:eastAsia="宋体" w:cs="宋体"/>
          <w:sz w:val="28"/>
          <w:szCs w:val="28"/>
          <w:lang w:val="en-US" w:eastAsia="zh-CN"/>
        </w:rPr>
        <w:t>4</w:t>
      </w:r>
      <w:r>
        <w:rPr>
          <w:rFonts w:hint="eastAsia" w:ascii="宋体" w:hAnsi="宋体" w:eastAsia="宋体" w:cs="宋体"/>
          <w:sz w:val="28"/>
          <w:szCs w:val="28"/>
        </w:rPr>
        <w:t>类，其中:</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1)教育支出</w:t>
      </w:r>
      <w:r>
        <w:rPr>
          <w:rFonts w:hint="eastAsia" w:ascii="宋体" w:hAnsi="宋体" w:eastAsia="宋体" w:cs="宋体"/>
          <w:sz w:val="28"/>
          <w:szCs w:val="28"/>
          <w:lang w:val="en-US" w:eastAsia="zh-CN"/>
        </w:rPr>
        <w:t>200.85</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95.24%</w:t>
      </w:r>
      <w:r>
        <w:rPr>
          <w:rFonts w:hint="eastAsia" w:ascii="宋体" w:hAnsi="宋体" w:eastAsia="宋体" w:cs="宋体"/>
          <w:sz w:val="28"/>
          <w:szCs w:val="28"/>
        </w:rPr>
        <w:t>,比上年</w:t>
      </w:r>
      <w:r>
        <w:rPr>
          <w:rFonts w:hint="eastAsia" w:ascii="宋体" w:hAnsi="宋体" w:eastAsia="宋体" w:cs="宋体"/>
          <w:sz w:val="28"/>
          <w:szCs w:val="28"/>
          <w:lang w:val="en-US" w:eastAsia="zh-CN"/>
        </w:rPr>
        <w:t>增长31.11</w:t>
      </w:r>
      <w:r>
        <w:rPr>
          <w:rFonts w:hint="eastAsia" w:ascii="宋体" w:hAnsi="宋体" w:eastAsia="宋体" w:cs="宋体"/>
          <w:sz w:val="28"/>
          <w:szCs w:val="28"/>
        </w:rPr>
        <w:t>万元，</w:t>
      </w:r>
      <w:r>
        <w:rPr>
          <w:rFonts w:hint="eastAsia" w:ascii="宋体" w:hAnsi="宋体" w:eastAsia="宋体" w:cs="宋体"/>
          <w:sz w:val="28"/>
          <w:szCs w:val="28"/>
          <w:lang w:val="en-US" w:eastAsia="zh-CN"/>
        </w:rPr>
        <w:t>增长18.33%</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1.工资标准比2023年有所提高；2.教育系统干部职工基础性绩效工资增量基数增加；3.11名教师控制数编的社会保障费和住房保障都按此科目支出</w:t>
      </w:r>
      <w:r>
        <w:rPr>
          <w:rFonts w:hint="eastAsia" w:ascii="宋体" w:hAnsi="宋体" w:eastAsia="宋体" w:cs="宋体"/>
          <w:sz w:val="28"/>
          <w:szCs w:val="28"/>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2)社会保障和就业支出</w:t>
      </w:r>
      <w:r>
        <w:rPr>
          <w:rFonts w:hint="eastAsia" w:ascii="宋体" w:hAnsi="宋体" w:eastAsia="宋体" w:cs="宋体"/>
          <w:sz w:val="28"/>
          <w:szCs w:val="28"/>
          <w:lang w:val="en-US" w:eastAsia="zh-CN"/>
        </w:rPr>
        <w:t>4.41</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2.09%</w:t>
      </w:r>
      <w:r>
        <w:rPr>
          <w:rFonts w:hint="eastAsia" w:ascii="宋体" w:hAnsi="宋体" w:eastAsia="宋体" w:cs="宋体"/>
          <w:sz w:val="28"/>
          <w:szCs w:val="28"/>
        </w:rPr>
        <w:t>,比上年</w:t>
      </w:r>
      <w:r>
        <w:rPr>
          <w:rFonts w:hint="eastAsia" w:ascii="宋体" w:hAnsi="宋体" w:eastAsia="宋体" w:cs="宋体"/>
          <w:sz w:val="28"/>
          <w:szCs w:val="28"/>
          <w:lang w:val="en-US" w:eastAsia="zh-CN"/>
        </w:rPr>
        <w:t>减少10.67</w:t>
      </w:r>
      <w:r>
        <w:rPr>
          <w:rFonts w:hint="eastAsia" w:ascii="宋体" w:hAnsi="宋体" w:eastAsia="宋体" w:cs="宋体"/>
          <w:sz w:val="28"/>
          <w:szCs w:val="28"/>
        </w:rPr>
        <w:t>万元，</w:t>
      </w:r>
      <w:r>
        <w:rPr>
          <w:rFonts w:hint="eastAsia" w:ascii="宋体" w:hAnsi="宋体" w:eastAsia="宋体" w:cs="宋体"/>
          <w:sz w:val="28"/>
          <w:szCs w:val="28"/>
          <w:lang w:val="en-US" w:eastAsia="zh-CN"/>
        </w:rPr>
        <w:t>减少70.76%</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此项支出只有在职在编3人，其他教师控制数编人员11人都按教育支出预算</w:t>
      </w:r>
      <w:r>
        <w:rPr>
          <w:rFonts w:hint="eastAsia" w:ascii="宋体" w:hAnsi="宋体" w:eastAsia="宋体" w:cs="宋体"/>
          <w:sz w:val="28"/>
          <w:szCs w:val="28"/>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3)一般公共服务支出</w:t>
      </w:r>
      <w:r>
        <w:rPr>
          <w:rFonts w:hint="eastAsia" w:ascii="宋体" w:hAnsi="宋体" w:eastAsia="宋体" w:cs="宋体"/>
          <w:sz w:val="28"/>
          <w:szCs w:val="28"/>
          <w:lang w:val="en-US" w:eastAsia="zh-CN"/>
        </w:rPr>
        <w:t>1.87</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0.89%</w:t>
      </w:r>
      <w:r>
        <w:rPr>
          <w:rFonts w:hint="eastAsia" w:ascii="宋体" w:hAnsi="宋体" w:eastAsia="宋体" w:cs="宋体"/>
          <w:sz w:val="28"/>
          <w:szCs w:val="28"/>
        </w:rPr>
        <w:t>,比上年</w:t>
      </w:r>
      <w:r>
        <w:rPr>
          <w:rFonts w:hint="eastAsia" w:ascii="宋体" w:hAnsi="宋体" w:eastAsia="宋体" w:cs="宋体"/>
          <w:sz w:val="28"/>
          <w:szCs w:val="28"/>
          <w:lang w:val="en-US" w:eastAsia="zh-CN"/>
        </w:rPr>
        <w:t>增长0.05</w:t>
      </w:r>
      <w:r>
        <w:rPr>
          <w:rFonts w:hint="eastAsia" w:ascii="宋体" w:hAnsi="宋体" w:eastAsia="宋体" w:cs="宋体"/>
          <w:sz w:val="28"/>
          <w:szCs w:val="28"/>
        </w:rPr>
        <w:t>万元，</w:t>
      </w:r>
      <w:r>
        <w:rPr>
          <w:rFonts w:hint="eastAsia" w:ascii="宋体" w:hAnsi="宋体" w:eastAsia="宋体" w:cs="宋体"/>
          <w:sz w:val="28"/>
          <w:szCs w:val="28"/>
          <w:lang w:val="en-US" w:eastAsia="zh-CN"/>
        </w:rPr>
        <w:t>增长2.75%</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此项支出只有在职在编3人，其他教师控制数编人员11人都按教育支出预算</w:t>
      </w:r>
      <w:r>
        <w:rPr>
          <w:rFonts w:hint="eastAsia" w:ascii="宋体" w:hAnsi="宋体" w:eastAsia="宋体" w:cs="宋体"/>
          <w:sz w:val="28"/>
          <w:szCs w:val="28"/>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4)住房保障支出</w:t>
      </w:r>
      <w:r>
        <w:rPr>
          <w:rFonts w:hint="eastAsia" w:ascii="宋体" w:hAnsi="宋体" w:eastAsia="宋体" w:cs="宋体"/>
          <w:sz w:val="28"/>
          <w:szCs w:val="28"/>
          <w:lang w:val="en-US" w:eastAsia="zh-CN"/>
        </w:rPr>
        <w:t>3.75</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1.78%</w:t>
      </w:r>
      <w:r>
        <w:rPr>
          <w:rFonts w:hint="eastAsia" w:ascii="宋体" w:hAnsi="宋体" w:eastAsia="宋体" w:cs="宋体"/>
          <w:sz w:val="28"/>
          <w:szCs w:val="28"/>
        </w:rPr>
        <w:t>,比上年</w:t>
      </w:r>
      <w:r>
        <w:rPr>
          <w:rFonts w:hint="eastAsia" w:ascii="宋体" w:hAnsi="宋体" w:eastAsia="宋体" w:cs="宋体"/>
          <w:sz w:val="28"/>
          <w:szCs w:val="28"/>
          <w:lang w:val="en-US" w:eastAsia="zh-CN"/>
        </w:rPr>
        <w:t>减少7.56</w:t>
      </w:r>
      <w:r>
        <w:rPr>
          <w:rFonts w:hint="eastAsia" w:ascii="宋体" w:hAnsi="宋体" w:eastAsia="宋体" w:cs="宋体"/>
          <w:sz w:val="28"/>
          <w:szCs w:val="28"/>
        </w:rPr>
        <w:t>万元，</w:t>
      </w:r>
      <w:r>
        <w:rPr>
          <w:rFonts w:hint="eastAsia" w:ascii="宋体" w:hAnsi="宋体" w:eastAsia="宋体" w:cs="宋体"/>
          <w:sz w:val="28"/>
          <w:szCs w:val="28"/>
          <w:lang w:val="en-US" w:eastAsia="zh-CN"/>
        </w:rPr>
        <w:t>减少66.84%</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2023年新公招增加4名教师，工会经费也有所增加</w:t>
      </w:r>
      <w:r>
        <w:rPr>
          <w:rFonts w:hint="eastAsia" w:ascii="宋体" w:hAnsi="宋体" w:eastAsia="宋体" w:cs="宋体"/>
          <w:sz w:val="28"/>
          <w:szCs w:val="28"/>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hint="eastAsia" w:ascii="宋体" w:hAnsi="宋体" w:eastAsia="宋体" w:cs="宋体"/>
          <w:sz w:val="28"/>
          <w:szCs w:val="28"/>
        </w:rPr>
      </w:pPr>
      <w:r>
        <w:rPr>
          <w:rFonts w:hint="eastAsia" w:ascii="宋体" w:hAnsi="宋体" w:eastAsia="宋体" w:cs="宋体"/>
          <w:sz w:val="28"/>
          <w:szCs w:val="28"/>
        </w:rPr>
        <w:t>(二)按支出结构分类划分，分为基本支出预算和项目支出预算。</w:t>
      </w:r>
    </w:p>
    <w:p>
      <w:pPr>
        <w:pStyle w:val="18"/>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基本支出预算。</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基本支出预算</w:t>
      </w:r>
      <w:r>
        <w:rPr>
          <w:rFonts w:hint="eastAsia" w:ascii="宋体" w:hAnsi="宋体" w:eastAsia="宋体" w:cs="宋体"/>
          <w:sz w:val="28"/>
          <w:szCs w:val="28"/>
          <w:lang w:val="en-US" w:eastAsia="zh-CN"/>
        </w:rPr>
        <w:t>160.25</w:t>
      </w:r>
      <w:r>
        <w:rPr>
          <w:rFonts w:hint="eastAsia" w:ascii="宋体" w:hAnsi="宋体" w:eastAsia="宋体" w:cs="宋体"/>
          <w:sz w:val="28"/>
          <w:szCs w:val="28"/>
        </w:rPr>
        <w:t>万元，占支出预算</w:t>
      </w:r>
      <w:r>
        <w:rPr>
          <w:rFonts w:ascii="宋体" w:hAnsi="宋体" w:eastAsia="宋体" w:cs="宋体"/>
          <w:sz w:val="28"/>
          <w:u w:color="auto"/>
        </w:rPr>
        <w:t>75.99%,比上年增长41.28万元，增长34.70%</w:t>
      </w:r>
      <w:r>
        <w:rPr>
          <w:rFonts w:hint="eastAsia" w:ascii="宋体" w:hAnsi="宋体" w:eastAsia="宋体" w:cs="宋体"/>
          <w:sz w:val="28"/>
          <w:szCs w:val="28"/>
        </w:rPr>
        <w:t>。</w:t>
      </w:r>
      <w:r>
        <w:rPr>
          <w:rFonts w:hint="eastAsia" w:ascii="宋体" w:hAnsi="宋体" w:eastAsia="宋体" w:cs="宋体"/>
          <w:sz w:val="28"/>
          <w:szCs w:val="28"/>
          <w:lang w:val="en-US" w:eastAsia="zh-CN"/>
        </w:rPr>
        <w:t>其中：</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1)工资福利支出</w:t>
      </w:r>
      <w:r>
        <w:rPr>
          <w:rFonts w:hint="eastAsia" w:ascii="宋体" w:hAnsi="宋体" w:eastAsia="宋体" w:cs="宋体"/>
          <w:sz w:val="28"/>
          <w:szCs w:val="28"/>
          <w:lang w:val="en-US" w:eastAsia="zh-CN"/>
        </w:rPr>
        <w:t>158.38</w:t>
      </w:r>
      <w:r>
        <w:rPr>
          <w:rFonts w:hint="eastAsia" w:ascii="宋体" w:hAnsi="宋体" w:eastAsia="宋体" w:cs="宋体"/>
          <w:sz w:val="28"/>
          <w:szCs w:val="28"/>
        </w:rPr>
        <w:t>万元，占基本支出总预算</w:t>
      </w:r>
      <w:r>
        <w:rPr>
          <w:rFonts w:hint="eastAsia" w:ascii="宋体" w:hAnsi="宋体" w:eastAsia="宋体" w:cs="宋体"/>
          <w:sz w:val="28"/>
          <w:szCs w:val="28"/>
          <w:lang w:val="en-US" w:eastAsia="zh-CN"/>
        </w:rPr>
        <w:t>98.83%</w:t>
      </w:r>
      <w:r>
        <w:rPr>
          <w:rFonts w:hint="eastAsia" w:ascii="宋体" w:hAnsi="宋体" w:eastAsia="宋体" w:cs="宋体"/>
          <w:sz w:val="28"/>
          <w:szCs w:val="28"/>
        </w:rPr>
        <w:t>,比上年</w:t>
      </w:r>
      <w:r>
        <w:rPr>
          <w:rFonts w:ascii="宋体" w:hAnsi="宋体" w:eastAsia="宋体" w:cs="宋体"/>
          <w:sz w:val="28"/>
          <w:u w:color="auto"/>
        </w:rPr>
        <w:t>增长41.23万元，增长35.19%,主要原因是：1.工资标准比2023年有所提高；2.教育系统干部职工基础性绩效工资增量基数增加；3.11名教师控制数编的社会保障费和住房保障都按此科目支出</w:t>
      </w:r>
      <w:r>
        <w:rPr>
          <w:rFonts w:hint="eastAsia" w:ascii="宋体" w:hAnsi="宋体" w:eastAsia="宋体" w:cs="宋体"/>
          <w:sz w:val="28"/>
          <w:szCs w:val="28"/>
          <w:lang w:val="en-US" w:eastAsia="zh-CN"/>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2)商品和服务支出</w:t>
      </w:r>
      <w:r>
        <w:rPr>
          <w:rFonts w:hint="eastAsia" w:ascii="宋体" w:hAnsi="宋体" w:eastAsia="宋体" w:cs="宋体"/>
          <w:sz w:val="28"/>
          <w:szCs w:val="28"/>
          <w:lang w:val="en-US" w:eastAsia="zh-CN"/>
        </w:rPr>
        <w:t>1.87</w:t>
      </w:r>
      <w:r>
        <w:rPr>
          <w:rFonts w:hint="eastAsia" w:ascii="宋体" w:hAnsi="宋体" w:eastAsia="宋体" w:cs="宋体"/>
          <w:sz w:val="28"/>
          <w:szCs w:val="28"/>
        </w:rPr>
        <w:t>万元，占基本支出总预算</w:t>
      </w:r>
      <w:r>
        <w:rPr>
          <w:rFonts w:hint="eastAsia" w:ascii="宋体" w:hAnsi="宋体" w:eastAsia="宋体" w:cs="宋体"/>
          <w:sz w:val="28"/>
          <w:szCs w:val="28"/>
          <w:lang w:val="en-US" w:eastAsia="zh-CN"/>
        </w:rPr>
        <w:t>1.17%</w:t>
      </w:r>
      <w:r>
        <w:rPr>
          <w:rFonts w:hint="eastAsia" w:ascii="宋体" w:hAnsi="宋体" w:eastAsia="宋体" w:cs="宋体"/>
          <w:sz w:val="28"/>
          <w:szCs w:val="28"/>
        </w:rPr>
        <w:t>,比上年</w:t>
      </w:r>
      <w:r>
        <w:rPr>
          <w:rFonts w:ascii="宋体" w:hAnsi="宋体" w:eastAsia="宋体" w:cs="宋体"/>
          <w:sz w:val="28"/>
          <w:u w:color="auto"/>
        </w:rPr>
        <w:t>增长0.05万元，增长2.75%,主要原因是：2023年新公招增加4名教师，工会经费也有所增加</w:t>
      </w:r>
      <w:r>
        <w:rPr>
          <w:rFonts w:hint="eastAsia" w:ascii="宋体" w:hAnsi="宋体" w:eastAsia="宋体" w:cs="宋体"/>
          <w:sz w:val="28"/>
          <w:szCs w:val="28"/>
          <w:lang w:val="en-US" w:eastAsia="zh-CN"/>
        </w:rPr>
        <w:t>。</w:t>
      </w:r>
    </w:p>
    <w:p>
      <w:pPr>
        <w:pStyle w:val="18"/>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b w:val="0"/>
          <w:bCs w:val="0"/>
          <w:color w:val="000000"/>
          <w:sz w:val="28"/>
          <w:szCs w:val="28"/>
          <w:lang w:val="zh-TW" w:eastAsia="zh-TW" w:bidi="zh-TW"/>
        </w:rPr>
      </w:pPr>
      <w:r>
        <w:rPr>
          <w:rFonts w:hint="eastAsia" w:ascii="宋体" w:hAnsi="宋体" w:eastAsia="宋体" w:cs="宋体"/>
          <w:b w:val="0"/>
          <w:bCs w:val="0"/>
          <w:color w:val="000000"/>
          <w:sz w:val="28"/>
          <w:szCs w:val="28"/>
          <w:lang w:val="zh-TW" w:eastAsia="zh-TW" w:bidi="zh-TW"/>
        </w:rPr>
        <w:t>项目支出预算。</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项目支出预算</w:t>
      </w:r>
      <w:r>
        <w:rPr>
          <w:rFonts w:hint="eastAsia" w:ascii="宋体" w:hAnsi="宋体" w:eastAsia="宋体" w:cs="宋体"/>
          <w:sz w:val="28"/>
          <w:szCs w:val="28"/>
          <w:lang w:val="en-US" w:eastAsia="zh-CN"/>
        </w:rPr>
        <w:t>50.62</w:t>
      </w:r>
      <w:r>
        <w:rPr>
          <w:rFonts w:hint="eastAsia" w:ascii="宋体" w:hAnsi="宋体" w:eastAsia="宋体" w:cs="宋体"/>
          <w:sz w:val="28"/>
          <w:szCs w:val="28"/>
        </w:rPr>
        <w:t>万元，占支出预算</w:t>
      </w:r>
      <w:r>
        <w:rPr>
          <w:rFonts w:ascii="宋体" w:hAnsi="宋体" w:eastAsia="宋体" w:cs="宋体"/>
          <w:sz w:val="28"/>
          <w:u w:color="auto"/>
        </w:rPr>
        <w:t>24.00%</w:t>
      </w:r>
      <w:r>
        <w:rPr>
          <w:rFonts w:hint="eastAsia" w:ascii="宋体" w:hAnsi="宋体" w:eastAsia="宋体" w:cs="宋体"/>
          <w:sz w:val="28"/>
          <w:szCs w:val="28"/>
        </w:rPr>
        <w:t>,比上年</w:t>
      </w:r>
      <w:r>
        <w:rPr>
          <w:rFonts w:ascii="宋体" w:hAnsi="宋体" w:eastAsia="宋体" w:cs="宋体"/>
          <w:sz w:val="28"/>
          <w:u w:color="auto"/>
        </w:rPr>
        <w:t>减少28.36</w:t>
      </w:r>
      <w:r>
        <w:rPr>
          <w:rFonts w:hint="eastAsia" w:ascii="宋体" w:hAnsi="宋体" w:eastAsia="宋体" w:cs="宋体"/>
          <w:sz w:val="28"/>
          <w:szCs w:val="28"/>
        </w:rPr>
        <w:t>万元，</w:t>
      </w:r>
      <w:r>
        <w:rPr>
          <w:rFonts w:ascii="宋体" w:hAnsi="宋体" w:eastAsia="宋体" w:cs="宋体"/>
          <w:sz w:val="28"/>
          <w:u w:color="auto"/>
        </w:rPr>
        <w:t>减少35.91%</w:t>
      </w:r>
      <w:r>
        <w:rPr>
          <w:rFonts w:hint="eastAsia" w:ascii="宋体" w:hAnsi="宋体" w:eastAsia="宋体" w:cs="宋体"/>
          <w:sz w:val="28"/>
          <w:szCs w:val="28"/>
        </w:rPr>
        <w:t>。</w:t>
      </w:r>
      <w:r>
        <w:rPr>
          <w:rFonts w:hint="eastAsia" w:ascii="宋体" w:hAnsi="宋体" w:eastAsia="宋体" w:cs="宋体"/>
          <w:sz w:val="28"/>
          <w:szCs w:val="28"/>
          <w:lang w:val="en-US" w:eastAsia="zh-CN"/>
        </w:rPr>
        <w:t>其中：</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color w:val="000000"/>
          <w:sz w:val="28"/>
          <w:szCs w:val="28"/>
          <w:lang w:val="en-US" w:eastAsia="zh-CN" w:bidi="zh-TW"/>
        </w:rPr>
      </w:pPr>
      <w:r>
        <w:rPr>
          <w:rFonts w:hint="eastAsia" w:ascii="宋体" w:hAnsi="宋体" w:eastAsia="宋体" w:cs="宋体"/>
          <w:sz w:val="28"/>
          <w:szCs w:val="28"/>
        </w:rPr>
        <w:t>(</w:t>
      </w:r>
      <w:r>
        <w:rPr>
          <w:rFonts w:ascii="宋体" w:hAnsi="宋体" w:eastAsia="宋体" w:cs="宋体"/>
          <w:sz w:val="28"/>
          <w:u w:color="auto"/>
        </w:rPr>
        <w:t>1)商品和服务支出</w:t>
      </w:r>
      <w:r>
        <w:rPr>
          <w:rFonts w:hint="eastAsia" w:ascii="宋体" w:hAnsi="宋体" w:eastAsia="宋体" w:cs="宋体"/>
          <w:sz w:val="28"/>
          <w:szCs w:val="28"/>
          <w:lang w:val="en-US" w:eastAsia="zh-CN"/>
        </w:rPr>
        <w:t>10.95</w:t>
      </w:r>
      <w:r>
        <w:rPr>
          <w:rFonts w:hint="eastAsia" w:ascii="宋体" w:hAnsi="宋体" w:eastAsia="宋体" w:cs="宋体"/>
          <w:sz w:val="28"/>
          <w:szCs w:val="28"/>
        </w:rPr>
        <w:t>万元，占项</w:t>
      </w:r>
      <w:r>
        <w:rPr>
          <w:rFonts w:hint="eastAsia" w:ascii="宋体" w:hAnsi="宋体" w:eastAsia="宋体" w:cs="宋体"/>
          <w:color w:val="000000"/>
          <w:sz w:val="28"/>
          <w:szCs w:val="28"/>
          <w:lang w:val="zh-TW" w:eastAsia="zh-TW" w:bidi="zh-TW"/>
        </w:rPr>
        <w:t>目支出总预算</w:t>
      </w:r>
      <w:r>
        <w:rPr>
          <w:rFonts w:hint="eastAsia" w:ascii="宋体" w:hAnsi="宋体" w:eastAsia="宋体" w:cs="宋体"/>
          <w:color w:val="000000"/>
          <w:sz w:val="28"/>
          <w:szCs w:val="28"/>
          <w:lang w:val="en-US" w:eastAsia="zh-CN" w:bidi="zh-TW"/>
        </w:rPr>
        <w:t>21.63%</w:t>
      </w:r>
      <w:r>
        <w:rPr>
          <w:rFonts w:hint="eastAsia" w:ascii="宋体" w:hAnsi="宋体" w:eastAsia="宋体" w:cs="宋体"/>
          <w:color w:val="000000"/>
          <w:sz w:val="28"/>
          <w:szCs w:val="28"/>
          <w:lang w:val="zh-TW" w:eastAsia="zh-TW" w:bidi="zh-TW"/>
        </w:rPr>
        <w:t>,比上年</w:t>
      </w:r>
      <w:r>
        <w:rPr>
          <w:rFonts w:ascii="宋体" w:hAnsi="宋体" w:eastAsia="宋体" w:cs="宋体"/>
          <w:color w:val="000000"/>
          <w:sz w:val="28"/>
          <w:u w:color="auto"/>
        </w:rPr>
        <w:t>减少4.29万元，减少28.15%,主要原因是：</w:t>
      </w:r>
      <w:r>
        <w:rPr>
          <w:rFonts w:hint="eastAsia" w:ascii="宋体" w:hAnsi="宋体" w:eastAsia="宋体" w:cs="宋体"/>
          <w:color w:val="000000"/>
          <w:sz w:val="28"/>
          <w:szCs w:val="28"/>
          <w:lang w:val="zh-TW" w:eastAsia="zh-TW" w:bidi="zh-TW"/>
        </w:rPr>
        <w:t>减少维护费、水电费、邮电费的预算</w:t>
      </w:r>
      <w:r>
        <w:rPr>
          <w:rFonts w:hint="eastAsia" w:ascii="宋体" w:hAnsi="宋体" w:eastAsia="宋体" w:cs="宋体"/>
          <w:color w:val="000000"/>
          <w:sz w:val="28"/>
          <w:szCs w:val="28"/>
          <w:lang w:val="en-US" w:eastAsia="zh-CN" w:bidi="zh-TW"/>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color w:val="000000"/>
          <w:sz w:val="28"/>
          <w:szCs w:val="28"/>
          <w:lang w:val="en-US" w:eastAsia="zh-CN" w:bidi="zh-TW"/>
        </w:rPr>
      </w:pPr>
      <w:r>
        <w:rPr>
          <w:rFonts w:hint="eastAsia" w:ascii="宋体" w:hAnsi="宋体" w:eastAsia="宋体" w:cs="宋体"/>
          <w:sz w:val="28"/>
          <w:szCs w:val="28"/>
        </w:rPr>
        <w:t>(</w:t>
      </w:r>
      <w:r>
        <w:rPr>
          <w:rFonts w:ascii="宋体" w:hAnsi="宋体" w:eastAsia="宋体" w:cs="宋体"/>
          <w:sz w:val="28"/>
          <w:u w:color="auto"/>
        </w:rPr>
        <w:t>2)工资福利支出</w:t>
      </w:r>
      <w:r>
        <w:rPr>
          <w:rFonts w:hint="eastAsia" w:ascii="宋体" w:hAnsi="宋体" w:eastAsia="宋体" w:cs="宋体"/>
          <w:sz w:val="28"/>
          <w:szCs w:val="28"/>
          <w:lang w:val="en-US" w:eastAsia="zh-CN"/>
        </w:rPr>
        <w:t>39.67</w:t>
      </w:r>
      <w:r>
        <w:rPr>
          <w:rFonts w:hint="eastAsia" w:ascii="宋体" w:hAnsi="宋体" w:eastAsia="宋体" w:cs="宋体"/>
          <w:sz w:val="28"/>
          <w:szCs w:val="28"/>
        </w:rPr>
        <w:t>万元，占项</w:t>
      </w:r>
      <w:r>
        <w:rPr>
          <w:rFonts w:hint="eastAsia" w:ascii="宋体" w:hAnsi="宋体" w:eastAsia="宋体" w:cs="宋体"/>
          <w:color w:val="000000"/>
          <w:sz w:val="28"/>
          <w:szCs w:val="28"/>
          <w:lang w:val="zh-TW" w:eastAsia="zh-TW" w:bidi="zh-TW"/>
        </w:rPr>
        <w:t>目支出总预算</w:t>
      </w:r>
      <w:r>
        <w:rPr>
          <w:rFonts w:hint="eastAsia" w:ascii="宋体" w:hAnsi="宋体" w:eastAsia="宋体" w:cs="宋体"/>
          <w:color w:val="000000"/>
          <w:sz w:val="28"/>
          <w:szCs w:val="28"/>
          <w:lang w:val="en-US" w:eastAsia="zh-CN" w:bidi="zh-TW"/>
        </w:rPr>
        <w:t>78.37%</w:t>
      </w:r>
      <w:r>
        <w:rPr>
          <w:rFonts w:hint="eastAsia" w:ascii="宋体" w:hAnsi="宋体" w:eastAsia="宋体" w:cs="宋体"/>
          <w:color w:val="000000"/>
          <w:sz w:val="28"/>
          <w:szCs w:val="28"/>
          <w:lang w:val="zh-TW" w:eastAsia="zh-TW" w:bidi="zh-TW"/>
        </w:rPr>
        <w:t>,比上年</w:t>
      </w:r>
      <w:r>
        <w:rPr>
          <w:rFonts w:ascii="宋体" w:hAnsi="宋体" w:eastAsia="宋体" w:cs="宋体"/>
          <w:color w:val="000000"/>
          <w:sz w:val="28"/>
          <w:u w:color="auto"/>
        </w:rPr>
        <w:t>减少21.47万元，减少35.12%,主要原因是：</w:t>
      </w:r>
      <w:r>
        <w:rPr>
          <w:rFonts w:hint="eastAsia" w:ascii="宋体" w:hAnsi="宋体" w:eastAsia="宋体" w:cs="宋体"/>
          <w:color w:val="000000"/>
          <w:sz w:val="28"/>
          <w:szCs w:val="28"/>
          <w:lang w:val="zh-TW" w:eastAsia="zh-TW" w:bidi="zh-TW"/>
        </w:rPr>
        <w:t>单位自聘人员减少</w:t>
      </w:r>
      <w:r>
        <w:rPr>
          <w:rFonts w:hint="eastAsia" w:ascii="宋体" w:hAnsi="宋体" w:eastAsia="宋体" w:cs="宋体"/>
          <w:color w:val="000000"/>
          <w:sz w:val="28"/>
          <w:szCs w:val="28"/>
          <w:lang w:val="en-US" w:eastAsia="zh-CN" w:bidi="zh-TW"/>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color w:val="000000"/>
          <w:sz w:val="28"/>
          <w:szCs w:val="28"/>
          <w:lang w:val="en-US" w:eastAsia="zh-CN" w:bidi="zh-TW"/>
        </w:rPr>
      </w:pPr>
      <w:r>
        <w:rPr>
          <w:rFonts w:hint="eastAsia" w:ascii="宋体" w:hAnsi="宋体" w:eastAsia="宋体" w:cs="宋体"/>
          <w:sz w:val="28"/>
          <w:szCs w:val="28"/>
        </w:rPr>
        <w:t>(</w:t>
      </w:r>
      <w:r>
        <w:rPr>
          <w:rFonts w:ascii="宋体" w:hAnsi="宋体" w:eastAsia="宋体" w:cs="宋体"/>
          <w:sz w:val="28"/>
          <w:u w:color="auto"/>
        </w:rPr>
        <w:t>3)资本性支出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万元，占项</w:t>
      </w:r>
      <w:r>
        <w:rPr>
          <w:rFonts w:hint="eastAsia" w:ascii="宋体" w:hAnsi="宋体" w:eastAsia="宋体" w:cs="宋体"/>
          <w:color w:val="000000"/>
          <w:sz w:val="28"/>
          <w:szCs w:val="28"/>
          <w:lang w:val="zh-TW" w:eastAsia="zh-TW" w:bidi="zh-TW"/>
        </w:rPr>
        <w:t>目支出总预算</w:t>
      </w:r>
      <w:r>
        <w:rPr>
          <w:rFonts w:hint="eastAsia" w:ascii="宋体" w:hAnsi="宋体" w:eastAsia="宋体" w:cs="宋体"/>
          <w:color w:val="000000"/>
          <w:sz w:val="28"/>
          <w:szCs w:val="28"/>
          <w:lang w:val="en-US" w:eastAsia="zh-CN" w:bidi="zh-TW"/>
        </w:rPr>
        <w:t>0.00%</w:t>
      </w:r>
      <w:r>
        <w:rPr>
          <w:rFonts w:hint="eastAsia" w:ascii="宋体" w:hAnsi="宋体" w:eastAsia="宋体" w:cs="宋体"/>
          <w:color w:val="000000"/>
          <w:sz w:val="28"/>
          <w:szCs w:val="28"/>
          <w:lang w:val="zh-TW" w:eastAsia="zh-TW" w:bidi="zh-TW"/>
        </w:rPr>
        <w:t>,比上年</w:t>
      </w:r>
      <w:r>
        <w:rPr>
          <w:rFonts w:ascii="宋体" w:hAnsi="宋体" w:eastAsia="宋体" w:cs="宋体"/>
          <w:color w:val="000000"/>
          <w:sz w:val="28"/>
          <w:u w:color="auto"/>
        </w:rPr>
        <w:t>减少2.60万元，减少100.00%,主要原因是：</w:t>
      </w:r>
      <w:r>
        <w:rPr>
          <w:rFonts w:hint="eastAsia" w:ascii="宋体" w:hAnsi="宋体" w:eastAsia="宋体" w:cs="宋体"/>
          <w:color w:val="000000"/>
          <w:sz w:val="28"/>
          <w:szCs w:val="28"/>
          <w:lang w:val="zh-TW" w:eastAsia="zh-TW" w:bidi="zh-TW"/>
        </w:rPr>
        <w:t>2024年暂时没有办公设备购置</w:t>
      </w:r>
      <w:r>
        <w:rPr>
          <w:rFonts w:hint="eastAsia" w:ascii="宋体" w:hAnsi="宋体" w:eastAsia="宋体" w:cs="宋体"/>
          <w:color w:val="000000"/>
          <w:sz w:val="28"/>
          <w:szCs w:val="28"/>
          <w:lang w:val="en-US" w:eastAsia="zh-CN" w:bidi="zh-TW"/>
        </w:rPr>
        <w:t>。</w:t>
      </w:r>
    </w:p>
    <w:p>
      <w:pPr>
        <w:pStyle w:val="16"/>
        <w:spacing w:after="0" w:line="619" w:lineRule="exact"/>
        <w:ind w:firstLine="620"/>
        <w:jc w:val="left"/>
        <w:rPr>
          <w:rFonts w:hint="eastAsia"/>
          <w:b/>
          <w:bCs/>
          <w:lang w:val="en-US" w:eastAsia="zh-CN"/>
        </w:rPr>
      </w:pPr>
      <w:r>
        <w:rPr>
          <w:rFonts w:hint="eastAsia"/>
          <w:b/>
          <w:bCs/>
          <w:lang w:val="en-US" w:eastAsia="zh-CN"/>
        </w:rPr>
        <w:t>四、财政拨款收支总体情况说明</w:t>
      </w:r>
    </w:p>
    <w:p>
      <w:pPr>
        <w:pStyle w:val="18"/>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2181"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210.88</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210.88</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197.95</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增加12.93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增长6.53%</w:t>
      </w:r>
      <w:r>
        <w:rPr>
          <w:rFonts w:hint="eastAsia" w:ascii="宋体" w:hAnsi="宋体" w:eastAsia="宋体" w:cs="宋体"/>
          <w:sz w:val="28"/>
          <w:szCs w:val="28"/>
        </w:rPr>
        <w:t>，主要原因是</w:t>
      </w:r>
      <w:r>
        <w:rPr>
          <w:rFonts w:hint="eastAsia"/>
          <w:highlight w:val="none"/>
          <w:lang w:val="en-US" w:eastAsia="zh-CN"/>
        </w:rPr>
        <w:t>1.工资标准比2023年有所提高；2.部分教师社会保障费及住房公积金缴纳基数提高；3.教育系统干部职工基础性绩效工资增量基数增加</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197.95</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增加12.93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增长6.53%</w:t>
      </w:r>
      <w:r>
        <w:rPr>
          <w:rFonts w:hint="eastAsia" w:ascii="宋体" w:hAnsi="宋体" w:eastAsia="宋体" w:cs="宋体"/>
          <w:sz w:val="28"/>
          <w:szCs w:val="28"/>
        </w:rPr>
        <w:t>，主要原因是</w:t>
      </w:r>
      <w:r>
        <w:rPr>
          <w:rFonts w:hint="eastAsia"/>
          <w:highlight w:val="none"/>
          <w:lang w:val="en-US" w:eastAsia="zh-CN"/>
        </w:rPr>
        <w:t>1.工资标准比2023年有所提高；2.部分教师社会保障费及住房公积金缴纳基数提高；3.教育系统干部职工基础性绩效工资增量基数增加</w:t>
      </w:r>
      <w:r>
        <w:rPr>
          <w:rFonts w:hint="eastAsia" w:ascii="宋体" w:hAnsi="宋体" w:eastAsia="宋体" w:cs="宋体"/>
          <w:sz w:val="28"/>
          <w:szCs w:val="28"/>
        </w:rPr>
        <w:t>。</w:t>
      </w:r>
    </w:p>
    <w:p>
      <w:pPr>
        <w:pStyle w:val="16"/>
        <w:spacing w:after="0" w:line="619" w:lineRule="exact"/>
        <w:ind w:firstLine="620"/>
        <w:jc w:val="left"/>
        <w:rPr>
          <w:rFonts w:hint="eastAsia"/>
          <w:b/>
          <w:bCs/>
          <w:lang w:val="en-US" w:eastAsia="zh-CN"/>
        </w:rPr>
      </w:pPr>
      <w:r>
        <w:rPr>
          <w:rFonts w:hint="eastAsia"/>
          <w:b/>
          <w:bCs/>
          <w:lang w:val="en-US" w:eastAsia="zh-CN"/>
        </w:rPr>
        <w:t>五、一般公共预算支出情况说明</w:t>
      </w:r>
    </w:p>
    <w:p>
      <w:pPr>
        <w:pStyle w:val="18"/>
        <w:spacing w:line="240" w:lineRule="auto"/>
        <w:ind w:firstLine="0"/>
        <w:jc w:val="left"/>
        <w:rPr>
          <w:lang w:eastAsia="zh-CN"/>
        </w:rPr>
      </w:pPr>
      <w:r>
        <w:rPr>
          <w:lang w:eastAsia="zh-CN"/>
        </w:rPr>
        <w:drawing>
          <wp:inline distT="0" distB="0" distL="114300" distR="114300">
            <wp:extent cx="5080000" cy="3810000"/>
            <wp:effectExtent l="4445" t="4445" r="20955" b="14605"/>
            <wp:docPr id="2182"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210.88</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197.95</w:t>
      </w:r>
      <w:r>
        <w:rPr>
          <w:rFonts w:hint="eastAsia" w:ascii="宋体" w:hAnsi="宋体" w:eastAsia="宋体" w:cs="宋体"/>
          <w:sz w:val="28"/>
          <w:szCs w:val="28"/>
        </w:rPr>
        <w:t>万元，</w:t>
      </w:r>
      <w:r>
        <w:rPr>
          <w:rFonts w:hint="eastAsia" w:ascii="宋体" w:hAnsi="宋体" w:eastAsia="宋体" w:cs="宋体"/>
          <w:sz w:val="28"/>
          <w:szCs w:val="28"/>
          <w:lang w:val="en-US" w:eastAsia="zh-CN"/>
        </w:rPr>
        <w:t>增加12.93</w:t>
      </w:r>
      <w:r>
        <w:rPr>
          <w:rFonts w:hint="eastAsia" w:ascii="宋体" w:hAnsi="宋体" w:eastAsia="宋体" w:cs="宋体"/>
          <w:sz w:val="28"/>
          <w:szCs w:val="28"/>
        </w:rPr>
        <w:t>万元，</w:t>
      </w:r>
      <w:r>
        <w:rPr>
          <w:rFonts w:hint="eastAsia" w:ascii="宋体" w:hAnsi="宋体" w:eastAsia="宋体" w:cs="宋体"/>
          <w:sz w:val="28"/>
          <w:szCs w:val="28"/>
          <w:lang w:val="en-US" w:eastAsia="zh-CN"/>
        </w:rPr>
        <w:t>增长6.53%</w:t>
      </w:r>
      <w:r>
        <w:rPr>
          <w:rFonts w:hint="eastAsia" w:ascii="宋体" w:hAnsi="宋体" w:eastAsia="宋体" w:cs="宋体"/>
          <w:sz w:val="28"/>
          <w:szCs w:val="28"/>
        </w:rPr>
        <w:t>，主要原因是</w:t>
      </w:r>
      <w:r>
        <w:rPr>
          <w:rFonts w:hint="eastAsia"/>
          <w:highlight w:val="none"/>
          <w:lang w:val="en-US" w:eastAsia="zh-CN"/>
        </w:rPr>
        <w:t>1.工资标准比2023年有所提高；2.部分教师社会保障费及住房公积金缴纳基数提高；3.教育系统干部职工基础性绩效工资增量基数增加</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1.87</w:t>
      </w:r>
      <w:r>
        <w:rPr>
          <w:rFonts w:hint="eastAsia" w:ascii="宋体" w:hAnsi="宋体" w:eastAsia="宋体" w:cs="宋体"/>
          <w:sz w:val="28"/>
          <w:szCs w:val="28"/>
        </w:rPr>
        <w:t>万元，占支出总预算的</w:t>
      </w:r>
      <w:r>
        <w:rPr>
          <w:rFonts w:ascii="宋体" w:hAnsi="宋体" w:eastAsia="宋体" w:cs="宋体"/>
          <w:sz w:val="28"/>
          <w:u w:color="auto"/>
        </w:rPr>
        <w:t>0.89%</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1.82</w:t>
      </w:r>
      <w:r>
        <w:rPr>
          <w:rFonts w:hint="eastAsia" w:ascii="宋体" w:hAnsi="宋体" w:eastAsia="宋体" w:cs="宋体"/>
          <w:sz w:val="28"/>
          <w:szCs w:val="28"/>
        </w:rPr>
        <w:t>万元，</w:t>
      </w:r>
      <w:r>
        <w:rPr>
          <w:rFonts w:ascii="宋体" w:hAnsi="宋体" w:eastAsia="宋体" w:cs="宋体"/>
          <w:sz w:val="28"/>
          <w:u w:color="auto"/>
        </w:rPr>
        <w:t>增长0.05</w:t>
      </w:r>
      <w:r>
        <w:rPr>
          <w:rFonts w:hint="eastAsia" w:ascii="宋体" w:hAnsi="宋体" w:eastAsia="宋体" w:cs="宋体"/>
          <w:sz w:val="28"/>
          <w:szCs w:val="28"/>
        </w:rPr>
        <w:t>万元，</w:t>
      </w:r>
      <w:r>
        <w:rPr>
          <w:rFonts w:ascii="宋体" w:hAnsi="宋体" w:eastAsia="宋体" w:cs="宋体"/>
          <w:sz w:val="28"/>
          <w:u w:color="auto"/>
        </w:rPr>
        <w:t>增长2.75%</w:t>
      </w:r>
      <w:r>
        <w:rPr>
          <w:rFonts w:hint="eastAsia" w:ascii="宋体" w:hAnsi="宋体" w:eastAsia="宋体" w:cs="宋体"/>
          <w:sz w:val="28"/>
          <w:szCs w:val="28"/>
        </w:rPr>
        <w:t>，主要原因是：</w:t>
      </w:r>
      <w:r>
        <w:rPr>
          <w:rFonts w:hint="eastAsia"/>
          <w:highlight w:val="none"/>
        </w:rPr>
        <w:t>2023年新公招增加4名教师，工会经费也有所增加</w:t>
      </w:r>
      <w:r>
        <w:rPr>
          <w:rFonts w:hint="eastAsia" w:ascii="宋体" w:hAnsi="宋体" w:eastAsia="宋体" w:cs="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3.75</w:t>
      </w:r>
      <w:r>
        <w:rPr>
          <w:rFonts w:hint="eastAsia" w:ascii="宋体" w:hAnsi="宋体" w:eastAsia="宋体" w:cs="宋体"/>
          <w:sz w:val="28"/>
          <w:szCs w:val="28"/>
        </w:rPr>
        <w:t>万元，占支出总预算的</w:t>
      </w:r>
      <w:r>
        <w:rPr>
          <w:rFonts w:ascii="宋体" w:hAnsi="宋体" w:eastAsia="宋体" w:cs="宋体"/>
          <w:sz w:val="28"/>
          <w:u w:color="auto"/>
        </w:rPr>
        <w:t>1.78%</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11.31</w:t>
      </w:r>
      <w:r>
        <w:rPr>
          <w:rFonts w:hint="eastAsia" w:ascii="宋体" w:hAnsi="宋体" w:eastAsia="宋体" w:cs="宋体"/>
          <w:sz w:val="28"/>
          <w:szCs w:val="28"/>
        </w:rPr>
        <w:t>万元，</w:t>
      </w:r>
      <w:r>
        <w:rPr>
          <w:rFonts w:ascii="宋体" w:hAnsi="宋体" w:eastAsia="宋体" w:cs="宋体"/>
          <w:sz w:val="28"/>
          <w:u w:color="auto"/>
        </w:rPr>
        <w:t>减少7.56</w:t>
      </w:r>
      <w:r>
        <w:rPr>
          <w:rFonts w:hint="eastAsia" w:ascii="宋体" w:hAnsi="宋体" w:eastAsia="宋体" w:cs="宋体"/>
          <w:sz w:val="28"/>
          <w:szCs w:val="28"/>
        </w:rPr>
        <w:t>万元，</w:t>
      </w:r>
      <w:r>
        <w:rPr>
          <w:rFonts w:ascii="宋体" w:hAnsi="宋体" w:eastAsia="宋体" w:cs="宋体"/>
          <w:sz w:val="28"/>
          <w:u w:color="auto"/>
        </w:rPr>
        <w:t>减少66.84%</w:t>
      </w:r>
      <w:r>
        <w:rPr>
          <w:rFonts w:hint="eastAsia" w:ascii="宋体" w:hAnsi="宋体" w:eastAsia="宋体" w:cs="宋体"/>
          <w:sz w:val="28"/>
          <w:szCs w:val="28"/>
        </w:rPr>
        <w:t>，主要原因是：</w:t>
      </w:r>
      <w:r>
        <w:rPr>
          <w:rFonts w:hint="eastAsia"/>
          <w:highlight w:val="none"/>
        </w:rPr>
        <w:t>此项支出只有在职在编3人，其他教师控制数编人员11人都按教育支出预算</w:t>
      </w:r>
      <w:r>
        <w:rPr>
          <w:rFonts w:hint="eastAsia" w:ascii="宋体" w:hAnsi="宋体" w:eastAsia="宋体" w:cs="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教育支出（类）支出</w:t>
      </w:r>
      <w:r>
        <w:rPr>
          <w:rFonts w:ascii="宋体" w:hAnsi="宋体" w:eastAsia="宋体" w:cs="宋体"/>
          <w:sz w:val="28"/>
          <w:u w:color="auto"/>
        </w:rPr>
        <w:t>200.85</w:t>
      </w:r>
      <w:r>
        <w:rPr>
          <w:rFonts w:hint="eastAsia" w:ascii="宋体" w:hAnsi="宋体" w:eastAsia="宋体" w:cs="宋体"/>
          <w:sz w:val="28"/>
          <w:szCs w:val="28"/>
        </w:rPr>
        <w:t>万元，占支出总预算的</w:t>
      </w:r>
      <w:r>
        <w:rPr>
          <w:rFonts w:ascii="宋体" w:hAnsi="宋体" w:eastAsia="宋体" w:cs="宋体"/>
          <w:sz w:val="28"/>
          <w:u w:color="auto"/>
        </w:rPr>
        <w:t>95.24%</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169.74</w:t>
      </w:r>
      <w:r>
        <w:rPr>
          <w:rFonts w:hint="eastAsia" w:ascii="宋体" w:hAnsi="宋体" w:eastAsia="宋体" w:cs="宋体"/>
          <w:sz w:val="28"/>
          <w:szCs w:val="28"/>
        </w:rPr>
        <w:t>万元，</w:t>
      </w:r>
      <w:r>
        <w:rPr>
          <w:rFonts w:ascii="宋体" w:hAnsi="宋体" w:eastAsia="宋体" w:cs="宋体"/>
          <w:sz w:val="28"/>
          <w:u w:color="auto"/>
        </w:rPr>
        <w:t>增长31.11</w:t>
      </w:r>
      <w:r>
        <w:rPr>
          <w:rFonts w:hint="eastAsia" w:ascii="宋体" w:hAnsi="宋体" w:eastAsia="宋体" w:cs="宋体"/>
          <w:sz w:val="28"/>
          <w:szCs w:val="28"/>
        </w:rPr>
        <w:t>万元，</w:t>
      </w:r>
      <w:r>
        <w:rPr>
          <w:rFonts w:ascii="宋体" w:hAnsi="宋体" w:eastAsia="宋体" w:cs="宋体"/>
          <w:sz w:val="28"/>
          <w:u w:color="auto"/>
        </w:rPr>
        <w:t>增长18.33%</w:t>
      </w:r>
      <w:r>
        <w:rPr>
          <w:rFonts w:hint="eastAsia" w:ascii="宋体" w:hAnsi="宋体" w:eastAsia="宋体" w:cs="宋体"/>
          <w:sz w:val="28"/>
          <w:szCs w:val="28"/>
        </w:rPr>
        <w:t>，主要原因是：</w:t>
      </w:r>
      <w:r>
        <w:rPr>
          <w:rFonts w:hint="eastAsia"/>
          <w:highlight w:val="none"/>
        </w:rPr>
        <w:t>1.工资标准比2023年有所提高；2.养老保险及住房公积金缴纳基数提高；3.教育系统干部职工年终绩效考评增量奖励金基数增加;4.公开招聘教师增加；5.控制编住房保障支出按教育支出预算</w:t>
      </w:r>
      <w:r>
        <w:rPr>
          <w:rFonts w:hint="eastAsia" w:ascii="宋体" w:hAnsi="宋体" w:eastAsia="宋体" w:cs="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4.41</w:t>
      </w:r>
      <w:r>
        <w:rPr>
          <w:rFonts w:hint="eastAsia" w:ascii="宋体" w:hAnsi="宋体" w:eastAsia="宋体" w:cs="宋体"/>
          <w:sz w:val="28"/>
          <w:szCs w:val="28"/>
        </w:rPr>
        <w:t>万元，占支出总预算的</w:t>
      </w:r>
      <w:r>
        <w:rPr>
          <w:rFonts w:ascii="宋体" w:hAnsi="宋体" w:eastAsia="宋体" w:cs="宋体"/>
          <w:sz w:val="28"/>
          <w:u w:color="auto"/>
        </w:rPr>
        <w:t>2.09%</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15.08</w:t>
      </w:r>
      <w:r>
        <w:rPr>
          <w:rFonts w:hint="eastAsia" w:ascii="宋体" w:hAnsi="宋体" w:eastAsia="宋体" w:cs="宋体"/>
          <w:sz w:val="28"/>
          <w:szCs w:val="28"/>
        </w:rPr>
        <w:t>万元，</w:t>
      </w:r>
      <w:r>
        <w:rPr>
          <w:rFonts w:ascii="宋体" w:hAnsi="宋体" w:eastAsia="宋体" w:cs="宋体"/>
          <w:sz w:val="28"/>
          <w:u w:color="auto"/>
        </w:rPr>
        <w:t>减少10.67</w:t>
      </w:r>
      <w:r>
        <w:rPr>
          <w:rFonts w:hint="eastAsia" w:ascii="宋体" w:hAnsi="宋体" w:eastAsia="宋体" w:cs="宋体"/>
          <w:sz w:val="28"/>
          <w:szCs w:val="28"/>
        </w:rPr>
        <w:t>万元，</w:t>
      </w:r>
      <w:r>
        <w:rPr>
          <w:rFonts w:ascii="宋体" w:hAnsi="宋体" w:eastAsia="宋体" w:cs="宋体"/>
          <w:sz w:val="28"/>
          <w:u w:color="auto"/>
        </w:rPr>
        <w:t>减少70.76%</w:t>
      </w:r>
      <w:r>
        <w:rPr>
          <w:rFonts w:hint="eastAsia" w:ascii="宋体" w:hAnsi="宋体" w:eastAsia="宋体" w:cs="宋体"/>
          <w:sz w:val="28"/>
          <w:szCs w:val="28"/>
        </w:rPr>
        <w:t>，主要原因是：</w:t>
      </w:r>
      <w:r>
        <w:rPr>
          <w:rFonts w:hint="eastAsia"/>
          <w:highlight w:val="none"/>
        </w:rPr>
        <w:t>此项支出只有在职在编3人，其他教师控制数编人员11人都按教育支出预算</w:t>
      </w:r>
      <w:r>
        <w:rPr>
          <w:rFonts w:hint="eastAsia" w:ascii="宋体" w:hAnsi="宋体" w:eastAsia="宋体" w:cs="宋体"/>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六、一般公共预算基本支出情况说明</w:t>
      </w:r>
    </w:p>
    <w:p>
      <w:pPr>
        <w:pStyle w:val="16"/>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183"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160.25</w:t>
      </w:r>
      <w:r>
        <w:rPr>
          <w:rFonts w:hint="eastAsia"/>
        </w:rPr>
        <w:t>万元，较2023年度预算数</w:t>
      </w:r>
      <w:r>
        <w:rPr>
          <w:rFonts w:hint="eastAsia"/>
          <w:lang w:val="en-US" w:eastAsia="zh-CN"/>
        </w:rPr>
        <w:t>118.97</w:t>
      </w:r>
      <w:r>
        <w:rPr>
          <w:rFonts w:hint="eastAsia"/>
        </w:rPr>
        <w:t>万元</w:t>
      </w:r>
      <w:r>
        <w:rPr>
          <w:rFonts w:hint="eastAsia"/>
          <w:lang w:val="en-US" w:eastAsia="zh-CN"/>
        </w:rPr>
        <w:t>,</w:t>
      </w:r>
      <w:r>
        <w:rPr>
          <w:u w:color="auto"/>
        </w:rPr>
        <w:t>增加41.28</w:t>
      </w:r>
      <w:r>
        <w:rPr>
          <w:rFonts w:hint="eastAsia"/>
        </w:rPr>
        <w:t>万元，</w:t>
      </w:r>
      <w:r>
        <w:rPr>
          <w:rFonts w:hint="eastAsia"/>
          <w:lang w:val="en-US" w:eastAsia="zh-CN"/>
        </w:rPr>
        <w:t>增长34.70%</w:t>
      </w:r>
      <w:r>
        <w:rPr>
          <w:rFonts w:hint="eastAsia"/>
        </w:rPr>
        <w:t>，主要原因是</w:t>
      </w:r>
      <w:r>
        <w:rPr>
          <w:rFonts w:hint="eastAsia"/>
          <w:highlight w:val="none"/>
          <w:lang w:val="en-US" w:eastAsia="zh-CN"/>
        </w:rPr>
        <w:t>1.工资标准比2023年有所提高；2.教育系统干部职工基础性绩效工资增量基数增加；3.11名教师控制数编的社会保障费和住房保障都按此科目支出。</w:t>
      </w:r>
      <w:r>
        <w:rPr>
          <w:rFonts w:hint="eastAsia"/>
        </w:rPr>
        <w:t>具体情况为：</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工资福利支出</w:t>
      </w:r>
      <w:r>
        <w:rPr>
          <w:rFonts w:hint="eastAsia"/>
        </w:rPr>
        <w:t>支出预算</w:t>
      </w:r>
      <w:r>
        <w:rPr>
          <w:rFonts w:hint="eastAsia"/>
          <w:lang w:val="en-US" w:eastAsia="zh-CN"/>
        </w:rPr>
        <w:t>158.38</w:t>
      </w:r>
      <w:r>
        <w:t>万元</w:t>
      </w:r>
      <w:r>
        <w:rPr>
          <w:rFonts w:hint="eastAsia"/>
          <w:lang w:eastAsia="zh-CN"/>
        </w:rPr>
        <w:t>，</w:t>
      </w:r>
      <w:r>
        <w:rPr>
          <w:rFonts w:hint="eastAsia"/>
        </w:rPr>
        <w:t>占基本支出预算的</w:t>
      </w:r>
      <w:r>
        <w:rPr>
          <w:rFonts w:hint="eastAsia"/>
          <w:lang w:val="en-US" w:eastAsia="zh-CN"/>
        </w:rPr>
        <w:t>98.83%</w:t>
      </w:r>
      <w:r>
        <w:rPr>
          <w:rFonts w:hint="eastAsia"/>
        </w:rPr>
        <w:t>，较2023年度预算数</w:t>
      </w:r>
      <w:r>
        <w:rPr>
          <w:rFonts w:hint="eastAsia"/>
          <w:lang w:val="en-US" w:eastAsia="zh-CN"/>
        </w:rPr>
        <w:t>117.15</w:t>
      </w:r>
      <w:r>
        <w:rPr>
          <w:rFonts w:hint="eastAsia"/>
        </w:rPr>
        <w:t>万元，</w:t>
      </w:r>
      <w:r>
        <w:rPr>
          <w:rFonts w:hint="eastAsia"/>
          <w:lang w:val="en-US" w:eastAsia="zh-CN"/>
        </w:rPr>
        <w:t>增长41.23</w:t>
      </w:r>
      <w:r>
        <w:rPr>
          <w:rFonts w:hint="eastAsia"/>
        </w:rPr>
        <w:t>万元，</w:t>
      </w:r>
      <w:r>
        <w:rPr>
          <w:rFonts w:hint="eastAsia"/>
          <w:lang w:val="en-US" w:eastAsia="zh-CN"/>
        </w:rPr>
        <w:t>增长35.19%</w:t>
      </w:r>
      <w:r>
        <w:rPr>
          <w:rFonts w:hint="eastAsia"/>
        </w:rPr>
        <w:t>，主要原因是：</w:t>
      </w:r>
      <w:r>
        <w:rPr>
          <w:rFonts w:hint="eastAsia"/>
          <w:highlight w:val="none"/>
        </w:rPr>
        <w:t>1.工资标准比2023年有所提高；2.教育系统干部职工基础性绩效工资增量基数增加；3.11名教师控制数编的社会保障费和住房保障都按此科目支出。</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1.87</w:t>
      </w:r>
      <w:r>
        <w:t>万元</w:t>
      </w:r>
      <w:r>
        <w:rPr>
          <w:rFonts w:hint="eastAsia"/>
          <w:lang w:eastAsia="zh-CN"/>
        </w:rPr>
        <w:t>，</w:t>
      </w:r>
      <w:r>
        <w:rPr>
          <w:rFonts w:hint="eastAsia"/>
        </w:rPr>
        <w:t>占基本支出预算的</w:t>
      </w:r>
      <w:r>
        <w:rPr>
          <w:rFonts w:hint="eastAsia"/>
          <w:lang w:val="en-US" w:eastAsia="zh-CN"/>
        </w:rPr>
        <w:t>1.17%</w:t>
      </w:r>
      <w:r>
        <w:rPr>
          <w:rFonts w:hint="eastAsia"/>
        </w:rPr>
        <w:t>，较2023年度预算数</w:t>
      </w:r>
      <w:r>
        <w:rPr>
          <w:rFonts w:hint="eastAsia"/>
          <w:lang w:val="en-US" w:eastAsia="zh-CN"/>
        </w:rPr>
        <w:t>1.82</w:t>
      </w:r>
      <w:r>
        <w:rPr>
          <w:rFonts w:hint="eastAsia"/>
        </w:rPr>
        <w:t>万元，</w:t>
      </w:r>
      <w:r>
        <w:rPr>
          <w:rFonts w:hint="eastAsia"/>
          <w:lang w:val="en-US" w:eastAsia="zh-CN"/>
        </w:rPr>
        <w:t>增长0.05</w:t>
      </w:r>
      <w:r>
        <w:rPr>
          <w:rFonts w:hint="eastAsia"/>
        </w:rPr>
        <w:t>万元，</w:t>
      </w:r>
      <w:r>
        <w:rPr>
          <w:rFonts w:hint="eastAsia"/>
          <w:lang w:val="en-US" w:eastAsia="zh-CN"/>
        </w:rPr>
        <w:t>增长2.75%</w:t>
      </w:r>
      <w:r>
        <w:rPr>
          <w:rFonts w:hint="eastAsia"/>
        </w:rPr>
        <w:t>，主要原因是：</w:t>
      </w:r>
      <w:r>
        <w:rPr>
          <w:rFonts w:hint="eastAsia"/>
          <w:highlight w:val="none"/>
        </w:rPr>
        <w:t>2023年新公招增加4名教师，工会经费也有所增加。</w:t>
      </w:r>
    </w:p>
    <w:p>
      <w:pPr>
        <w:pStyle w:val="16"/>
        <w:spacing w:after="0" w:line="619" w:lineRule="exact"/>
        <w:ind w:firstLine="620"/>
        <w:jc w:val="left"/>
        <w:rPr>
          <w:rFonts w:hint="eastAsia"/>
          <w:b/>
          <w:bCs/>
        </w:rPr>
      </w:pPr>
      <w:r>
        <w:rPr>
          <w:rFonts w:hint="eastAsia"/>
          <w:b/>
          <w:bCs/>
          <w:lang w:val="en-US" w:eastAsia="zh-CN"/>
        </w:rPr>
        <w:t>七、一般公共预算</w:t>
      </w:r>
      <w:r>
        <w:rPr>
          <w:rFonts w:hint="eastAsia"/>
          <w:b/>
          <w:bCs/>
          <w:lang w:val="zh-CN" w:eastAsia="zh-CN"/>
        </w:rPr>
        <w:t>“三</w:t>
      </w:r>
      <w:r>
        <w:rPr>
          <w:rFonts w:hint="eastAsia"/>
          <w:b/>
          <w:bCs/>
          <w:lang w:val="en-US" w:eastAsia="zh-CN"/>
        </w:rPr>
        <w:t>公”经费支出情况说明</w:t>
      </w:r>
    </w:p>
    <w:p>
      <w:pPr>
        <w:pStyle w:val="16"/>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2184"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0.00</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0.00</w:t>
      </w:r>
      <w:r>
        <w:rPr>
          <w:rFonts w:hint="eastAsia"/>
          <w:b w:val="0"/>
          <w:bCs w:val="0"/>
          <w:sz w:val="28"/>
          <w:szCs w:val="28"/>
          <w:lang w:eastAsia="zh-CN"/>
        </w:rPr>
        <w:t>万元，公务用车购置及运行费支出预算</w:t>
      </w:r>
      <w:r>
        <w:rPr>
          <w:rFonts w:hint="eastAsia"/>
          <w:b w:val="0"/>
          <w:bCs w:val="0"/>
          <w:sz w:val="28"/>
          <w:szCs w:val="28"/>
          <w:lang w:val="en-US" w:eastAsia="zh-CN"/>
        </w:rPr>
        <w:t>0.00</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0.00</w:t>
      </w:r>
      <w:r>
        <w:rPr>
          <w:rFonts w:hint="eastAsia"/>
          <w:b w:val="0"/>
          <w:bCs w:val="0"/>
          <w:sz w:val="28"/>
          <w:szCs w:val="28"/>
          <w:lang w:eastAsia="zh-CN"/>
        </w:rPr>
        <w:t>万元）。</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0.00</w:t>
      </w:r>
      <w:r>
        <w:rPr>
          <w:rFonts w:hint="eastAsia"/>
          <w:b w:val="0"/>
          <w:bCs w:val="0"/>
          <w:sz w:val="28"/>
          <w:szCs w:val="28"/>
        </w:rPr>
        <w:t>万元，同口径较2023年度预算数</w:t>
      </w:r>
      <w:r>
        <w:rPr>
          <w:rFonts w:hint="eastAsia"/>
          <w:b w:val="0"/>
          <w:bCs w:val="0"/>
          <w:sz w:val="28"/>
          <w:szCs w:val="28"/>
          <w:lang w:val="en-US" w:eastAsia="zh-CN"/>
        </w:rPr>
        <w:t>0.00</w:t>
      </w:r>
      <w:r>
        <w:rPr>
          <w:rFonts w:hint="eastAsia"/>
          <w:b w:val="0"/>
          <w:bCs w:val="0"/>
          <w:sz w:val="28"/>
          <w:szCs w:val="28"/>
        </w:rPr>
        <w:t>万元，</w:t>
      </w:r>
      <w:r>
        <w:rPr>
          <w:rFonts w:hint="eastAsia"/>
          <w:b w:val="0"/>
          <w:bCs w:val="0"/>
          <w:sz w:val="28"/>
          <w:szCs w:val="28"/>
          <w:lang w:val="en-US" w:eastAsia="zh-CN"/>
        </w:rPr>
        <w:t>增长0.00</w:t>
      </w:r>
      <w:r>
        <w:rPr>
          <w:rFonts w:hint="eastAsia"/>
          <w:b w:val="0"/>
          <w:bCs w:val="0"/>
          <w:sz w:val="28"/>
          <w:szCs w:val="28"/>
        </w:rPr>
        <w:t>万元，</w:t>
      </w:r>
      <w:r>
        <w:rPr>
          <w:rFonts w:hint="eastAsia"/>
          <w:b w:val="0"/>
          <w:bCs w:val="0"/>
          <w:sz w:val="28"/>
          <w:szCs w:val="28"/>
          <w:lang w:val="en-US" w:eastAsia="zh-CN"/>
        </w:rPr>
        <w:t>增长0%</w:t>
      </w:r>
      <w:r>
        <w:rPr>
          <w:rFonts w:hint="eastAsia"/>
          <w:b w:val="0"/>
          <w:bCs w:val="0"/>
          <w:sz w:val="28"/>
          <w:szCs w:val="28"/>
        </w:rPr>
        <w:t>，具体如下：</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本部门本年度无此项支出</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本部门本年度无此项支出</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，其中：</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本部门本年度无此项支出</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本部门本年度无此项支出</w:t>
      </w:r>
      <w:r>
        <w:rPr>
          <w:rFonts w:hint="eastAsia"/>
          <w:b w:val="0"/>
          <w:bCs w:val="0"/>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八</w:t>
      </w:r>
      <w:bookmarkEnd w:id="14"/>
      <w:r>
        <w:rPr>
          <w:rFonts w:hint="eastAsia"/>
          <w:b/>
          <w:bCs/>
          <w:lang w:val="en-US" w:eastAsia="zh-CN"/>
        </w:rPr>
        <w:t>、政府性基金预算支出情况说明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b w:val="0"/>
          <w:bCs w:val="0"/>
          <w:sz w:val="28"/>
          <w:szCs w:val="28"/>
          <w:lang w:eastAsia="zh-CN"/>
        </w:rPr>
        <w:t>2024</w:t>
      </w:r>
      <w:r>
        <w:rPr>
          <w:rFonts w:hint="eastAsia"/>
          <w:sz w:val="28"/>
          <w:szCs w:val="28"/>
        </w:rPr>
        <w:t>年政府性基金预算支出共</w:t>
      </w:r>
      <w:r>
        <w:rPr>
          <w:rFonts w:hint="eastAsia"/>
          <w:b w:val="0"/>
          <w:bCs w:val="0"/>
          <w:sz w:val="28"/>
          <w:szCs w:val="28"/>
          <w:lang w:eastAsia="zh-CN"/>
        </w:rPr>
        <w:t>0.00</w:t>
      </w:r>
      <w:r>
        <w:rPr>
          <w:rFonts w:hint="eastAsia"/>
          <w:sz w:val="28"/>
          <w:szCs w:val="28"/>
        </w:rPr>
        <w:t>万元，较2023年度预算数</w:t>
      </w:r>
      <w:r>
        <w:rPr>
          <w:rFonts w:hint="eastAsia"/>
          <w:b w:val="0"/>
          <w:bCs w:val="0"/>
          <w:sz w:val="28"/>
          <w:szCs w:val="28"/>
          <w:lang w:eastAsia="zh-CN"/>
        </w:rPr>
        <w:t>0.00</w:t>
      </w:r>
      <w:r>
        <w:rPr>
          <w:rFonts w:hint="eastAsia"/>
          <w:sz w:val="28"/>
          <w:szCs w:val="28"/>
        </w:rPr>
        <w:t>万元，</w:t>
      </w:r>
      <w:r>
        <w:rPr>
          <w:rFonts w:hint="eastAsia"/>
          <w:b w:val="0"/>
          <w:bCs w:val="0"/>
          <w:sz w:val="28"/>
          <w:szCs w:val="28"/>
          <w:lang w:eastAsia="zh-CN"/>
        </w:rPr>
        <w:t>增加0.00</w:t>
      </w:r>
      <w:r>
        <w:rPr>
          <w:rFonts w:hint="eastAsia"/>
          <w:sz w:val="28"/>
          <w:szCs w:val="28"/>
        </w:rPr>
        <w:t>万元，</w:t>
      </w:r>
      <w:r>
        <w:rPr>
          <w:rFonts w:hint="eastAsia"/>
          <w:b w:val="0"/>
          <w:bCs w:val="0"/>
          <w:sz w:val="28"/>
          <w:szCs w:val="28"/>
          <w:lang w:eastAsia="zh-CN"/>
        </w:rPr>
        <w:t>增长0%</w:t>
      </w:r>
      <w:r>
        <w:rPr>
          <w:rFonts w:hint="eastAsia"/>
          <w:sz w:val="28"/>
          <w:szCs w:val="28"/>
        </w:rPr>
        <w:t>，主要原因是</w:t>
      </w:r>
      <w:r>
        <w:rPr>
          <w:rFonts w:hint="eastAsia"/>
          <w:sz w:val="28"/>
          <w:szCs w:val="28"/>
          <w:highlight w:val="none"/>
          <w:lang w:val="en-US" w:eastAsia="zh-CN"/>
        </w:rPr>
        <w:t>本部门本年度无此项支出</w:t>
      </w:r>
      <w:r>
        <w:rPr>
          <w:rFonts w:hint="eastAsia"/>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九</w:t>
      </w:r>
      <w:bookmarkEnd w:id="15"/>
      <w:r>
        <w:rPr>
          <w:rFonts w:hint="eastAsia"/>
          <w:b/>
          <w:bCs/>
          <w:lang w:val="en-US" w:eastAsia="zh-CN"/>
        </w:rPr>
        <w:t>、国有资本经营预算支出情况说明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sz w:val="28"/>
          <w:szCs w:val="28"/>
          <w:lang w:eastAsia="zh-CN"/>
        </w:rPr>
        <w:t>2024</w:t>
      </w:r>
      <w:r>
        <w:rPr>
          <w:rFonts w:hint="eastAsia"/>
          <w:sz w:val="28"/>
          <w:szCs w:val="28"/>
        </w:rPr>
        <w:t>年国有资本经营预算支出共</w:t>
      </w:r>
      <w:r>
        <w:rPr>
          <w:rFonts w:hint="eastAsia"/>
          <w:sz w:val="28"/>
          <w:szCs w:val="28"/>
          <w:lang w:eastAsia="zh-CN"/>
        </w:rPr>
        <w:t>0.00</w:t>
      </w:r>
      <w:r>
        <w:rPr>
          <w:rFonts w:hint="eastAsia"/>
          <w:sz w:val="28"/>
          <w:szCs w:val="28"/>
        </w:rPr>
        <w:t>万元，较2023年度预算数</w:t>
      </w:r>
      <w:r>
        <w:rPr>
          <w:rFonts w:hint="eastAsia"/>
          <w:sz w:val="28"/>
          <w:szCs w:val="28"/>
          <w:lang w:eastAsia="zh-CN"/>
        </w:rPr>
        <w:t>0.00</w:t>
      </w:r>
      <w:r>
        <w:rPr>
          <w:rFonts w:hint="eastAsia"/>
          <w:sz w:val="28"/>
          <w:szCs w:val="28"/>
        </w:rPr>
        <w:t>万元，</w:t>
      </w:r>
      <w:r>
        <w:rPr>
          <w:rFonts w:hint="eastAsia"/>
          <w:sz w:val="28"/>
          <w:szCs w:val="28"/>
          <w:lang w:eastAsia="zh-CN"/>
        </w:rPr>
        <w:t>增加0.00</w:t>
      </w:r>
      <w:r>
        <w:rPr>
          <w:rFonts w:hint="eastAsia"/>
          <w:sz w:val="28"/>
          <w:szCs w:val="28"/>
        </w:rPr>
        <w:t>万元，</w:t>
      </w:r>
      <w:r>
        <w:rPr>
          <w:rFonts w:hint="eastAsia"/>
          <w:sz w:val="28"/>
          <w:szCs w:val="28"/>
          <w:lang w:eastAsia="zh-CN"/>
        </w:rPr>
        <w:t>增长0%</w:t>
      </w:r>
      <w:r>
        <w:rPr>
          <w:rFonts w:hint="eastAsia"/>
          <w:sz w:val="28"/>
          <w:szCs w:val="28"/>
        </w:rPr>
        <w:t>，主要原因是</w:t>
      </w:r>
      <w:r>
        <w:rPr>
          <w:rFonts w:hint="eastAsia"/>
          <w:sz w:val="28"/>
          <w:szCs w:val="28"/>
          <w:lang w:val="en-US" w:eastAsia="zh-CN"/>
        </w:rPr>
        <w:t>本部门本年度无此项支出</w:t>
      </w:r>
      <w:r>
        <w:rPr>
          <w:rFonts w:hint="eastAsia"/>
          <w:sz w:val="28"/>
          <w:szCs w:val="28"/>
        </w:rPr>
        <w:t>。</w:t>
      </w:r>
    </w:p>
    <w:p>
      <w:pPr>
        <w:pStyle w:val="16"/>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十、其他重要事项</w:t>
      </w:r>
      <w:r>
        <w:rPr>
          <w:rFonts w:hint="eastAsia"/>
          <w:b/>
          <w:bCs/>
          <w:lang w:val="en-US" w:eastAsia="zh-CN"/>
        </w:rPr>
        <w:t>情况</w:t>
      </w:r>
      <w:r>
        <w:rPr>
          <w:b/>
          <w:bCs/>
        </w:rPr>
        <w:t>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2024</w:t>
      </w:r>
      <w:r>
        <w:rPr>
          <w:rFonts w:ascii="宋体" w:hAnsi="宋体" w:eastAsia="宋体" w:cs="宋体"/>
          <w:sz w:val="28"/>
          <w:u w:color="auto"/>
        </w:rPr>
        <w:t>年本部门机关运行经费预算</w:t>
      </w:r>
      <w:r>
        <w:rPr>
          <w:rFonts w:hint="eastAsia" w:ascii="宋体" w:hAnsi="宋体" w:eastAsia="宋体" w:cs="宋体"/>
          <w:sz w:val="28"/>
          <w:szCs w:val="28"/>
          <w:lang w:val="en-US" w:eastAsia="zh-CN"/>
        </w:rPr>
        <w:t>1.87</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1.82</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增加0.05</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增长2.75%</w:t>
      </w:r>
      <w:r>
        <w:rPr>
          <w:rFonts w:hint="eastAsia" w:ascii="宋体" w:hAnsi="宋体" w:eastAsia="宋体" w:cs="宋体"/>
          <w:sz w:val="28"/>
          <w:szCs w:val="28"/>
          <w:lang w:eastAsia="zh-CN"/>
        </w:rPr>
        <w:t>，主要原因是：</w:t>
      </w:r>
      <w:r>
        <w:rPr>
          <w:rFonts w:hint="eastAsia" w:ascii="宋体" w:hAnsi="宋体" w:eastAsia="宋体" w:cs="宋体"/>
          <w:sz w:val="28"/>
          <w:szCs w:val="28"/>
          <w:lang w:val="en-US" w:eastAsia="zh-CN"/>
        </w:rPr>
        <w:t>2023年新公招增加4名教师，工会经费也有所增加</w:t>
      </w:r>
      <w:r>
        <w:rPr>
          <w:rFonts w:hint="eastAsia" w:ascii="宋体" w:hAnsi="宋体" w:eastAsia="宋体" w:cs="宋体"/>
          <w:sz w:val="28"/>
          <w:szCs w:val="28"/>
          <w:lang w:eastAsia="zh-CN"/>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万元。其中：货物类采购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万元、工程类采购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万元、服务类采购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主要用于：无此项支出。</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sz w:val="28"/>
          <w:szCs w:val="28"/>
          <w:highlight w:val="none"/>
          <w:lang w:val="en-US" w:eastAsia="zh-CN"/>
        </w:rPr>
        <w:t>0</w:t>
      </w:r>
      <w:r>
        <w:rPr>
          <w:rFonts w:hint="eastAsia" w:ascii="宋体" w:hAnsi="宋体" w:eastAsia="宋体" w:cs="宋体"/>
          <w:sz w:val="28"/>
          <w:szCs w:val="28"/>
          <w:lang w:eastAsia="zh-CN"/>
        </w:rPr>
        <w:t>辆，其中，应急机要通信用车</w:t>
      </w:r>
      <w:r>
        <w:rPr>
          <w:rFonts w:hint="eastAsia"/>
          <w:sz w:val="28"/>
          <w:szCs w:val="28"/>
          <w:highlight w:val="none"/>
          <w:lang w:val="en-US" w:eastAsia="zh-CN"/>
        </w:rPr>
        <w:t>0</w:t>
      </w:r>
      <w:r>
        <w:rPr>
          <w:rFonts w:hint="eastAsia" w:ascii="宋体" w:hAnsi="宋体" w:eastAsia="宋体" w:cs="宋体"/>
          <w:sz w:val="28"/>
          <w:szCs w:val="28"/>
          <w:lang w:eastAsia="zh-CN"/>
        </w:rPr>
        <w:t>辆、一般执法执勤用车</w:t>
      </w:r>
      <w:r>
        <w:rPr>
          <w:rFonts w:hint="eastAsia"/>
          <w:sz w:val="28"/>
          <w:szCs w:val="28"/>
          <w:highlight w:val="none"/>
          <w:lang w:val="en-US" w:eastAsia="zh-CN"/>
        </w:rPr>
        <w:t>0</w:t>
      </w:r>
      <w:r>
        <w:rPr>
          <w:rFonts w:hint="eastAsia" w:ascii="宋体" w:hAnsi="宋体" w:eastAsia="宋体" w:cs="宋体"/>
          <w:sz w:val="28"/>
          <w:szCs w:val="28"/>
          <w:lang w:eastAsia="zh-CN"/>
        </w:rPr>
        <w:t>辆、特种专业技术用车</w:t>
      </w:r>
      <w:r>
        <w:rPr>
          <w:rFonts w:hint="eastAsia"/>
          <w:sz w:val="28"/>
          <w:szCs w:val="28"/>
          <w:highlight w:val="none"/>
          <w:lang w:val="en-US" w:eastAsia="zh-CN"/>
        </w:rPr>
        <w:t>0</w:t>
      </w:r>
      <w:r>
        <w:rPr>
          <w:rFonts w:hint="eastAsia" w:ascii="宋体" w:hAnsi="宋体" w:eastAsia="宋体" w:cs="宋体"/>
          <w:sz w:val="28"/>
          <w:szCs w:val="28"/>
          <w:lang w:eastAsia="zh-CN"/>
        </w:rPr>
        <w:t>辆、其他用车</w:t>
      </w:r>
      <w:r>
        <w:rPr>
          <w:rFonts w:hint="eastAsia"/>
          <w:sz w:val="28"/>
          <w:szCs w:val="28"/>
          <w:highlight w:val="none"/>
          <w:lang w:val="en-US" w:eastAsia="zh-CN"/>
        </w:rPr>
        <w:t>0</w:t>
      </w:r>
      <w:r>
        <w:rPr>
          <w:rFonts w:hint="eastAsia" w:ascii="宋体" w:hAnsi="宋体" w:eastAsia="宋体" w:cs="宋体"/>
          <w:sz w:val="28"/>
          <w:szCs w:val="28"/>
          <w:lang w:eastAsia="zh-CN"/>
        </w:rPr>
        <w:t>辆，单位价值200万元以上大型设备</w:t>
      </w:r>
      <w:r>
        <w:rPr>
          <w:rFonts w:hint="eastAsia"/>
          <w:sz w:val="28"/>
          <w:szCs w:val="28"/>
          <w:highlight w:val="none"/>
          <w:lang w:val="en-US" w:eastAsia="zh-CN"/>
        </w:rPr>
        <w:t>0</w:t>
      </w:r>
      <w:r>
        <w:rPr>
          <w:rFonts w:hint="eastAsia" w:ascii="宋体" w:hAnsi="宋体" w:eastAsia="宋体" w:cs="宋体"/>
          <w:sz w:val="28"/>
          <w:szCs w:val="28"/>
          <w:lang w:eastAsia="zh-CN"/>
        </w:rPr>
        <w:t>台（套）。</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sz w:val="28"/>
          <w:szCs w:val="28"/>
          <w:highlight w:val="none"/>
          <w:lang w:val="en-US" w:eastAsia="zh-CN"/>
        </w:rPr>
        <w:t>3</w:t>
      </w:r>
      <w:r>
        <w:rPr>
          <w:rFonts w:hint="eastAsia" w:ascii="宋体" w:hAnsi="宋体" w:eastAsia="宋体" w:cs="宋体"/>
          <w:sz w:val="28"/>
          <w:szCs w:val="28"/>
          <w:lang w:eastAsia="zh-CN"/>
        </w:rPr>
        <w:t>个，预算资金</w:t>
      </w:r>
      <w:r>
        <w:rPr>
          <w:rFonts w:hint="eastAsia"/>
          <w:sz w:val="28"/>
          <w:szCs w:val="28"/>
          <w:highlight w:val="none"/>
          <w:lang w:val="en-US" w:eastAsia="zh-CN"/>
        </w:rPr>
        <w:t>50.62</w:t>
      </w:r>
      <w:r>
        <w:rPr>
          <w:rFonts w:hint="eastAsia" w:ascii="宋体" w:hAnsi="宋体" w:eastAsia="宋体" w:cs="宋体"/>
          <w:sz w:val="28"/>
          <w:szCs w:val="28"/>
          <w:lang w:eastAsia="zh-CN"/>
        </w:rPr>
        <w:t>万元。绩效目标情况详见报表（日常运转类项目、工资类人员经费项目和涉密项目等除外）。</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通过2024年年初经费保障幼儿园各项工作正常运转、保障辖区内幼儿受到良好教育，从而提高幼儿家长对于幼儿园的满意度、教师的幸福感、获得感。实现师资力量和幼儿园环境达到社会认可的学前教育</w:t>
      </w:r>
    </w:p>
    <w:p>
      <w:pPr>
        <w:pStyle w:val="18"/>
        <w:spacing w:line="624" w:lineRule="exact"/>
        <w:ind w:firstLine="600"/>
        <w:jc w:val="left"/>
        <w:rPr>
          <w:rFonts w:hint="eastAsia"/>
          <w:sz w:val="28"/>
          <w:szCs w:val="28"/>
          <w:highlight w:val="none"/>
          <w:lang w:val="en-US" w:eastAsia="zh-CN"/>
        </w:rPr>
      </w:pPr>
    </w:p>
    <w:p>
      <w:pPr>
        <w:pStyle w:val="18"/>
        <w:spacing w:line="624" w:lineRule="exact"/>
        <w:jc w:val="left"/>
        <w:rPr>
          <w:rFonts w:hint="default"/>
          <w:sz w:val="28"/>
          <w:szCs w:val="28"/>
          <w:highlight w:val="none"/>
          <w:lang w:val="en-US" w:eastAsia="zh-CN"/>
        </w:rPr>
        <w:sectPr>
          <w:headerReference r:id="rId6" w:type="default"/>
          <w:footerReference r:id="rId7" w:type="default"/>
          <w:pgSz w:w="11900" w:h="16840"/>
          <w:pgMar w:top="1440" w:right="1800" w:bottom="1440" w:left="1800" w:header="0" w:footer="1077" w:gutter="0"/>
          <w:pgBorders>
            <w:top w:val="none" w:sz="0" w:space="0"/>
            <w:left w:val="none" w:sz="0" w:space="0"/>
            <w:bottom w:val="none" w:sz="0" w:space="0"/>
            <w:right w:val="none" w:sz="0" w:space="0"/>
          </w:pgBorders>
          <w:pgNumType w:fmt="decimal"/>
          <w:cols w:space="720" w:num="1"/>
          <w:docGrid w:linePitch="360" w:charSpace="0"/>
        </w:sectPr>
      </w:pPr>
    </w:p>
    <w:bookmarkEnd w:id="10"/>
    <w:bookmarkEnd w:id="11"/>
    <w:bookmarkEnd w:id="12"/>
    <w:p>
      <w:pPr>
        <w:pStyle w:val="12"/>
        <w:keepNext/>
        <w:keepLines/>
        <w:spacing w:after="980"/>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部分</w:t>
      </w:r>
      <w:r>
        <w:rPr>
          <w:rFonts w:hint="eastAsia" w:ascii="宋体" w:hAnsi="宋体" w:eastAsia="宋体" w:cs="宋体"/>
          <w:b/>
          <w:bCs/>
          <w:sz w:val="36"/>
          <w:szCs w:val="36"/>
          <w:lang w:eastAsia="zh-CN"/>
        </w:rPr>
        <w:t>环江毛南族自治县东兴镇中心幼儿园</w:t>
      </w:r>
      <w:r>
        <w:rPr>
          <w:rFonts w:ascii="宋体" w:hAnsi="宋体" w:eastAsia="宋体" w:cs="宋体"/>
          <w:b/>
          <w:sz w:val="36"/>
          <w:u w:color="auto"/>
        </w:rPr>
        <w:t>2024年</w:t>
      </w:r>
      <w:r>
        <w:rPr>
          <w:rFonts w:hint="eastAsia" w:ascii="宋体" w:hAnsi="宋体" w:eastAsia="宋体" w:cs="宋体"/>
          <w:b/>
          <w:bCs/>
          <w:sz w:val="36"/>
          <w:szCs w:val="36"/>
        </w:rPr>
        <w:t>部门预算表</w:t>
      </w:r>
    </w:p>
    <w:p>
      <w:pPr>
        <w:pStyle w:val="22"/>
        <w:keepNext/>
        <w:keepLines/>
        <w:spacing w:after="240"/>
        <w:jc w:val="center"/>
      </w:pPr>
      <w:bookmarkStart w:id="16" w:name="bookmark31"/>
      <w:bookmarkStart w:id="17" w:name="bookmark30"/>
      <w:bookmarkStart w:id="18" w:name="bookmark29"/>
      <w:r>
        <w:t>收支总体情况表</w:t>
      </w:r>
      <w:bookmarkEnd w:id="16"/>
      <w:bookmarkEnd w:id="17"/>
      <w:bookmarkEnd w:id="18"/>
    </w:p>
    <w:tbl>
      <w:tblPr>
        <w:tblStyle w:val="4"/>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cantSplit/>
          <w:trHeight w:val="331" w:hRule="exact"/>
        </w:trPr>
        <w:tc>
          <w:tcPr>
            <w:tcW w:w="10641" w:type="dxa"/>
            <w:gridSpan w:val="3"/>
            <w:tcBorders>
              <w:bottom w:val="single" w:color="auto" w:sz="4" w:space="0"/>
            </w:tcBorders>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环江毛南族自治县东兴镇中心幼儿园</w:t>
            </w:r>
          </w:p>
        </w:tc>
        <w:tc>
          <w:tcPr>
            <w:tcW w:w="3571" w:type="dxa"/>
            <w:tcBorders>
              <w:bottom w:val="single" w:color="auto" w:sz="4" w:space="0"/>
            </w:tcBorders>
            <w:shd w:val="clear" w:color="auto" w:fill="FFFFFF"/>
          </w:tcPr>
          <w:p>
            <w:pPr>
              <w:pStyle w:val="24"/>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cantSplit/>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cantSplit/>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209.25</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1.87</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209.25</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200.85</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4.41</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3.75</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209.25</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210.88</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1.62</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210.88</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210.88</w:t>
            </w:r>
          </w:p>
        </w:tc>
      </w:tr>
    </w:tbl>
    <w:p>
      <w:pPr>
        <w:pStyle w:val="26"/>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8" w:type="default"/>
          <w:footerReference r:id="rId9" w:type="default"/>
          <w:pgSz w:w="16840" w:h="11900" w:orient="landscape"/>
          <w:pgMar w:top="2397" w:right="761" w:bottom="1966" w:left="739" w:header="0" w:footer="1474" w:gutter="0"/>
          <w:pgBorders>
            <w:top w:val="none" w:sz="0" w:space="0"/>
            <w:left w:val="none" w:sz="0" w:space="0"/>
            <w:bottom w:val="none" w:sz="0" w:space="0"/>
            <w:right w:val="none" w:sz="0" w:space="0"/>
          </w:pgBorders>
          <w:pgNumType w:fmt="decimal"/>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3481" w:type="dxa"/>
            <w:gridSpan w:val="13"/>
            <w:tcBorders>
              <w:top w:val="nil"/>
              <w:left w:val="nil"/>
              <w:right w:val="nil"/>
            </w:tcBorders>
          </w:tcPr>
          <w:p>
            <w:pPr>
              <w:pStyle w:val="26"/>
              <w:jc w:val="both"/>
              <w:rPr>
                <w:rFonts w:hint="eastAsia"/>
                <w:lang w:val="en-US" w:eastAsia="zh-CN"/>
              </w:rPr>
            </w:pPr>
            <w:r>
              <w:rPr>
                <w:sz w:val="17"/>
                <w:szCs w:val="17"/>
              </w:rPr>
              <w:t>单位名称：</w:t>
            </w:r>
            <w:r>
              <w:rPr>
                <w:rFonts w:hint="eastAsia"/>
                <w:sz w:val="17"/>
                <w:szCs w:val="17"/>
                <w:lang w:eastAsia="zh-CN"/>
              </w:rPr>
              <w:t>环江毛南族自治县东兴镇中心幼儿园</w:t>
            </w:r>
          </w:p>
        </w:tc>
        <w:tc>
          <w:tcPr>
            <w:tcW w:w="2076" w:type="dxa"/>
            <w:gridSpan w:val="3"/>
            <w:tcBorders>
              <w:top w:val="nil"/>
              <w:left w:val="nil"/>
              <w:right w:val="nil"/>
            </w:tcBorders>
          </w:tcPr>
          <w:p>
            <w:pPr>
              <w:pStyle w:val="26"/>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hint="eastAsia" w:eastAsia="宋体"/>
                <w:vertAlign w:val="baseline"/>
                <w:lang w:val="en-US" w:eastAsia="zh-CN"/>
              </w:rPr>
            </w:pPr>
            <w:r>
              <w:rPr>
                <w:sz w:val="17"/>
                <w:szCs w:val="17"/>
              </w:rPr>
              <w:t>部门（单位）代码</w:t>
            </w:r>
          </w:p>
        </w:tc>
        <w:tc>
          <w:tcPr>
            <w:tcW w:w="1279" w:type="dxa"/>
            <w:vMerge w:val="restart"/>
            <w:vAlign w:val="center"/>
          </w:tcPr>
          <w:p>
            <w:pPr>
              <w:tabs>
                <w:tab w:val="left" w:pos="859"/>
              </w:tabs>
              <w:jc w:val="center"/>
              <w:rPr>
                <w:rFonts w:hint="eastAsia" w:eastAsia="宋体"/>
                <w:vertAlign w:val="baseline"/>
                <w:lang w:val="en-US" w:eastAsia="zh-CN"/>
              </w:rPr>
            </w:pPr>
            <w:r>
              <w:rPr>
                <w:sz w:val="17"/>
                <w:szCs w:val="17"/>
              </w:rPr>
              <w:t>部门（单位）名称</w:t>
            </w:r>
          </w:p>
        </w:tc>
        <w:tc>
          <w:tcPr>
            <w:tcW w:w="990" w:type="dxa"/>
            <w:vMerge w:val="restart"/>
            <w:vAlign w:val="center"/>
          </w:tcPr>
          <w:p>
            <w:pPr>
              <w:pStyle w:val="24"/>
              <w:spacing w:line="240" w:lineRule="auto"/>
              <w:ind w:left="0" w:leftChars="0" w:firstLine="0" w:firstLineChars="0"/>
              <w:jc w:val="center"/>
              <w:rPr>
                <w:rFonts w:hint="eastAsia" w:eastAsia="宋体"/>
                <w:vertAlign w:val="baseline"/>
                <w:lang w:val="en-US" w:eastAsia="zh-CN"/>
              </w:rPr>
            </w:pPr>
            <w:r>
              <w:rPr>
                <w:rFonts w:hint="eastAsia"/>
                <w:sz w:val="17"/>
                <w:szCs w:val="17"/>
                <w:lang w:val="en-US" w:eastAsia="zh-CN"/>
              </w:rPr>
              <w:t>合</w:t>
            </w:r>
            <w:r>
              <w:rPr>
                <w:sz w:val="17"/>
                <w:szCs w:val="17"/>
              </w:rPr>
              <w:t>计</w:t>
            </w:r>
          </w:p>
        </w:tc>
        <w:tc>
          <w:tcPr>
            <w:tcW w:w="5843" w:type="dxa"/>
            <w:gridSpan w:val="6"/>
          </w:tcPr>
          <w:p>
            <w:pPr>
              <w:tabs>
                <w:tab w:val="left" w:pos="859"/>
              </w:tabs>
              <w:jc w:val="center"/>
              <w:rPr>
                <w:rFonts w:hint="eastAsia" w:eastAsia="宋体"/>
                <w:vertAlign w:val="baseline"/>
                <w:lang w:val="en-US" w:eastAsia="zh-CN"/>
              </w:rPr>
            </w:pPr>
            <w:r>
              <w:rPr>
                <w:sz w:val="17"/>
                <w:szCs w:val="17"/>
              </w:rPr>
              <w:t>本年收入</w:t>
            </w:r>
          </w:p>
        </w:tc>
        <w:tc>
          <w:tcPr>
            <w:tcW w:w="5809" w:type="dxa"/>
            <w:gridSpan w:val="7"/>
          </w:tcPr>
          <w:p>
            <w:pPr>
              <w:tabs>
                <w:tab w:val="left" w:pos="859"/>
              </w:tabs>
              <w:jc w:val="center"/>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1636" w:type="dxa"/>
            <w:vMerge w:val="continue"/>
          </w:tcPr>
          <w:p>
            <w:pPr>
              <w:tabs>
                <w:tab w:val="left" w:pos="859"/>
              </w:tabs>
              <w:jc w:val="center"/>
              <w:rPr>
                <w:rFonts w:hint="eastAsia" w:eastAsia="宋体"/>
                <w:vertAlign w:val="baseline"/>
                <w:lang w:val="en-US" w:eastAsia="zh-CN"/>
              </w:rPr>
            </w:pPr>
          </w:p>
        </w:tc>
        <w:tc>
          <w:tcPr>
            <w:tcW w:w="1279" w:type="dxa"/>
            <w:vMerge w:val="continue"/>
          </w:tcPr>
          <w:p>
            <w:pPr>
              <w:tabs>
                <w:tab w:val="left" w:pos="859"/>
              </w:tabs>
              <w:jc w:val="center"/>
              <w:rPr>
                <w:rFonts w:hint="eastAsia" w:eastAsia="宋体"/>
                <w:vertAlign w:val="baseline"/>
                <w:lang w:val="en-US" w:eastAsia="zh-CN"/>
              </w:rPr>
            </w:pPr>
          </w:p>
        </w:tc>
        <w:tc>
          <w:tcPr>
            <w:tcW w:w="990" w:type="dxa"/>
            <w:vMerge w:val="continue"/>
            <w:vAlign w:val="center"/>
          </w:tcPr>
          <w:p>
            <w:pPr>
              <w:pStyle w:val="24"/>
              <w:spacing w:line="240" w:lineRule="auto"/>
              <w:ind w:firstLine="300" w:firstLineChars="0"/>
              <w:jc w:val="center"/>
              <w:rPr>
                <w:rFonts w:hint="eastAsia" w:eastAsia="宋体"/>
                <w:vertAlign w:val="baseline"/>
                <w:lang w:val="en-US" w:eastAsia="zh-CN"/>
              </w:rPr>
            </w:pPr>
          </w:p>
        </w:tc>
        <w:tc>
          <w:tcPr>
            <w:tcW w:w="926" w:type="dxa"/>
            <w:vAlign w:val="center"/>
          </w:tcPr>
          <w:p>
            <w:pPr>
              <w:pStyle w:val="24"/>
              <w:spacing w:line="240" w:lineRule="auto"/>
              <w:ind w:firstLine="300" w:firstLineChars="0"/>
              <w:jc w:val="center"/>
              <w:rPr>
                <w:rFonts w:hint="eastAsia" w:eastAsia="宋体"/>
                <w:vertAlign w:val="baseline"/>
                <w:lang w:val="en-US" w:eastAsia="zh-CN"/>
              </w:rPr>
            </w:pPr>
            <w:r>
              <w:rPr>
                <w:sz w:val="17"/>
                <w:szCs w:val="17"/>
              </w:rPr>
              <w:t>小计</w:t>
            </w:r>
          </w:p>
        </w:tc>
        <w:tc>
          <w:tcPr>
            <w:tcW w:w="909"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一般公共预算</w:t>
            </w:r>
          </w:p>
        </w:tc>
        <w:tc>
          <w:tcPr>
            <w:tcW w:w="968"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政府性基金预算</w:t>
            </w:r>
          </w:p>
        </w:tc>
        <w:tc>
          <w:tcPr>
            <w:tcW w:w="990"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1078" w:type="dxa"/>
          </w:tcPr>
          <w:p>
            <w:pPr>
              <w:pStyle w:val="24"/>
              <w:spacing w:line="312" w:lineRule="exact"/>
              <w:ind w:firstLine="0"/>
              <w:jc w:val="center"/>
              <w:rPr>
                <w:sz w:val="17"/>
                <w:szCs w:val="17"/>
              </w:rPr>
            </w:pPr>
            <w:r>
              <w:rPr>
                <w:sz w:val="17"/>
                <w:szCs w:val="17"/>
              </w:rPr>
              <w:t>财政专户管理资金</w:t>
            </w:r>
          </w:p>
          <w:p>
            <w:pPr>
              <w:pStyle w:val="24"/>
              <w:spacing w:line="312" w:lineRule="exact"/>
              <w:ind w:firstLine="0" w:firstLineChars="0"/>
              <w:jc w:val="center"/>
              <w:rPr>
                <w:rFonts w:hint="eastAsia" w:eastAsia="宋体"/>
                <w:vertAlign w:val="baseline"/>
                <w:lang w:val="en-US" w:eastAsia="zh-CN"/>
              </w:rPr>
            </w:pPr>
            <w:r>
              <w:rPr>
                <w:sz w:val="17"/>
                <w:szCs w:val="17"/>
              </w:rPr>
              <w:t>收入</w:t>
            </w:r>
          </w:p>
        </w:tc>
        <w:tc>
          <w:tcPr>
            <w:tcW w:w="972" w:type="dxa"/>
            <w:vAlign w:val="center"/>
          </w:tcPr>
          <w:p>
            <w:pPr>
              <w:pStyle w:val="24"/>
              <w:spacing w:line="240" w:lineRule="auto"/>
              <w:ind w:firstLine="0" w:firstLineChars="0"/>
              <w:jc w:val="center"/>
              <w:rPr>
                <w:rFonts w:hint="eastAsia" w:eastAsia="宋体"/>
                <w:vertAlign w:val="baseline"/>
                <w:lang w:val="en-US" w:eastAsia="zh-CN"/>
              </w:rPr>
            </w:pPr>
            <w:r>
              <w:rPr>
                <w:sz w:val="17"/>
                <w:szCs w:val="17"/>
              </w:rPr>
              <w:t>单位资金</w:t>
            </w:r>
          </w:p>
        </w:tc>
        <w:tc>
          <w:tcPr>
            <w:tcW w:w="919" w:type="dxa"/>
            <w:vAlign w:val="center"/>
          </w:tcPr>
          <w:p>
            <w:pPr>
              <w:pStyle w:val="24"/>
              <w:spacing w:line="240" w:lineRule="auto"/>
              <w:ind w:firstLine="300" w:firstLineChars="0"/>
              <w:jc w:val="center"/>
              <w:rPr>
                <w:rFonts w:hint="eastAsia" w:eastAsia="宋体"/>
                <w:vertAlign w:val="baseline"/>
                <w:lang w:val="en-US" w:eastAsia="zh-CN"/>
              </w:rPr>
            </w:pPr>
            <w:r>
              <w:rPr>
                <w:sz w:val="17"/>
                <w:szCs w:val="17"/>
              </w:rPr>
              <w:t>小计</w:t>
            </w:r>
          </w:p>
        </w:tc>
        <w:tc>
          <w:tcPr>
            <w:tcW w:w="1011"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一般公共预算</w:t>
            </w:r>
          </w:p>
        </w:tc>
        <w:tc>
          <w:tcPr>
            <w:tcW w:w="859"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政府性基金预算</w:t>
            </w:r>
          </w:p>
        </w:tc>
        <w:tc>
          <w:tcPr>
            <w:tcW w:w="1094" w:type="dxa"/>
            <w:gridSpan w:val="2"/>
            <w:vAlign w:val="center"/>
          </w:tcPr>
          <w:p>
            <w:pPr>
              <w:pStyle w:val="24"/>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937" w:type="dxa"/>
          </w:tcPr>
          <w:p>
            <w:pPr>
              <w:pStyle w:val="24"/>
              <w:spacing w:line="312" w:lineRule="exact"/>
              <w:ind w:firstLine="0"/>
              <w:jc w:val="center"/>
              <w:rPr>
                <w:sz w:val="17"/>
                <w:szCs w:val="17"/>
              </w:rPr>
            </w:pPr>
            <w:r>
              <w:rPr>
                <w:sz w:val="17"/>
                <w:szCs w:val="17"/>
              </w:rPr>
              <w:t>财政专户管理资金</w:t>
            </w:r>
          </w:p>
          <w:p>
            <w:pPr>
              <w:pStyle w:val="24"/>
              <w:spacing w:line="312" w:lineRule="exact"/>
              <w:ind w:right="280" w:rightChars="0" w:firstLine="0" w:firstLineChars="0"/>
              <w:jc w:val="center"/>
              <w:rPr>
                <w:rFonts w:hint="eastAsia" w:eastAsia="宋体"/>
                <w:vertAlign w:val="baseline"/>
                <w:lang w:val="en-US" w:eastAsia="zh-CN"/>
              </w:rPr>
            </w:pPr>
            <w:r>
              <w:rPr>
                <w:sz w:val="17"/>
                <w:szCs w:val="17"/>
              </w:rPr>
              <w:t>收入</w:t>
            </w:r>
          </w:p>
        </w:tc>
        <w:tc>
          <w:tcPr>
            <w:tcW w:w="989" w:type="dxa"/>
            <w:vAlign w:val="center"/>
          </w:tcPr>
          <w:p>
            <w:pPr>
              <w:pStyle w:val="24"/>
              <w:spacing w:line="240" w:lineRule="auto"/>
              <w:ind w:firstLine="140" w:firstLineChars="0"/>
              <w:jc w:val="center"/>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24"/>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24"/>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24"/>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968"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990"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1078"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972"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919"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24"/>
              <w:spacing w:line="240" w:lineRule="auto"/>
              <w:ind w:right="36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937" w:type="dxa"/>
            <w:vAlign w:val="center"/>
          </w:tcPr>
          <w:p>
            <w:pPr>
              <w:pStyle w:val="24"/>
              <w:spacing w:line="240" w:lineRule="auto"/>
              <w:ind w:right="38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989" w:type="dxa"/>
            <w:vAlign w:val="center"/>
          </w:tcPr>
          <w:p>
            <w:pPr>
              <w:pStyle w:val="24"/>
              <w:spacing w:line="240" w:lineRule="auto"/>
              <w:ind w:right="42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201010</w:t>
            </w:r>
          </w:p>
        </w:tc>
        <w:tc>
          <w:tcPr>
            <w:tcW w:w="1279" w:type="dxa"/>
          </w:tcPr>
          <w:p>
            <w:pPr>
              <w:pStyle w:val="24"/>
              <w:spacing w:line="326" w:lineRule="exact"/>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环江毛南族自治县东兴镇中心幼儿园</w:t>
            </w:r>
          </w:p>
        </w:tc>
        <w:tc>
          <w:tcPr>
            <w:tcW w:w="990" w:type="dxa"/>
            <w:vAlign w:val="center"/>
          </w:tcPr>
          <w:p>
            <w:pPr>
              <w:pStyle w:val="24"/>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210.88</w:t>
            </w:r>
          </w:p>
        </w:tc>
        <w:tc>
          <w:tcPr>
            <w:tcW w:w="926" w:type="dxa"/>
            <w:vAlign w:val="center"/>
          </w:tcPr>
          <w:p>
            <w:pPr>
              <w:pStyle w:val="24"/>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209.25</w:t>
            </w:r>
          </w:p>
        </w:tc>
        <w:tc>
          <w:tcPr>
            <w:tcW w:w="909" w:type="dxa"/>
            <w:vAlign w:val="center"/>
          </w:tcPr>
          <w:p>
            <w:pPr>
              <w:pStyle w:val="24"/>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209.25</w:t>
            </w:r>
          </w:p>
        </w:tc>
        <w:tc>
          <w:tcPr>
            <w:tcW w:w="968" w:type="dxa"/>
            <w:vAlign w:val="center"/>
          </w:tcPr>
          <w:p>
            <w:pPr>
              <w:pStyle w:val="24"/>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90" w:type="dxa"/>
            <w:vAlign w:val="center"/>
          </w:tcPr>
          <w:p>
            <w:pPr>
              <w:pStyle w:val="24"/>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78" w:type="dxa"/>
            <w:vAlign w:val="center"/>
          </w:tcPr>
          <w:p>
            <w:pPr>
              <w:pStyle w:val="24"/>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72" w:type="dxa"/>
            <w:vAlign w:val="center"/>
          </w:tcPr>
          <w:p>
            <w:pPr>
              <w:pStyle w:val="24"/>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19" w:type="dxa"/>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1.62</w:t>
            </w:r>
          </w:p>
        </w:tc>
        <w:tc>
          <w:tcPr>
            <w:tcW w:w="1011" w:type="dxa"/>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1.62</w:t>
            </w:r>
          </w:p>
        </w:tc>
        <w:tc>
          <w:tcPr>
            <w:tcW w:w="859" w:type="dxa"/>
            <w:vAlign w:val="center"/>
          </w:tcPr>
          <w:p>
            <w:pPr>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94" w:type="dxa"/>
            <w:gridSpan w:val="2"/>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37" w:type="dxa"/>
            <w:vAlign w:val="center"/>
          </w:tcPr>
          <w:p>
            <w:pPr>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89" w:type="dxa"/>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26"/>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10" w:type="default"/>
          <w:footerReference r:id="rId11" w:type="default"/>
          <w:pgSz w:w="16840" w:h="11900" w:orient="landscape"/>
          <w:pgMar w:top="2709" w:right="764" w:bottom="2709" w:left="735" w:header="2281" w:footer="1474" w:gutter="0"/>
          <w:pgBorders>
            <w:top w:val="none" w:sz="0" w:space="0"/>
            <w:left w:val="none" w:sz="0" w:space="0"/>
            <w:bottom w:val="none" w:sz="0" w:space="0"/>
            <w:right w:val="none" w:sz="0" w:space="0"/>
          </w:pgBorders>
          <w:pgNumType w:fmt="decimal"/>
          <w:cols w:space="720" w:num="1"/>
          <w:docGrid w:linePitch="360" w:charSpace="0"/>
        </w:sectPr>
      </w:pPr>
    </w:p>
    <w:p>
      <w:pPr>
        <w:pStyle w:val="22"/>
        <w:keepNext/>
        <w:keepLines/>
        <w:spacing w:after="240"/>
        <w:jc w:val="center"/>
      </w:pPr>
      <w:bookmarkStart w:id="19" w:name="bookmark41"/>
      <w:bookmarkStart w:id="20" w:name="bookmark43"/>
      <w:bookmarkStart w:id="21" w:name="bookmark42"/>
      <w:r>
        <w:t>支出总体情况表</w:t>
      </w:r>
      <w:bookmarkEnd w:id="19"/>
      <w:bookmarkEnd w:id="20"/>
      <w:bookmarkEnd w:id="21"/>
    </w:p>
    <w:tbl>
      <w:tblPr>
        <w:tblStyle w:val="4"/>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cantSplit/>
          <w:trHeight w:val="346" w:hRule="exact"/>
        </w:trPr>
        <w:tc>
          <w:tcPr>
            <w:tcW w:w="12968" w:type="dxa"/>
            <w:gridSpan w:val="6"/>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环江毛南族自治县东兴镇中心幼儿园</w:t>
            </w:r>
          </w:p>
        </w:tc>
        <w:tc>
          <w:tcPr>
            <w:tcW w:w="2371" w:type="dxa"/>
            <w:shd w:val="clear" w:color="auto" w:fill="FFFFFF"/>
          </w:tcPr>
          <w:p>
            <w:pPr>
              <w:pStyle w:val="24"/>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cantSplit/>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24"/>
              <w:spacing w:after="120" w:line="240" w:lineRule="auto"/>
              <w:ind w:firstLine="0"/>
              <w:jc w:val="left"/>
              <w:rPr>
                <w:sz w:val="17"/>
                <w:szCs w:val="17"/>
              </w:rPr>
            </w:pPr>
            <w:r>
              <w:rPr>
                <w:sz w:val="17"/>
                <w:szCs w:val="17"/>
              </w:rPr>
              <w:t>部门（单位）名称</w:t>
            </w:r>
          </w:p>
          <w:p>
            <w:pPr>
              <w:pStyle w:val="24"/>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210.88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160.25</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50.62</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201010</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210.88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160.25</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50.62</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1.87</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1.87</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2050201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学前教育</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200.85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150.23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50.62</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4.41</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4.41</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3.75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3.75</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26"/>
        <w:ind w:left="672"/>
        <w:jc w:val="left"/>
      </w:pPr>
      <w:r>
        <w:t>注：本报表金额单位转换时可能存在四舍五入尾数误差。</w:t>
      </w:r>
      <w:r>
        <w:br w:type="page"/>
      </w:r>
    </w:p>
    <w:p>
      <w:pPr>
        <w:pStyle w:val="22"/>
        <w:keepNext/>
        <w:keepLines/>
        <w:spacing w:after="240"/>
        <w:jc w:val="center"/>
      </w:pPr>
      <w:bookmarkStart w:id="22" w:name="bookmark45"/>
      <w:bookmarkStart w:id="23" w:name="bookmark46"/>
      <w:bookmarkStart w:id="24" w:name="bookmark44"/>
      <w:r>
        <w:t>财政拨款收支总体情况表</w:t>
      </w:r>
      <w:bookmarkEnd w:id="22"/>
      <w:bookmarkEnd w:id="23"/>
      <w:bookmarkEnd w:id="24"/>
    </w:p>
    <w:tbl>
      <w:tblPr>
        <w:tblStyle w:val="4"/>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cantSplit/>
          <w:trHeight w:val="346" w:hRule="exact"/>
        </w:trPr>
        <w:tc>
          <w:tcPr>
            <w:tcW w:w="11496" w:type="dxa"/>
            <w:gridSpan w:val="4"/>
            <w:shd w:val="clear" w:color="auto" w:fill="FFFFFF"/>
          </w:tcPr>
          <w:p>
            <w:pPr>
              <w:pStyle w:val="24"/>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环江毛南族自治县东兴镇中心幼儿园</w:t>
            </w:r>
          </w:p>
        </w:tc>
        <w:tc>
          <w:tcPr>
            <w:tcW w:w="3845" w:type="dxa"/>
            <w:shd w:val="clear" w:color="auto" w:fill="FFFFFF"/>
          </w:tcPr>
          <w:p>
            <w:pPr>
              <w:pStyle w:val="24"/>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cantSplit/>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24"/>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24"/>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24"/>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24"/>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cantSplit/>
          <w:trHeight w:val="451" w:hRule="exact"/>
        </w:trPr>
        <w:tc>
          <w:tcPr>
            <w:tcW w:w="384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24"/>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209.25</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1.87</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209.25</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200.85</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4.41</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3.75</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209.25</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210.88</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1.62</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210.88</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210.88</w:t>
            </w:r>
          </w:p>
        </w:tc>
      </w:tr>
      <w:tr>
        <w:tblPrEx>
          <w:tblCellMar>
            <w:top w:w="0" w:type="dxa"/>
            <w:left w:w="10" w:type="dxa"/>
            <w:bottom w:w="0" w:type="dxa"/>
            <w:right w:w="10" w:type="dxa"/>
          </w:tblCellMar>
        </w:tblPrEx>
        <w:trPr>
          <w:cantSplit/>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cantSplit/>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1602"/>
        <w:gridCol w:w="1576"/>
        <w:gridCol w:w="1744"/>
        <w:gridCol w:w="2050"/>
        <w:gridCol w:w="1804"/>
        <w:gridCol w:w="1706"/>
        <w:gridCol w:w="71"/>
        <w:gridCol w:w="1679"/>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环江毛南族自治县东兴镇中心幼儿园</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24"/>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24"/>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24"/>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24"/>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24"/>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24"/>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vertAlign w:val="baseline"/>
                <w:lang w:eastAsia="zh-CN"/>
              </w:rPr>
            </w:pPr>
          </w:p>
        </w:tc>
        <w:tc>
          <w:tcPr>
            <w:tcW w:w="1676"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201010</w:t>
            </w:r>
          </w:p>
        </w:tc>
        <w:tc>
          <w:tcPr>
            <w:tcW w:w="1662" w:type="dxa"/>
            <w:vAlign w:val="center"/>
          </w:tcPr>
          <w:p>
            <w:pPr>
              <w:pStyle w:val="24"/>
              <w:spacing w:line="240" w:lineRule="auto"/>
              <w:ind w:firstLine="0" w:firstLineChars="0"/>
              <w:jc w:val="center"/>
              <w:rPr>
                <w:rFonts w:hint="eastAsia"/>
                <w:vertAlign w:val="baseline"/>
                <w:lang w:eastAsia="zh-CN"/>
              </w:rPr>
            </w:pP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210.88</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160.25</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158.38</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1.87</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50.62</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1.87</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1.87</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1.87</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2050201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学前教育</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200.85</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150.23</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150.23</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50.62</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4.41</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4.41</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4.41</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3.75</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3.75</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3.75</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pPr>
      <w:bookmarkStart w:id="25" w:name="bookmark57"/>
      <w:bookmarkStart w:id="26" w:name="bookmark58"/>
      <w:bookmarkStart w:id="27" w:name="bookmark56"/>
      <w:r>
        <w:t>一般公共预算基本支出情况表</w:t>
      </w:r>
      <w:bookmarkEnd w:id="25"/>
      <w:bookmarkEnd w:id="26"/>
      <w:bookmarkEnd w:id="27"/>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环江毛南族自治县东兴镇中心幼儿园</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110" w:type="dxa"/>
            <w:vAlign w:val="center"/>
          </w:tcPr>
          <w:p>
            <w:pPr>
              <w:pStyle w:val="24"/>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24"/>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24"/>
              <w:spacing w:line="240" w:lineRule="auto"/>
              <w:ind w:firstLine="0" w:firstLineChars="0"/>
              <w:jc w:val="center"/>
              <w:rPr>
                <w:vertAlign w:val="baseline"/>
                <w:lang w:eastAsia="zh-CN"/>
              </w:rPr>
            </w:pPr>
            <w:r>
              <w:rPr>
                <w:sz w:val="17"/>
                <w:szCs w:val="17"/>
              </w:rPr>
              <w:t>合计</w:t>
            </w:r>
          </w:p>
        </w:tc>
        <w:tc>
          <w:tcPr>
            <w:tcW w:w="3112" w:type="dxa"/>
            <w:vAlign w:val="center"/>
          </w:tcPr>
          <w:p>
            <w:pPr>
              <w:pStyle w:val="24"/>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24"/>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160.25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158.38</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158.38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158.38</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12.71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12.71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3.28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3.28</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28.25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28.25</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绩效工资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24.75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24.75</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4.41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4.41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1.76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1.76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0.20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0.20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15.68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15.68</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其他工资福利支出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67.35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67.35</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1.87</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邮电费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物业管理费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30214</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租赁费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1.87</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一般公共预算“三公”经费预算表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26"/>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环江毛南族自治县东兴镇中心幼儿园</w:t>
            </w:r>
          </w:p>
        </w:tc>
        <w:tc>
          <w:tcPr>
            <w:tcW w:w="1891" w:type="dxa"/>
            <w:gridSpan w:val="2"/>
            <w:tcBorders>
              <w:top w:val="nil"/>
              <w:left w:val="nil"/>
              <w:right w:val="nil"/>
            </w:tcBorders>
          </w:tcPr>
          <w:p>
            <w:pPr>
              <w:pStyle w:val="26"/>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6" w:type="dxa"/>
            <w:vMerge w:val="restart"/>
          </w:tcPr>
          <w:p>
            <w:pPr>
              <w:pStyle w:val="26"/>
              <w:bidi w:val="0"/>
              <w:jc w:val="center"/>
              <w:rPr>
                <w:rFonts w:hint="eastAsia"/>
                <w:vertAlign w:val="baseline"/>
                <w:lang w:val="en-US" w:eastAsia="zh-CN"/>
              </w:rPr>
            </w:pPr>
            <w:r>
              <w:rPr>
                <w:sz w:val="17"/>
                <w:szCs w:val="17"/>
              </w:rPr>
              <w:t>门（单位）代码</w:t>
            </w:r>
          </w:p>
        </w:tc>
        <w:tc>
          <w:tcPr>
            <w:tcW w:w="1918" w:type="dxa"/>
            <w:vMerge w:val="restart"/>
          </w:tcPr>
          <w:p>
            <w:pPr>
              <w:pStyle w:val="26"/>
              <w:bidi w:val="0"/>
              <w:jc w:val="center"/>
              <w:rPr>
                <w:rFonts w:hint="eastAsia"/>
                <w:vertAlign w:val="baseline"/>
                <w:lang w:val="en-US" w:eastAsia="zh-CN"/>
              </w:rPr>
            </w:pPr>
            <w:r>
              <w:rPr>
                <w:sz w:val="17"/>
                <w:szCs w:val="17"/>
              </w:rPr>
              <w:t>部门（单位）名称</w:t>
            </w:r>
          </w:p>
        </w:tc>
        <w:tc>
          <w:tcPr>
            <w:tcW w:w="11343" w:type="dxa"/>
            <w:gridSpan w:val="7"/>
          </w:tcPr>
          <w:p>
            <w:pPr>
              <w:pStyle w:val="26"/>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restart"/>
          </w:tcPr>
          <w:p>
            <w:pPr>
              <w:pStyle w:val="26"/>
              <w:bidi w:val="0"/>
              <w:jc w:val="center"/>
              <w:rPr>
                <w:rFonts w:hint="eastAsia"/>
                <w:vertAlign w:val="baseline"/>
                <w:lang w:val="en-US" w:eastAsia="zh-CN"/>
              </w:rPr>
            </w:pPr>
            <w:r>
              <w:rPr>
                <w:sz w:val="17"/>
                <w:szCs w:val="17"/>
              </w:rPr>
              <w:t>合计</w:t>
            </w:r>
          </w:p>
        </w:tc>
        <w:tc>
          <w:tcPr>
            <w:tcW w:w="1895" w:type="dxa"/>
            <w:vMerge w:val="restart"/>
          </w:tcPr>
          <w:p>
            <w:pPr>
              <w:pStyle w:val="26"/>
              <w:bidi w:val="0"/>
              <w:jc w:val="center"/>
              <w:rPr>
                <w:rFonts w:hint="eastAsia"/>
                <w:vertAlign w:val="baseline"/>
                <w:lang w:val="en-US" w:eastAsia="zh-CN"/>
              </w:rPr>
            </w:pPr>
            <w:r>
              <w:rPr>
                <w:sz w:val="17"/>
                <w:szCs w:val="17"/>
              </w:rPr>
              <w:t>因公出国（境）费</w:t>
            </w:r>
          </w:p>
        </w:tc>
        <w:tc>
          <w:tcPr>
            <w:tcW w:w="5675" w:type="dxa"/>
            <w:gridSpan w:val="4"/>
          </w:tcPr>
          <w:p>
            <w:pPr>
              <w:pStyle w:val="26"/>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26"/>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continue"/>
          </w:tcPr>
          <w:p>
            <w:pPr>
              <w:pStyle w:val="26"/>
              <w:bidi w:val="0"/>
              <w:jc w:val="center"/>
              <w:rPr>
                <w:rFonts w:hint="eastAsia"/>
                <w:vertAlign w:val="baseline"/>
                <w:lang w:val="en-US" w:eastAsia="zh-CN"/>
              </w:rPr>
            </w:pPr>
          </w:p>
        </w:tc>
        <w:tc>
          <w:tcPr>
            <w:tcW w:w="1895" w:type="dxa"/>
            <w:vMerge w:val="continue"/>
          </w:tcPr>
          <w:p>
            <w:pPr>
              <w:pStyle w:val="26"/>
              <w:bidi w:val="0"/>
              <w:jc w:val="center"/>
              <w:rPr>
                <w:rFonts w:hint="eastAsia"/>
                <w:vertAlign w:val="baseline"/>
                <w:lang w:val="en-US" w:eastAsia="zh-CN"/>
              </w:rPr>
            </w:pPr>
          </w:p>
        </w:tc>
        <w:tc>
          <w:tcPr>
            <w:tcW w:w="1888" w:type="dxa"/>
            <w:vAlign w:val="center"/>
          </w:tcPr>
          <w:p>
            <w:pPr>
              <w:pStyle w:val="24"/>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24"/>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24"/>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26"/>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6" w:type="dxa"/>
            <w:vAlign w:val="center"/>
          </w:tcPr>
          <w:p>
            <w:pPr>
              <w:pStyle w:val="24"/>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201010</w:t>
            </w:r>
          </w:p>
        </w:tc>
        <w:tc>
          <w:tcPr>
            <w:tcW w:w="1918" w:type="dxa"/>
            <w:vAlign w:val="center"/>
          </w:tcPr>
          <w:p>
            <w:pPr>
              <w:pStyle w:val="24"/>
              <w:spacing w:line="240" w:lineRule="auto"/>
              <w:ind w:firstLine="0" w:firstLineChars="0"/>
              <w:jc w:val="left"/>
              <w:rPr>
                <w:rFonts w:hint="eastAsia"/>
                <w:vertAlign w:val="baseline"/>
                <w:lang w:val="en-US" w:eastAsia="zh-CN"/>
              </w:rPr>
            </w:pPr>
          </w:p>
        </w:tc>
        <w:tc>
          <w:tcPr>
            <w:tcW w:w="1884"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5"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0"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7" w:type="dxa"/>
            <w:gridSpan w:val="2"/>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557" w:type="dxa"/>
            <w:gridSpan w:val="9"/>
            <w:tcBorders>
              <w:left w:val="nil"/>
              <w:bottom w:val="nil"/>
              <w:right w:val="nil"/>
            </w:tcBorders>
          </w:tcPr>
          <w:p>
            <w:pPr>
              <w:pStyle w:val="26"/>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26"/>
        <w:bidi w:val="0"/>
        <w:rPr>
          <w:rFonts w:hint="eastAsia"/>
          <w:lang w:val="en-US" w:eastAsia="zh-CN"/>
        </w:rP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6"/>
        <w:bidi w:val="0"/>
      </w:pPr>
    </w:p>
    <w:p>
      <w:pPr>
        <w:pStyle w:val="22"/>
        <w:keepNext/>
        <w:keepLines/>
        <w:spacing w:after="240"/>
        <w:jc w:val="center"/>
      </w:pPr>
      <w:r>
        <w:t>政府性基金预算支出情况表</w:t>
      </w:r>
      <w:bookmarkEnd w:id="28"/>
      <w:bookmarkEnd w:id="29"/>
      <w:bookmarkEnd w:id="3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环江毛南族自治县东兴镇中心幼儿园</w:t>
            </w:r>
            <w:r>
              <w:tab/>
            </w:r>
            <w:r>
              <w:t>单位：万元</w:t>
            </w:r>
          </w:p>
        </w:tc>
        <w:tc>
          <w:tcPr>
            <w:tcW w:w="2163" w:type="dxa"/>
            <w:tcBorders>
              <w:top w:val="nil"/>
              <w:left w:val="nil"/>
              <w:right w:val="nil"/>
            </w:tcBorders>
          </w:tcPr>
          <w:p>
            <w:pPr>
              <w:pStyle w:val="26"/>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27" w:type="dxa"/>
          </w:tcPr>
          <w:p>
            <w:pPr>
              <w:pStyle w:val="26"/>
              <w:bidi w:val="0"/>
              <w:jc w:val="center"/>
              <w:rPr>
                <w:vertAlign w:val="baseline"/>
              </w:rPr>
            </w:pPr>
            <w:r>
              <w:rPr>
                <w:sz w:val="17"/>
                <w:szCs w:val="17"/>
              </w:rPr>
              <w:t>科目编码</w:t>
            </w:r>
          </w:p>
        </w:tc>
        <w:tc>
          <w:tcPr>
            <w:tcW w:w="2161" w:type="dxa"/>
          </w:tcPr>
          <w:p>
            <w:pPr>
              <w:pStyle w:val="26"/>
              <w:bidi w:val="0"/>
              <w:jc w:val="center"/>
              <w:rPr>
                <w:vertAlign w:val="baseline"/>
              </w:rPr>
            </w:pPr>
            <w:r>
              <w:rPr>
                <w:sz w:val="17"/>
                <w:szCs w:val="17"/>
              </w:rPr>
              <w:t>部门（单位）代码</w:t>
            </w:r>
          </w:p>
        </w:tc>
        <w:tc>
          <w:tcPr>
            <w:tcW w:w="2162" w:type="dxa"/>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2012999</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其他群众团体事务支出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2050201</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学前教育</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2080505</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机关事业单位基本养老保险缴费支出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2210201</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住房公积金</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26"/>
              <w:bidi w:val="0"/>
              <w:jc w:val="both"/>
              <w:rPr>
                <w:vertAlign w:val="baseline"/>
              </w:rPr>
            </w:pPr>
            <w:r>
              <w:t>注：本报表金额单位转换时可能存在四舍五入尾数误差</w:t>
            </w:r>
          </w:p>
        </w:tc>
      </w:tr>
    </w:tbl>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jc w:val="center"/>
        <w:rPr>
          <w:sz w:val="28"/>
          <w:szCs w:val="28"/>
        </w:rPr>
      </w:pPr>
      <w:r>
        <w:rPr>
          <w:sz w:val="28"/>
          <w:szCs w:val="28"/>
        </w:rPr>
        <w:t>国有资本经营预算支出情况表</w:t>
      </w:r>
    </w:p>
    <w:p>
      <w:pPr>
        <w:pStyle w:val="26"/>
        <w:bidi w:val="0"/>
        <w:jc w:val="center"/>
        <w:rP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环江毛南族自治县东兴镇中心幼儿园</w:t>
            </w:r>
            <w:r>
              <w:tab/>
            </w:r>
            <w:r>
              <w:t>单位：万元</w:t>
            </w:r>
          </w:p>
        </w:tc>
        <w:tc>
          <w:tcPr>
            <w:tcW w:w="2163" w:type="dxa"/>
            <w:tcBorders>
              <w:top w:val="nil"/>
              <w:left w:val="nil"/>
              <w:right w:val="nil"/>
            </w:tcBorders>
          </w:tcPr>
          <w:p>
            <w:pPr>
              <w:pStyle w:val="26"/>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27" w:type="dxa"/>
            <w:vMerge w:val="restart"/>
          </w:tcPr>
          <w:p>
            <w:pPr>
              <w:pStyle w:val="26"/>
              <w:bidi w:val="0"/>
              <w:jc w:val="center"/>
              <w:rPr>
                <w:vertAlign w:val="baseline"/>
              </w:rPr>
            </w:pPr>
            <w:r>
              <w:rPr>
                <w:sz w:val="17"/>
                <w:szCs w:val="17"/>
              </w:rPr>
              <w:t>科目编码</w:t>
            </w:r>
          </w:p>
        </w:tc>
        <w:tc>
          <w:tcPr>
            <w:tcW w:w="2161" w:type="dxa"/>
            <w:vMerge w:val="restart"/>
          </w:tcPr>
          <w:p>
            <w:pPr>
              <w:pStyle w:val="26"/>
              <w:bidi w:val="0"/>
              <w:jc w:val="center"/>
              <w:rPr>
                <w:vertAlign w:val="baseline"/>
              </w:rPr>
            </w:pPr>
            <w:r>
              <w:rPr>
                <w:sz w:val="17"/>
                <w:szCs w:val="17"/>
              </w:rPr>
              <w:t>部门（单位）代码</w:t>
            </w:r>
          </w:p>
        </w:tc>
        <w:tc>
          <w:tcPr>
            <w:tcW w:w="2162" w:type="dxa"/>
            <w:vMerge w:val="restart"/>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27" w:type="dxa"/>
            <w:vMerge w:val="continue"/>
          </w:tcPr>
          <w:p>
            <w:pPr>
              <w:pStyle w:val="26"/>
              <w:bidi w:val="0"/>
              <w:jc w:val="both"/>
              <w:rPr>
                <w:vertAlign w:val="baseline"/>
              </w:rPr>
            </w:pPr>
          </w:p>
        </w:tc>
        <w:tc>
          <w:tcPr>
            <w:tcW w:w="2161" w:type="dxa"/>
            <w:vMerge w:val="continue"/>
          </w:tcPr>
          <w:p>
            <w:pPr>
              <w:pStyle w:val="26"/>
              <w:bidi w:val="0"/>
              <w:jc w:val="both"/>
              <w:rPr>
                <w:vertAlign w:val="baseline"/>
              </w:rPr>
            </w:pPr>
          </w:p>
        </w:tc>
        <w:tc>
          <w:tcPr>
            <w:tcW w:w="2162" w:type="dxa"/>
            <w:vMerge w:val="continue"/>
          </w:tcPr>
          <w:p>
            <w:pPr>
              <w:pStyle w:val="26"/>
              <w:bidi w:val="0"/>
              <w:jc w:val="both"/>
              <w:rPr>
                <w:vertAlign w:val="baseline"/>
              </w:rPr>
            </w:pPr>
          </w:p>
        </w:tc>
        <w:tc>
          <w:tcPr>
            <w:tcW w:w="2222"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24"/>
              <w:spacing w:line="240" w:lineRule="auto"/>
              <w:ind w:firstLine="0" w:firstLineChars="0"/>
              <w:jc w:val="left"/>
              <w:rPr>
                <w:vertAlign w:val="baseline"/>
              </w:rPr>
            </w:pPr>
            <w:r>
              <w:rPr>
                <w:sz w:val="17"/>
                <w:szCs w:val="17"/>
              </w:rPr>
              <w:t>合计</w:t>
            </w:r>
          </w:p>
        </w:tc>
        <w:tc>
          <w:tcPr>
            <w:tcW w:w="2222" w:type="dxa"/>
            <w:vAlign w:val="center"/>
          </w:tcPr>
          <w:p>
            <w:pPr>
              <w:pStyle w:val="24"/>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26"/>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26"/>
              <w:bidi w:val="0"/>
              <w:jc w:val="both"/>
              <w:rPr>
                <w:vertAlign w:val="baseline"/>
              </w:rPr>
            </w:pPr>
          </w:p>
        </w:tc>
      </w:tr>
    </w:tbl>
    <w:p>
      <w:pPr>
        <w:pStyle w:val="26"/>
        <w:bidi w:val="0"/>
      </w:pPr>
    </w:p>
    <w:p>
      <w:r>
        <w:br w:type="page"/>
      </w:r>
    </w:p>
    <w:p>
      <w:pPr>
        <w:pStyle w:val="22"/>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4"/>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cantSplit/>
          <w:trHeight w:val="346" w:hRule="exact"/>
        </w:trPr>
        <w:tc>
          <w:tcPr>
            <w:tcW w:w="9263" w:type="dxa"/>
            <w:gridSpan w:val="4"/>
            <w:shd w:val="clear" w:color="auto" w:fill="FFFFFF"/>
          </w:tcPr>
          <w:p>
            <w:pPr>
              <w:pStyle w:val="24"/>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环江毛南族自治县东兴镇中心幼儿园</w:t>
            </w:r>
          </w:p>
        </w:tc>
        <w:tc>
          <w:tcPr>
            <w:tcW w:w="6076" w:type="dxa"/>
            <w:shd w:val="clear" w:color="auto" w:fill="FFFFFF"/>
          </w:tcPr>
          <w:p>
            <w:pPr>
              <w:pStyle w:val="24"/>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cantSplit/>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201010</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环江毛南族自治县东兴镇中心幼儿园</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学前教育免除保教费中央补助资金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0.05</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根据《环教通【2022】33号文，环江毛南族自治县教育局关于下达2022年春季学期学前教育免除保教费补助资金的通知》文件的通知，本乡镇7所幼儿园2022年春季学期学前教育免保教费中央补助资金合计158000元。2、根据《环教通【2022】49号文，环江毛南族自治县教育局关于下达2022年春季学期学前教育免除保教费补助资金的通知（第二批）》文件的通知，本乡镇7所幼儿园2022年春季学期学前教育免保教费中央补助资金合计29250元。3、根据《环教通【2022】85号文，环江毛南族自治县教育局关于下达2022年秋季学期学前教育免除保教费补助资金的通知》文件的通知，本乡镇7所幼儿园2022年秋季学期学前教育免保教费中央补助资金合计187700元。2022年本乡镇幼儿园免保教费中央补助资金总合计345700元，通过学前教育免除保教费中央补助资金保障学校各项工作正常运转，为贫困幼儿家庭减轻负担。</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201010</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环江毛南族自治县东兴镇中心幼儿园</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普惠性民办幼儿园奖补中央补助资金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0.36</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通过普惠幼儿园奖补资金保障各项工作正常运转，改善办学条件</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201010</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环江毛南族自治县东兴镇中心幼儿园</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学前教育免除保教费自治区补助资金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0.01</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根据相关文件学前教育免除保教费自治区补助资金资金管理办法，通过各项经费，确保幼儿园聘用人员工资、五险费、办公费等，要达到保障幼儿园人员工资支出和幼儿园正常运转的目的，实现合理安排人员工资、日常办公、资本性支出，保障人员工资支出和正常运转,确保资金规范使用效果。</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201010</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环江毛南族自治县东兴镇中心幼儿园</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普惠性民办幼儿园奖补自治区补助资金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1.20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根据桂财教【2022】124号文广西壮族自治区财政枯广西壮族自治区教育厅关于提前下达2023年支持学前教育发展中央和自治区资金预算的通知（普惠性幼儿园奖补自治区补助和学前教育集团化办园补助经费自治区补助东兴镇中心幼儿园26000元，通过普惠幼儿园奖补资金保障学校各项工作正常运转，改善办学条件</w:t>
            </w:r>
          </w:p>
        </w:tc>
      </w:tr>
      <w:tr>
        <w:tblPrEx>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201010</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环江毛南族自治县东兴镇中心幼儿园</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东兴镇中心幼儿园年初预算经费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49.00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保障学校正常运转</w:t>
            </w:r>
          </w:p>
        </w:tc>
      </w:tr>
    </w:tbl>
    <w:p>
      <w:pPr>
        <w:jc w:val="left"/>
        <w:rPr>
          <w:rFonts w:hint="eastAsia"/>
        </w:rPr>
      </w:pPr>
      <w:r>
        <w:t>注：本报表金额单位转换时可能存在四舍五入尾数误差。</w:t>
      </w:r>
    </w:p>
    <w:p>
      <w:pPr>
        <w:jc w:val="left"/>
        <w:rPr>
          <w:rFonts w:hint="eastAsia"/>
          <w:lang w:eastAsia="zh-CN"/>
        </w:rPr>
        <w:sectPr>
          <w:headerReference r:id="rId12" w:type="default"/>
          <w:footerReference r:id="rId13" w:type="default"/>
          <w:pgSz w:w="16840" w:h="11900" w:orient="landscape"/>
          <w:pgMar w:top="2714" w:right="764" w:bottom="2714" w:left="735" w:header="2286" w:footer="1474" w:gutter="0"/>
          <w:pgBorders>
            <w:top w:val="none" w:sz="0" w:space="0"/>
            <w:left w:val="none" w:sz="0" w:space="0"/>
            <w:bottom w:val="none" w:sz="0" w:space="0"/>
            <w:right w:val="none" w:sz="0" w:space="0"/>
          </w:pgBorders>
          <w:pgNumType w:fmt="decimal"/>
          <w:cols w:space="720" w:num="1"/>
          <w:docGrid w:linePitch="360" w:charSpace="0"/>
        </w:sectPr>
      </w:pPr>
    </w:p>
    <w:p>
      <w:pPr>
        <w:pStyle w:val="12"/>
        <w:keepNext/>
        <w:keepLines/>
        <w:spacing w:before="200" w:after="0"/>
        <w:jc w:val="center"/>
        <w:rPr>
          <w:sz w:val="40"/>
          <w:szCs w:val="40"/>
        </w:rPr>
      </w:pPr>
      <w:bookmarkStart w:id="31" w:name="bookmark94"/>
      <w:bookmarkStart w:id="32" w:name="bookmark95"/>
      <w:bookmarkStart w:id="33" w:name="bookmark96"/>
      <w:r>
        <w:rPr>
          <w:sz w:val="40"/>
          <w:szCs w:val="40"/>
        </w:rPr>
        <w:t>第四部分名词解释</w:t>
      </w:r>
      <w:bookmarkEnd w:id="31"/>
      <w:bookmarkEnd w:id="32"/>
      <w:bookmarkEnd w:id="33"/>
    </w:p>
    <w:p>
      <w:pPr>
        <w:pStyle w:val="18"/>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18"/>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18"/>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18"/>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18"/>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18"/>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18"/>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18"/>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18"/>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18"/>
        <w:spacing w:line="628" w:lineRule="exact"/>
        <w:ind w:firstLine="640"/>
        <w:jc w:val="left"/>
      </w:pPr>
      <w:r>
        <w:t>十、项目支出：指在基本支出之外为完成特定行政任务和事业发展目标所发生的支出。</w:t>
      </w:r>
    </w:p>
    <w:p>
      <w:pPr>
        <w:pStyle w:val="18"/>
        <w:spacing w:line="628" w:lineRule="exact"/>
        <w:ind w:firstLine="640"/>
        <w:jc w:val="left"/>
      </w:pPr>
      <w:r>
        <w:t>十一、经营支出：指事业单位在专业业务活动及其辅助活动之外开展非独立核算经营活动所发生的支出。</w:t>
      </w:r>
    </w:p>
    <w:p>
      <w:pPr>
        <w:pStyle w:val="18"/>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8"/>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14" w:type="default"/>
      <w:footerReference r:id="rId15" w:type="default"/>
      <w:type w:val="continuous"/>
      <w:pgSz w:w="11900" w:h="16840"/>
      <w:pgMar w:top="1302" w:right="1735" w:bottom="1568" w:left="1793" w:header="874" w:footer="1077"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7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HyfmJUDAgAADAQAAA4AAAAAAAAAAQAgAAAAHwEAAGRycy9lMm9E&#10;b2MueG1sUEsFBgAAAAAGAAYAWQEAAJQ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2186" name="文本框 4"/>
              <wp:cNvGraphicFramePr/>
              <a:graphic xmlns:a="http://schemas.openxmlformats.org/drawingml/2006/main">
                <a:graphicData uri="http://schemas.microsoft.com/office/word/2010/wordprocessingShape">
                  <wps:wsp>
                    <wps:cNvSpPr/>
                    <wps:spPr>
                      <a:xfrm>
                        <a:off x="0" y="0"/>
                        <a:ext cx="394970" cy="16891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4" o:spid="_x0000_s1026" o:spt="1" style="position:absolute;left:0pt;margin-left:202.75pt;margin-top:0pt;height:13.3pt;width:31.1pt;mso-position-horizontal-relative:margin;z-index:251662336;mso-width-relative:page;mso-height-relative:page;" filled="f" stroked="f" coordsize="21600,21600" o:gfxdata="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XXEI9kAAAAHAQAADwAAAAAAAAABACAAAAAi&#10;AAAAZHJzL2Rvd25yZXYueG1sUEsBAhQAFAAAAAgAh07iQIGwfmAJAgAADAQAAA4AAAAAAAAAAQAg&#10;AAAAKAEAAGRycy9lMm9Eb2MueG1sUEsFBgAAAAAGAAYAWQEAAKMFA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2188" name="文本框 7"/>
              <wp:cNvGraphicFramePr/>
              <a:graphic xmlns:a="http://schemas.openxmlformats.org/drawingml/2006/main">
                <a:graphicData uri="http://schemas.microsoft.com/office/word/2010/wordprocessingShape">
                  <wps:wsp>
                    <wps:cNvSpPr/>
                    <wps:spPr>
                      <a:xfrm>
                        <a:off x="0" y="0"/>
                        <a:ext cx="440055" cy="206375"/>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7" o:spid="_x0000_s1026" o:spt="1" style="position:absolute;left:0pt;margin-left:378.75pt;margin-top:0pt;height:16.25pt;width:34.65pt;mso-position-horizontal-relative:margin;z-index:251663360;mso-width-relative:page;mso-height-relative:page;" filled="f" stroked="f" coordsize="21600,21600" o:gfxdata="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0y47dgAAAAHAQAADwAAAAAAAAABACAAAAAi&#10;AAAAZHJzL2Rvd25yZXYueG1sUEsBAhQAFAAAAAgAh07iQJrDdoMKAgAADAQAAA4AAAAAAAAAAQAg&#10;AAAAJwEAAGRycy9lMm9Eb2MueG1sUEsFBgAAAAAGAAYAWQEAAKMFA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15</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2189" name="文本框 9"/>
              <wp:cNvGraphicFramePr/>
              <a:graphic xmlns:a="http://schemas.openxmlformats.org/drawingml/2006/main">
                <a:graphicData uri="http://schemas.microsoft.com/office/word/2010/wordprocessingShape">
                  <wps:wsp>
                    <wps:cNvSpPr/>
                    <wps:spPr>
                      <a:xfrm>
                        <a:off x="0" y="0"/>
                        <a:ext cx="478790" cy="323215"/>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9" o:spid="_x0000_s1026" o:spt="1" style="position:absolute;left:0pt;margin-left:357.35pt;margin-top:-11.95pt;height:25.45pt;width:37.7pt;mso-position-horizontal-relative:margin;z-index:251664384;mso-width-relative:page;mso-height-relative:page;" filled="f" stroked="f" coordsize="21600,21600" o:gfxdata="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xLcl2wAAAAoBAAAPAAAAAAAAAAEAIAAA&#10;ACIAAABkcnMvZG93bnJldi54bWxQSwECFAAUAAAACACHTuJANzETWwkCAAAMBAAADgAAAAAAAAAB&#10;ACAAAAAqAQAAZHJzL2Uyb0RvYy54bWxQSwUGAAAAAAYABgBZAQAApQU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2190" name="文本框 11"/>
              <wp:cNvGraphicFramePr/>
              <a:graphic xmlns:a="http://schemas.openxmlformats.org/drawingml/2006/main">
                <a:graphicData uri="http://schemas.microsoft.com/office/word/2010/wordprocessingShape">
                  <wps:wsp>
                    <wps:cNvSpPr/>
                    <wps:spPr>
                      <a:xfrm>
                        <a:off x="0" y="0"/>
                        <a:ext cx="447040" cy="26797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11" o:spid="_x0000_s1026" o:spt="1" style="position:absolute;left:0pt;margin-left:352.25pt;margin-top:-6.8pt;height:21.1pt;width:35.2pt;mso-position-horizontal-relative:margin;z-index:251665408;mso-width-relative:page;mso-height-relative:page;" filled="f" stroked="f" coordsize="21600,21600" o:gfxdata="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R8Cr2wAAAAoBAAAPAAAAAAAAAAEAIAAA&#10;ACIAAABkcnMvZG93bnJldi54bWxQSwECFAAUAAAACACHTuJA5ZTApwkCAAANBAAADgAAAAAAAAAB&#10;ACAAAAAqAQAAZHJzL2Uyb0RvYy54bWxQSwUGAAAAAAYABgBZAQAApQU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91"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8WO8pBAIAAA0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185"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Mk2CWTpAQAA5QMAAA4AAAAAAAAAAQAgAAAAKgEAAGRycy9lMm9Eb2MueG1sUEsFBgAAAAAG&#10;AAYAWQEAAIUFA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187"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AixHbAAAADQEAAA8AAAAAAAAAAQAgAAAAIgAAAGRycy9kb3ducmV2LnhtbFBLAQIUABQAAAAI&#10;AIdO4kAf3b5p6gEAAOUDAAAOAAAAAAAAAAEAIAAAACoBAABkcnMvZTJvRG9jLnhtbFBLBQYAAAAA&#10;BgAGAFkBAACGBQ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dit="readOnly" w:enforcement="1" w:cryptProviderType="rsaAES" w:cryptAlgorithmClass="hash" w:cryptAlgorithmType="typeAny" w:cryptAlgorithmSid="14" w:cryptSpinCount="100000" w:hash="xZBjXhbVDiFHL+svLNZRj6pjSUA4PiEesNvRqQLoMR7DvVN59TFvfWjLeobWUbaMgYwt0DoF8yX9GwyORBaEhQ==" w:salt="Vr8BLsYkeIlfMZWmT+ImvA=="/>
  <w:defaultTabStop w:val="420"/>
  <w:drawingGridHorizontalSpacing w:val="181"/>
  <w:drawingGridVerticalSpacing w:val="18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000000"/>
    <w:rsid w:val="67684DC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omment Text"/>
    <w:basedOn w:val="1"/>
    <w:autoRedefine/>
    <w:qFormat/>
    <w:uiPriority w:val="0"/>
  </w:style>
  <w:style w:type="character" w:customStyle="1" w:styleId="8">
    <w:name w:val="Comment Reference"/>
    <w:basedOn w:val="6"/>
    <w:autoRedefine/>
    <w:qFormat/>
    <w:uiPriority w:val="0"/>
    <w:rPr>
      <w:sz w:val="21"/>
      <w:szCs w:val="21"/>
    </w:rPr>
  </w:style>
  <w:style w:type="character" w:customStyle="1" w:styleId="9">
    <w:name w:val="Body text|5_"/>
    <w:basedOn w:val="6"/>
    <w:link w:val="10"/>
    <w:autoRedefine/>
    <w:qFormat/>
    <w:uiPriority w:val="0"/>
    <w:rPr>
      <w:rFonts w:ascii="宋体" w:hAnsi="宋体" w:eastAsia="宋体" w:cs="宋体"/>
      <w:sz w:val="54"/>
      <w:szCs w:val="54"/>
      <w:u w:val="none"/>
      <w:shd w:val="clear" w:color="auto" w:fill="auto"/>
      <w:lang w:val="zh-TW" w:eastAsia="zh-TW" w:bidi="zh-TW"/>
    </w:rPr>
  </w:style>
  <w:style w:type="paragraph" w:customStyle="1" w:styleId="10">
    <w:name w:val="Body text|5"/>
    <w:basedOn w:val="1"/>
    <w:link w:val="9"/>
    <w:autoRedefine/>
    <w:qFormat/>
    <w:uiPriority w:val="0"/>
    <w:pPr>
      <w:jc w:val="center"/>
    </w:pPr>
    <w:rPr>
      <w:rFonts w:ascii="宋体" w:hAnsi="宋体" w:eastAsia="宋体" w:cs="宋体"/>
      <w:sz w:val="54"/>
      <w:szCs w:val="54"/>
      <w:lang w:val="zh-TW" w:eastAsia="zh-TW" w:bidi="zh-TW"/>
    </w:rPr>
  </w:style>
  <w:style w:type="character" w:customStyle="1" w:styleId="11">
    <w:name w:val="Heading #1|1_"/>
    <w:basedOn w:val="6"/>
    <w:link w:val="12"/>
    <w:autoRedefine/>
    <w:qFormat/>
    <w:uiPriority w:val="0"/>
    <w:rPr>
      <w:rFonts w:ascii="宋体" w:hAnsi="宋体" w:eastAsia="宋体" w:cs="宋体"/>
      <w:sz w:val="44"/>
      <w:szCs w:val="44"/>
      <w:u w:val="none"/>
      <w:shd w:val="clear" w:color="auto" w:fill="auto"/>
      <w:lang w:val="zh-TW" w:eastAsia="zh-TW" w:bidi="zh-TW"/>
    </w:rPr>
  </w:style>
  <w:style w:type="paragraph" w:customStyle="1" w:styleId="12">
    <w:name w:val="Heading #1|1"/>
    <w:basedOn w:val="1"/>
    <w:link w:val="11"/>
    <w:autoRedefine/>
    <w:qFormat/>
    <w:uiPriority w:val="0"/>
    <w:pPr>
      <w:spacing w:after="400"/>
      <w:jc w:val="center"/>
      <w:outlineLvl w:val="0"/>
    </w:pPr>
    <w:rPr>
      <w:rFonts w:ascii="宋体" w:hAnsi="宋体" w:eastAsia="宋体" w:cs="宋体"/>
      <w:sz w:val="44"/>
      <w:szCs w:val="44"/>
      <w:lang w:val="zh-TW" w:eastAsia="zh-TW" w:bidi="zh-TW"/>
    </w:rPr>
  </w:style>
  <w:style w:type="character" w:customStyle="1" w:styleId="13">
    <w:name w:val="Header or footer|2_"/>
    <w:basedOn w:val="6"/>
    <w:link w:val="14"/>
    <w:autoRedefine/>
    <w:qFormat/>
    <w:uiPriority w:val="0"/>
    <w:rPr>
      <w:sz w:val="20"/>
      <w:szCs w:val="20"/>
      <w:u w:val="none"/>
      <w:shd w:val="clear" w:color="auto" w:fill="auto"/>
      <w:lang w:val="zh-TW" w:eastAsia="zh-TW" w:bidi="zh-TW"/>
    </w:rPr>
  </w:style>
  <w:style w:type="paragraph" w:customStyle="1" w:styleId="14">
    <w:name w:val="Header or footer|2"/>
    <w:basedOn w:val="1"/>
    <w:link w:val="13"/>
    <w:autoRedefine/>
    <w:qFormat/>
    <w:uiPriority w:val="0"/>
    <w:rPr>
      <w:sz w:val="20"/>
      <w:szCs w:val="20"/>
      <w:lang w:val="zh-TW" w:eastAsia="zh-TW" w:bidi="zh-TW"/>
    </w:rPr>
  </w:style>
  <w:style w:type="character" w:customStyle="1" w:styleId="15">
    <w:name w:val="Body text|2_"/>
    <w:basedOn w:val="6"/>
    <w:link w:val="16"/>
    <w:autoRedefine/>
    <w:qFormat/>
    <w:uiPriority w:val="0"/>
    <w:rPr>
      <w:rFonts w:ascii="宋体" w:hAnsi="宋体" w:eastAsia="宋体" w:cs="宋体"/>
      <w:sz w:val="32"/>
      <w:szCs w:val="32"/>
      <w:u w:val="none"/>
      <w:shd w:val="clear" w:color="auto" w:fill="auto"/>
      <w:lang w:val="zh-TW" w:eastAsia="zh-TW" w:bidi="zh-TW"/>
    </w:rPr>
  </w:style>
  <w:style w:type="paragraph" w:customStyle="1" w:styleId="16">
    <w:name w:val="Body text|2"/>
    <w:basedOn w:val="1"/>
    <w:link w:val="15"/>
    <w:autoRedefine/>
    <w:qFormat/>
    <w:uiPriority w:val="0"/>
    <w:pPr>
      <w:spacing w:after="240"/>
      <w:ind w:firstLine="560"/>
    </w:pPr>
    <w:rPr>
      <w:rFonts w:ascii="宋体" w:hAnsi="宋体" w:eastAsia="宋体" w:cs="宋体"/>
      <w:sz w:val="32"/>
      <w:szCs w:val="32"/>
      <w:lang w:val="zh-TW" w:eastAsia="zh-TW" w:bidi="zh-TW"/>
    </w:rPr>
  </w:style>
  <w:style w:type="character" w:customStyle="1" w:styleId="17">
    <w:name w:val="Body text|1_"/>
    <w:basedOn w:val="6"/>
    <w:link w:val="18"/>
    <w:autoRedefine/>
    <w:qFormat/>
    <w:uiPriority w:val="0"/>
    <w:rPr>
      <w:rFonts w:ascii="宋体" w:hAnsi="宋体" w:eastAsia="宋体" w:cs="宋体"/>
      <w:sz w:val="28"/>
      <w:szCs w:val="28"/>
      <w:u w:val="none"/>
      <w:shd w:val="clear" w:color="auto" w:fill="auto"/>
      <w:lang w:val="zh-TW" w:eastAsia="zh-TW" w:bidi="zh-TW"/>
    </w:rPr>
  </w:style>
  <w:style w:type="paragraph" w:customStyle="1" w:styleId="18">
    <w:name w:val="Body text|1"/>
    <w:basedOn w:val="1"/>
    <w:link w:val="17"/>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19">
    <w:name w:val="Header or footer|1_"/>
    <w:basedOn w:val="6"/>
    <w:link w:val="20"/>
    <w:autoRedefine/>
    <w:qFormat/>
    <w:uiPriority w:val="0"/>
    <w:rPr>
      <w:b/>
      <w:bCs/>
      <w:sz w:val="17"/>
      <w:szCs w:val="17"/>
      <w:u w:val="none"/>
      <w:shd w:val="clear" w:color="auto" w:fill="auto"/>
      <w:lang w:val="zh-TW" w:eastAsia="zh-TW" w:bidi="zh-TW"/>
    </w:rPr>
  </w:style>
  <w:style w:type="paragraph" w:customStyle="1" w:styleId="20">
    <w:name w:val="Header or footer|1"/>
    <w:basedOn w:val="1"/>
    <w:link w:val="19"/>
    <w:autoRedefine/>
    <w:qFormat/>
    <w:uiPriority w:val="0"/>
    <w:rPr>
      <w:b/>
      <w:bCs/>
      <w:sz w:val="17"/>
      <w:szCs w:val="17"/>
      <w:lang w:val="zh-TW" w:eastAsia="zh-TW" w:bidi="zh-TW"/>
    </w:rPr>
  </w:style>
  <w:style w:type="character" w:customStyle="1" w:styleId="21">
    <w:name w:val="Heading #2|1_"/>
    <w:basedOn w:val="6"/>
    <w:link w:val="22"/>
    <w:autoRedefine/>
    <w:qFormat/>
    <w:uiPriority w:val="0"/>
    <w:rPr>
      <w:rFonts w:ascii="宋体" w:hAnsi="宋体" w:eastAsia="宋体" w:cs="宋体"/>
      <w:sz w:val="26"/>
      <w:szCs w:val="26"/>
      <w:u w:val="none"/>
      <w:shd w:val="clear" w:color="auto" w:fill="auto"/>
      <w:lang w:val="zh-TW" w:eastAsia="zh-TW" w:bidi="zh-TW"/>
    </w:rPr>
  </w:style>
  <w:style w:type="paragraph" w:customStyle="1" w:styleId="22">
    <w:name w:val="Heading #2|1"/>
    <w:basedOn w:val="1"/>
    <w:link w:val="21"/>
    <w:autoRedefine/>
    <w:qFormat/>
    <w:uiPriority w:val="0"/>
    <w:pPr>
      <w:spacing w:after="230"/>
      <w:jc w:val="center"/>
      <w:outlineLvl w:val="1"/>
    </w:pPr>
    <w:rPr>
      <w:rFonts w:ascii="宋体" w:hAnsi="宋体" w:eastAsia="宋体" w:cs="宋体"/>
      <w:sz w:val="26"/>
      <w:szCs w:val="26"/>
      <w:lang w:val="zh-TW" w:eastAsia="zh-TW" w:bidi="zh-TW"/>
    </w:rPr>
  </w:style>
  <w:style w:type="character" w:customStyle="1" w:styleId="23">
    <w:name w:val="Other|1_"/>
    <w:basedOn w:val="6"/>
    <w:link w:val="24"/>
    <w:autoRedefine/>
    <w:qFormat/>
    <w:uiPriority w:val="0"/>
    <w:rPr>
      <w:rFonts w:ascii="宋体" w:hAnsi="宋体" w:eastAsia="宋体" w:cs="宋体"/>
      <w:sz w:val="28"/>
      <w:szCs w:val="28"/>
      <w:u w:val="none"/>
      <w:shd w:val="clear" w:color="auto" w:fill="auto"/>
      <w:lang w:val="zh-TW" w:eastAsia="zh-TW" w:bidi="zh-TW"/>
    </w:rPr>
  </w:style>
  <w:style w:type="paragraph" w:customStyle="1" w:styleId="24">
    <w:name w:val="Other|1"/>
    <w:basedOn w:val="1"/>
    <w:link w:val="23"/>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25">
    <w:name w:val="Table caption|1_"/>
    <w:basedOn w:val="6"/>
    <w:link w:val="26"/>
    <w:autoRedefine/>
    <w:qFormat/>
    <w:uiPriority w:val="0"/>
    <w:rPr>
      <w:rFonts w:ascii="宋体" w:hAnsi="宋体" w:eastAsia="宋体" w:cs="宋体"/>
      <w:sz w:val="17"/>
      <w:szCs w:val="17"/>
      <w:u w:val="none"/>
      <w:shd w:val="clear" w:color="auto" w:fill="auto"/>
      <w:lang w:val="zh-TW" w:eastAsia="zh-TW" w:bidi="zh-TW"/>
    </w:rPr>
  </w:style>
  <w:style w:type="paragraph" w:customStyle="1" w:styleId="26">
    <w:name w:val="Table caption|1"/>
    <w:basedOn w:val="1"/>
    <w:link w:val="25"/>
    <w:autoRedefine/>
    <w:qFormat/>
    <w:uiPriority w:val="0"/>
    <w:rPr>
      <w:rFonts w:ascii="宋体" w:hAnsi="宋体" w:eastAsia="宋体" w:cs="宋体"/>
      <w:sz w:val="17"/>
      <w:szCs w:val="17"/>
      <w:lang w:val="zh-TW" w:eastAsia="zh-TW" w:bidi="zh-TW"/>
    </w:rPr>
  </w:style>
  <w:style w:type="character" w:customStyle="1" w:styleId="27">
    <w:name w:val="Body text|4_"/>
    <w:basedOn w:val="6"/>
    <w:link w:val="28"/>
    <w:autoRedefine/>
    <w:qFormat/>
    <w:uiPriority w:val="0"/>
    <w:rPr>
      <w:rFonts w:ascii="宋体" w:hAnsi="宋体" w:eastAsia="宋体" w:cs="宋体"/>
      <w:sz w:val="17"/>
      <w:szCs w:val="17"/>
      <w:u w:val="none"/>
      <w:shd w:val="clear" w:color="auto" w:fill="auto"/>
      <w:lang w:val="zh-TW" w:eastAsia="zh-TW" w:bidi="zh-TW"/>
    </w:rPr>
  </w:style>
  <w:style w:type="paragraph" w:customStyle="1" w:styleId="28">
    <w:name w:val="Body text|4"/>
    <w:basedOn w:val="1"/>
    <w:link w:val="27"/>
    <w:autoRedefine/>
    <w:qFormat/>
    <w:uiPriority w:val="0"/>
    <w:pPr>
      <w:ind w:firstLine="680"/>
    </w:pPr>
    <w:rPr>
      <w:rFonts w:ascii="宋体" w:hAnsi="宋体" w:eastAsia="宋体" w:cs="宋体"/>
      <w:sz w:val="17"/>
      <w:szCs w:val="17"/>
      <w:lang w:val="zh-TW" w:eastAsia="zh-TW" w:bidi="zh-TW"/>
    </w:rPr>
  </w:style>
  <w:style w:type="character" w:customStyle="1" w:styleId="29">
    <w:name w:val="Body text|3_"/>
    <w:basedOn w:val="6"/>
    <w:link w:val="30"/>
    <w:autoRedefine/>
    <w:qFormat/>
    <w:uiPriority w:val="0"/>
    <w:rPr>
      <w:sz w:val="30"/>
      <w:szCs w:val="30"/>
      <w:u w:val="none"/>
      <w:shd w:val="clear" w:color="auto" w:fill="auto"/>
      <w:lang w:val="zh-TW" w:eastAsia="zh-TW" w:bidi="zh-TW"/>
    </w:rPr>
  </w:style>
  <w:style w:type="paragraph" w:customStyle="1" w:styleId="30">
    <w:name w:val="Body text|3"/>
    <w:basedOn w:val="1"/>
    <w:link w:val="29"/>
    <w:autoRedefine/>
    <w:qFormat/>
    <w:uiPriority w:val="0"/>
    <w:pPr>
      <w:spacing w:after="140" w:line="336" w:lineRule="auto"/>
      <w:ind w:firstLine="370"/>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chart" Target="charts/chart6.xml"/><Relationship Id="rId21" Type="http://schemas.openxmlformats.org/officeDocument/2006/relationships/chart" Target="charts/chart5.xml"/><Relationship Id="rId20" Type="http://schemas.openxmlformats.org/officeDocument/2006/relationships/chart" Target="charts/chart4.xml"/><Relationship Id="rId2" Type="http://schemas.openxmlformats.org/officeDocument/2006/relationships/settings" Target="settings.xml"/><Relationship Id="rId19" Type="http://schemas.openxmlformats.org/officeDocument/2006/relationships/chart" Target="charts/chart3.xml"/><Relationship Id="rId18" Type="http://schemas.openxmlformats.org/officeDocument/2006/relationships/chart" Target="charts/chart2.xml"/><Relationship Id="rId17" Type="http://schemas.openxmlformats.org/officeDocument/2006/relationships/chart" Target="charts/chart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210.88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formatCode>General</c:formatCode>
                <c:ptCount val="4"/>
                <c:pt idx="0">
                  <c:v>1.87</c:v>
                </c:pt>
                <c:pt idx="1">
                  <c:v>199.23</c:v>
                </c:pt>
                <c:pt idx="2">
                  <c:v>4.41</c:v>
                </c:pt>
                <c:pt idx="3">
                  <c:v>3.75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197.95</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210.88</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160.25</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当年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当年</c:v>
                </c:pt>
              </c:strCache>
            </c:strRef>
          </c:cat>
          <c:val>
            <c:numRef>
              <c:f>Sheet1!$D$2</c:f>
              <c:numCache>
                <c:formatCode>General</c:formatCode>
                <c:ptCount val="1"/>
                <c:pt idx="0">
                  <c:v>49</c:v>
                </c:pt>
              </c:numCache>
            </c:numRef>
          </c:val>
        </c:ser>
        <c:ser>
          <c:idx val="3"/>
          <c:order val="3"/>
          <c:tx>
            <c:strRef>
              <c:f>Sheet1!$E$1</c:f>
              <c:strCache>
                <c:ptCount val="1"/>
                <c:pt idx="0">
                  <c:v>公用经费</c:v>
                </c:pt>
              </c:strCache>
            </c:strRef>
          </c:tx>
          <c:invertIfNegative val="0"/>
          <c:dLbls>
            <c:delete val="1"/>
          </c:dLbls>
          <c:cat>
            <c:strRef>
              <c:f>Sheet1!$A$2</c:f>
              <c:strCache>
                <c:ptCount val="1"/>
                <c:pt idx="0">
                  <c:v>当年</c:v>
                </c:pt>
              </c:strCache>
            </c:strRef>
          </c:cat>
          <c:val>
            <c:numRef>
              <c:f>Sheet1!$E$2</c:f>
              <c:numCache>
                <c:formatCode>General</c:formatCode>
                <c:ptCount val="1"/>
                <c:pt idx="0">
                  <c:v>1.87</c:v>
                </c:pt>
              </c:numCache>
            </c:numRef>
          </c:val>
        </c:ser>
        <c:ser>
          <c:idx val="4"/>
          <c:order val="4"/>
          <c:tx>
            <c:strRef>
              <c:f>Sheet1!$F$1</c:f>
              <c:strCache>
                <c:ptCount val="1"/>
                <c:pt idx="0">
                  <c:v>人员经费</c:v>
                </c:pt>
              </c:strCache>
            </c:strRef>
          </c:tx>
          <c:invertIfNegative val="0"/>
          <c:dLbls>
            <c:delete val="1"/>
          </c:dLbls>
          <c:cat>
            <c:strRef>
              <c:f>Sheet1!$A$2</c:f>
              <c:strCache>
                <c:ptCount val="1"/>
                <c:pt idx="0">
                  <c:v>当年</c:v>
                </c:pt>
              </c:strCache>
            </c:strRef>
          </c:cat>
          <c:val>
            <c:numRef>
              <c:f>Sheet1!$F$2</c:f>
              <c:numCache>
                <c:formatCode>General</c:formatCode>
                <c:ptCount val="1"/>
                <c:pt idx="0">
                  <c:v>158.38</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158.38</c:v>
                </c:pt>
                <c:pt idx="1">
                  <c:v>1.87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0</c:v>
                </c:pt>
                <c:pt idx="2">
                  <c:v>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0</c:v>
                </c:pt>
                <c:pt idx="2">
                  <c:v>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3544D7FD83294A1AA12B1EA75CACAC5F_13</vt:lpwstr>
  </property>
</Properties>
</file>

<file path=customXml/item3.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56</TotalTime>
  <ScaleCrop>false</ScaleCrop>
  <LinksUpToDate>false</LinksUpToDate>
  <CharactersWithSpaces>11333</CharactersWithSpaces>
  <Application>WPS Office_12.1.0.16388_F1E327BC-269C-435d-A152-05C5408002CA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2024-03-01T02:21:23Z</dcterms:modified>
  <cp:revision>3</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f13e08-c7a9-47b8-971f-78ebea6c991c}">
  <ds:schemaRefs/>
</ds:datastoreItem>
</file>

<file path=customXml/itemProps3.xml><?xml version="1.0" encoding="utf-8"?>
<ds:datastoreItem xmlns:ds="http://schemas.openxmlformats.org/officeDocument/2006/customXml" ds:itemID="{d430cb39-a1af-470f-9b8f-c620bcda332d}">
  <ds:schemaRefs/>
</ds:datastoreItem>
</file>

<file path=customXml/itemProps4.xml><?xml version="1.0" encoding="utf-8"?>
<ds:datastoreItem xmlns:ds="http://schemas.openxmlformats.org/officeDocument/2006/customXml" ds:itemID="{610400d2-becf-4716-9a29-6e2f092d25f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56</TotalTime>
  <ScaleCrop>false</ScaleCrop>
  <LinksUpToDate>false</LinksUpToDate>
  <CharactersWithSpaces>11333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2023-02-07T06:11:00Z</dcterms:created>
  <dc:creator>蔡冬冬</dc:creator>
  <cp:lastModifiedBy>admin</cp:lastModifiedBy>
  <dcterms:modified xsi:type="dcterms:W3CDTF">2024-03-01T03:31:02Z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DC3E18657A944F37A68A2A94967B2E3A_13</vt:lpwstr>
  </property>
</Properties>
</file>