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xml" PartName="/customXml/item1.xml"/>
  <Override ContentType="application/xml" PartName="/customXml/item2.xml"/>
  <Override ContentType="application/xml" PartName="/customXml/item3.xml"/>
  <Override ContentType="application/xml" PartName="/customXml/item4.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3.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 Id="rId4"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 Generated by Spire.Doc -->
  <w:body>
    <w:p>
      <w:pPr>
        <w:pStyle w:val="Bodytext|5"/>
        <w:jc w:val="center"/>
        <w:rPr>
          <w:rFonts w:hint="eastAsia"/>
          <w:sz w:val="56"/>
          <w:szCs w:val="56"/>
          <w:lang w:eastAsia="zh-CN"/>
        </w:rPr>
      </w:pPr>
      <w:r>
        <w:rPr>
          <w:rFonts w:hint="eastAsia"/>
          <w:sz w:val="56"/>
          <w:szCs w:val="56"/>
          <w:lang w:eastAsia="zh-CN"/>
        </w:rPr>
        <w:t xml:space="preserve">环江毛南族自治县第五幼儿园</w:t>
      </w:r>
    </w:p>
    <w:p>
      <w:pPr>
        <w:pStyle w:val="Bodytext|5"/>
        <w:jc w:val="center"/>
        <w:rPr>
          <w:rFonts w:eastAsia="宋体" w:eastAsiaTheme="majorEastAsia" w:hint="eastAsia"/>
          <w:sz w:val="56"/>
          <w:szCs w:val="56"/>
          <w:lang w:val="en-US" w:eastAsia="zh-CN"/>
        </w:rPr>
        <w:sectPr>
          <w:headerReference w:type="default" r:id="rId5"/>
          <w:footerReference w:type="default" r:id="rId6"/>
          <w:pgSz w:w="11900" w:h="16840" w:orient="portrait"/>
          <w:pgMar w:top="4713" w:right="1913" w:bottom="4713" w:left="2020" w:header="4285" w:footer="2381" w:gutter="0"/>
          <w:pgBorders>
            <w:top w:val="none" w:sz="0" w:space="0" w:color="auto"/>
            <w:left w:val="none" w:sz="0" w:space="0" w:color="auto"/>
            <w:bottom w:val="none" w:sz="0" w:space="0" w:color="auto"/>
            <w:right w:val="none" w:sz="0" w:space="0" w:color="auto"/>
          </w:pgBorders>
          <w:pgNumType w:fmt="decimal" w:start="1"/>
          <w:cols w:num="1" w:space="720">
            <w:col w:w="7967" w:space="720"/>
          </w:cols>
          <w:docGrid w:linePitch="360" w:charSpace="0"/>
        </w:sectPr>
      </w:pPr>
      <w:r>
        <w:rPr>
          <w:rFonts w:hint="eastAsia"/>
          <w:sz w:val="56"/>
          <w:szCs w:val="56"/>
          <w:lang w:val="en-US" w:eastAsia="zh-CN"/>
        </w:rPr>
        <w:t xml:space="preserve">2024</w:t>
      </w:r>
      <w:r>
        <w:rPr>
          <w:rFonts w:ascii="宋体" w:eastAsia="宋体" w:hAnsi="宋体" w:asciiTheme="majorEastAsia" w:eastAsiaTheme="majorEastAsia" w:hAnsiTheme="majorEastAsia" w:cs="Times New Roman" w:cstheme="majorEastAsia" w:hint="eastAsia"/>
          <w:sz w:val="56"/>
          <w:szCs w:val="56"/>
          <w:u w:color="auto"/>
        </w:rPr>
        <w:t xml:space="preserve">年</w:t>
      </w:r>
      <w:r>
        <w:rPr>
          <w:rFonts w:ascii="宋体" w:eastAsia="宋体" w:hAnsi="宋体" w:asciiTheme="majorEastAsia" w:eastAsiaTheme="majorEastAsia" w:hAnsiTheme="majorEastAsia" w:cs="Times New Roman" w:cstheme="majorEastAsia" w:hint="eastAsia"/>
          <w:sz w:val="56"/>
          <w:szCs w:val="56"/>
        </w:rPr>
        <w:t xml:space="preserve">度部门预算</w:t>
      </w:r>
      <w:r>
        <w:rPr>
          <w:rFonts w:ascii="宋体" w:eastAsia="宋体" w:hAnsi="宋体" w:asciiTheme="majorEastAsia" w:eastAsiaTheme="majorEastAsia" w:hAnsiTheme="majorEastAsia" w:cs="Times New Roman" w:cstheme="majorEastAsia" w:hint="eastAsia"/>
          <w:sz w:val="56"/>
          <w:szCs w:val="56"/>
          <w:lang w:val="en-US" w:eastAsia="zh-CN"/>
        </w:rPr>
        <w:t xml:space="preserve">公开</w:t>
      </w:r>
    </w:p>
    <w:p>
      <w:pPr>
        <w:pStyle w:val="Heading#1|1"/>
        <w:keepNext/>
        <w:keepLines/>
        <w:spacing w:after="240"/>
        <w:jc w:val="center"/>
      </w:pPr>
      <w:bookmarkStart w:id="0" w:name="bookmark2"/>
      <w:bookmarkStart w:id="1" w:name="bookmark1"/>
      <w:bookmarkStart w:id="2" w:name="bookmark0"/>
      <w:r>
        <w:t xml:space="preserve">目录</w:t>
      </w:r>
      <w:bookmarkEnd w:id="0"/>
      <w:bookmarkEnd w:id="1"/>
      <w:bookmarkEnd w:id="2"/>
    </w:p>
    <w:p>
      <w:pPr>
        <w:pStyle w:val="Bodytext|2"/>
        <w:ind w:left="0" w:firstLine="320" w:leftChars="0" w:firstLineChars="100"/>
        <w:jc w:val="left"/>
      </w:pPr>
      <w:r>
        <w:t xml:space="preserve">第一部分</w:t>
      </w:r>
      <w:r>
        <w:rPr>
          <w:rFonts w:hint="eastAsia"/>
          <w:lang w:eastAsia="zh-CN"/>
        </w:rPr>
        <w:t xml:space="preserve">：</w:t>
      </w:r>
      <w:r>
        <w:rPr>
          <w:u w:color="auto"/>
        </w:rPr>
        <w:t xml:space="preserve">环江毛南族自治县第五幼儿园</w:t>
      </w:r>
      <w:r>
        <w:rPr>
          <w:u w:color="auto"/>
        </w:rPr>
        <w:t xml:space="preserve">单位</w:t>
      </w:r>
      <w:r>
        <w:t xml:space="preserve">概况</w:t>
      </w:r>
    </w:p>
    <w:p>
      <w:pPr>
        <w:pStyle w:val="Bodytext|2"/>
        <w:jc w:val="left"/>
        <w:rPr>
          <w:rFonts w:hint="eastAsia"/>
          <w:b w:val="0"/>
          <w:bCs w:val="0"/>
          <w:lang w:val="en-US" w:eastAsia="zh-CN"/>
        </w:rPr>
      </w:pPr>
      <w:r>
        <w:rPr>
          <w:rFonts w:hint="eastAsia"/>
          <w:b w:val="0"/>
          <w:bCs w:val="0"/>
          <w:lang w:val="en-US" w:eastAsia="zh-CN"/>
        </w:rPr>
        <w:t xml:space="preserve">一、主要职责</w:t>
      </w:r>
    </w:p>
    <w:p>
      <w:pPr>
        <w:pStyle w:val="Bodytext|2"/>
        <w:jc w:val="left"/>
        <w:rPr>
          <w:rFonts w:hint="eastAsia"/>
          <w:b w:val="0"/>
          <w:bCs w:val="0"/>
        </w:rPr>
      </w:pPr>
      <w:r>
        <w:rPr>
          <w:rFonts w:hint="eastAsia"/>
          <w:b w:val="0"/>
          <w:bCs w:val="0"/>
          <w:lang w:val="en-US" w:eastAsia="zh-CN"/>
        </w:rPr>
        <w:t xml:space="preserve">二、</w:t>
      </w:r>
      <w:r>
        <w:rPr>
          <w:rFonts w:hint="eastAsia"/>
          <w:b w:val="0"/>
          <w:bCs w:val="0"/>
        </w:rPr>
        <w:t xml:space="preserve">机构设置情况</w:t>
      </w:r>
    </w:p>
    <w:p>
      <w:pPr>
        <w:pStyle w:val="Bodytext|2"/>
        <w:ind w:left="0" w:firstLine="320" w:leftChars="0" w:firstLineChars="100"/>
        <w:jc w:val="left"/>
      </w:pPr>
      <w:r>
        <w:t xml:space="preserve">第二部分</w:t>
      </w:r>
      <w:r>
        <w:rPr>
          <w:rFonts w:hint="eastAsia"/>
          <w:lang w:eastAsia="zh-CN"/>
        </w:rPr>
        <w:t xml:space="preserve">：</w:t>
      </w:r>
      <w:r>
        <w:rPr>
          <w:u w:color="auto"/>
        </w:rPr>
        <w:t xml:space="preserve">环江毛南族自治县第五幼儿园</w:t>
      </w:r>
      <w:r>
        <w:rPr>
          <w:u w:color="auto"/>
        </w:rPr>
        <w:t xml:space="preserve">2024</w:t>
      </w:r>
      <w:r>
        <w:t xml:space="preserve">部门预算情况说明</w:t>
      </w:r>
    </w:p>
    <w:p>
      <w:pPr>
        <w:pStyle w:val="Bodytext|2"/>
        <w:numPr>
          <w:ilvl w:val="0"/>
          <w:numId w:val="0"/>
        </w:numPr>
        <w:ind w:firstLine="640" w:firstLineChars="200"/>
        <w:jc w:val="left"/>
        <w:rPr>
          <w:rFonts w:hint="eastAsia"/>
        </w:rPr>
      </w:pPr>
      <w:r>
        <w:rPr>
          <w:rFonts w:hint="eastAsia"/>
        </w:rPr>
        <w:t xml:space="preserve">一、部门收支总体情况说明</w:t>
      </w:r>
    </w:p>
    <w:p>
      <w:pPr>
        <w:pStyle w:val="Bodytext|2"/>
        <w:numPr>
          <w:ilvl w:val="0"/>
          <w:numId w:val="0"/>
        </w:numPr>
        <w:ind w:firstLine="640" w:firstLineChars="200"/>
        <w:jc w:val="left"/>
        <w:rPr>
          <w:rFonts w:hint="eastAsia"/>
        </w:rPr>
      </w:pPr>
      <w:r>
        <w:rPr>
          <w:rFonts w:hint="eastAsia"/>
        </w:rPr>
        <w:t xml:space="preserve">二、部门收入总体情况说明</w:t>
      </w:r>
    </w:p>
    <w:p>
      <w:pPr>
        <w:pStyle w:val="Bodytext|2"/>
        <w:numPr>
          <w:ilvl w:val="0"/>
          <w:numId w:val="0"/>
        </w:numPr>
        <w:ind w:firstLine="640" w:firstLineChars="200"/>
        <w:jc w:val="left"/>
        <w:rPr>
          <w:rFonts w:hint="eastAsia"/>
        </w:rPr>
      </w:pPr>
      <w:r>
        <w:rPr>
          <w:rFonts w:hint="eastAsia"/>
        </w:rPr>
        <w:t xml:space="preserve">三、部门支出总体情况说明</w:t>
      </w:r>
    </w:p>
    <w:p>
      <w:pPr>
        <w:pStyle w:val="Bodytext|2"/>
        <w:numPr>
          <w:ilvl w:val="0"/>
          <w:numId w:val="0"/>
        </w:numPr>
        <w:ind w:firstLine="640" w:firstLineChars="200"/>
        <w:jc w:val="left"/>
        <w:rPr>
          <w:rFonts w:hint="eastAsia"/>
        </w:rPr>
      </w:pPr>
      <w:r>
        <w:rPr>
          <w:rFonts w:hint="eastAsia"/>
        </w:rPr>
        <w:t xml:space="preserve">四、财政拨款收支总体情况说明</w:t>
      </w:r>
    </w:p>
    <w:p>
      <w:pPr>
        <w:pStyle w:val="Bodytext|2"/>
        <w:numPr>
          <w:ilvl w:val="0"/>
          <w:numId w:val="0"/>
        </w:numPr>
        <w:ind w:firstLine="640" w:firstLineChars="200"/>
        <w:jc w:val="left"/>
        <w:rPr>
          <w:rFonts w:hint="eastAsia"/>
        </w:rPr>
      </w:pPr>
      <w:r>
        <w:rPr>
          <w:rFonts w:hint="eastAsia"/>
        </w:rPr>
        <w:t xml:space="preserve">五、一般公共预算支出情况说明</w:t>
      </w:r>
    </w:p>
    <w:p>
      <w:pPr>
        <w:pStyle w:val="Bodytext|2"/>
        <w:numPr>
          <w:ilvl w:val="0"/>
          <w:numId w:val="0"/>
        </w:numPr>
        <w:ind w:firstLine="640" w:firstLineChars="200"/>
        <w:jc w:val="left"/>
        <w:rPr>
          <w:rFonts w:hint="eastAsia"/>
        </w:rPr>
      </w:pPr>
      <w:r>
        <w:rPr>
          <w:rFonts w:hint="eastAsia"/>
        </w:rPr>
        <w:t xml:space="preserve">六、一般公共预算基本支出情况说明</w:t>
      </w:r>
    </w:p>
    <w:p>
      <w:pPr>
        <w:pStyle w:val="Bodytext|2"/>
        <w:numPr>
          <w:ilvl w:val="0"/>
          <w:numId w:val="0"/>
        </w:numPr>
        <w:ind w:firstLine="640" w:firstLineChars="200"/>
        <w:jc w:val="left"/>
        <w:rPr>
          <w:rFonts w:hint="eastAsia"/>
        </w:rPr>
      </w:pPr>
      <w:r>
        <w:rPr>
          <w:rFonts w:hint="eastAsia"/>
        </w:rPr>
        <w:t xml:space="preserve">七、一般公共预算“三公”经费支出情况说明</w:t>
      </w:r>
    </w:p>
    <w:p>
      <w:pPr>
        <w:pStyle w:val="Bodytext|2"/>
        <w:numPr>
          <w:ilvl w:val="0"/>
          <w:numId w:val="0"/>
        </w:numPr>
        <w:ind w:firstLine="640" w:firstLineChars="200"/>
        <w:jc w:val="left"/>
        <w:rPr>
          <w:rFonts w:hint="eastAsia"/>
        </w:rPr>
      </w:pPr>
      <w:r>
        <w:rPr>
          <w:rFonts w:hint="eastAsia"/>
        </w:rPr>
        <w:t xml:space="preserve">八、政府性基金预算支出情况说明</w:t>
      </w:r>
    </w:p>
    <w:p>
      <w:pPr>
        <w:pStyle w:val="Bodytext|2"/>
        <w:numPr>
          <w:ilvl w:val="0"/>
          <w:numId w:val="0"/>
        </w:numPr>
        <w:ind w:firstLine="640" w:firstLineChars="200"/>
        <w:jc w:val="left"/>
        <w:rPr>
          <w:rFonts w:hint="eastAsia"/>
        </w:rPr>
      </w:pPr>
      <w:r>
        <w:rPr>
          <w:rFonts w:hint="eastAsia"/>
        </w:rPr>
        <w:t xml:space="preserve">九、国有资本经营预算支出情况说明</w:t>
      </w:r>
    </w:p>
    <w:p>
      <w:pPr>
        <w:pStyle w:val="Bodytext|2"/>
        <w:numPr>
          <w:ilvl w:val="0"/>
          <w:numId w:val="0"/>
        </w:numPr>
        <w:ind w:firstLine="640" w:firstLineChars="200"/>
        <w:jc w:val="left"/>
      </w:pPr>
      <w:r>
        <w:rPr>
          <w:rFonts w:hint="eastAsia"/>
        </w:rPr>
        <w:t xml:space="preserve">十、其他重要事项情况说明</w:t>
      </w:r>
    </w:p>
    <w:p>
      <w:pPr>
        <w:pStyle w:val="Bodytext|2"/>
        <w:ind w:left="0" w:firstLine="320" w:leftChars="0" w:firstLineChars="100"/>
        <w:jc w:val="left"/>
      </w:pPr>
      <w:r>
        <w:t xml:space="preserve">第三部分</w:t>
      </w:r>
      <w:r>
        <w:rPr>
          <w:rFonts w:hint="eastAsia"/>
          <w:lang w:eastAsia="zh-CN"/>
        </w:rPr>
        <w:t xml:space="preserve">：</w:t>
      </w:r>
      <w:r>
        <w:rPr>
          <w:u w:color="auto"/>
        </w:rPr>
        <w:t xml:space="preserve">环江毛南族自治县第五幼儿园</w:t>
      </w:r>
      <w:r>
        <w:rPr>
          <w:u w:color="auto"/>
        </w:rPr>
        <w:t xml:space="preserve">2024</w:t>
      </w:r>
      <w:r>
        <w:rPr>
          <w:rFonts w:ascii="Times New Roman" w:hAnsi="Times New Roman" w:cs="Times New Roman"/>
          <w:u w:color="auto"/>
        </w:rPr>
        <w:t xml:space="preserve">年</w:t>
      </w:r>
      <w:r>
        <w:t xml:space="preserve">部门预算</w:t>
      </w:r>
      <w:r>
        <w:rPr>
          <w:rFonts w:hint="eastAsia"/>
          <w:lang w:val="en-US" w:eastAsia="zh-CN"/>
        </w:rPr>
        <w:t xml:space="preserve">相关报</w:t>
      </w:r>
      <w:r>
        <w:t xml:space="preserve">表</w:t>
      </w:r>
    </w:p>
    <w:p>
      <w:pPr>
        <w:pStyle w:val="Bodytext|2"/>
        <w:jc w:val="left"/>
        <w:rPr>
          <w:rFonts w:hint="eastAsia"/>
        </w:rPr>
      </w:pPr>
      <w:r>
        <w:rPr>
          <w:rFonts w:hint="eastAsia"/>
        </w:rPr>
        <w:t xml:space="preserve">一、部门收支总体情况表</w:t>
      </w:r>
    </w:p>
    <w:p>
      <w:pPr>
        <w:pStyle w:val="Bodytext|2"/>
        <w:jc w:val="left"/>
        <w:rPr>
          <w:rFonts w:hint="eastAsia"/>
        </w:rPr>
      </w:pPr>
      <w:r>
        <w:rPr>
          <w:rFonts w:hint="eastAsia"/>
        </w:rPr>
        <w:t xml:space="preserve">二、部门收入总体情况表</w:t>
      </w:r>
    </w:p>
    <w:p>
      <w:pPr>
        <w:pStyle w:val="Bodytext|2"/>
        <w:jc w:val="left"/>
        <w:rPr>
          <w:rFonts w:hint="eastAsia"/>
        </w:rPr>
      </w:pPr>
      <w:r>
        <w:rPr>
          <w:rFonts w:hint="eastAsia"/>
        </w:rPr>
        <w:t xml:space="preserve">三、部门支出总体情况表</w:t>
      </w:r>
    </w:p>
    <w:p>
      <w:pPr>
        <w:pStyle w:val="Bodytext|2"/>
        <w:jc w:val="left"/>
        <w:rPr>
          <w:rFonts w:hint="eastAsia"/>
        </w:rPr>
      </w:pPr>
      <w:r>
        <w:rPr>
          <w:rFonts w:hint="eastAsia"/>
        </w:rPr>
        <w:t xml:space="preserve">四、财政拨款收支总体情况表</w:t>
      </w:r>
    </w:p>
    <w:p>
      <w:pPr>
        <w:pStyle w:val="Bodytext|2"/>
        <w:jc w:val="left"/>
        <w:rPr>
          <w:rFonts w:hint="eastAsia"/>
        </w:rPr>
      </w:pPr>
      <w:r>
        <w:rPr>
          <w:rFonts w:hint="eastAsia"/>
        </w:rPr>
        <w:t xml:space="preserve">五、一般公共预算支出情况表</w:t>
      </w:r>
    </w:p>
    <w:p>
      <w:pPr>
        <w:pStyle w:val="Bodytext|2"/>
        <w:jc w:val="left"/>
        <w:rPr>
          <w:rFonts w:hint="eastAsia"/>
        </w:rPr>
      </w:pPr>
      <w:r>
        <w:rPr>
          <w:rFonts w:hint="eastAsia"/>
        </w:rPr>
        <w:t xml:space="preserve">六、一般公共预算基本支出情况表</w:t>
      </w:r>
    </w:p>
    <w:p>
      <w:pPr>
        <w:pStyle w:val="Bodytext|2"/>
        <w:jc w:val="left"/>
        <w:rPr>
          <w:rFonts w:hint="eastAsia"/>
        </w:rPr>
      </w:pPr>
      <w:r>
        <w:rPr>
          <w:rFonts w:hint="eastAsia"/>
        </w:rPr>
        <w:t xml:space="preserve">七、一般公共预算“三公”经费支出情况表</w:t>
      </w:r>
    </w:p>
    <w:p>
      <w:pPr>
        <w:pStyle w:val="Bodytext|2"/>
        <w:jc w:val="left"/>
        <w:rPr>
          <w:rFonts w:hint="eastAsia"/>
        </w:rPr>
      </w:pPr>
      <w:r>
        <w:rPr>
          <w:rFonts w:hint="eastAsia"/>
        </w:rPr>
        <w:t xml:space="preserve">八、政府性基金预算支出情况表</w:t>
      </w:r>
    </w:p>
    <w:p>
      <w:pPr>
        <w:pStyle w:val="Bodytext|2"/>
        <w:jc w:val="left"/>
        <w:rPr>
          <w:rFonts w:hint="eastAsia"/>
        </w:rPr>
      </w:pPr>
      <w:r>
        <w:rPr>
          <w:rFonts w:hint="eastAsia"/>
        </w:rPr>
        <w:t xml:space="preserve">九、国有资本经营预算支出情况表</w:t>
      </w:r>
    </w:p>
    <w:p>
      <w:pPr>
        <w:pStyle w:val="Bodytext|2"/>
        <w:jc w:val="left"/>
        <w:rPr>
          <w:rFonts w:eastAsia="宋体" w:hint="eastAsia"/>
          <w:lang w:eastAsia="zh-CN"/>
        </w:rPr>
      </w:pPr>
      <w:r>
        <w:rPr>
          <w:rFonts w:hint="eastAsia"/>
        </w:rPr>
        <w:t xml:space="preserve">十、2024年度预算项目绩效目标公开表</w:t>
      </w:r>
    </w:p>
    <w:p>
      <w:pPr>
        <w:pStyle w:val="Bodytext|2"/>
        <w:ind w:left="0" w:firstLine="320" w:leftChars="0" w:firstLineChars="100"/>
        <w:jc w:val="left"/>
        <w:rPr>
          <w:rFonts w:eastAsia="宋体" w:hint="eastAsia"/>
          <w:lang w:eastAsia="zh-CN"/>
        </w:rPr>
        <w:sectPr>
          <w:footerReference w:type="default" r:id="rId7"/>
          <w:pgSz w:w="11900" w:h="16840" w:orient="portrait"/>
          <w:pgMar w:top="1508" w:right="1674" w:bottom="1508" w:left="1851" w:header="0" w:footer="1077" w:gutter="0"/>
          <w:pgBorders>
            <w:top w:val="none" w:sz="0" w:space="0" w:color="auto"/>
            <w:left w:val="none" w:sz="0" w:space="0" w:color="auto"/>
            <w:bottom w:val="none" w:sz="0" w:space="0" w:color="auto"/>
            <w:right w:val="none" w:sz="0" w:space="0" w:color="auto"/>
          </w:pgBorders>
          <w:pgNumType w:fmt="decimal"/>
          <w:cols w:num="1" w:space="720">
            <w:col w:w="8375" w:space="720"/>
          </w:cols>
          <w:docGrid w:linePitch="360" w:charSpace="0"/>
        </w:sectPr>
      </w:pPr>
      <w:r>
        <w:t xml:space="preserve">第四部分</w:t>
      </w:r>
      <w:r>
        <w:rPr>
          <w:rFonts w:hint="eastAsia"/>
          <w:lang w:eastAsia="zh-CN"/>
        </w:rPr>
        <w:t xml:space="preserve">：</w:t>
      </w:r>
      <w:r>
        <w:t xml:space="preserve">名词</w:t>
      </w:r>
      <w:r>
        <w:rPr>
          <w:rFonts w:hint="eastAsia"/>
          <w:lang w:val="en-US" w:eastAsia="zh-CN"/>
        </w:rPr>
        <w:t xml:space="preserve">解释</w:t>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3" w:name="bookmark12"/>
      <w:bookmarkStart w:id="4" w:name="bookmark13"/>
      <w:bookmarkStart w:id="5" w:name="bookmark14"/>
      <w:r>
        <w:rPr>
          <w:b/>
          <w:bCs/>
          <w:sz w:val="40"/>
          <w:szCs w:val="40"/>
        </w:rPr>
        <w:t xml:space="preserve">第一部分</w:t>
      </w:r>
      <w:r>
        <w:rPr>
          <w:rFonts w:hint="eastAsia"/>
          <w:b/>
          <w:bCs/>
          <w:sz w:val="40"/>
          <w:szCs w:val="40"/>
          <w:lang w:eastAsia="zh-CN"/>
        </w:rPr>
        <w:t xml:space="preserve">：</w:t>
      </w:r>
      <w:r>
        <w:rPr>
          <w:b/>
          <w:sz w:val="40"/>
          <w:u w:color="auto"/>
        </w:rPr>
        <w:t xml:space="preserve">环江毛南族自治县第五幼儿园</w:t>
      </w:r>
      <w:r>
        <w:rPr>
          <w:b/>
          <w:bCs/>
          <w:sz w:val="40"/>
          <w:szCs w:val="40"/>
        </w:rPr>
        <w:t xml:space="preserve">概况</w:t>
      </w:r>
      <w:bookmarkEnd w:id="3"/>
      <w:bookmarkEnd w:id="4"/>
      <w:bookmarkEnd w:id="5"/>
    </w:p>
    <w:p>
      <w:pPr>
        <w:pStyle w:val="Bodytext|2"/>
        <w:spacing w:after="0" w:line="619" w:lineRule="exact"/>
        <w:ind w:firstLine="620"/>
        <w:jc w:val="left"/>
        <w:rPr>
          <w:b/>
          <w:bCs/>
        </w:rPr>
      </w:pPr>
      <w:r>
        <w:rPr>
          <w:rFonts w:hint="eastAsia"/>
          <w:b/>
          <w:bCs/>
          <w:lang w:val="en-US" w:eastAsia="zh-CN"/>
        </w:rPr>
        <w:t xml:space="preserve">一、</w:t>
      </w:r>
      <w:r>
        <w:rPr>
          <w:b/>
          <w:bCs/>
        </w:rPr>
        <w:t xml:space="preserve">主要职责</w:t>
      </w:r>
    </w:p>
    <w:p>
      <w:pPr>
        <w:pStyle w:val="Bodytext|1"/>
        <w:spacing w:line="623" w:lineRule="exact"/>
        <w:ind w:left="0" w:firstLine="560" w:leftChars="0" w:firstLineChars="200"/>
        <w:jc w:val="left"/>
        <w:rPr>
          <w:rFonts w:hint="default"/>
          <w:highlight w:val="yellow"/>
          <w:lang w:val="en-US" w:eastAsia="zh-CN"/>
        </w:rPr>
      </w:pPr>
      <w:r>
        <w:rPr>
          <w:rFonts w:hint="eastAsia"/>
          <w:highlight w:val="none"/>
          <w:lang w:val="en-US" w:eastAsia="zh-CN"/>
        </w:rPr>
        <w:t xml:space="preserve">（一）贯彻执行党和国家的教育方针、政策和法律法规；拟订全园教育改革与发展规划并组织实施。（二）编制本园教育事业发展规划并检查实施情况，向自治县人民政府和上级教育部门作出报告。（三）督促检查全园贯彻执行教育方针、政策、法令、法规和上级的各项规定；评估指导全园教育教学工作。（四）负责推进学前教育均衡发展和促进教育公平。（五）负责全园人才队伍和教师队伍建设，包括园长岗位培训、后备干部队伍建设、教师学历教育、继续教育等。（六）负责组织学籍管理工作。（七）按照中央关于全面推进素质教育要求，负责教育教学管理、教育教学改革及教育教学科学研究工作，检查指导全园实施素质教育工作，并组织推广先进的教育教学经验。（八）检查指导学校教育教学设备的装备、管理和使用工作。（九）检查指导全园开展电化教育和信息化教学工作。（十）负责全园教师初级专业技术职务资格的评审，中、高级专业技术职务资格的申报工作。按照管理权限对教师进行考核、聘任、奖惩、晋升等工作。（十一）负责指导全园学生资助管理工作及安全管理工作。（十二）负责语言文字和指导推广普通话工作。（十三）完成上级部门交办的其他工作。</w:t>
      </w:r>
    </w:p>
    <w:p>
      <w:pPr>
        <w:pStyle w:val="Bodytext|2"/>
        <w:spacing w:after="0" w:line="619" w:lineRule="exact"/>
        <w:ind w:firstLine="620"/>
        <w:jc w:val="left"/>
        <w:rPr>
          <w:rFonts w:hint="eastAsia"/>
          <w:b/>
          <w:bCs/>
          <w:lang w:val="en-US" w:eastAsia="zh-CN"/>
        </w:rPr>
      </w:pPr>
      <w:bookmarkStart w:id="6" w:name="bookmark24"/>
      <w:r>
        <w:rPr>
          <w:rFonts w:hint="eastAsia"/>
          <w:b/>
          <w:bCs/>
          <w:lang w:val="en-US" w:eastAsia="zh-CN"/>
        </w:rPr>
        <w:t xml:space="preserve">二</w:t>
      </w:r>
      <w:bookmarkEnd w:id="6"/>
      <w:r>
        <w:rPr>
          <w:rFonts w:hint="eastAsia"/>
          <w:b/>
          <w:bCs/>
          <w:lang w:val="en-US" w:eastAsia="zh-CN"/>
        </w:rPr>
        <w:t xml:space="preserve">、机构设置情况</w:t>
      </w:r>
    </w:p>
    <w:p>
      <w:pPr>
        <w:pStyle w:val="Bodytext|1"/>
        <w:spacing w:line="623" w:lineRule="exact"/>
        <w:ind w:left="0" w:firstLine="560" w:leftChars="0" w:firstLineChars="200"/>
        <w:jc w:val="left"/>
        <w:rPr>
          <w:rFonts w:hint="eastAsia"/>
          <w:highlight w:val="none"/>
          <w:lang w:val="en-US" w:eastAsia="zh-CN"/>
        </w:rPr>
      </w:pPr>
      <w:r>
        <w:rPr>
          <w:rFonts w:hint="eastAsia"/>
          <w:highlight w:val="none"/>
          <w:lang w:val="en-US" w:eastAsia="zh-CN"/>
        </w:rPr>
        <w:t xml:space="preserve">本园有六个内设机构，分别为:园长室、行政办公室、工会、资助办、教研室、政教处。</w:t>
      </w:r>
    </w:p>
    <w:p>
      <w:pPr/>
      <w:r>
        <w:br w:type="page"/>
      </w:r>
    </w:p>
    <w:p>
      <w:pPr>
        <w:pStyle w:val="Heading#1|1"/>
        <w:keepNext/>
        <w:keepLines/>
        <w:pageBreakBefore w:val="0"/>
        <w:widowControl w:val="0"/>
        <w:kinsoku/>
        <w:wordWrap/>
        <w:overflowPunct/>
        <w:topLinePunct w:val="0"/>
        <w:autoSpaceDE/>
        <w:autoSpaceDN/>
        <w:bidi w:val="0"/>
        <w:adjustRightInd/>
        <w:snapToGrid/>
        <w:spacing w:before="120" w:after="0" w:line="600" w:lineRule="exact"/>
        <w:jc w:val="center"/>
        <w:textAlignment w:val="auto"/>
        <w:rPr>
          <w:b/>
          <w:bCs/>
          <w:sz w:val="40"/>
          <w:szCs w:val="40"/>
        </w:rPr>
      </w:pPr>
      <w:bookmarkStart w:id="7" w:name="bookmark70"/>
      <w:bookmarkStart w:id="8" w:name="bookmark68"/>
      <w:bookmarkStart w:id="9" w:name="bookmark69"/>
      <w:bookmarkStart w:id="10" w:name="bookmark28"/>
      <w:bookmarkStart w:id="11" w:name="bookmark27"/>
      <w:bookmarkStart w:id="12" w:name="bookmark26"/>
      <w:r>
        <w:rPr>
          <w:b/>
          <w:bCs/>
          <w:sz w:val="40"/>
          <w:szCs w:val="40"/>
        </w:rPr>
        <w:t xml:space="preserve">第</w:t>
      </w:r>
      <w:r>
        <w:rPr>
          <w:rFonts w:hint="eastAsia"/>
          <w:b/>
          <w:bCs/>
          <w:sz w:val="40"/>
          <w:szCs w:val="40"/>
          <w:lang w:val="en-US" w:eastAsia="zh-CN"/>
        </w:rPr>
        <w:t xml:space="preserve">二</w:t>
      </w:r>
      <w:r>
        <w:rPr>
          <w:b/>
          <w:bCs/>
          <w:sz w:val="40"/>
          <w:szCs w:val="40"/>
        </w:rPr>
        <w:t xml:space="preserve">部分</w:t>
      </w:r>
      <w:r>
        <w:rPr>
          <w:rFonts w:hint="eastAsia"/>
          <w:b/>
          <w:bCs/>
          <w:sz w:val="40"/>
          <w:szCs w:val="40"/>
          <w:lang w:eastAsia="zh-CN"/>
        </w:rPr>
        <w:t xml:space="preserve">：</w:t>
      </w:r>
      <w:bookmarkEnd w:id="7"/>
      <w:bookmarkEnd w:id="8"/>
      <w:bookmarkEnd w:id="9"/>
      <w:r>
        <w:rPr>
          <w:rFonts w:hint="eastAsia"/>
          <w:b/>
          <w:bCs/>
          <w:sz w:val="40"/>
          <w:szCs w:val="40"/>
          <w:lang w:eastAsia="zh-CN"/>
        </w:rPr>
        <w:t xml:space="preserve">环江毛南族自治县第五幼儿园</w:t>
      </w:r>
      <w:r>
        <w:rPr>
          <w:b/>
          <w:sz w:val="40"/>
          <w:u w:color="auto"/>
        </w:rPr>
        <w:t xml:space="preserve">2024</w:t>
      </w:r>
      <w:r>
        <w:rPr>
          <w:b/>
          <w:sz w:val="40"/>
          <w:u w:color="auto"/>
        </w:rPr>
        <w:t xml:space="preserve">年部门预算情况说明</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3" w:name="bookmark71"/>
      <w:r>
        <w:rPr>
          <w:rFonts w:hint="eastAsia"/>
          <w:b/>
          <w:bCs/>
          <w:lang w:val="en-US" w:eastAsia="zh-CN"/>
        </w:rPr>
        <w:t xml:space="preserve">一</w:t>
      </w:r>
      <w:bookmarkEnd w:id="13"/>
      <w:r>
        <w:rPr>
          <w:rFonts w:hint="eastAsia"/>
          <w:b/>
          <w:bCs/>
          <w:lang w:val="en-US" w:eastAsia="zh-CN"/>
        </w:rPr>
        <w:t xml:space="preserve">、部门预算收支总体情况说明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Times New Roman" w:hAnsi="Times New Roman" w:cs="Times New Roman"/>
          <w:b/>
          <w:bCs/>
          <w:sz w:val="28"/>
          <w:szCs w:val="28"/>
          <w:lang w:val="en-US" w:eastAsia="zh-CN"/>
        </w:rPr>
      </w:pPr>
      <w:r>
        <w:rPr>
          <w:rFonts w:hint="eastAsia"/>
          <w:b w:val="0"/>
          <w:bCs w:val="0"/>
          <w:sz w:val="28"/>
          <w:szCs w:val="28"/>
        </w:rPr>
        <w:t xml:space="preserve">我部门总收入</w:t>
      </w:r>
      <w:r>
        <w:rPr>
          <w:rFonts w:hint="eastAsia"/>
          <w:sz w:val="28"/>
          <w:szCs w:val="28"/>
          <w:lang w:val="en-US" w:eastAsia="zh-CN"/>
        </w:rPr>
        <w:t xml:space="preserve">440.77</w:t>
      </w:r>
      <w:r>
        <w:rPr>
          <w:rFonts w:hint="eastAsia"/>
          <w:b w:val="0"/>
          <w:bCs w:val="0"/>
          <w:sz w:val="28"/>
          <w:szCs w:val="28"/>
        </w:rPr>
        <w:t xml:space="preserve">万元，总支出</w:t>
      </w:r>
      <w:r>
        <w:rPr>
          <w:rFonts w:hint="eastAsia"/>
          <w:sz w:val="28"/>
          <w:szCs w:val="28"/>
          <w:lang w:val="en-US" w:eastAsia="zh-CN"/>
        </w:rPr>
        <w:t xml:space="preserve">440.77</w:t>
      </w:r>
      <w:r>
        <w:rPr>
          <w:rFonts w:hint="eastAsia"/>
          <w:b w:val="0"/>
          <w:bCs w:val="0"/>
          <w:sz w:val="28"/>
          <w:szCs w:val="28"/>
        </w:rPr>
        <w:t xml:space="preserve">万元。总收入较2023年度预算数</w:t>
      </w:r>
      <w:r>
        <w:rPr>
          <w:rFonts w:hint="eastAsia"/>
          <w:sz w:val="28"/>
          <w:szCs w:val="28"/>
          <w:lang w:val="en-US" w:eastAsia="zh-CN"/>
        </w:rPr>
        <w:t xml:space="preserve">468.26</w:t>
      </w:r>
      <w:r>
        <w:rPr>
          <w:rFonts w:hint="eastAsia"/>
          <w:b w:val="0"/>
          <w:bCs w:val="0"/>
          <w:sz w:val="28"/>
          <w:szCs w:val="28"/>
        </w:rPr>
        <w:t xml:space="preserve">万元，</w:t>
      </w:r>
      <w:r>
        <w:rPr>
          <w:rFonts w:hint="eastAsia"/>
          <w:sz w:val="28"/>
          <w:szCs w:val="28"/>
        </w:rPr>
        <w:t xml:space="preserve">减少27.49</w:t>
      </w:r>
      <w:r>
        <w:rPr>
          <w:rFonts w:hint="eastAsia"/>
          <w:b w:val="0"/>
          <w:bCs w:val="0"/>
          <w:sz w:val="28"/>
          <w:szCs w:val="28"/>
        </w:rPr>
        <w:t xml:space="preserve">万元，</w:t>
      </w:r>
      <w:r>
        <w:rPr>
          <w:rFonts w:hint="eastAsia"/>
          <w:sz w:val="28"/>
          <w:szCs w:val="28"/>
        </w:rPr>
        <w:t xml:space="preserve">下降5.87%</w:t>
      </w:r>
      <w:r>
        <w:rPr>
          <w:rFonts w:hint="eastAsia"/>
          <w:b w:val="0"/>
          <w:bCs w:val="0"/>
          <w:sz w:val="28"/>
          <w:szCs w:val="28"/>
        </w:rPr>
        <w:t xml:space="preserve">，主要原因是</w:t>
      </w:r>
      <w:r>
        <w:rPr>
          <w:rFonts w:hint="eastAsia"/>
          <w:highlight w:val="none"/>
          <w:lang w:val="en-US" w:eastAsia="zh-CN"/>
        </w:rPr>
        <w:t xml:space="preserve">本年度较2023年教育支出相对减少。</w:t>
      </w:r>
      <w:r>
        <w:rPr>
          <w:rFonts w:hint="eastAsia"/>
          <w:b w:val="0"/>
          <w:bCs w:val="0"/>
          <w:sz w:val="28"/>
          <w:szCs w:val="28"/>
        </w:rPr>
        <w:t xml:space="preserve">。总支出较2023年度预算数</w:t>
      </w:r>
      <w:r>
        <w:rPr>
          <w:rFonts w:hint="eastAsia"/>
          <w:sz w:val="28"/>
          <w:szCs w:val="28"/>
          <w:lang w:val="en-US" w:eastAsia="zh-CN"/>
        </w:rPr>
        <w:t xml:space="preserve">468.26</w:t>
      </w:r>
      <w:r>
        <w:rPr>
          <w:rFonts w:hint="eastAsia"/>
          <w:b w:val="0"/>
          <w:bCs w:val="0"/>
          <w:sz w:val="28"/>
          <w:szCs w:val="28"/>
        </w:rPr>
        <w:t xml:space="preserve">万元，</w:t>
      </w:r>
      <w:r>
        <w:rPr>
          <w:rFonts w:hint="eastAsia"/>
          <w:sz w:val="28"/>
          <w:szCs w:val="28"/>
        </w:rPr>
        <w:t xml:space="preserve">减少27.49</w:t>
      </w:r>
      <w:r>
        <w:rPr>
          <w:rFonts w:hint="eastAsia"/>
          <w:b w:val="0"/>
          <w:bCs w:val="0"/>
          <w:sz w:val="28"/>
          <w:szCs w:val="28"/>
        </w:rPr>
        <w:t xml:space="preserve">万元，</w:t>
      </w:r>
      <w:r>
        <w:rPr>
          <w:rFonts w:hint="eastAsia"/>
          <w:sz w:val="28"/>
          <w:szCs w:val="28"/>
        </w:rPr>
        <w:t xml:space="preserve">下降5.87%</w:t>
      </w:r>
      <w:r>
        <w:rPr>
          <w:rFonts w:hint="eastAsia"/>
          <w:b w:val="0"/>
          <w:bCs w:val="0"/>
          <w:sz w:val="28"/>
          <w:szCs w:val="28"/>
        </w:rPr>
        <w:t xml:space="preserve">，主要原因是</w:t>
      </w:r>
      <w:r>
        <w:rPr>
          <w:rFonts w:hint="eastAsia"/>
          <w:highlight w:val="none"/>
          <w:lang w:val="en-US" w:eastAsia="zh-CN"/>
        </w:rPr>
        <w:t xml:space="preserve">主要原因是本年度较2023年教育支出相对减少。</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二、部门收入总体情况说明</w:t>
      </w:r>
    </w:p>
    <w:p>
      <w:pPr>
        <w:pStyle w:val="Bodytext|1"/>
        <w:spacing w:line="240" w:lineRule="auto"/>
        <w:ind w:firstLine="0"/>
        <w:jc w:val="left"/>
        <w:rPr>
          <w:rFonts w:ascii="Times New Roman" w:hAnsi="Times New Roman" w:cs="Times New Roman"/>
          <w:sz w:val="30"/>
          <w:szCs w:val="30"/>
          <w:lang w:val="en-US" w:eastAsia="zh-CN"/>
        </w:rPr>
      </w:pPr>
      <w:r>
        <w:rPr>
          <w:rFonts w:ascii="Times New Roman" w:hAnsi="Times New Roman" w:cs="Times New Roman"/>
          <w:sz w:val="30"/>
          <w:szCs w:val="30"/>
          <w:lang w:val="en-US" w:eastAsia="zh-CN"/>
        </w:rPr>
        <w:drawing>
          <wp:inline distT="0" distB="0" distL="114300" distR="114300">
            <wp:extent cx="4257040" cy="3139440"/>
            <wp:effectExtent l="4445" t="4445" r="5715" b="18415"/>
            <wp:docPr id="6582" name="图表 6" title="{{img_rs_table}}"/>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8"/>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u w:color="auto"/>
          <w:lang w:eastAsia="zh-CN"/>
        </w:rPr>
        <w:t xml:space="preserve">2024</w:t>
      </w:r>
      <w:r>
        <w:rPr>
          <w:rFonts w:ascii="宋体" w:eastAsia="宋体" w:hAnsi="宋体" w:cs="宋体" w:hint="eastAsia"/>
          <w:sz w:val="28"/>
          <w:szCs w:val="28"/>
          <w:u w:color="auto"/>
        </w:rPr>
        <w:t xml:space="preserve">年我部门总收入</w:t>
      </w:r>
      <w:r>
        <w:rPr>
          <w:rFonts w:ascii="宋体" w:eastAsia="宋体" w:hAnsi="宋体" w:cs="宋体" w:hint="eastAsia"/>
          <w:sz w:val="28"/>
          <w:szCs w:val="28"/>
          <w:lang w:val="en-US" w:eastAsia="zh-CN"/>
        </w:rPr>
        <w:t xml:space="preserve">440.77</w:t>
      </w:r>
      <w:r>
        <w:rPr>
          <w:rFonts w:ascii="宋体" w:eastAsia="宋体" w:hAnsi="宋体" w:cs="宋体" w:hint="eastAsia"/>
          <w:sz w:val="28"/>
          <w:szCs w:val="28"/>
          <w:u w:color="auto"/>
        </w:rPr>
        <w:t xml:space="preserve">万元，较2023年度预算数</w:t>
      </w:r>
      <w:r>
        <w:rPr>
          <w:rFonts w:ascii="宋体" w:eastAsia="宋体" w:hAnsi="宋体" w:cs="宋体" w:hint="eastAsia"/>
          <w:sz w:val="28"/>
          <w:szCs w:val="28"/>
          <w:lang w:val="en-US" w:eastAsia="zh-CN"/>
        </w:rPr>
        <w:t xml:space="preserve">468.26</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减少27.49</w:t>
      </w:r>
      <w:r>
        <w:rPr>
          <w:rFonts w:ascii="宋体" w:eastAsia="宋体" w:hAnsi="宋体" w:cs="宋体" w:hint="eastAsia"/>
          <w:sz w:val="28"/>
          <w:szCs w:val="28"/>
          <w:u w:color="auto"/>
        </w:rPr>
        <w:t xml:space="preserve">万元，</w:t>
      </w:r>
      <w:r>
        <w:rPr>
          <w:rFonts w:ascii="宋体" w:eastAsia="宋体" w:hAnsi="宋体" w:cs="宋体" w:hint="eastAsia"/>
          <w:sz w:val="28"/>
          <w:szCs w:val="28"/>
        </w:rPr>
        <w:t xml:space="preserve">下降5.87%</w:t>
      </w:r>
      <w:r>
        <w:rPr>
          <w:rFonts w:ascii="宋体" w:eastAsia="宋体" w:hAnsi="宋体" w:cs="宋体" w:hint="eastAsia"/>
          <w:sz w:val="28"/>
          <w:szCs w:val="28"/>
          <w:u w:color="auto"/>
        </w:rPr>
        <w:t xml:space="preserve">，主要原因是</w:t>
      </w:r>
      <w:r>
        <w:rPr>
          <w:rFonts w:hint="eastAsia"/>
          <w:highlight w:val="none"/>
          <w:lang w:val="en-US" w:eastAsia="zh-CN"/>
        </w:rPr>
        <w:t xml:space="preserve">主要原因是本年度较2023年教育支出相对减少。</w:t>
      </w:r>
      <w:r>
        <w:rPr>
          <w:rFonts w:ascii="宋体" w:eastAsia="宋体" w:hAnsi="宋体" w:cs="宋体" w:hint="eastAsia"/>
          <w:sz w:val="28"/>
          <w:szCs w:val="28"/>
          <w:u w:color="auto"/>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三、部门支出总体情况说明</w:t>
      </w:r>
    </w:p>
    <w:p>
      <w:pPr>
        <w:pStyle w:val="Bodytext|1"/>
        <w:spacing w:line="240" w:lineRule="auto"/>
        <w:ind w:firstLine="0"/>
        <w:jc w:val="left"/>
        <w:rPr>
          <w:rFonts w:ascii="Times New Roman" w:eastAsia="Times New Roman" w:hAnsi="Times New Roman" w:cs="Times New Roman"/>
          <w:sz w:val="30"/>
          <w:szCs w:val="30"/>
        </w:rPr>
      </w:pPr>
      <w:r>
        <w:rPr>
          <w:rFonts w:ascii="Times New Roman" w:eastAsia="Times New Roman" w:hAnsi="Times New Roman" w:cs="Times New Roman"/>
          <w:sz w:val="30"/>
          <w:szCs w:val="30"/>
        </w:rPr>
        <w:drawing>
          <wp:inline distT="0" distB="0" distL="114300" distR="114300">
            <wp:extent cx="5080000" cy="3810000"/>
            <wp:effectExtent l="4445" t="4445" r="20955" b="14605"/>
            <wp:docPr id="6583" name="图表 14" title="{{img_gnkm_zc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9"/>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年我部门总支出</w:t>
      </w:r>
      <w:r>
        <w:rPr>
          <w:rFonts w:ascii="宋体" w:eastAsia="宋体" w:hAnsi="宋体" w:cs="宋体" w:hint="eastAsia"/>
          <w:sz w:val="28"/>
          <w:szCs w:val="28"/>
          <w:lang w:val="en-US" w:eastAsia="zh-CN"/>
        </w:rPr>
        <w:t xml:space="preserve">440.77</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468.26</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减少27.49</w:t>
      </w:r>
      <w:r>
        <w:rPr>
          <w:rFonts w:ascii="宋体" w:eastAsia="宋体" w:hAnsi="宋体" w:cs="宋体" w:hint="eastAsia"/>
          <w:sz w:val="28"/>
          <w:szCs w:val="28"/>
          <w:lang w:eastAsia="zh-CN"/>
        </w:rPr>
        <w:t xml:space="preserve">万元，</w:t>
      </w:r>
      <w:r>
        <w:rPr>
          <w:rFonts w:ascii="宋体" w:eastAsia="宋体" w:hAnsi="宋体" w:cs="宋体" w:hint="eastAsia"/>
          <w:sz w:val="28"/>
          <w:szCs w:val="28"/>
        </w:rPr>
        <w:t xml:space="preserve">下降5.87%</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highlight w:val="none"/>
          <w:lang w:val="en-US" w:eastAsia="zh-CN"/>
        </w:rPr>
        <w:t xml:space="preserve">是本年度较2023年教育支出相对减少。</w:t>
      </w:r>
      <w:r>
        <w:rPr>
          <w:rFonts w:ascii="宋体" w:eastAsia="宋体" w:hAnsi="宋体" w:cs="宋体" w:hint="eastAsia"/>
          <w:sz w:val="28"/>
          <w:szCs w:val="28"/>
          <w:lang w:eastAsia="zh-CN"/>
        </w:rPr>
        <w:t xml:space="preserve">。主要包括：</w:t>
      </w:r>
      <w:r>
        <w:rPr>
          <w:rFonts w:ascii="宋体" w:eastAsia="宋体" w:hAnsi="宋体" w:cs="宋体" w:hint="eastAsia"/>
          <w:sz w:val="28"/>
          <w:szCs w:val="28"/>
          <w:highlight w:val="none"/>
          <w:lang w:val="en-US" w:eastAsia="zh-CN"/>
        </w:rPr>
        <w:t xml:space="preserve">教育支出、一般公共服务支出、社会保障和就业支出、住房保障支出。</w:t>
      </w:r>
      <w:r>
        <w:rPr>
          <w:rFonts w:ascii="宋体" w:eastAsia="宋体" w:hAnsi="宋体" w:cs="宋体" w:hint="eastAsia"/>
          <w:sz w:val="28"/>
          <w:szCs w:val="28"/>
          <w:lang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after="140" w:line="600" w:lineRule="exact"/>
        <w:ind w:firstLine="56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（一）按支出功能分类科目划分，共分为</w:t>
      </w:r>
      <w:r>
        <w:rPr>
          <w:rFonts w:ascii="宋体" w:eastAsia="宋体" w:hAnsi="宋体" w:cs="宋体" w:hint="eastAsia"/>
          <w:sz w:val="28"/>
          <w:szCs w:val="28"/>
          <w:lang w:val="en-US" w:eastAsia="zh-CN"/>
        </w:rPr>
        <w:t xml:space="preserve">4</w:t>
      </w:r>
      <w:r>
        <w:rPr>
          <w:rFonts w:ascii="宋体" w:eastAsia="宋体" w:hAnsi="宋体" w:cs="宋体" w:hint="eastAsia"/>
          <w:sz w:val="28"/>
          <w:szCs w:val="28"/>
        </w:rPr>
        <w:t xml:space="preserve">类，其中:</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教育支出</w:t>
      </w:r>
      <w:r>
        <w:rPr>
          <w:rFonts w:ascii="宋体" w:eastAsia="宋体" w:hAnsi="宋体" w:cs="宋体" w:hint="eastAsia"/>
          <w:sz w:val="28"/>
          <w:szCs w:val="28"/>
          <w:lang w:val="en-US" w:eastAsia="zh-CN"/>
        </w:rPr>
        <w:t xml:space="preserve">420.00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95.29%</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增长4.25</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增长1.02%</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工资标准比2023年有所提高，以及教育系统干部职工基础性绩效工资增量基数增加。</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社会保障和就业支出</w:t>
      </w:r>
      <w:r>
        <w:rPr>
          <w:rFonts w:ascii="宋体" w:eastAsia="宋体" w:hAnsi="宋体" w:cs="宋体" w:hint="eastAsia"/>
          <w:sz w:val="28"/>
          <w:szCs w:val="28"/>
          <w:lang w:val="en-US" w:eastAsia="zh-CN"/>
        </w:rPr>
        <w:t xml:space="preserve">9.50</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2.16%</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减少18.57</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减少66.16%</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此项支出有在职在编26人，按教育支出预算。</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一般公共服务支出</w:t>
      </w:r>
      <w:r>
        <w:rPr>
          <w:rFonts w:ascii="宋体" w:eastAsia="宋体" w:hAnsi="宋体" w:cs="宋体" w:hint="eastAsia"/>
          <w:sz w:val="28"/>
          <w:szCs w:val="28"/>
          <w:lang w:val="en-US" w:eastAsia="zh-CN"/>
        </w:rPr>
        <w:t xml:space="preserve">3.13</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0.71%</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减少0.26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减少7.67%</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工会经费计算基数比上年低。</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w:t>
      </w:r>
      <w:r>
        <w:rPr>
          <w:rFonts w:ascii="宋体" w:eastAsia="宋体" w:hAnsi="宋体" w:cs="宋体"/>
          <w:sz w:val="28"/>
          <w:u w:color="auto"/>
        </w:rPr>
        <w:t xml:space="preserve">4</w:t>
      </w:r>
      <w:r>
        <w:rPr>
          <w:rFonts w:ascii="宋体" w:eastAsia="宋体" w:hAnsi="宋体" w:cs="宋体"/>
          <w:sz w:val="28"/>
          <w:u w:color="auto"/>
        </w:rPr>
        <w:t xml:space="preserve">)</w:t>
      </w:r>
      <w:r>
        <w:rPr>
          <w:rFonts w:ascii="宋体" w:eastAsia="宋体" w:hAnsi="宋体" w:cs="宋体"/>
          <w:sz w:val="28"/>
          <w:u w:color="auto"/>
        </w:rPr>
        <w:t xml:space="preserve">住房保障支出</w:t>
      </w:r>
      <w:r>
        <w:rPr>
          <w:rFonts w:ascii="宋体" w:eastAsia="宋体" w:hAnsi="宋体" w:cs="宋体" w:hint="eastAsia"/>
          <w:sz w:val="28"/>
          <w:szCs w:val="28"/>
          <w:lang w:val="en-US" w:eastAsia="zh-CN"/>
        </w:rPr>
        <w:t xml:space="preserve">8.15</w:t>
      </w:r>
      <w:r>
        <w:rPr>
          <w:rFonts w:ascii="宋体" w:eastAsia="宋体" w:hAnsi="宋体" w:cs="宋体" w:hint="eastAsia"/>
          <w:sz w:val="28"/>
          <w:szCs w:val="28"/>
        </w:rPr>
        <w:t xml:space="preserve">万元，占支出总预算</w:t>
      </w:r>
      <w:r>
        <w:rPr>
          <w:rFonts w:ascii="宋体" w:eastAsia="宋体" w:hAnsi="宋体" w:cs="宋体" w:hint="eastAsia"/>
          <w:sz w:val="28"/>
          <w:szCs w:val="28"/>
          <w:lang w:val="en-US" w:eastAsia="zh-CN"/>
        </w:rPr>
        <w:t xml:space="preserve">1.85%</w:t>
      </w:r>
      <w:r>
        <w:rPr>
          <w:rFonts w:ascii="宋体" w:eastAsia="宋体" w:hAnsi="宋体" w:cs="宋体" w:hint="eastAsia"/>
          <w:sz w:val="28"/>
          <w:szCs w:val="28"/>
        </w:rPr>
        <w:t xml:space="preserve">,比上年</w:t>
      </w:r>
      <w:r>
        <w:rPr>
          <w:rFonts w:ascii="宋体" w:eastAsia="宋体" w:hAnsi="宋体" w:cs="宋体" w:hint="eastAsia"/>
          <w:sz w:val="28"/>
          <w:szCs w:val="28"/>
          <w:lang w:val="en-US" w:eastAsia="zh-CN"/>
        </w:rPr>
        <w:t xml:space="preserve">减少12.90</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减少61.28%</w:t>
      </w:r>
      <w:r>
        <w:rPr>
          <w:rFonts w:ascii="宋体" w:eastAsia="宋体" w:hAnsi="宋体" w:cs="宋体" w:hint="eastAsia"/>
          <w:sz w:val="28"/>
          <w:szCs w:val="28"/>
        </w:rPr>
        <w:t xml:space="preserve">,</w:t>
      </w:r>
      <w:r>
        <w:rPr>
          <w:rFonts w:ascii="宋体" w:eastAsia="宋体" w:hAnsi="宋体" w:cs="宋体" w:hint="eastAsia"/>
          <w:sz w:val="28"/>
          <w:szCs w:val="28"/>
          <w:highlight w:val="none"/>
        </w:rPr>
        <w:t xml:space="preserve">主要原因是：</w:t>
      </w:r>
      <w:r>
        <w:rPr>
          <w:rFonts w:ascii="宋体" w:eastAsia="宋体" w:hAnsi="宋体" w:cs="宋体" w:hint="eastAsia"/>
          <w:sz w:val="28"/>
          <w:szCs w:val="28"/>
          <w:highlight w:val="none"/>
          <w:lang w:val="en-US" w:eastAsia="zh-CN"/>
        </w:rPr>
        <w:t xml:space="preserve">此项支出有在职在编26人，按教育支出预算。</w:t>
      </w:r>
      <w:r>
        <w:rPr>
          <w:rFonts w:ascii="宋体" w:eastAsia="宋体" w:hAnsi="宋体" w:cs="宋体" w:hint="eastAsia"/>
          <w:sz w:val="28"/>
          <w:szCs w:val="28"/>
          <w:highlight w:val="none"/>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74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(二)按支出结构分类划分，分为基本支出预算和项目支出预算。</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基本支出预算。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基本支出预算</w:t>
      </w:r>
      <w:r>
        <w:rPr>
          <w:rFonts w:ascii="宋体" w:eastAsia="宋体" w:hAnsi="宋体" w:cs="宋体" w:hint="eastAsia"/>
          <w:sz w:val="28"/>
          <w:szCs w:val="28"/>
          <w:lang w:val="en-US" w:eastAsia="zh-CN"/>
        </w:rPr>
        <w:t xml:space="preserve">271.30</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61.55%</w:t>
      </w:r>
      <w:r>
        <w:rPr>
          <w:rFonts w:ascii="宋体" w:eastAsia="宋体" w:hAnsi="宋体" w:cs="宋体"/>
          <w:sz w:val="28"/>
          <w:u w:color="auto"/>
        </w:rPr>
        <w:t xml:space="preserve">,比上年</w:t>
      </w:r>
      <w:r>
        <w:rPr>
          <w:rFonts w:ascii="宋体" w:eastAsia="宋体" w:hAnsi="宋体" w:cs="宋体"/>
          <w:sz w:val="28"/>
          <w:u w:color="auto"/>
        </w:rPr>
        <w:t xml:space="preserve">增长66.79</w:t>
      </w:r>
      <w:r>
        <w:rPr>
          <w:rFonts w:ascii="宋体" w:eastAsia="宋体" w:hAnsi="宋体" w:cs="宋体"/>
          <w:sz w:val="28"/>
          <w:u w:color="auto"/>
        </w:rPr>
        <w:t xml:space="preserve">万元，</w:t>
      </w:r>
      <w:r>
        <w:rPr>
          <w:rFonts w:ascii="宋体" w:eastAsia="宋体" w:hAnsi="宋体" w:cs="宋体"/>
          <w:sz w:val="28"/>
          <w:u w:color="auto"/>
        </w:rPr>
        <w:t xml:space="preserve">增长32.66%</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267.01</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98.42%</w:t>
      </w:r>
      <w:r>
        <w:rPr>
          <w:rFonts w:ascii="宋体" w:eastAsia="宋体" w:hAnsi="宋体" w:cs="宋体" w:hint="eastAsia"/>
          <w:sz w:val="28"/>
          <w:szCs w:val="28"/>
        </w:rPr>
        <w:t xml:space="preserve">,比上年</w:t>
      </w:r>
      <w:r>
        <w:rPr>
          <w:rFonts w:ascii="宋体" w:eastAsia="宋体" w:hAnsi="宋体" w:cs="宋体"/>
          <w:sz w:val="28"/>
          <w:u w:color="auto"/>
        </w:rPr>
        <w:t xml:space="preserve">增长65.89</w:t>
      </w:r>
      <w:r>
        <w:rPr>
          <w:rFonts w:ascii="宋体" w:eastAsia="宋体" w:hAnsi="宋体" w:cs="宋体"/>
          <w:sz w:val="28"/>
          <w:u w:color="auto"/>
        </w:rPr>
        <w:t xml:space="preserve">万元，</w:t>
      </w:r>
      <w:r>
        <w:rPr>
          <w:rFonts w:ascii="宋体" w:eastAsia="宋体" w:hAnsi="宋体" w:cs="宋体"/>
          <w:sz w:val="28"/>
          <w:u w:color="auto"/>
        </w:rPr>
        <w:t xml:space="preserve">增长32.76%</w:t>
      </w:r>
      <w:r>
        <w:rPr>
          <w:rFonts w:ascii="宋体" w:eastAsia="宋体" w:hAnsi="宋体" w:cs="宋体"/>
          <w:sz w:val="28"/>
          <w:u w:color="auto"/>
        </w:rPr>
        <w:t xml:space="preserve">,主要原因是：工资标准比2023年有所提高，以及教育系统干部职工基础性绩效工资增量基数增加。</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3.13</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1.15%</w:t>
      </w:r>
      <w:r>
        <w:rPr>
          <w:rFonts w:ascii="宋体" w:eastAsia="宋体" w:hAnsi="宋体" w:cs="宋体" w:hint="eastAsia"/>
          <w:sz w:val="28"/>
          <w:szCs w:val="28"/>
        </w:rPr>
        <w:t xml:space="preserve">,比上年</w:t>
      </w:r>
      <w:r>
        <w:rPr>
          <w:rFonts w:ascii="宋体" w:eastAsia="宋体" w:hAnsi="宋体" w:cs="宋体"/>
          <w:sz w:val="28"/>
          <w:u w:color="auto"/>
        </w:rPr>
        <w:t xml:space="preserve">减少0.26</w:t>
      </w:r>
      <w:r>
        <w:rPr>
          <w:rFonts w:ascii="宋体" w:eastAsia="宋体" w:hAnsi="宋体" w:cs="宋体"/>
          <w:sz w:val="28"/>
          <w:u w:color="auto"/>
        </w:rPr>
        <w:t xml:space="preserve">万元，</w:t>
      </w:r>
      <w:r>
        <w:rPr>
          <w:rFonts w:ascii="宋体" w:eastAsia="宋体" w:hAnsi="宋体" w:cs="宋体"/>
          <w:sz w:val="28"/>
          <w:u w:color="auto"/>
        </w:rPr>
        <w:t xml:space="preserve">减少7.67%</w:t>
      </w:r>
      <w:r>
        <w:rPr>
          <w:rFonts w:ascii="宋体" w:eastAsia="宋体" w:hAnsi="宋体" w:cs="宋体"/>
          <w:sz w:val="28"/>
          <w:u w:color="auto"/>
        </w:rPr>
        <w:t xml:space="preserve">,主要原因是：工会经费计算基数比上年低。</w:t>
      </w:r>
      <w:r>
        <w:rPr>
          <w:rFonts w:ascii="宋体" w:eastAsia="宋体" w:hAnsi="宋体" w:cs="宋体" w:hint="eastAsia"/>
          <w:sz w:val="28"/>
          <w:szCs w:val="28"/>
          <w:lang w:val="en-US" w:eastAsia="zh-CN"/>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对个人和家庭的补助</w:t>
      </w:r>
      <w:r>
        <w:rPr>
          <w:rFonts w:ascii="宋体" w:eastAsia="宋体" w:hAnsi="宋体" w:cs="宋体" w:hint="eastAsia"/>
          <w:sz w:val="28"/>
          <w:szCs w:val="28"/>
          <w:lang w:val="en-US" w:eastAsia="zh-CN"/>
        </w:rPr>
        <w:t xml:space="preserve">1.16</w:t>
      </w:r>
      <w:r>
        <w:rPr>
          <w:rFonts w:ascii="宋体" w:eastAsia="宋体" w:hAnsi="宋体" w:cs="宋体" w:hint="eastAsia"/>
          <w:sz w:val="28"/>
          <w:szCs w:val="28"/>
        </w:rPr>
        <w:t xml:space="preserve">万元，占基本支出总预算</w:t>
      </w:r>
      <w:r>
        <w:rPr>
          <w:rFonts w:ascii="宋体" w:eastAsia="宋体" w:hAnsi="宋体" w:cs="宋体" w:hint="eastAsia"/>
          <w:sz w:val="28"/>
          <w:szCs w:val="28"/>
          <w:lang w:val="en-US" w:eastAsia="zh-CN"/>
        </w:rPr>
        <w:t xml:space="preserve">0.43%</w:t>
      </w:r>
      <w:r>
        <w:rPr>
          <w:rFonts w:ascii="宋体" w:eastAsia="宋体" w:hAnsi="宋体" w:cs="宋体" w:hint="eastAsia"/>
          <w:sz w:val="28"/>
          <w:szCs w:val="28"/>
        </w:rPr>
        <w:t xml:space="preserve">,比上年</w:t>
      </w:r>
      <w:r>
        <w:rPr>
          <w:rFonts w:ascii="宋体" w:eastAsia="宋体" w:hAnsi="宋体" w:cs="宋体"/>
          <w:sz w:val="28"/>
          <w:u w:color="auto"/>
        </w:rPr>
        <w:t xml:space="preserve">增长1.16</w:t>
      </w:r>
      <w:r>
        <w:rPr>
          <w:rFonts w:ascii="宋体" w:eastAsia="宋体" w:hAnsi="宋体" w:cs="宋体"/>
          <w:sz w:val="28"/>
          <w:u w:color="auto"/>
        </w:rPr>
        <w:t xml:space="preserve">万元，</w:t>
      </w:r>
      <w:r>
        <w:rPr>
          <w:rFonts w:ascii="宋体" w:eastAsia="宋体" w:hAnsi="宋体" w:cs="宋体"/>
          <w:sz w:val="28"/>
          <w:u w:color="auto"/>
        </w:rPr>
        <w:t xml:space="preserve">增长100%</w:t>
      </w:r>
      <w:r>
        <w:rPr>
          <w:rFonts w:ascii="宋体" w:eastAsia="宋体" w:hAnsi="宋体" w:cs="宋体"/>
          <w:sz w:val="28"/>
          <w:u w:color="auto"/>
        </w:rPr>
        <w:t xml:space="preserve">,主要原因是：本年增加一人退休人员。</w:t>
      </w:r>
      <w:r>
        <w:rPr>
          <w:rFonts w:ascii="宋体" w:eastAsia="宋体" w:hAnsi="宋体" w:cs="宋体" w:hint="eastAsia"/>
          <w:sz w:val="28"/>
          <w:szCs w:val="28"/>
          <w:lang w:val="en-US" w:eastAsia="zh-CN"/>
        </w:rPr>
        <w:t xml:space="preserve">。</w:t>
      </w:r>
    </w:p>
    <w:p>
      <w:pPr>
        <w:pStyle w:val="Bodytext|1"/>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b w:val="0"/>
          <w:bCs w:val="0"/>
          <w:color w:val="000000"/>
          <w:sz w:val="28"/>
          <w:szCs w:val="28"/>
          <w:lang w:val="zh-TW" w:eastAsia="zh-TW" w:bidi="zh-TW"/>
        </w:rPr>
      </w:pPr>
      <w:r>
        <w:rPr>
          <w:rFonts w:ascii="宋体" w:eastAsia="宋体" w:hAnsi="宋体" w:cs="宋体" w:hint="eastAsia"/>
          <w:b w:val="0"/>
          <w:bCs w:val="0"/>
          <w:color w:val="000000"/>
          <w:sz w:val="28"/>
          <w:szCs w:val="28"/>
          <w:lang w:val="zh-TW" w:eastAsia="zh-TW" w:bidi="zh-TW"/>
        </w:rPr>
        <w:t xml:space="preserve">项目支出预算。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ascii="宋体" w:eastAsia="宋体" w:hAnsi="宋体" w:cs="宋体" w:hint="eastAsia"/>
          <w:sz w:val="28"/>
          <w:szCs w:val="28"/>
          <w:lang w:val="en-US" w:eastAsia="zh-CN"/>
        </w:rPr>
      </w:pPr>
      <w:r>
        <w:rPr>
          <w:rFonts w:ascii="宋体" w:eastAsia="宋体" w:hAnsi="宋体" w:cs="宋体" w:hint="eastAsia"/>
          <w:sz w:val="28"/>
          <w:szCs w:val="28"/>
        </w:rPr>
        <w:t xml:space="preserve">项目支出预算</w:t>
      </w:r>
      <w:r>
        <w:rPr>
          <w:rFonts w:ascii="宋体" w:eastAsia="宋体" w:hAnsi="宋体" w:cs="宋体" w:hint="eastAsia"/>
          <w:sz w:val="28"/>
          <w:szCs w:val="28"/>
          <w:lang w:val="en-US" w:eastAsia="zh-CN"/>
        </w:rPr>
        <w:t xml:space="preserve">169.47</w:t>
      </w:r>
      <w:r>
        <w:rPr>
          <w:rFonts w:ascii="宋体" w:eastAsia="宋体" w:hAnsi="宋体" w:cs="宋体" w:hint="eastAsia"/>
          <w:sz w:val="28"/>
          <w:szCs w:val="28"/>
        </w:rPr>
        <w:t xml:space="preserve">万元，占支出预算</w:t>
      </w:r>
      <w:r>
        <w:rPr>
          <w:rFonts w:ascii="宋体" w:eastAsia="宋体" w:hAnsi="宋体" w:cs="宋体"/>
          <w:sz w:val="28"/>
          <w:u w:color="auto"/>
        </w:rPr>
        <w:t xml:space="preserve">38.45%</w:t>
      </w:r>
      <w:r>
        <w:rPr>
          <w:rFonts w:ascii="宋体" w:eastAsia="宋体" w:hAnsi="宋体" w:cs="宋体" w:hint="eastAsia"/>
          <w:sz w:val="28"/>
          <w:szCs w:val="28"/>
        </w:rPr>
        <w:t xml:space="preserve">,比上年</w:t>
      </w:r>
      <w:r>
        <w:rPr>
          <w:rFonts w:ascii="宋体" w:eastAsia="宋体" w:hAnsi="宋体" w:cs="宋体"/>
          <w:sz w:val="28"/>
          <w:u w:color="auto"/>
        </w:rPr>
        <w:t xml:space="preserve">减少94.27</w:t>
      </w:r>
      <w:r>
        <w:rPr>
          <w:rFonts w:ascii="宋体" w:eastAsia="宋体" w:hAnsi="宋体" w:cs="宋体" w:hint="eastAsia"/>
          <w:sz w:val="28"/>
          <w:szCs w:val="28"/>
        </w:rPr>
        <w:t xml:space="preserve">万元，</w:t>
      </w:r>
      <w:r>
        <w:rPr>
          <w:rFonts w:ascii="宋体" w:eastAsia="宋体" w:hAnsi="宋体" w:cs="宋体"/>
          <w:sz w:val="28"/>
          <w:u w:color="auto"/>
        </w:rPr>
        <w:t xml:space="preserve">减少35.74%</w:t>
      </w:r>
      <w:r>
        <w:rPr>
          <w:rFonts w:ascii="宋体" w:eastAsia="宋体" w:hAnsi="宋体" w:cs="宋体" w:hint="eastAsia"/>
          <w:sz w:val="28"/>
          <w:szCs w:val="28"/>
        </w:rPr>
        <w:t xml:space="preserve">。</w:t>
      </w:r>
      <w:r>
        <w:rPr>
          <w:rFonts w:ascii="宋体" w:eastAsia="宋体" w:hAnsi="宋体" w:cs="宋体" w:hint="eastAsia"/>
          <w:sz w:val="28"/>
          <w:szCs w:val="28"/>
          <w:lang w:val="en-US" w:eastAsia="zh-CN"/>
        </w:rPr>
        <w:t xml:space="preserve">其中：</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1</w:t>
      </w:r>
      <w:r>
        <w:rPr>
          <w:rFonts w:ascii="宋体" w:eastAsia="宋体" w:hAnsi="宋体" w:cs="宋体"/>
          <w:sz w:val="28"/>
          <w:u w:color="auto"/>
        </w:rPr>
        <w:t xml:space="preserve">)</w:t>
      </w:r>
      <w:r>
        <w:rPr>
          <w:rFonts w:ascii="宋体" w:eastAsia="宋体" w:hAnsi="宋体" w:cs="宋体"/>
          <w:sz w:val="28"/>
          <w:u w:color="auto"/>
        </w:rPr>
        <w:t xml:space="preserve">工资福利支出</w:t>
      </w:r>
      <w:r>
        <w:rPr>
          <w:rFonts w:ascii="宋体" w:eastAsia="宋体" w:hAnsi="宋体" w:cs="宋体" w:hint="eastAsia"/>
          <w:sz w:val="28"/>
          <w:szCs w:val="28"/>
          <w:lang w:val="en-US" w:eastAsia="zh-CN"/>
        </w:rPr>
        <w:t xml:space="preserve">149.01</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87.93%</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减少87.12</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减少36.89%</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en-US" w:eastAsia="zh-CN" w:bidi="zh-TW"/>
        </w:rPr>
        <w:t xml:space="preserve">  </w:t>
      </w:r>
      <w:r>
        <w:rPr>
          <w:rFonts w:ascii="宋体" w:eastAsia="宋体" w:hAnsi="宋体" w:cs="宋体" w:hint="eastAsia"/>
          <w:color w:val="000000"/>
          <w:sz w:val="28"/>
          <w:szCs w:val="28"/>
          <w:lang w:val="zh-TW" w:eastAsia="zh-TW" w:bidi="zh-TW"/>
        </w:rPr>
        <w:t xml:space="preserve">单位自聘人员工资减少。</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2</w:t>
      </w:r>
      <w:r>
        <w:rPr>
          <w:rFonts w:ascii="宋体" w:eastAsia="宋体" w:hAnsi="宋体" w:cs="宋体"/>
          <w:sz w:val="28"/>
          <w:u w:color="auto"/>
        </w:rPr>
        <w:t xml:space="preserve">)</w:t>
      </w:r>
      <w:r>
        <w:rPr>
          <w:rFonts w:ascii="宋体" w:eastAsia="宋体" w:hAnsi="宋体" w:cs="宋体"/>
          <w:sz w:val="28"/>
          <w:u w:color="auto"/>
        </w:rPr>
        <w:t xml:space="preserve">商品和服务支出</w:t>
      </w:r>
      <w:r>
        <w:rPr>
          <w:rFonts w:ascii="宋体" w:eastAsia="宋体" w:hAnsi="宋体" w:cs="宋体" w:hint="eastAsia"/>
          <w:sz w:val="28"/>
          <w:szCs w:val="28"/>
          <w:lang w:val="en-US" w:eastAsia="zh-CN"/>
        </w:rPr>
        <w:t xml:space="preserve">20.46</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12.07%</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增长1.92</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增长10.36%</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en-US" w:eastAsia="zh-CN" w:bidi="zh-TW"/>
        </w:rPr>
        <w:t xml:space="preserve">  </w:t>
      </w:r>
      <w:r>
        <w:rPr>
          <w:rFonts w:ascii="宋体" w:eastAsia="宋体" w:hAnsi="宋体" w:cs="宋体" w:hint="eastAsia"/>
          <w:color w:val="000000"/>
          <w:sz w:val="28"/>
          <w:szCs w:val="28"/>
          <w:lang w:val="zh-TW" w:eastAsia="zh-TW" w:bidi="zh-TW"/>
        </w:rPr>
        <w:t xml:space="preserve">增加维护费、水电费、邮电费的预算。</w:t>
      </w:r>
      <w:r>
        <w:rPr>
          <w:rFonts w:ascii="宋体" w:eastAsia="宋体" w:hAnsi="宋体" w:cs="宋体" w:hint="eastAsia"/>
          <w:color w:val="000000"/>
          <w:sz w:val="28"/>
          <w:szCs w:val="28"/>
          <w:lang w:val="en-US" w:eastAsia="zh-CN" w:bidi="zh-TW"/>
        </w:rPr>
        <w:t xml:space="preserve">。</w:t>
      </w:r>
    </w:p>
    <w:p>
      <w:pPr>
        <w:pStyle w:val="Bodytext|3"/>
        <w:keepNext w:val="0"/>
        <w:keepLines w:val="0"/>
        <w:pageBreakBefore w:val="0"/>
        <w:widowControl w:val="0"/>
        <w:kinsoku/>
        <w:wordWrap/>
        <w:overflowPunct/>
        <w:topLinePunct w:val="0"/>
        <w:autoSpaceDE/>
        <w:autoSpaceDN/>
        <w:bidi w:val="0"/>
        <w:adjustRightInd/>
        <w:snapToGrid/>
        <w:spacing w:after="0" w:line="600" w:lineRule="exact"/>
        <w:ind w:firstLine="740"/>
        <w:jc w:val="left"/>
        <w:textAlignment w:val="auto"/>
        <w:rPr>
          <w:rFonts w:ascii="宋体" w:eastAsia="宋体" w:hAnsi="宋体" w:cs="宋体" w:hint="eastAsia"/>
          <w:color w:val="000000"/>
          <w:sz w:val="28"/>
          <w:szCs w:val="28"/>
          <w:lang w:val="en-US" w:eastAsia="zh-CN" w:bidi="zh-TW"/>
        </w:rPr>
      </w:pPr>
      <w:r>
        <w:rPr>
          <w:rFonts w:ascii="宋体" w:eastAsia="宋体" w:hAnsi="宋体" w:cs="宋体" w:hint="eastAsia"/>
          <w:sz w:val="28"/>
          <w:szCs w:val="28"/>
        </w:rPr>
        <w:t xml:space="preserve">(</w:t>
      </w:r>
      <w:r>
        <w:rPr>
          <w:rFonts w:ascii="宋体" w:eastAsia="宋体" w:hAnsi="宋体" w:cs="宋体"/>
          <w:sz w:val="28"/>
          <w:u w:color="auto"/>
        </w:rPr>
        <w:t xml:space="preserve">3</w:t>
      </w:r>
      <w:r>
        <w:rPr>
          <w:rFonts w:ascii="宋体" w:eastAsia="宋体" w:hAnsi="宋体" w:cs="宋体"/>
          <w:sz w:val="28"/>
          <w:u w:color="auto"/>
        </w:rPr>
        <w:t xml:space="preserve">)</w:t>
      </w:r>
      <w:r>
        <w:rPr>
          <w:rFonts w:ascii="宋体" w:eastAsia="宋体" w:hAnsi="宋体" w:cs="宋体"/>
          <w:sz w:val="28"/>
          <w:u w:color="auto"/>
        </w:rPr>
        <w:t xml:space="preserve">资本性支出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万元，占项</w:t>
      </w:r>
      <w:r>
        <w:rPr>
          <w:rFonts w:ascii="宋体" w:eastAsia="宋体" w:hAnsi="宋体" w:cs="宋体" w:hint="eastAsia"/>
          <w:color w:val="000000"/>
          <w:sz w:val="28"/>
          <w:szCs w:val="28"/>
          <w:lang w:val="zh-TW" w:eastAsia="zh-TW" w:bidi="zh-TW"/>
        </w:rPr>
        <w:t xml:space="preserve">目支出总预算</w:t>
      </w:r>
      <w:r>
        <w:rPr>
          <w:rFonts w:ascii="宋体" w:eastAsia="宋体" w:hAnsi="宋体" w:cs="宋体" w:hint="eastAsia"/>
          <w:color w:val="000000"/>
          <w:sz w:val="28"/>
          <w:szCs w:val="28"/>
          <w:lang w:val="en-US" w:eastAsia="zh-CN" w:bidi="zh-TW"/>
        </w:rPr>
        <w:t xml:space="preserve">0.00%</w:t>
      </w:r>
      <w:r>
        <w:rPr>
          <w:rFonts w:ascii="宋体" w:eastAsia="宋体" w:hAnsi="宋体" w:cs="宋体" w:hint="eastAsia"/>
          <w:color w:val="000000"/>
          <w:sz w:val="28"/>
          <w:szCs w:val="28"/>
          <w:lang w:val="zh-TW" w:eastAsia="zh-TW" w:bidi="zh-TW"/>
        </w:rPr>
        <w:t xml:space="preserve">,比上年</w:t>
      </w:r>
      <w:r>
        <w:rPr>
          <w:rFonts w:ascii="宋体" w:eastAsia="宋体" w:hAnsi="宋体" w:cs="宋体"/>
          <w:color w:val="000000"/>
          <w:sz w:val="28"/>
          <w:u w:color="auto"/>
        </w:rPr>
        <w:t xml:space="preserve">减少9.07</w:t>
      </w:r>
      <w:r>
        <w:rPr>
          <w:rFonts w:ascii="宋体" w:eastAsia="宋体" w:hAnsi="宋体" w:cs="宋体"/>
          <w:color w:val="000000"/>
          <w:sz w:val="28"/>
          <w:u w:color="auto"/>
        </w:rPr>
        <w:t xml:space="preserve">万元，</w:t>
      </w:r>
      <w:r>
        <w:rPr>
          <w:rFonts w:ascii="宋体" w:eastAsia="宋体" w:hAnsi="宋体" w:cs="宋体"/>
          <w:color w:val="000000"/>
          <w:sz w:val="28"/>
          <w:u w:color="auto"/>
        </w:rPr>
        <w:t xml:space="preserve">减少100.00%</w:t>
      </w:r>
      <w:r>
        <w:rPr>
          <w:rFonts w:ascii="宋体" w:eastAsia="宋体" w:hAnsi="宋体" w:cs="宋体"/>
          <w:color w:val="000000"/>
          <w:sz w:val="28"/>
          <w:u w:color="auto"/>
        </w:rPr>
        <w:t xml:space="preserve">,主要原因是：</w:t>
      </w:r>
      <w:r>
        <w:rPr>
          <w:rFonts w:ascii="宋体" w:eastAsia="宋体" w:hAnsi="宋体" w:cs="宋体" w:hint="eastAsia"/>
          <w:color w:val="000000"/>
          <w:sz w:val="28"/>
          <w:szCs w:val="28"/>
          <w:lang w:val="en-US" w:eastAsia="zh-CN" w:bidi="zh-TW"/>
        </w:rPr>
        <w:t xml:space="preserve">  </w:t>
      </w:r>
      <w:r>
        <w:rPr>
          <w:rFonts w:ascii="宋体" w:eastAsia="宋体" w:hAnsi="宋体" w:cs="宋体" w:hint="eastAsia"/>
          <w:color w:val="000000"/>
          <w:sz w:val="28"/>
          <w:szCs w:val="28"/>
          <w:lang w:val="zh-TW" w:eastAsia="zh-TW" w:bidi="zh-TW"/>
        </w:rPr>
        <w:t xml:space="preserve">减少办公设备购置。</w:t>
      </w:r>
      <w:r>
        <w:rPr>
          <w:rFonts w:ascii="宋体" w:eastAsia="宋体" w:hAnsi="宋体" w:cs="宋体" w:hint="eastAsia"/>
          <w:color w:val="000000"/>
          <w:sz w:val="28"/>
          <w:szCs w:val="28"/>
          <w:lang w:val="en-US" w:eastAsia="zh-CN" w:bidi="zh-TW"/>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四、财政拨款收支总体情况说明</w:t>
      </w:r>
    </w:p>
    <w:p>
      <w:pPr>
        <w:pStyle w:val="Bodytext|1"/>
        <w:spacing w:line="240" w:lineRule="auto"/>
        <w:ind w:firstLine="0"/>
        <w:jc w:val="left"/>
        <w:rPr>
          <w:lang w:val="en-US" w:eastAsia="zh-CN"/>
        </w:rPr>
      </w:pPr>
      <w:r>
        <w:rPr>
          <w:rFonts w:hint="eastAsia"/>
          <w:lang w:val="en-US" w:eastAsia="zh-CN"/>
        </w:rPr>
        <w:drawing>
          <wp:inline distT="0" distB="0" distL="114300" distR="114300">
            <wp:extent cx="5080000" cy="3810000"/>
            <wp:effectExtent l="4445" t="4445" r="5715" b="10795"/>
            <wp:docPr id="6584" name="图表 13" title="{{img_sz_c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0"/>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u w:color="auto"/>
        </w:rPr>
        <w:t xml:space="preserve">年</w:t>
      </w:r>
      <w:r>
        <w:rPr>
          <w:rFonts w:ascii="宋体" w:eastAsia="宋体" w:hAnsi="宋体" w:cs="宋体" w:hint="eastAsia"/>
          <w:sz w:val="28"/>
          <w:szCs w:val="28"/>
        </w:rPr>
        <w:t xml:space="preserve">财政拨款收入我部门财政拨款总收入</w:t>
      </w:r>
      <w:r>
        <w:rPr>
          <w:rFonts w:ascii="宋体" w:eastAsia="宋体" w:hAnsi="宋体" w:cs="宋体" w:hint="eastAsia"/>
          <w:sz w:val="28"/>
          <w:szCs w:val="28"/>
          <w:lang w:val="en-US" w:eastAsia="zh-CN" w:bidi="en-US"/>
        </w:rPr>
        <w:t xml:space="preserve">440.77</w:t>
      </w:r>
      <w:r>
        <w:rPr>
          <w:rFonts w:ascii="宋体" w:eastAsia="宋体" w:hAnsi="宋体" w:cs="宋体" w:hint="eastAsia"/>
          <w:sz w:val="28"/>
          <w:szCs w:val="28"/>
        </w:rPr>
        <w:t xml:space="preserve">万元，总支出</w:t>
      </w:r>
      <w:r>
        <w:rPr>
          <w:rFonts w:ascii="宋体" w:eastAsia="宋体" w:hAnsi="宋体" w:cs="宋体" w:hint="eastAsia"/>
          <w:sz w:val="28"/>
          <w:szCs w:val="28"/>
          <w:lang w:val="en-US" w:eastAsia="zh-CN" w:bidi="en-US"/>
        </w:rPr>
        <w:t xml:space="preserve">440.77</w:t>
      </w:r>
      <w:r>
        <w:rPr>
          <w:rFonts w:ascii="宋体" w:eastAsia="宋体" w:hAnsi="宋体" w:cs="宋体" w:hint="eastAsia"/>
          <w:sz w:val="28"/>
          <w:szCs w:val="28"/>
        </w:rPr>
        <w:t xml:space="preserve">万元。财政拨款总收入较2023年度预算数</w:t>
      </w:r>
      <w:r>
        <w:rPr>
          <w:rFonts w:ascii="宋体" w:eastAsia="宋体" w:hAnsi="宋体" w:cs="宋体" w:hint="eastAsia"/>
          <w:sz w:val="28"/>
          <w:szCs w:val="28"/>
          <w:lang w:val="en-US" w:eastAsia="zh-CN" w:bidi="en-US"/>
        </w:rPr>
        <w:t xml:space="preserve">468.26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减少27.49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下降5.87%</w:t>
      </w:r>
      <w:r>
        <w:rPr>
          <w:rFonts w:ascii="宋体" w:eastAsia="宋体" w:hAnsi="宋体" w:cs="宋体" w:hint="eastAsia"/>
          <w:sz w:val="28"/>
          <w:szCs w:val="28"/>
        </w:rPr>
        <w:t xml:space="preserve">，主要原因是</w:t>
      </w:r>
      <w:r>
        <w:rPr>
          <w:rFonts w:hint="eastAsia"/>
          <w:highlight w:val="none"/>
          <w:lang w:val="en-US" w:eastAsia="zh-CN"/>
        </w:rPr>
        <w:t xml:space="preserve">本年度较2023年教育支出相对减少。</w:t>
      </w:r>
      <w:r>
        <w:rPr>
          <w:rFonts w:ascii="宋体" w:eastAsia="宋体" w:hAnsi="宋体" w:cs="宋体" w:hint="eastAsia"/>
          <w:sz w:val="28"/>
          <w:szCs w:val="28"/>
        </w:rPr>
        <w:t xml:space="preserve">。财政拨款总支出较2023年度预算数</w:t>
      </w:r>
      <w:r>
        <w:rPr>
          <w:rFonts w:ascii="宋体" w:eastAsia="宋体" w:hAnsi="宋体" w:cs="宋体" w:hint="eastAsia"/>
          <w:sz w:val="28"/>
          <w:szCs w:val="28"/>
          <w:lang w:val="en-US" w:eastAsia="zh-CN" w:bidi="en-US"/>
        </w:rPr>
        <w:t xml:space="preserve">468.26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减少27.49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bidi="en-US"/>
        </w:rPr>
        <w:t xml:space="preserve">下降5.87%</w:t>
      </w:r>
      <w:r>
        <w:rPr>
          <w:rFonts w:ascii="宋体" w:eastAsia="宋体" w:hAnsi="宋体" w:cs="宋体" w:hint="eastAsia"/>
          <w:sz w:val="28"/>
          <w:szCs w:val="28"/>
        </w:rPr>
        <w:t xml:space="preserve">，主要原因是</w:t>
      </w:r>
      <w:r>
        <w:rPr>
          <w:rFonts w:hint="eastAsia"/>
          <w:highlight w:val="none"/>
          <w:lang w:val="en-US" w:eastAsia="zh-CN"/>
        </w:rPr>
        <w:t xml:space="preserve">本年度较2023年教育支出相对减少。</w:t>
      </w:r>
      <w:r>
        <w:rPr>
          <w:rFonts w:ascii="宋体" w:eastAsia="宋体" w:hAnsi="宋体" w:cs="宋体" w:hint="eastAsia"/>
          <w:sz w:val="28"/>
          <w:szCs w:val="28"/>
        </w:rPr>
        <w:t xml:space="preserve">。</w:t>
      </w:r>
    </w:p>
    <w:p>
      <w:pPr>
        <w:pStyle w:val="Bodytext|2"/>
        <w:spacing w:after="0" w:line="619" w:lineRule="exact"/>
        <w:ind w:firstLine="620"/>
        <w:jc w:val="left"/>
        <w:rPr>
          <w:rFonts w:hint="eastAsia"/>
          <w:b/>
          <w:bCs/>
          <w:lang w:val="en-US" w:eastAsia="zh-CN"/>
        </w:rPr>
      </w:pPr>
      <w:r>
        <w:rPr>
          <w:rFonts w:hint="eastAsia"/>
          <w:b/>
          <w:bCs/>
          <w:lang w:val="en-US" w:eastAsia="zh-CN"/>
        </w:rPr>
        <w:t xml:space="preserve">五、一般公共预算支出情况说明</w:t>
      </w:r>
    </w:p>
    <w:p>
      <w:pPr>
        <w:pStyle w:val="Bodytext|1"/>
        <w:spacing w:line="240" w:lineRule="auto"/>
        <w:ind w:firstLine="0"/>
        <w:jc w:val="left"/>
        <w:rPr>
          <w:lang w:eastAsia="zh-CN"/>
        </w:rPr>
      </w:pPr>
      <w:r>
        <w:rPr>
          <w:lang w:eastAsia="zh-CN"/>
        </w:rPr>
        <w:drawing>
          <wp:inline distT="0" distB="0" distL="114300" distR="114300">
            <wp:extent cx="5080000" cy="3810000"/>
            <wp:effectExtent l="4445" t="4445" r="20955" b="14605"/>
            <wp:docPr id="6585" name="图表 10" title="{{img_zc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1"/>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lang w:eastAsia="zh-CN"/>
        </w:rPr>
        <w:t xml:space="preserve">2024</w:t>
      </w:r>
      <w:r>
        <w:rPr>
          <w:rFonts w:ascii="宋体" w:eastAsia="宋体" w:hAnsi="宋体" w:cs="宋体" w:hint="eastAsia"/>
          <w:sz w:val="28"/>
          <w:szCs w:val="28"/>
          <w:lang w:val="en-US" w:eastAsia="zh-CN"/>
        </w:rPr>
        <w:t xml:space="preserve">年</w:t>
      </w:r>
      <w:r>
        <w:rPr>
          <w:rFonts w:ascii="宋体" w:eastAsia="宋体" w:hAnsi="宋体" w:cs="宋体" w:hint="eastAsia"/>
          <w:sz w:val="28"/>
          <w:szCs w:val="28"/>
        </w:rPr>
        <w:t xml:space="preserve">一般公共预算支出共</w:t>
      </w:r>
      <w:r>
        <w:rPr>
          <w:rFonts w:ascii="宋体" w:eastAsia="宋体" w:hAnsi="宋体" w:cs="宋体" w:hint="eastAsia"/>
          <w:sz w:val="28"/>
          <w:szCs w:val="28"/>
          <w:lang w:val="en-US" w:eastAsia="zh-CN"/>
        </w:rPr>
        <w:t xml:space="preserve">440.77</w:t>
      </w:r>
      <w:r>
        <w:rPr>
          <w:rFonts w:ascii="宋体" w:eastAsia="宋体" w:hAnsi="宋体" w:cs="宋体" w:hint="eastAsia"/>
          <w:sz w:val="28"/>
          <w:szCs w:val="28"/>
        </w:rPr>
        <w:t xml:space="preserve">万元，较2023年度预算数</w:t>
      </w:r>
      <w:r>
        <w:rPr>
          <w:rFonts w:ascii="宋体" w:eastAsia="宋体" w:hAnsi="宋体" w:cs="宋体" w:hint="eastAsia"/>
          <w:sz w:val="28"/>
          <w:szCs w:val="28"/>
          <w:lang w:val="en-US" w:eastAsia="zh-CN"/>
        </w:rPr>
        <w:t xml:space="preserve">468.26</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减少27.49</w:t>
      </w:r>
      <w:r>
        <w:rPr>
          <w:rFonts w:ascii="宋体" w:eastAsia="宋体" w:hAnsi="宋体" w:cs="宋体" w:hint="eastAsia"/>
          <w:sz w:val="28"/>
          <w:szCs w:val="28"/>
        </w:rPr>
        <w:t xml:space="preserve">万元，</w:t>
      </w:r>
      <w:r>
        <w:rPr>
          <w:rFonts w:ascii="宋体" w:eastAsia="宋体" w:hAnsi="宋体" w:cs="宋体" w:hint="eastAsia"/>
          <w:sz w:val="28"/>
          <w:szCs w:val="28"/>
          <w:lang w:val="en-US" w:eastAsia="zh-CN"/>
        </w:rPr>
        <w:t xml:space="preserve">下降5.87%</w:t>
      </w:r>
      <w:r>
        <w:rPr>
          <w:rFonts w:ascii="宋体" w:eastAsia="宋体" w:hAnsi="宋体" w:cs="宋体" w:hint="eastAsia"/>
          <w:sz w:val="28"/>
          <w:szCs w:val="28"/>
        </w:rPr>
        <w:t xml:space="preserve">，主要原因是</w:t>
      </w:r>
      <w:r>
        <w:rPr>
          <w:rFonts w:hint="eastAsia"/>
          <w:highlight w:val="none"/>
          <w:lang w:val="en-US" w:eastAsia="zh-CN"/>
        </w:rPr>
        <w:t xml:space="preserve">本年度较2023年教育支出相对减少。</w:t>
      </w:r>
      <w:r>
        <w:rPr>
          <w:rFonts w:ascii="宋体" w:eastAsia="宋体" w:hAnsi="宋体" w:cs="宋体" w:hint="eastAsia"/>
          <w:sz w:val="28"/>
          <w:szCs w:val="28"/>
        </w:rPr>
        <w:t xml:space="preserve">。中央提前下达2024年一般公共预算转移支付资金安排的支出</w:t>
      </w:r>
      <w:r>
        <w:rPr>
          <w:rFonts w:ascii="宋体" w:eastAsia="宋体" w:hAnsi="宋体" w:cs="宋体" w:hint="eastAsia"/>
          <w:sz w:val="28"/>
          <w:szCs w:val="28"/>
          <w:lang w:val="en-US" w:eastAsia="zh-CN"/>
        </w:rPr>
        <w:t xml:space="preserve">0.00</w:t>
      </w:r>
      <w:r>
        <w:rPr>
          <w:rFonts w:ascii="宋体" w:eastAsia="宋体" w:hAnsi="宋体" w:cs="宋体" w:hint="eastAsia"/>
          <w:sz w:val="28"/>
          <w:szCs w:val="28"/>
        </w:rPr>
        <w:t xml:space="preserve">万元。具体情况为：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一般公共服务支出</w:t>
      </w:r>
      <w:r>
        <w:rPr>
          <w:rFonts w:ascii="宋体" w:eastAsia="宋体" w:hAnsi="宋体" w:cs="宋体" w:hint="eastAsia"/>
          <w:sz w:val="28"/>
          <w:szCs w:val="28"/>
        </w:rPr>
        <w:t xml:space="preserve">（类）支出</w:t>
      </w:r>
      <w:r>
        <w:rPr>
          <w:rFonts w:ascii="宋体" w:eastAsia="宋体" w:hAnsi="宋体" w:cs="宋体"/>
          <w:sz w:val="28"/>
          <w:u w:color="auto"/>
        </w:rPr>
        <w:t xml:space="preserve">3.13</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0.71%</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3.39</w:t>
      </w:r>
      <w:r>
        <w:rPr>
          <w:rFonts w:ascii="宋体" w:eastAsia="宋体" w:hAnsi="宋体" w:cs="宋体" w:hint="eastAsia"/>
          <w:sz w:val="28"/>
          <w:szCs w:val="28"/>
        </w:rPr>
        <w:t xml:space="preserve">万元，</w:t>
      </w:r>
      <w:r>
        <w:rPr>
          <w:rFonts w:ascii="宋体" w:eastAsia="宋体" w:hAnsi="宋体" w:cs="宋体"/>
          <w:sz w:val="28"/>
          <w:u w:color="auto"/>
        </w:rPr>
        <w:t xml:space="preserve">减少0.26</w:t>
      </w:r>
      <w:r>
        <w:rPr>
          <w:rFonts w:ascii="宋体" w:eastAsia="宋体" w:hAnsi="宋体" w:cs="宋体" w:hint="eastAsia"/>
          <w:sz w:val="28"/>
          <w:szCs w:val="28"/>
        </w:rPr>
        <w:t xml:space="preserve">万元，</w:t>
      </w:r>
      <w:r>
        <w:rPr>
          <w:rFonts w:ascii="宋体" w:eastAsia="宋体" w:hAnsi="宋体" w:cs="宋体"/>
          <w:sz w:val="28"/>
          <w:u w:color="auto"/>
        </w:rPr>
        <w:t xml:space="preserve">减少7.67%</w:t>
      </w:r>
      <w:r>
        <w:rPr>
          <w:rFonts w:ascii="宋体" w:eastAsia="宋体" w:hAnsi="宋体" w:cs="宋体" w:hint="eastAsia"/>
          <w:sz w:val="28"/>
          <w:szCs w:val="28"/>
        </w:rPr>
        <w:t xml:space="preserve">，主要原因是：</w:t>
      </w:r>
      <w:r>
        <w:rPr>
          <w:rFonts w:hint="eastAsia"/>
          <w:highlight w:val="none"/>
        </w:rPr>
        <w:t xml:space="preserve">工会经费计算基数比上年低。</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住房保障支出</w:t>
      </w:r>
      <w:r>
        <w:rPr>
          <w:rFonts w:ascii="宋体" w:eastAsia="宋体" w:hAnsi="宋体" w:cs="宋体" w:hint="eastAsia"/>
          <w:sz w:val="28"/>
          <w:szCs w:val="28"/>
        </w:rPr>
        <w:t xml:space="preserve">（类）支出</w:t>
      </w:r>
      <w:r>
        <w:rPr>
          <w:rFonts w:ascii="宋体" w:eastAsia="宋体" w:hAnsi="宋体" w:cs="宋体"/>
          <w:sz w:val="28"/>
          <w:u w:color="auto"/>
        </w:rPr>
        <w:t xml:space="preserve">8.15</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1.85%</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21.05</w:t>
      </w:r>
      <w:r>
        <w:rPr>
          <w:rFonts w:ascii="宋体" w:eastAsia="宋体" w:hAnsi="宋体" w:cs="宋体" w:hint="eastAsia"/>
          <w:sz w:val="28"/>
          <w:szCs w:val="28"/>
        </w:rPr>
        <w:t xml:space="preserve">万元，</w:t>
      </w:r>
      <w:r>
        <w:rPr>
          <w:rFonts w:ascii="宋体" w:eastAsia="宋体" w:hAnsi="宋体" w:cs="宋体"/>
          <w:sz w:val="28"/>
          <w:u w:color="auto"/>
        </w:rPr>
        <w:t xml:space="preserve">减少12.90</w:t>
      </w:r>
      <w:r>
        <w:rPr>
          <w:rFonts w:ascii="宋体" w:eastAsia="宋体" w:hAnsi="宋体" w:cs="宋体" w:hint="eastAsia"/>
          <w:sz w:val="28"/>
          <w:szCs w:val="28"/>
        </w:rPr>
        <w:t xml:space="preserve">万元，</w:t>
      </w:r>
      <w:r>
        <w:rPr>
          <w:rFonts w:ascii="宋体" w:eastAsia="宋体" w:hAnsi="宋体" w:cs="宋体"/>
          <w:sz w:val="28"/>
          <w:u w:color="auto"/>
        </w:rPr>
        <w:t xml:space="preserve">减少61.28%</w:t>
      </w:r>
      <w:r>
        <w:rPr>
          <w:rFonts w:ascii="宋体" w:eastAsia="宋体" w:hAnsi="宋体" w:cs="宋体" w:hint="eastAsia"/>
          <w:sz w:val="28"/>
          <w:szCs w:val="28"/>
        </w:rPr>
        <w:t xml:space="preserve">，主要原因是：</w:t>
      </w:r>
      <w:r>
        <w:rPr>
          <w:rFonts w:hint="eastAsia"/>
          <w:highlight w:val="none"/>
        </w:rPr>
        <w:t xml:space="preserve">此项支出有在职在编26人，按教育支出预算。</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教育支出</w:t>
      </w:r>
      <w:r>
        <w:rPr>
          <w:rFonts w:ascii="宋体" w:eastAsia="宋体" w:hAnsi="宋体" w:cs="宋体" w:hint="eastAsia"/>
          <w:sz w:val="28"/>
          <w:szCs w:val="28"/>
        </w:rPr>
        <w:t xml:space="preserve">（类）支出</w:t>
      </w:r>
      <w:r>
        <w:rPr>
          <w:rFonts w:ascii="宋体" w:eastAsia="宋体" w:hAnsi="宋体" w:cs="宋体"/>
          <w:sz w:val="28"/>
          <w:u w:color="auto"/>
        </w:rPr>
        <w:t xml:space="preserve">420.00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95.29%</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415.75</w:t>
      </w:r>
      <w:r>
        <w:rPr>
          <w:rFonts w:ascii="宋体" w:eastAsia="宋体" w:hAnsi="宋体" w:cs="宋体" w:hint="eastAsia"/>
          <w:sz w:val="28"/>
          <w:szCs w:val="28"/>
        </w:rPr>
        <w:t xml:space="preserve">万元，</w:t>
      </w:r>
      <w:r>
        <w:rPr>
          <w:rFonts w:ascii="宋体" w:eastAsia="宋体" w:hAnsi="宋体" w:cs="宋体"/>
          <w:sz w:val="28"/>
          <w:u w:color="auto"/>
        </w:rPr>
        <w:t xml:space="preserve">增长4.25</w:t>
      </w:r>
      <w:r>
        <w:rPr>
          <w:rFonts w:ascii="宋体" w:eastAsia="宋体" w:hAnsi="宋体" w:cs="宋体" w:hint="eastAsia"/>
          <w:sz w:val="28"/>
          <w:szCs w:val="28"/>
        </w:rPr>
        <w:t xml:space="preserve">万元，</w:t>
      </w:r>
      <w:r>
        <w:rPr>
          <w:rFonts w:ascii="宋体" w:eastAsia="宋体" w:hAnsi="宋体" w:cs="宋体"/>
          <w:sz w:val="28"/>
          <w:u w:color="auto"/>
        </w:rPr>
        <w:t xml:space="preserve">增长1.02%</w:t>
      </w:r>
      <w:r>
        <w:rPr>
          <w:rFonts w:ascii="宋体" w:eastAsia="宋体" w:hAnsi="宋体" w:cs="宋体" w:hint="eastAsia"/>
          <w:sz w:val="28"/>
          <w:szCs w:val="28"/>
        </w:rPr>
        <w:t xml:space="preserve">，主要原因是：</w:t>
      </w:r>
      <w:r>
        <w:rPr>
          <w:rFonts w:hint="eastAsia"/>
          <w:highlight w:val="none"/>
        </w:rPr>
        <w:t xml:space="preserve">工资标准比2023年有所提高，以及教育系统干部职工基础性绩效工资增量基数增加。</w:t>
      </w:r>
      <w:r>
        <w:rPr>
          <w:rFonts w:ascii="宋体" w:eastAsia="宋体" w:hAnsi="宋体" w:cs="宋体" w:hint="eastAsia"/>
          <w:sz w:val="28"/>
          <w:szCs w:val="28"/>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ascii="宋体" w:eastAsia="宋体" w:hAnsi="宋体" w:cs="宋体" w:hint="eastAsia"/>
          <w:sz w:val="28"/>
          <w:szCs w:val="28"/>
        </w:rPr>
      </w:pPr>
      <w:r>
        <w:rPr>
          <w:rFonts w:ascii="宋体" w:eastAsia="宋体" w:hAnsi="宋体" w:cs="宋体" w:hint="eastAsia"/>
          <w:sz w:val="28"/>
          <w:szCs w:val="28"/>
        </w:rPr>
        <w:t xml:space="preserve">社会保障和就业支出</w:t>
      </w:r>
      <w:r>
        <w:rPr>
          <w:rFonts w:ascii="宋体" w:eastAsia="宋体" w:hAnsi="宋体" w:cs="宋体" w:hint="eastAsia"/>
          <w:sz w:val="28"/>
          <w:szCs w:val="28"/>
        </w:rPr>
        <w:t xml:space="preserve">（类）支出</w:t>
      </w:r>
      <w:r>
        <w:rPr>
          <w:rFonts w:ascii="宋体" w:eastAsia="宋体" w:hAnsi="宋体" w:cs="宋体"/>
          <w:sz w:val="28"/>
          <w:u w:color="auto"/>
        </w:rPr>
        <w:t xml:space="preserve">9.50</w:t>
      </w:r>
      <w:r>
        <w:rPr>
          <w:rFonts w:ascii="宋体" w:eastAsia="宋体" w:hAnsi="宋体" w:cs="宋体" w:hint="eastAsia"/>
          <w:sz w:val="28"/>
          <w:szCs w:val="28"/>
        </w:rPr>
        <w:t xml:space="preserve">万元，占支出总预算的</w:t>
      </w:r>
      <w:r>
        <w:rPr>
          <w:rFonts w:ascii="宋体" w:eastAsia="宋体" w:hAnsi="宋体" w:cs="宋体"/>
          <w:sz w:val="28"/>
          <w:u w:color="auto"/>
        </w:rPr>
        <w:t xml:space="preserve">2.16%</w:t>
      </w:r>
      <w:r>
        <w:rPr>
          <w:rFonts w:ascii="宋体" w:eastAsia="宋体" w:hAnsi="宋体" w:cs="宋体" w:hint="eastAsia"/>
          <w:sz w:val="28"/>
          <w:szCs w:val="28"/>
          <w:lang w:eastAsia="zh-CN"/>
        </w:rPr>
        <w:t xml:space="preserve">，</w:t>
      </w:r>
      <w:r>
        <w:rPr>
          <w:rFonts w:ascii="宋体" w:eastAsia="宋体" w:hAnsi="宋体" w:cs="宋体" w:hint="eastAsia"/>
          <w:sz w:val="28"/>
          <w:szCs w:val="28"/>
        </w:rPr>
        <w:t xml:space="preserve">较2023年度预算数</w:t>
      </w:r>
      <w:r>
        <w:rPr>
          <w:rFonts w:ascii="宋体" w:eastAsia="宋体" w:hAnsi="宋体" w:cs="宋体"/>
          <w:sz w:val="28"/>
          <w:u w:color="auto"/>
        </w:rPr>
        <w:t xml:space="preserve">28.07</w:t>
      </w:r>
      <w:r>
        <w:rPr>
          <w:rFonts w:ascii="宋体" w:eastAsia="宋体" w:hAnsi="宋体" w:cs="宋体" w:hint="eastAsia"/>
          <w:sz w:val="28"/>
          <w:szCs w:val="28"/>
        </w:rPr>
        <w:t xml:space="preserve">万元，</w:t>
      </w:r>
      <w:r>
        <w:rPr>
          <w:rFonts w:ascii="宋体" w:eastAsia="宋体" w:hAnsi="宋体" w:cs="宋体"/>
          <w:sz w:val="28"/>
          <w:u w:color="auto"/>
        </w:rPr>
        <w:t xml:space="preserve">减少18.57</w:t>
      </w:r>
      <w:r>
        <w:rPr>
          <w:rFonts w:ascii="宋体" w:eastAsia="宋体" w:hAnsi="宋体" w:cs="宋体" w:hint="eastAsia"/>
          <w:sz w:val="28"/>
          <w:szCs w:val="28"/>
        </w:rPr>
        <w:t xml:space="preserve">万元，</w:t>
      </w:r>
      <w:r>
        <w:rPr>
          <w:rFonts w:ascii="宋体" w:eastAsia="宋体" w:hAnsi="宋体" w:cs="宋体"/>
          <w:sz w:val="28"/>
          <w:u w:color="auto"/>
        </w:rPr>
        <w:t xml:space="preserve">减少66.16%</w:t>
      </w:r>
      <w:r>
        <w:rPr>
          <w:rFonts w:ascii="宋体" w:eastAsia="宋体" w:hAnsi="宋体" w:cs="宋体" w:hint="eastAsia"/>
          <w:sz w:val="28"/>
          <w:szCs w:val="28"/>
        </w:rPr>
        <w:t xml:space="preserve">，主要原因是：</w:t>
      </w:r>
      <w:r>
        <w:rPr>
          <w:rFonts w:hint="eastAsia"/>
          <w:highlight w:val="none"/>
        </w:rPr>
        <w:t xml:space="preserve">此项支出有在职在编26人，按教育支出预算。</w:t>
      </w:r>
      <w:r>
        <w:rPr>
          <w:rFonts w:ascii="宋体" w:eastAsia="宋体" w:hAnsi="宋体" w:cs="宋体"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六、一般公共预算基本支出情况说明</w:t>
      </w:r>
    </w:p>
    <w:p>
      <w:pPr>
        <w:pStyle w:val="Bodytext|2"/>
        <w:spacing w:after="0"/>
        <w:ind w:firstLine="0"/>
        <w:jc w:val="left"/>
        <w:rPr>
          <w:highlight w:val="yellow"/>
          <w:lang w:val="en-US" w:eastAsia="zh-CN"/>
        </w:rPr>
      </w:pPr>
      <w:r>
        <w:rPr>
          <w:highlight w:val="none"/>
          <w:lang w:val="en-US" w:eastAsia="zh-CN"/>
        </w:rPr>
        <w:drawing>
          <wp:inline distT="0" distB="0" distL="114300" distR="114300">
            <wp:extent cx="5080000" cy="3810000"/>
            <wp:effectExtent l="4445" t="4445" r="20955" b="14605"/>
            <wp:docPr id="6586" name="图表 3" title="{{rep6_yb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2"/>
              </a:graphicData>
            </a:graphic>
          </wp:inline>
        </w:drawing>
      </w:r>
    </w:p>
    <w:p>
      <w:pPr>
        <w:pStyle w:val="Bodytext|1"/>
        <w:keepNext w:val="0"/>
        <w:keepLines w:val="0"/>
        <w:pageBreakBefore w:val="0"/>
        <w:widowControl w:val="0"/>
        <w:kinsoku/>
        <w:wordWrap/>
        <w:overflowPunct/>
        <w:topLinePunct w:val="0"/>
        <w:autoSpaceDE/>
        <w:autoSpaceDN/>
        <w:bidi w:val="0"/>
        <w:adjustRightInd/>
        <w:snapToGrid/>
        <w:spacing w:line="600" w:lineRule="exact"/>
        <w:ind w:left="0" w:firstLine="560" w:leftChars="0" w:firstLineChars="200"/>
        <w:jc w:val="left"/>
        <w:textAlignment w:val="auto"/>
        <w:rPr>
          <w:rFonts w:hint="eastAsia"/>
          <w:lang w:val="en-US" w:eastAsia="zh-CN"/>
        </w:rPr>
      </w:pPr>
      <w:r>
        <w:rPr>
          <w:rFonts w:hint="eastAsia"/>
          <w:lang w:val="en-US" w:eastAsia="zh-CN"/>
        </w:rPr>
        <w:t xml:space="preserve">2024</w:t>
      </w:r>
      <w:r>
        <w:rPr>
          <w:u w:color="auto"/>
        </w:rPr>
        <w:t xml:space="preserve">年</w:t>
      </w:r>
      <w:r>
        <w:rPr>
          <w:rFonts w:hint="eastAsia"/>
        </w:rPr>
        <w:t xml:space="preserve">一般公共预算基本支出共</w:t>
      </w:r>
      <w:r>
        <w:rPr>
          <w:rFonts w:hint="eastAsia"/>
          <w:lang w:val="en-US" w:eastAsia="zh-CN"/>
        </w:rPr>
        <w:t xml:space="preserve">271.30</w:t>
      </w:r>
      <w:r>
        <w:rPr>
          <w:rFonts w:hint="eastAsia"/>
        </w:rPr>
        <w:t xml:space="preserve">万元，较2023年度预算数</w:t>
      </w:r>
      <w:r>
        <w:rPr>
          <w:rFonts w:hint="eastAsia"/>
          <w:lang w:val="en-US" w:eastAsia="zh-CN"/>
        </w:rPr>
        <w:t xml:space="preserve">204.51</w:t>
      </w:r>
      <w:r>
        <w:rPr>
          <w:rFonts w:hint="eastAsia"/>
        </w:rPr>
        <w:t xml:space="preserve">万元</w:t>
      </w:r>
      <w:r>
        <w:rPr>
          <w:rFonts w:hint="eastAsia"/>
          <w:lang w:val="en-US" w:eastAsia="zh-CN"/>
        </w:rPr>
        <w:t xml:space="preserve">,</w:t>
      </w:r>
      <w:r>
        <w:rPr>
          <w:u w:color="auto"/>
        </w:rPr>
        <w:t xml:space="preserve">增加66.79</w:t>
      </w:r>
      <w:r>
        <w:rPr>
          <w:rFonts w:hint="eastAsia"/>
        </w:rPr>
        <w:t xml:space="preserve">万元，</w:t>
      </w:r>
      <w:r>
        <w:rPr>
          <w:rFonts w:hint="eastAsia"/>
          <w:lang w:val="en-US" w:eastAsia="zh-CN"/>
        </w:rPr>
        <w:t xml:space="preserve">增长32.66%</w:t>
      </w:r>
      <w:r>
        <w:rPr>
          <w:rFonts w:hint="eastAsia"/>
        </w:rPr>
        <w:t xml:space="preserve">，主要原因是</w:t>
      </w:r>
      <w:r>
        <w:rPr>
          <w:rFonts w:hint="eastAsia"/>
          <w:highlight w:val="none"/>
          <w:lang w:val="en-US" w:eastAsia="zh-CN"/>
        </w:rPr>
        <w:t xml:space="preserve">工资标准比2023年有所提高，以及教育系统干部职工基础性绩效工资增量基数增加。</w:t>
      </w:r>
      <w:r>
        <w:rPr>
          <w:rFonts w:hint="eastAsia"/>
        </w:rPr>
        <w:t xml:space="preserve">具体情况为：</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工资福利支出</w:t>
      </w:r>
      <w:r>
        <w:rPr>
          <w:rFonts w:hint="eastAsia"/>
        </w:rPr>
        <w:t xml:space="preserve">支出预算</w:t>
      </w:r>
      <w:r>
        <w:rPr>
          <w:rFonts w:hint="eastAsia"/>
          <w:lang w:val="en-US" w:eastAsia="zh-CN"/>
        </w:rPr>
        <w:t xml:space="preserve">267.01</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98.42%</w:t>
      </w:r>
      <w:r>
        <w:rPr>
          <w:rFonts w:hint="eastAsia"/>
        </w:rPr>
        <w:t xml:space="preserve">，较2023年度预算数</w:t>
      </w:r>
      <w:r>
        <w:rPr>
          <w:rFonts w:hint="eastAsia"/>
          <w:lang w:val="en-US" w:eastAsia="zh-CN"/>
        </w:rPr>
        <w:t xml:space="preserve">201.12</w:t>
      </w:r>
      <w:r>
        <w:rPr>
          <w:rFonts w:hint="eastAsia"/>
        </w:rPr>
        <w:t xml:space="preserve">万元，</w:t>
      </w:r>
      <w:r>
        <w:rPr>
          <w:rFonts w:hint="eastAsia"/>
          <w:lang w:val="en-US" w:eastAsia="zh-CN"/>
        </w:rPr>
        <w:t xml:space="preserve">增长65.89</w:t>
      </w:r>
      <w:r>
        <w:rPr>
          <w:rFonts w:hint="eastAsia"/>
        </w:rPr>
        <w:t xml:space="preserve">万元，</w:t>
      </w:r>
      <w:r>
        <w:rPr>
          <w:rFonts w:hint="eastAsia"/>
          <w:lang w:val="en-US" w:eastAsia="zh-CN"/>
        </w:rPr>
        <w:t xml:space="preserve">增长32.76%</w:t>
      </w:r>
      <w:r>
        <w:rPr>
          <w:rFonts w:hint="eastAsia"/>
        </w:rPr>
        <w:t xml:space="preserve">，主要原因是：</w:t>
      </w:r>
      <w:r>
        <w:rPr>
          <w:rFonts w:hint="eastAsia"/>
          <w:highlight w:val="none"/>
        </w:rPr>
        <w:t xml:space="preserve">工资标准比2023年有所提高，以及教育系统干部职工基础性绩效工资增量基数增加。</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商品和服务支出</w:t>
      </w:r>
      <w:r>
        <w:rPr>
          <w:rFonts w:hint="eastAsia"/>
        </w:rPr>
        <w:t xml:space="preserve">支出预算</w:t>
      </w:r>
      <w:r>
        <w:rPr>
          <w:rFonts w:hint="eastAsia"/>
          <w:lang w:val="en-US" w:eastAsia="zh-CN"/>
        </w:rPr>
        <w:t xml:space="preserve">3.13</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1.15%</w:t>
      </w:r>
      <w:r>
        <w:rPr>
          <w:rFonts w:hint="eastAsia"/>
        </w:rPr>
        <w:t xml:space="preserve">，较2023年度预算数</w:t>
      </w:r>
      <w:r>
        <w:rPr>
          <w:rFonts w:hint="eastAsia"/>
          <w:lang w:val="en-US" w:eastAsia="zh-CN"/>
        </w:rPr>
        <w:t xml:space="preserve">3.39</w:t>
      </w:r>
      <w:r>
        <w:rPr>
          <w:rFonts w:hint="eastAsia"/>
        </w:rPr>
        <w:t xml:space="preserve">万元，</w:t>
      </w:r>
      <w:r>
        <w:rPr>
          <w:rFonts w:hint="eastAsia"/>
          <w:lang w:val="en-US" w:eastAsia="zh-CN"/>
        </w:rPr>
        <w:t xml:space="preserve">减少0.26</w:t>
      </w:r>
      <w:r>
        <w:rPr>
          <w:rFonts w:hint="eastAsia"/>
        </w:rPr>
        <w:t xml:space="preserve">万元，</w:t>
      </w:r>
      <w:r>
        <w:rPr>
          <w:rFonts w:hint="eastAsia"/>
          <w:lang w:val="en-US" w:eastAsia="zh-CN"/>
        </w:rPr>
        <w:t xml:space="preserve">减少7.67%</w:t>
      </w:r>
      <w:r>
        <w:rPr>
          <w:rFonts w:hint="eastAsia"/>
        </w:rPr>
        <w:t xml:space="preserve">，主要原因是：</w:t>
      </w:r>
      <w:r>
        <w:rPr>
          <w:rFonts w:hint="eastAsia"/>
          <w:highlight w:val="none"/>
        </w:rPr>
        <w:t xml:space="preserve">工会经费计算基数比上年低。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0"/>
        <w:jc w:val="left"/>
        <w:textAlignment w:val="auto"/>
        <w:rPr>
          <w:rFonts w:hint="default"/>
          <w:lang w:val="en-US" w:eastAsia="zh-CN"/>
        </w:rPr>
      </w:pPr>
      <w:r>
        <w:rPr>
          <w:rFonts w:hint="eastAsia"/>
          <w:lang w:val="en-US" w:eastAsia="zh-CN"/>
        </w:rPr>
        <w:t xml:space="preserve">对个人和家庭的补助</w:t>
      </w:r>
      <w:r>
        <w:rPr>
          <w:rFonts w:hint="eastAsia"/>
        </w:rPr>
        <w:t xml:space="preserve">支出预算</w:t>
      </w:r>
      <w:r>
        <w:rPr>
          <w:rFonts w:hint="eastAsia"/>
          <w:lang w:val="en-US" w:eastAsia="zh-CN"/>
        </w:rPr>
        <w:t xml:space="preserve">1.16</w:t>
      </w:r>
      <w:r>
        <w:t xml:space="preserve">万元</w:t>
      </w:r>
      <w:r>
        <w:rPr>
          <w:rFonts w:hint="eastAsia"/>
          <w:lang w:eastAsia="zh-CN"/>
        </w:rPr>
        <w:t xml:space="preserve">，</w:t>
      </w:r>
      <w:r>
        <w:rPr>
          <w:rFonts w:hint="eastAsia"/>
        </w:rPr>
        <w:t xml:space="preserve">占基本支出预算的</w:t>
      </w:r>
      <w:r>
        <w:rPr>
          <w:rFonts w:hint="eastAsia"/>
          <w:lang w:val="en-US" w:eastAsia="zh-CN"/>
        </w:rPr>
        <w:t xml:space="preserve">0.43%</w:t>
      </w:r>
      <w:r>
        <w:rPr>
          <w:rFonts w:hint="eastAsia"/>
        </w:rPr>
        <w:t xml:space="preserve">，较2023年度预算数</w:t>
      </w:r>
      <w:r>
        <w:rPr>
          <w:rFonts w:hint="eastAsia"/>
          <w:lang w:val="en-US" w:eastAsia="zh-CN"/>
        </w:rPr>
        <w:t xml:space="preserve">0.00</w:t>
      </w:r>
      <w:r>
        <w:rPr>
          <w:rFonts w:hint="eastAsia"/>
        </w:rPr>
        <w:t xml:space="preserve">万元，</w:t>
      </w:r>
      <w:r>
        <w:rPr>
          <w:rFonts w:hint="eastAsia"/>
          <w:lang w:val="en-US" w:eastAsia="zh-CN"/>
        </w:rPr>
        <w:t xml:space="preserve">增长1.16</w:t>
      </w:r>
      <w:r>
        <w:rPr>
          <w:rFonts w:hint="eastAsia"/>
        </w:rPr>
        <w:t xml:space="preserve">万元，</w:t>
      </w:r>
      <w:r>
        <w:rPr>
          <w:rFonts w:hint="eastAsia"/>
          <w:lang w:val="en-US" w:eastAsia="zh-CN"/>
        </w:rPr>
        <w:t xml:space="preserve">增长100%</w:t>
      </w:r>
      <w:r>
        <w:rPr>
          <w:rFonts w:hint="eastAsia"/>
        </w:rPr>
        <w:t xml:space="preserve">，主要原因是：</w:t>
      </w:r>
      <w:r>
        <w:rPr>
          <w:rFonts w:hint="eastAsia"/>
          <w:highlight w:val="none"/>
        </w:rPr>
        <w:t xml:space="preserve">本年度增加一人退休。</w:t>
      </w:r>
    </w:p>
    <w:p>
      <w:pPr>
        <w:pStyle w:val="Bodytext|2"/>
        <w:spacing w:after="0" w:line="619" w:lineRule="exact"/>
        <w:ind w:firstLine="620"/>
        <w:jc w:val="left"/>
        <w:rPr>
          <w:rFonts w:hint="eastAsia"/>
          <w:b/>
          <w:bCs/>
        </w:rPr>
      </w:pPr>
      <w:r>
        <w:rPr>
          <w:rFonts w:hint="eastAsia"/>
          <w:b/>
          <w:bCs/>
          <w:lang w:val="en-US" w:eastAsia="zh-CN"/>
        </w:rPr>
        <w:t xml:space="preserve">七、一般公共预算</w:t>
      </w:r>
      <w:r>
        <w:rPr>
          <w:rFonts w:hint="eastAsia"/>
          <w:b/>
          <w:bCs/>
          <w:lang w:val="zh-CN" w:eastAsia="zh-CN"/>
        </w:rPr>
        <w:t xml:space="preserve">“三</w:t>
      </w:r>
      <w:r>
        <w:rPr>
          <w:rFonts w:hint="eastAsia"/>
          <w:b/>
          <w:bCs/>
          <w:lang w:val="en-US" w:eastAsia="zh-CN"/>
        </w:rPr>
        <w:t xml:space="preserve">公”经费支出情况说明</w:t>
      </w:r>
    </w:p>
    <w:p>
      <w:pPr>
        <w:pStyle w:val="Bodytext|2"/>
        <w:spacing w:after="0"/>
        <w:ind w:firstLine="0"/>
        <w:jc w:val="left"/>
        <w:rPr>
          <w:highlight w:val="yellow"/>
          <w:lang w:val="en-US" w:eastAsia="zh-CN"/>
        </w:rPr>
      </w:pPr>
      <w:r>
        <w:rPr>
          <w:rFonts w:hint="eastAsia"/>
          <w:highlight w:val="none"/>
          <w:lang w:val="en-US" w:eastAsia="zh-CN"/>
        </w:rPr>
        <w:drawing>
          <wp:inline distT="0" distB="0" distL="114300" distR="114300">
            <wp:extent cx="5080000" cy="3810000"/>
            <wp:effectExtent l="4445" t="4445" r="5715" b="10795"/>
            <wp:docPr id="6587" name="图表 23" title="{{img_sgzc_ys_data}}"/>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r:id="rId13"/>
              </a:graphicData>
            </a:graphic>
          </wp:inline>
        </w:drawing>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lang w:eastAsia="zh-CN"/>
        </w:rPr>
      </w:pPr>
      <w:bookmarkStart w:id="14" w:name="bookmark90"/>
      <w:r>
        <w:rPr>
          <w:rFonts w:hint="eastAsia"/>
          <w:b w:val="0"/>
          <w:bCs w:val="0"/>
          <w:sz w:val="28"/>
          <w:szCs w:val="28"/>
          <w:lang w:eastAsia="zh-CN"/>
        </w:rPr>
        <w:t xml:space="preserve">（</w:t>
      </w:r>
      <w:r>
        <w:rPr>
          <w:rFonts w:hint="eastAsia"/>
          <w:b w:val="0"/>
          <w:bCs w:val="0"/>
          <w:sz w:val="28"/>
          <w:szCs w:val="28"/>
          <w:lang w:val="en-US" w:eastAsia="zh-CN"/>
        </w:rPr>
        <w:t xml:space="preserve">一</w:t>
      </w:r>
      <w:r>
        <w:rPr>
          <w:rFonts w:hint="eastAsia"/>
          <w:b w:val="0"/>
          <w:bCs w:val="0"/>
          <w:sz w:val="28"/>
          <w:szCs w:val="28"/>
          <w:lang w:eastAsia="zh-CN"/>
        </w:rPr>
        <w:t xml:space="preserve">）</w:t>
      </w:r>
      <w:r>
        <w:rPr>
          <w:sz w:val="28"/>
          <w:u w:color="auto"/>
        </w:rPr>
        <w:t xml:space="preserve">2024</w:t>
      </w:r>
      <w:r>
        <w:rPr>
          <w:sz w:val="28"/>
          <w:u w:color="auto"/>
        </w:rPr>
        <w:t xml:space="preserve">年部门预算共安排</w:t>
      </w:r>
      <w:r>
        <w:rPr>
          <w:rFonts w:hint="eastAsia"/>
          <w:b w:val="0"/>
          <w:bCs w:val="0"/>
          <w:sz w:val="28"/>
          <w:szCs w:val="28"/>
          <w:lang w:val="zh-CN" w:eastAsia="zh-CN"/>
        </w:rPr>
        <w:t xml:space="preserve">“三公</w:t>
      </w:r>
      <w:r>
        <w:rPr>
          <w:rFonts w:hint="eastAsia"/>
          <w:b w:val="0"/>
          <w:bCs w:val="0"/>
          <w:sz w:val="28"/>
          <w:szCs w:val="28"/>
          <w:lang w:val="en-US" w:eastAsia="zh-CN"/>
        </w:rPr>
        <w:t xml:space="preserve">"</w:t>
      </w:r>
      <w:r>
        <w:rPr>
          <w:rFonts w:hint="eastAsia"/>
          <w:b w:val="0"/>
          <w:bCs w:val="0"/>
          <w:sz w:val="28"/>
          <w:szCs w:val="28"/>
          <w:lang w:eastAsia="zh-CN"/>
        </w:rPr>
        <w:t xml:space="preserve">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万元（全口径），其中：因公出国（境）经费支出预算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万元，公务接待费支出预算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万元，公务用车购置及运行费支出预算</w:t>
      </w:r>
      <w:r>
        <w:rPr>
          <w:rFonts w:hint="eastAsia"/>
          <w:b w:val="0"/>
          <w:bCs w:val="0"/>
          <w:sz w:val="28"/>
          <w:szCs w:val="28"/>
          <w:lang w:val="en-US" w:eastAsia="zh-CN"/>
        </w:rPr>
        <w:t xml:space="preserve">0.00</w:t>
      </w:r>
      <w:r>
        <w:rPr>
          <w:rFonts w:hint="eastAsia"/>
          <w:b w:val="0"/>
          <w:bCs w:val="0"/>
          <w:sz w:val="28"/>
          <w:szCs w:val="28"/>
          <w:lang w:eastAsia="zh-CN"/>
        </w:rPr>
        <w:t xml:space="preserve">万元（公务用车购置费</w:t>
      </w:r>
      <w:r>
        <w:rPr>
          <w:rFonts w:hint="eastAsia"/>
          <w:b w:val="0"/>
          <w:bCs w:val="0"/>
          <w:sz w:val="28"/>
          <w:szCs w:val="28"/>
          <w:lang w:val="en-US" w:eastAsia="zh-CN"/>
        </w:rPr>
        <w:t xml:space="preserve">0.00</w:t>
      </w:r>
      <w:r>
        <w:rPr>
          <w:rFonts w:hint="eastAsia"/>
          <w:b w:val="0"/>
          <w:bCs w:val="0"/>
          <w:sz w:val="28"/>
          <w:szCs w:val="28"/>
          <w:lang w:eastAsia="zh-CN"/>
        </w:rPr>
        <w:t xml:space="preserve">万元,公务用车运行维护费</w:t>
      </w:r>
      <w:r>
        <w:rPr>
          <w:rFonts w:hint="eastAsia"/>
          <w:b w:val="0"/>
          <w:bCs w:val="0"/>
          <w:sz w:val="28"/>
          <w:szCs w:val="28"/>
          <w:lang w:val="en-US" w:eastAsia="zh-CN"/>
        </w:rPr>
        <w:t xml:space="preserve">0.00</w:t>
      </w:r>
      <w:r>
        <w:rPr>
          <w:rFonts w:hint="eastAsia"/>
          <w:b w:val="0"/>
          <w:bCs w:val="0"/>
          <w:sz w:val="28"/>
          <w:szCs w:val="28"/>
          <w:lang w:eastAsia="zh-CN"/>
        </w:rPr>
        <w:t xml:space="preserve">万元）。</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lang w:eastAsia="zh-CN"/>
        </w:rPr>
        <w:t xml:space="preserve">（</w:t>
      </w:r>
      <w:r>
        <w:rPr>
          <w:rFonts w:hint="eastAsia"/>
          <w:b w:val="0"/>
          <w:bCs w:val="0"/>
          <w:sz w:val="28"/>
          <w:szCs w:val="28"/>
          <w:lang w:val="en-US" w:eastAsia="zh-CN"/>
        </w:rPr>
        <w:t xml:space="preserve">二</w:t>
      </w:r>
      <w:r>
        <w:rPr>
          <w:rFonts w:hint="eastAsia"/>
          <w:b w:val="0"/>
          <w:bCs w:val="0"/>
          <w:sz w:val="28"/>
          <w:szCs w:val="28"/>
          <w:lang w:eastAsia="zh-CN"/>
        </w:rPr>
        <w:t xml:space="preserve">）</w:t>
      </w:r>
      <w:r>
        <w:rPr>
          <w:sz w:val="28"/>
          <w:u w:color="auto"/>
        </w:rPr>
        <w:t xml:space="preserve">2024</w:t>
      </w:r>
      <w:r>
        <w:rPr>
          <w:rFonts w:hint="eastAsia"/>
          <w:b w:val="0"/>
          <w:bCs w:val="0"/>
          <w:sz w:val="28"/>
          <w:szCs w:val="28"/>
        </w:rPr>
        <w:t xml:space="preserve">年一般公共预算安排的“三公”经费支出预算</w:t>
      </w:r>
      <w:r>
        <w:rPr>
          <w:rFonts w:hint="eastAsia"/>
          <w:b w:val="0"/>
          <w:bCs w:val="0"/>
          <w:sz w:val="28"/>
          <w:szCs w:val="28"/>
          <w:lang w:val="en-US" w:eastAsia="zh-CN"/>
        </w:rPr>
        <w:t xml:space="preserve">0.00</w:t>
      </w:r>
      <w:r>
        <w:rPr>
          <w:rFonts w:hint="eastAsia"/>
          <w:b w:val="0"/>
          <w:bCs w:val="0"/>
          <w:sz w:val="28"/>
          <w:szCs w:val="28"/>
        </w:rPr>
        <w:t xml:space="preserve">万元，同口径较2023年度预算数</w:t>
      </w:r>
      <w:r>
        <w:rPr>
          <w:rFonts w:hint="eastAsia"/>
          <w:b w:val="0"/>
          <w:bCs w:val="0"/>
          <w:sz w:val="28"/>
          <w:szCs w:val="28"/>
          <w:lang w:val="en-US" w:eastAsia="zh-CN"/>
        </w:rPr>
        <w:t xml:space="preserve">0.00</w:t>
      </w:r>
      <w:r>
        <w:rPr>
          <w:rFonts w:hint="eastAsia"/>
          <w:b w:val="0"/>
          <w:bCs w:val="0"/>
          <w:sz w:val="28"/>
          <w:szCs w:val="28"/>
        </w:rPr>
        <w:t xml:space="preserve">万元，</w:t>
      </w:r>
      <w:r>
        <w:rPr>
          <w:rFonts w:hint="eastAsia"/>
          <w:b w:val="0"/>
          <w:bCs w:val="0"/>
          <w:sz w:val="28"/>
          <w:szCs w:val="28"/>
          <w:lang w:val="en-US" w:eastAsia="zh-CN"/>
        </w:rPr>
        <w:t xml:space="preserve">增长0.00</w:t>
      </w:r>
      <w:r>
        <w:rPr>
          <w:rFonts w:hint="eastAsia"/>
          <w:b w:val="0"/>
          <w:bCs w:val="0"/>
          <w:sz w:val="28"/>
          <w:szCs w:val="28"/>
        </w:rPr>
        <w:t xml:space="preserve">万元，</w:t>
      </w:r>
      <w:r>
        <w:rPr>
          <w:rFonts w:hint="eastAsia"/>
          <w:b w:val="0"/>
          <w:bCs w:val="0"/>
          <w:sz w:val="28"/>
          <w:szCs w:val="28"/>
          <w:lang w:val="en-US" w:eastAsia="zh-CN"/>
        </w:rPr>
        <w:t xml:space="preserve">增长0%</w:t>
      </w:r>
      <w:r>
        <w:rPr>
          <w:rFonts w:hint="eastAsia"/>
          <w:b w:val="0"/>
          <w:bCs w:val="0"/>
          <w:sz w:val="28"/>
          <w:szCs w:val="28"/>
        </w:rPr>
        <w:t xml:space="preserve">，具体如下：</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1.因公出国（境）费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2024年本单位无“三公”经费预算支出。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2.公务接待费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2024年本单位无公务接待费预算支出。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3.公务用车购置及运行费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，其中：</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eastAsia="宋体" w:hint="eastAsia"/>
          <w:b w:val="0"/>
          <w:bCs w:val="0"/>
          <w:sz w:val="28"/>
          <w:szCs w:val="28"/>
          <w:lang w:eastAsia="zh-CN"/>
        </w:rPr>
      </w:pPr>
      <w:r>
        <w:rPr>
          <w:rFonts w:hint="eastAsia"/>
          <w:b w:val="0"/>
          <w:bCs w:val="0"/>
          <w:sz w:val="28"/>
          <w:szCs w:val="28"/>
        </w:rPr>
        <w:t xml:space="preserve">公务用车购置费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2024年本单位无公务用车购置费及运行费预算支出。</w:t>
      </w:r>
      <w:r>
        <w:rPr>
          <w:rFonts w:hint="eastAsia"/>
          <w:b w:val="0"/>
          <w:bCs w:val="0"/>
          <w:sz w:val="28"/>
          <w:szCs w:val="28"/>
        </w:rPr>
        <w:t xml:space="preserve">。</w:t>
      </w:r>
    </w:p>
    <w:p>
      <w:pPr>
        <w:pStyle w:val="Bodytext|2"/>
        <w:keepNext w:val="0"/>
        <w:keepLines w:val="0"/>
        <w:pageBreakBefore w:val="0"/>
        <w:widowControl w:val="0"/>
        <w:tabs>
          <w:tab w:val="left" w:pos="1253"/>
        </w:tabs>
        <w:kinsoku/>
        <w:wordWrap/>
        <w:overflowPunct/>
        <w:topLinePunct w:val="0"/>
        <w:autoSpaceDE/>
        <w:autoSpaceDN/>
        <w:bidi w:val="0"/>
        <w:adjustRightInd/>
        <w:snapToGrid/>
        <w:spacing w:after="0" w:line="600" w:lineRule="exact"/>
        <w:ind w:firstLine="601"/>
        <w:jc w:val="left"/>
        <w:textAlignment w:val="auto"/>
        <w:rPr>
          <w:rFonts w:hint="eastAsia"/>
          <w:b w:val="0"/>
          <w:bCs w:val="0"/>
          <w:sz w:val="28"/>
          <w:szCs w:val="28"/>
        </w:rPr>
      </w:pPr>
      <w:r>
        <w:rPr>
          <w:rFonts w:hint="eastAsia"/>
          <w:b w:val="0"/>
          <w:bCs w:val="0"/>
          <w:sz w:val="28"/>
          <w:szCs w:val="28"/>
        </w:rPr>
        <w:t xml:space="preserve">公务用车运行维护费</w:t>
      </w:r>
      <w:r>
        <w:rPr>
          <w:rFonts w:hint="eastAsia"/>
          <w:b w:val="0"/>
          <w:bCs w:val="0"/>
          <w:sz w:val="28"/>
          <w:szCs w:val="28"/>
          <w:lang w:eastAsia="zh-CN"/>
        </w:rPr>
        <w:t xml:space="preserve">2024</w:t>
      </w:r>
      <w:r>
        <w:rPr>
          <w:rFonts w:hint="eastAsia"/>
          <w:b w:val="0"/>
          <w:bCs w:val="0"/>
          <w:sz w:val="28"/>
          <w:szCs w:val="28"/>
        </w:rPr>
        <w:t xml:space="preserve">年预算安排</w:t>
      </w:r>
      <w:r>
        <w:rPr>
          <w:sz w:val="28"/>
          <w:u w:color="auto"/>
        </w:rPr>
        <w:t xml:space="preserve">0.00</w:t>
      </w:r>
      <w:r>
        <w:rPr>
          <w:rFonts w:hint="eastAsia"/>
          <w:b w:val="0"/>
          <w:bCs w:val="0"/>
          <w:sz w:val="28"/>
          <w:szCs w:val="28"/>
        </w:rPr>
        <w:t xml:space="preserve">万元，较2023年度预算数</w:t>
      </w:r>
      <w:r>
        <w:rPr>
          <w:sz w:val="28"/>
          <w:u w:color="auto"/>
        </w:rPr>
        <w:t xml:space="preserve">0.00</w:t>
      </w:r>
      <w:r>
        <w:rPr>
          <w:rFonts w:hint="eastAsia"/>
          <w:b w:val="0"/>
          <w:bCs w:val="0"/>
          <w:sz w:val="28"/>
          <w:szCs w:val="28"/>
        </w:rPr>
        <w:t xml:space="preserve">万元，</w:t>
      </w:r>
      <w:r>
        <w:rPr>
          <w:sz w:val="28"/>
          <w:u w:color="auto"/>
        </w:rPr>
        <w:t xml:space="preserve">增长0.00</w:t>
      </w:r>
      <w:r>
        <w:rPr>
          <w:rFonts w:hint="eastAsia"/>
          <w:b w:val="0"/>
          <w:bCs w:val="0"/>
          <w:sz w:val="28"/>
          <w:szCs w:val="28"/>
        </w:rPr>
        <w:t xml:space="preserve">万元，</w:t>
      </w:r>
      <w:r>
        <w:rPr>
          <w:sz w:val="28"/>
          <w:u w:color="auto"/>
        </w:rPr>
        <w:t xml:space="preserve">增长0%</w:t>
      </w:r>
      <w:r>
        <w:rPr>
          <w:rFonts w:hint="eastAsia"/>
          <w:b w:val="0"/>
          <w:bCs w:val="0"/>
          <w:sz w:val="28"/>
          <w:szCs w:val="28"/>
        </w:rPr>
        <w:t xml:space="preserve">，主要原因是</w:t>
      </w:r>
      <w:r>
        <w:rPr>
          <w:rFonts w:hint="eastAsia"/>
          <w:sz w:val="28"/>
          <w:szCs w:val="28"/>
          <w:highlight w:val="none"/>
          <w:lang w:val="en-US" w:eastAsia="zh-CN"/>
        </w:rPr>
        <w:t xml:space="preserve">2024年本单位无公务用车购置费及运行费预算支出。</w:t>
      </w:r>
      <w:r>
        <w:rPr>
          <w:rFonts w:hint="eastAsia"/>
          <w:b w:val="0"/>
          <w:bCs w:val="0"/>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r>
        <w:rPr>
          <w:rFonts w:hint="eastAsia"/>
          <w:b/>
          <w:bCs/>
          <w:lang w:val="en-US" w:eastAsia="zh-CN"/>
        </w:rPr>
        <w:t xml:space="preserve">八</w:t>
      </w:r>
      <w:bookmarkEnd w:id="14"/>
      <w:r>
        <w:rPr>
          <w:rFonts w:hint="eastAsia"/>
          <w:b/>
          <w:bCs/>
          <w:lang w:val="en-US" w:eastAsia="zh-CN"/>
        </w:rPr>
        <w:t xml:space="preserve">、政府性基金预算支出情况说明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b w:val="0"/>
          <w:bCs w:val="0"/>
          <w:sz w:val="28"/>
          <w:szCs w:val="28"/>
          <w:lang w:eastAsia="zh-CN"/>
        </w:rPr>
        <w:t xml:space="preserve">2024</w:t>
      </w:r>
      <w:r>
        <w:rPr>
          <w:rFonts w:hint="eastAsia"/>
          <w:sz w:val="28"/>
          <w:szCs w:val="28"/>
        </w:rPr>
        <w:t xml:space="preserve">年政府性基金预算支出共</w:t>
      </w:r>
      <w:r>
        <w:rPr>
          <w:rFonts w:hint="eastAsia"/>
          <w:b w:val="0"/>
          <w:bCs w:val="0"/>
          <w:sz w:val="28"/>
          <w:szCs w:val="28"/>
          <w:lang w:eastAsia="zh-CN"/>
        </w:rPr>
        <w:t xml:space="preserve">0.00</w:t>
      </w:r>
      <w:r>
        <w:rPr>
          <w:rFonts w:hint="eastAsia"/>
          <w:sz w:val="28"/>
          <w:szCs w:val="28"/>
        </w:rPr>
        <w:t xml:space="preserve">万元，较2023年度预算数</w:t>
      </w:r>
      <w:r>
        <w:rPr>
          <w:rFonts w:hint="eastAsia"/>
          <w:b w:val="0"/>
          <w:bCs w:val="0"/>
          <w:sz w:val="28"/>
          <w:szCs w:val="28"/>
          <w:lang w:eastAsia="zh-CN"/>
        </w:rPr>
        <w:t xml:space="preserve">0.00</w:t>
      </w:r>
      <w:r>
        <w:rPr>
          <w:rFonts w:hint="eastAsia"/>
          <w:sz w:val="28"/>
          <w:szCs w:val="28"/>
        </w:rPr>
        <w:t xml:space="preserve">万元，</w:t>
      </w:r>
      <w:r>
        <w:rPr>
          <w:rFonts w:hint="eastAsia"/>
          <w:b w:val="0"/>
          <w:bCs w:val="0"/>
          <w:sz w:val="28"/>
          <w:szCs w:val="28"/>
          <w:lang w:eastAsia="zh-CN"/>
        </w:rPr>
        <w:t xml:space="preserve">增加0.00</w:t>
      </w:r>
      <w:r>
        <w:rPr>
          <w:rFonts w:hint="eastAsia"/>
          <w:sz w:val="28"/>
          <w:szCs w:val="28"/>
        </w:rPr>
        <w:t xml:space="preserve">万元，</w:t>
      </w:r>
      <w:r>
        <w:rPr>
          <w:rFonts w:hint="eastAsia"/>
          <w:b w:val="0"/>
          <w:bCs w:val="0"/>
          <w:sz w:val="28"/>
          <w:szCs w:val="28"/>
          <w:lang w:eastAsia="zh-CN"/>
        </w:rPr>
        <w:t xml:space="preserve">增长0%</w:t>
      </w:r>
      <w:r>
        <w:rPr>
          <w:rFonts w:hint="eastAsia"/>
          <w:sz w:val="28"/>
          <w:szCs w:val="28"/>
        </w:rPr>
        <w:t xml:space="preserve">，主要原因是</w:t>
      </w:r>
      <w:r>
        <w:rPr>
          <w:rFonts w:hint="eastAsia"/>
          <w:sz w:val="28"/>
          <w:szCs w:val="28"/>
          <w:highlight w:val="none"/>
          <w:lang w:val="en-US" w:eastAsia="zh-CN"/>
        </w:rPr>
        <w:t xml:space="preserve">2024年本单位无政府性基金预算支出。</w:t>
      </w:r>
      <w:r>
        <w:rPr>
          <w:rFonts w:hint="eastAsia"/>
          <w:sz w:val="28"/>
          <w:szCs w:val="28"/>
        </w:rPr>
        <w:t xml:space="preserve">。</w:t>
      </w:r>
    </w:p>
    <w:p>
      <w:pPr>
        <w:pStyle w:val="Bodytext|2"/>
        <w:keepNext w:val="0"/>
        <w:keepLines w:val="0"/>
        <w:pageBreakBefore w:val="0"/>
        <w:widowControl w:val="0"/>
        <w:kinsoku/>
        <w:wordWrap/>
        <w:overflowPunct/>
        <w:topLinePunct w:val="0"/>
        <w:autoSpaceDE/>
        <w:autoSpaceDN/>
        <w:bidi w:val="0"/>
        <w:adjustRightInd/>
        <w:snapToGrid/>
        <w:spacing w:before="120" w:after="0" w:line="600" w:lineRule="exact"/>
        <w:ind w:firstLine="618"/>
        <w:jc w:val="left"/>
        <w:textAlignment w:val="auto"/>
        <w:rPr>
          <w:rFonts w:hint="eastAsia"/>
          <w:b/>
          <w:bCs/>
          <w:lang w:val="en-US" w:eastAsia="zh-CN"/>
        </w:rPr>
      </w:pPr>
      <w:bookmarkStart w:id="15" w:name="bookmark91"/>
      <w:r>
        <w:rPr>
          <w:rFonts w:hint="eastAsia"/>
          <w:b/>
          <w:bCs/>
          <w:lang w:val="en-US" w:eastAsia="zh-CN"/>
        </w:rPr>
        <w:t xml:space="preserve">九</w:t>
      </w:r>
      <w:bookmarkEnd w:id="15"/>
      <w:r>
        <w:rPr>
          <w:rFonts w:hint="eastAsia"/>
          <w:b/>
          <w:bCs/>
          <w:lang w:val="en-US" w:eastAsia="zh-CN"/>
        </w:rPr>
        <w:t xml:space="preserve">、国有资本经营预算支出情况说明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eastAsia="宋体" w:hint="eastAsia"/>
          <w:sz w:val="28"/>
          <w:szCs w:val="28"/>
          <w:lang w:eastAsia="zh-CN"/>
        </w:rPr>
      </w:pPr>
      <w:r>
        <w:rPr>
          <w:rFonts w:hint="eastAsia"/>
          <w:sz w:val="28"/>
          <w:szCs w:val="28"/>
        </w:rPr>
        <w:t xml:space="preserve">我部门</w:t>
      </w:r>
      <w:r>
        <w:rPr>
          <w:rFonts w:hint="eastAsia"/>
          <w:sz w:val="28"/>
          <w:szCs w:val="28"/>
          <w:lang w:eastAsia="zh-CN"/>
        </w:rPr>
        <w:t xml:space="preserve">2024</w:t>
      </w:r>
      <w:r>
        <w:rPr>
          <w:rFonts w:hint="eastAsia"/>
          <w:sz w:val="28"/>
          <w:szCs w:val="28"/>
        </w:rPr>
        <w:t xml:space="preserve">年国有资本经营预算支出共</w:t>
      </w:r>
      <w:r>
        <w:rPr>
          <w:rFonts w:hint="eastAsia"/>
          <w:sz w:val="28"/>
          <w:szCs w:val="28"/>
          <w:lang w:eastAsia="zh-CN"/>
        </w:rPr>
        <w:t xml:space="preserve">0.00</w:t>
      </w:r>
      <w:r>
        <w:rPr>
          <w:rFonts w:hint="eastAsia"/>
          <w:sz w:val="28"/>
          <w:szCs w:val="28"/>
        </w:rPr>
        <w:t xml:space="preserve">万元，较2023年度预算数</w:t>
      </w:r>
      <w:r>
        <w:rPr>
          <w:rFonts w:hint="eastAsia"/>
          <w:sz w:val="28"/>
          <w:szCs w:val="28"/>
          <w:lang w:eastAsia="zh-CN"/>
        </w:rPr>
        <w:t xml:space="preserve">0.00</w:t>
      </w:r>
      <w:r>
        <w:rPr>
          <w:rFonts w:hint="eastAsia"/>
          <w:sz w:val="28"/>
          <w:szCs w:val="28"/>
        </w:rPr>
        <w:t xml:space="preserve">万元，</w:t>
      </w:r>
      <w:r>
        <w:rPr>
          <w:rFonts w:hint="eastAsia"/>
          <w:sz w:val="28"/>
          <w:szCs w:val="28"/>
          <w:lang w:eastAsia="zh-CN"/>
        </w:rPr>
        <w:t xml:space="preserve">增加0.00</w:t>
      </w:r>
      <w:r>
        <w:rPr>
          <w:rFonts w:hint="eastAsia"/>
          <w:sz w:val="28"/>
          <w:szCs w:val="28"/>
        </w:rPr>
        <w:t xml:space="preserve">万元，</w:t>
      </w:r>
      <w:r>
        <w:rPr>
          <w:rFonts w:hint="eastAsia"/>
          <w:sz w:val="28"/>
          <w:szCs w:val="28"/>
          <w:lang w:eastAsia="zh-CN"/>
        </w:rPr>
        <w:t xml:space="preserve">增长0%</w:t>
      </w:r>
      <w:r>
        <w:rPr>
          <w:rFonts w:hint="eastAsia"/>
          <w:sz w:val="28"/>
          <w:szCs w:val="28"/>
        </w:rPr>
        <w:t xml:space="preserve">，主要原因是</w:t>
      </w:r>
      <w:r>
        <w:rPr>
          <w:rFonts w:hint="eastAsia"/>
          <w:sz w:val="28"/>
          <w:szCs w:val="28"/>
          <w:lang w:val="en-US" w:eastAsia="zh-CN"/>
        </w:rPr>
        <w:t xml:space="preserve">2024年本单位无国有资本经营预算支出。</w:t>
      </w:r>
      <w:r>
        <w:rPr>
          <w:rFonts w:hint="eastAsia"/>
          <w:sz w:val="28"/>
          <w:szCs w:val="28"/>
        </w:rPr>
        <w:t xml:space="preserve">。</w:t>
      </w:r>
    </w:p>
    <w:p>
      <w:pPr>
        <w:pStyle w:val="Bodytext|2"/>
        <w:keepNext w:val="0"/>
        <w:keepLines w:val="0"/>
        <w:pageBreakBefore w:val="0"/>
        <w:widowControl w:val="0"/>
        <w:tabs>
          <w:tab w:val="left" w:pos="1235"/>
        </w:tabs>
        <w:kinsoku/>
        <w:wordWrap/>
        <w:overflowPunct/>
        <w:topLinePunct w:val="0"/>
        <w:autoSpaceDE/>
        <w:autoSpaceDN/>
        <w:bidi w:val="0"/>
        <w:adjustRightInd/>
        <w:snapToGrid/>
        <w:spacing w:before="120" w:after="0" w:line="600" w:lineRule="exact"/>
        <w:ind w:firstLine="578"/>
        <w:jc w:val="left"/>
        <w:textAlignment w:val="auto"/>
        <w:rPr>
          <w:b/>
          <w:bCs/>
        </w:rPr>
      </w:pPr>
      <w:r>
        <w:rPr>
          <w:b/>
          <w:bCs/>
        </w:rPr>
        <w:t xml:space="preserve">十、其他重要事项</w:t>
      </w:r>
      <w:r>
        <w:rPr>
          <w:rFonts w:hint="eastAsia"/>
          <w:b/>
          <w:bCs/>
          <w:lang w:val="en-US" w:eastAsia="zh-CN"/>
        </w:rPr>
        <w:t xml:space="preserve">情况</w:t>
      </w:r>
      <w:r>
        <w:rPr>
          <w:b/>
          <w:bCs/>
        </w:rPr>
        <w:t xml:space="preserve">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（一）机关运行经费安排情况说明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2024</w:t>
      </w:r>
      <w:r>
        <w:rPr>
          <w:rFonts w:ascii="宋体" w:eastAsia="宋体" w:hAnsi="宋体" w:cs="宋体"/>
          <w:sz w:val="28"/>
          <w:u w:color="auto"/>
        </w:rPr>
        <w:t xml:space="preserve">年本部门机关运行经费预算</w:t>
      </w:r>
      <w:r>
        <w:rPr>
          <w:rFonts w:ascii="宋体" w:eastAsia="宋体" w:hAnsi="宋体" w:cs="宋体" w:hint="eastAsia"/>
          <w:sz w:val="28"/>
          <w:szCs w:val="28"/>
          <w:lang w:val="en-US" w:eastAsia="zh-CN"/>
        </w:rPr>
        <w:t xml:space="preserve">3.13</w:t>
      </w:r>
      <w:r>
        <w:rPr>
          <w:rFonts w:ascii="宋体" w:eastAsia="宋体" w:hAnsi="宋体" w:cs="宋体" w:hint="eastAsia"/>
          <w:sz w:val="28"/>
          <w:szCs w:val="28"/>
          <w:lang w:eastAsia="zh-CN"/>
        </w:rPr>
        <w:t xml:space="preserve">万元，较2023年度预算数</w:t>
      </w:r>
      <w:r>
        <w:rPr>
          <w:rFonts w:ascii="宋体" w:eastAsia="宋体" w:hAnsi="宋体" w:cs="宋体" w:hint="eastAsia"/>
          <w:sz w:val="28"/>
          <w:szCs w:val="28"/>
          <w:lang w:val="en-US" w:eastAsia="zh-CN"/>
        </w:rPr>
        <w:t xml:space="preserve">3.39</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减少0.26</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下降7.67%</w:t>
      </w:r>
      <w:r>
        <w:rPr>
          <w:rFonts w:ascii="宋体" w:eastAsia="宋体" w:hAnsi="宋体" w:cs="宋体" w:hint="eastAsia"/>
          <w:sz w:val="28"/>
          <w:szCs w:val="28"/>
          <w:lang w:eastAsia="zh-CN"/>
        </w:rPr>
        <w:t xml:space="preserve">，主要原因是：</w:t>
      </w:r>
      <w:r>
        <w:rPr>
          <w:rFonts w:ascii="宋体" w:eastAsia="宋体" w:hAnsi="宋体" w:cs="宋体" w:hint="eastAsia"/>
          <w:sz w:val="28"/>
          <w:szCs w:val="28"/>
          <w:lang w:val="en-US" w:eastAsia="zh-CN"/>
        </w:rPr>
        <w:t xml:space="preserve">工会经费计算基数比上年低。</w:t>
      </w:r>
      <w:r>
        <w:rPr>
          <w:rFonts w:cs="宋体" w:hint="eastAsia"/>
          <w:sz w:val="28"/>
          <w:szCs w:val="28"/>
          <w:lang w:val="en-US" w:eastAsia="zh-CN"/>
        </w:rPr>
        <w:t xml:space="preserve">。</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（二）政府采购预算安排情况说明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default"/>
          <w:sz w:val="28"/>
          <w:szCs w:val="28"/>
          <w:lang w:val="en-US" w:eastAsia="zh-CN"/>
        </w:rPr>
      </w:pPr>
      <w:r>
        <w:rPr>
          <w:rFonts w:ascii="宋体" w:eastAsia="宋体" w:hAnsi="宋体" w:cs="宋体" w:hint="eastAsia"/>
          <w:sz w:val="28"/>
          <w:szCs w:val="28"/>
          <w:lang w:eastAsia="zh-CN"/>
        </w:rPr>
        <w:t xml:space="preserve">我部门2024年政府采购预算总金额</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万元。其中：货物类采购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万元、工程类采购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万元、服务类采购</w:t>
      </w:r>
      <w:r>
        <w:rPr>
          <w:rFonts w:ascii="宋体" w:eastAsia="宋体" w:hAnsi="宋体" w:cs="宋体" w:hint="eastAsia"/>
          <w:sz w:val="28"/>
          <w:szCs w:val="28"/>
          <w:lang w:val="en-US" w:eastAsia="zh-CN"/>
        </w:rPr>
        <w:t xml:space="preserve">0</w:t>
      </w:r>
      <w:r>
        <w:rPr>
          <w:rFonts w:ascii="宋体" w:eastAsia="宋体" w:hAnsi="宋体" w:cs="宋体" w:hint="eastAsia"/>
          <w:sz w:val="28"/>
          <w:szCs w:val="28"/>
          <w:lang w:eastAsia="zh-CN"/>
        </w:rPr>
        <w:t xml:space="preserve">万元。</w:t>
      </w:r>
      <w:r>
        <w:rPr>
          <w:rFonts w:ascii="宋体" w:eastAsia="宋体" w:hAnsi="宋体" w:cs="宋体" w:hint="eastAsia"/>
          <w:sz w:val="28"/>
          <w:szCs w:val="28"/>
          <w:lang w:val="en-US" w:eastAsia="zh-CN"/>
        </w:rPr>
        <w:t xml:space="preserve">主要用于：无政府采购预算安排。</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（三）国有资产占用情况说明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截至2023年12月31日，本部门共有车辆</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辆，其中，应急机要通信用车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辆、一般执法执勤用车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辆、特种专业技术用车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辆、其他用车</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辆，单位价值200万元以上大型设备</w:t>
      </w:r>
      <w:r>
        <w:rPr>
          <w:rFonts w:hint="eastAsia"/>
          <w:sz w:val="28"/>
          <w:szCs w:val="28"/>
          <w:highlight w:val="none"/>
          <w:lang w:val="en-US" w:eastAsia="zh-CN"/>
        </w:rPr>
        <w:t xml:space="preserve">0</w:t>
      </w:r>
      <w:r>
        <w:rPr>
          <w:rFonts w:ascii="宋体" w:eastAsia="宋体" w:hAnsi="宋体" w:cs="宋体" w:hint="eastAsia"/>
          <w:sz w:val="28"/>
          <w:szCs w:val="28"/>
          <w:lang w:eastAsia="zh-CN"/>
        </w:rPr>
        <w:t xml:space="preserve">台（套）。</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（四）预算绩效目标情况说明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1.我部门2024年所有项目支出全面实施绩效目标管理，涉及项目</w:t>
      </w:r>
      <w:r>
        <w:rPr>
          <w:rFonts w:hint="eastAsia"/>
          <w:sz w:val="28"/>
          <w:szCs w:val="28"/>
          <w:highlight w:val="none"/>
          <w:lang w:val="en-US" w:eastAsia="zh-CN"/>
        </w:rPr>
        <w:t xml:space="preserve">4</w:t>
      </w:r>
      <w:r>
        <w:rPr>
          <w:rFonts w:ascii="宋体" w:eastAsia="宋体" w:hAnsi="宋体" w:cs="宋体" w:hint="eastAsia"/>
          <w:sz w:val="28"/>
          <w:szCs w:val="28"/>
          <w:lang w:eastAsia="zh-CN"/>
        </w:rPr>
        <w:t xml:space="preserve">个，预算资金</w:t>
      </w:r>
      <w:r>
        <w:rPr>
          <w:rFonts w:hint="eastAsia"/>
          <w:sz w:val="28"/>
          <w:szCs w:val="28"/>
          <w:highlight w:val="none"/>
          <w:lang w:val="en-US" w:eastAsia="zh-CN"/>
        </w:rPr>
        <w:t xml:space="preserve">169.47</w:t>
      </w:r>
      <w:r>
        <w:rPr>
          <w:rFonts w:ascii="宋体" w:eastAsia="宋体" w:hAnsi="宋体" w:cs="宋体" w:hint="eastAsia"/>
          <w:sz w:val="28"/>
          <w:szCs w:val="28"/>
          <w:lang w:eastAsia="zh-CN"/>
        </w:rPr>
        <w:t xml:space="preserve">万元。绩效目标情况详见报表（日常运转类项目、工资类人员经费项目和涉密项目等除外）。</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ascii="宋体" w:eastAsia="宋体" w:hAnsi="宋体" w:cs="宋体" w:hint="eastAsia"/>
          <w:sz w:val="28"/>
          <w:szCs w:val="28"/>
          <w:lang w:eastAsia="zh-CN"/>
        </w:rPr>
      </w:pPr>
      <w:r>
        <w:rPr>
          <w:rFonts w:ascii="宋体" w:eastAsia="宋体" w:hAnsi="宋体" w:cs="宋体" w:hint="eastAsia"/>
          <w:sz w:val="28"/>
          <w:szCs w:val="28"/>
          <w:lang w:eastAsia="zh-CN"/>
        </w:rPr>
        <w:t xml:space="preserve">2.重点项目预算绩效目标说明。</w:t>
      </w:r>
    </w:p>
    <w:p>
      <w:pPr>
        <w:pStyle w:val="Bodytext|1"/>
        <w:keepNext w:val="0"/>
        <w:keepLines w:val="0"/>
        <w:pageBreakBefore w:val="0"/>
        <w:widowControl w:val="0"/>
        <w:kinsoku/>
        <w:wordWrap/>
        <w:overflowPunct/>
        <w:topLinePunct w:val="0"/>
        <w:autoSpaceDE/>
        <w:autoSpaceDN/>
        <w:bidi w:val="0"/>
        <w:adjustRightInd/>
        <w:snapToGrid/>
        <w:spacing w:line="600" w:lineRule="exact"/>
        <w:ind w:firstLine="601"/>
        <w:jc w:val="left"/>
        <w:textAlignment w:val="auto"/>
        <w:rPr>
          <w:rFonts w:hint="eastAsia"/>
          <w:sz w:val="28"/>
          <w:szCs w:val="28"/>
          <w:highlight w:val="none"/>
          <w:lang w:val="en-US" w:eastAsia="zh-CN"/>
        </w:rPr>
      </w:pPr>
      <w:r>
        <w:rPr>
          <w:rFonts w:hint="eastAsia"/>
          <w:sz w:val="28"/>
          <w:szCs w:val="28"/>
          <w:highlight w:val="none"/>
          <w:lang w:val="en-US" w:eastAsia="zh-CN"/>
        </w:rPr>
        <w:t xml:space="preserve">2024年我部门年初预算经费(教育保育费)总体绩效目标:通过2024年年初经费保障幼儿园各项工作正常运转、保障辖区内幼儿受到良好教育，从而提高幼儿家长对于幼儿园的满意度、教师的幸福感、获得感。实现师资力量和幼儿园环境达到社会认可的学前教育。</w:t>
      </w:r>
    </w:p>
    <w:p>
      <w:pPr>
        <w:pStyle w:val="Bodytext|1"/>
        <w:spacing w:line="624" w:lineRule="exact"/>
        <w:ind w:left="0" w:firstLine="0" w:leftChars="0" w:firstLineChars="0"/>
        <w:jc w:val="left"/>
        <w:rPr>
          <w:rFonts w:hint="default"/>
          <w:sz w:val="28"/>
          <w:szCs w:val="28"/>
          <w:highlight w:val="none"/>
          <w:lang w:val="en-US" w:eastAsia="zh-CN"/>
        </w:rPr>
        <w:sectPr>
          <w:headerReference w:type="default" r:id="rId14"/>
          <w:footerReference w:type="default" r:id="rId15"/>
          <w:pgSz w:w="11900" w:h="16840" w:orient="portrait"/>
          <w:pgMar w:top="1440" w:right="1800" w:bottom="1440" w:left="1800" w:header="0" w:footer="1077" w:gutter="0"/>
          <w:pgBorders>
            <w:top w:val="none" w:sz="0" w:space="0" w:color="auto"/>
            <w:left w:val="none" w:sz="0" w:space="0" w:color="auto"/>
            <w:bottom w:val="none" w:sz="0" w:space="0" w:color="auto"/>
            <w:right w:val="none" w:sz="0" w:space="0" w:color="auto"/>
          </w:pgBorders>
          <w:pgNumType w:fmt="decimal"/>
          <w:cols w:num="1" w:space="720">
            <w:col w:w="8300" w:space="720"/>
          </w:cols>
          <w:docGrid w:linePitch="360" w:charSpace="0"/>
        </w:sectPr>
      </w:pPr>
    </w:p>
    <w:p>
      <w:pPr>
        <w:pStyle w:val="Heading#1|1"/>
        <w:keepNext/>
        <w:keepLines/>
        <w:spacing w:after="980"/>
        <w:jc w:val="center"/>
        <w:rPr>
          <w:rFonts w:ascii="宋体" w:eastAsia="宋体" w:hAnsi="宋体" w:cs="宋体" w:hint="eastAsia"/>
          <w:b/>
          <w:bCs/>
          <w:sz w:val="36"/>
          <w:szCs w:val="36"/>
        </w:rPr>
      </w:pPr>
      <w:bookmarkEnd w:id="10"/>
      <w:bookmarkEnd w:id="11"/>
      <w:bookmarkEnd w:id="12"/>
      <w:r>
        <w:rPr>
          <w:rFonts w:ascii="宋体" w:eastAsia="宋体" w:hAnsi="宋体" w:cs="宋体" w:hint="eastAsia"/>
          <w:b/>
          <w:bCs/>
          <w:sz w:val="36"/>
          <w:szCs w:val="36"/>
        </w:rPr>
        <w:t xml:space="preserve">第</w:t>
      </w:r>
      <w:r>
        <w:rPr>
          <w:rFonts w:ascii="宋体" w:eastAsia="宋体" w:hAnsi="宋体" w:cs="宋体" w:hint="eastAsia"/>
          <w:b/>
          <w:bCs/>
          <w:sz w:val="36"/>
          <w:szCs w:val="36"/>
          <w:lang w:val="en-US" w:eastAsia="zh-CN"/>
        </w:rPr>
        <w:t xml:space="preserve">三</w:t>
      </w:r>
      <w:r>
        <w:rPr>
          <w:rFonts w:ascii="宋体" w:eastAsia="宋体" w:hAnsi="宋体" w:cs="宋体" w:hint="eastAsia"/>
          <w:b/>
          <w:bCs/>
          <w:sz w:val="36"/>
          <w:szCs w:val="36"/>
        </w:rPr>
        <w:t xml:space="preserve">部分</w:t>
      </w:r>
      <w:r>
        <w:rPr>
          <w:rFonts w:ascii="宋体" w:eastAsia="宋体" w:hAnsi="宋体" w:cs="宋体" w:hint="eastAsia"/>
          <w:b/>
          <w:bCs/>
          <w:sz w:val="36"/>
          <w:szCs w:val="36"/>
          <w:lang w:eastAsia="zh-CN"/>
        </w:rPr>
        <w:t xml:space="preserve">环江毛南族自治县第五幼儿园</w:t>
      </w:r>
      <w:r>
        <w:rPr>
          <w:rFonts w:ascii="宋体" w:eastAsia="宋体" w:hAnsi="宋体" w:cs="宋体"/>
          <w:b/>
          <w:sz w:val="36"/>
          <w:u w:color="auto"/>
        </w:rPr>
        <w:t xml:space="preserve">2024</w:t>
      </w:r>
      <w:r>
        <w:rPr>
          <w:rFonts w:ascii="宋体" w:eastAsia="宋体" w:hAnsi="宋体" w:cs="宋体"/>
          <w:b/>
          <w:sz w:val="36"/>
          <w:u w:color="auto"/>
        </w:rPr>
        <w:t xml:space="preserve">年</w:t>
      </w:r>
      <w:r>
        <w:rPr>
          <w:rFonts w:ascii="宋体" w:eastAsia="宋体" w:hAnsi="宋体" w:cs="宋体" w:hint="eastAsia"/>
          <w:b/>
          <w:bCs/>
          <w:sz w:val="36"/>
          <w:szCs w:val="36"/>
        </w:rPr>
        <w:t xml:space="preserve">部门预算表</w:t>
      </w:r>
    </w:p>
    <w:p>
      <w:pPr>
        <w:pStyle w:val="Heading#2|1"/>
        <w:keepNext/>
        <w:keepLines/>
        <w:spacing w:after="240"/>
        <w:jc w:val="center"/>
      </w:pPr>
      <w:bookmarkStart w:id="16" w:name="bookmark30"/>
      <w:bookmarkStart w:id="17" w:name="bookmark31"/>
      <w:bookmarkStart w:id="18" w:name="bookmark29"/>
      <w:r>
        <w:t xml:space="preserve">收支总体情况表</w:t>
      </w:r>
      <w:bookmarkEnd w:id="16"/>
      <w:bookmarkEnd w:id="17"/>
      <w:bookmarkEnd w:id="18"/>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3339"/>
        <w:gridCol w:w="3760"/>
        <w:gridCol w:w="3542"/>
        <w:gridCol w:w="3571"/>
      </w:tblGrid>
      <w:tr>
        <w:tblPrEx>
          <w:tblW w:w="0" w:type="auto"/>
          <w:tblInd w:w="0" w:type="dxa"/>
          <w:tblLayout w:type="fixed"/>
          <w:tblCellMar>
            <w:top w:w="0" w:type="dxa"/>
            <w:left w:w="10" w:type="dxa"/>
            <w:bottom w:w="0" w:type="dxa"/>
            <w:right w:w="10" w:type="dxa"/>
          </w:tblCellMar>
        </w:tblPrEx>
        <w:trPr>
          <w:cantSplit/>
          <w:trHeight w:hRule="exact" w:val="331"/>
        </w:trPr>
        <w:tc>
          <w:tcPr>
            <w:tcW w:w="10641" w:type="dxa"/>
            <w:gridSpan w:val="3"/>
            <w:tcBorders>
              <w:bottom w:val="single" w:sz="4" w:space="0" w:color="auto"/>
            </w:tcBorders>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环江毛南族自治县第五幼儿园</w:t>
            </w:r>
          </w:p>
        </w:tc>
        <w:tc>
          <w:tcPr>
            <w:tcW w:w="3571" w:type="dxa"/>
            <w:tcBorders>
              <w:bottom w:val="single" w:sz="4" w:space="0" w:color="auto"/>
            </w:tcBorders>
            <w:shd w:val="clear" w:color="auto" w:fill="FFFFFF"/>
          </w:tcPr>
          <w:p>
            <w:pPr>
              <w:pStyle w:val="Other|1"/>
              <w:spacing w:line="240" w:lineRule="auto"/>
              <w:ind w:firstLine="2380" w:firstLineChars="14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456"/>
        </w:trPr>
        <w:tc>
          <w:tcPr>
            <w:tcW w:w="70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2890" w:firstLineChars="1700"/>
              <w:jc w:val="both"/>
              <w:rPr>
                <w:sz w:val="17"/>
                <w:szCs w:val="17"/>
              </w:rPr>
            </w:pPr>
            <w:r>
              <w:rPr>
                <w:sz w:val="17"/>
                <w:szCs w:val="17"/>
              </w:rPr>
              <w:t xml:space="preserve">收入</w:t>
            </w:r>
          </w:p>
        </w:tc>
        <w:tc>
          <w:tcPr>
            <w:tcW w:w="71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right="340" w:firstLine="2890" w:firstLineChars="1700"/>
              <w:jc w:val="both"/>
              <w:rPr>
                <w:sz w:val="17"/>
                <w:szCs w:val="17"/>
              </w:rPr>
            </w:pPr>
            <w:r>
              <w:rPr>
                <w:sz w:val="17"/>
                <w:szCs w:val="17"/>
              </w:rPr>
              <w:t xml:space="preserve">支出</w:t>
            </w:r>
          </w:p>
        </w:tc>
      </w:tr>
      <w:tr>
        <w:tblPrEx>
          <w:tblW w:w="0" w:type="auto"/>
          <w:tblInd w:w="0" w:type="dxa"/>
          <w:tblLayout w:type="fixed"/>
          <w:tblCellMar>
            <w:top w:w="0" w:type="dxa"/>
            <w:left w:w="10" w:type="dxa"/>
            <w:bottom w:w="0" w:type="dxa"/>
            <w:right w:w="10" w:type="dxa"/>
          </w:tblCellMar>
        </w:tblPrEx>
        <w:trPr>
          <w:cantSplit/>
          <w:trHeight w:hRule="exact" w:val="432"/>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项目</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tabs>
                <w:tab w:val="left" w:pos="894"/>
              </w:tabs>
              <w:spacing w:line="240" w:lineRule="auto"/>
              <w:jc w:val="left"/>
              <w:rPr>
                <w:sz w:val="17"/>
                <w:szCs w:val="17"/>
              </w:rPr>
            </w:pPr>
            <w:r>
              <w:rPr>
                <w:sz w:val="17"/>
                <w:szCs w:val="17"/>
              </w:rPr>
              <w:t xml:space="preserve">项</w:t>
            </w:r>
            <w:r>
              <w:rPr>
                <w:sz w:val="17"/>
                <w:szCs w:val="17"/>
              </w:rPr>
              <w:tab/>
            </w:r>
            <w:r>
              <w:rPr>
                <w:sz w:val="17"/>
                <w:szCs w:val="17"/>
              </w:rPr>
              <w:t xml:space="preserve">目（按支出功能科目分类）</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一、一般公共预算拨款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429.30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一、一般公共服务支出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3.13</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二、外交支出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429.30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三、国防支出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二、政府性基金预算拨款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四、公共安全支出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五、教育支出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420.00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     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六、科学技术支出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三、国有资本经营预算拨款</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七、文化旅游体育与传媒支出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1、上级补助</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八、社会保障和就业支出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9.50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2、本级</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九、卫生健康支出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四、财政专户管理资金收入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十、节能环保支出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五、事业收入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十一、城乡社区支出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六、事业单位经营收入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十二、农林水支出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七、上级补助收入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十三、交通运输支出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八、附属单位上缴收入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十四、资源勘探工业信息等支出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九、其他收入</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十五、商业服务业等支出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十六、金融支出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十七、援助其他地区支出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十八、自然资源海洋气象等支出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十九、住房保障支出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8.15</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二十、粮油物资储备支出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二十一、国有资本经营预算支出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二十二、灾害防治及应急管理支出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二十三、其他支出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二十四、债务还本支出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二十五、债务付息支出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二十六、债务发行费用支出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本年收入合计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429.30</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本年支出合计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440.77</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上年结转结余</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11.47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结转下年支出</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cantSplit/>
          <w:trHeight w:hRule="exact" w:val="451"/>
        </w:trPr>
        <w:tc>
          <w:tcPr>
            <w:tcW w:w="3339"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收入总计</w:t>
            </w:r>
          </w:p>
        </w:tc>
        <w:tc>
          <w:tcPr>
            <w:tcW w:w="3760"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440.77</w:t>
            </w:r>
          </w:p>
        </w:tc>
        <w:tc>
          <w:tcPr>
            <w:tcW w:w="3542"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180"/>
              <w:jc w:val="left"/>
              <w:rPr>
                <w:rFonts w:eastAsia="宋体" w:hint="default"/>
                <w:sz w:val="17"/>
                <w:szCs w:val="17"/>
                <w:lang w:val="en-US" w:eastAsia="zh-CN"/>
              </w:rPr>
            </w:pPr>
            <w:r>
              <w:rPr>
                <w:rFonts w:hint="eastAsia"/>
                <w:sz w:val="17"/>
                <w:szCs w:val="17"/>
                <w:lang w:val="en-US" w:eastAsia="zh-CN"/>
              </w:rPr>
              <w:t xml:space="preserve">支出总计</w:t>
            </w:r>
          </w:p>
        </w:tc>
        <w:tc>
          <w:tcPr>
            <w:tcW w:w="3571" w:type="dxa"/>
            <w:tcBorders>
              <w:top w:val="single" w:sz="4" w:space="0" w:color="auto"/>
              <w:left w:val="single" w:sz="4" w:space="0" w:color="auto"/>
              <w:bottom w:val="single" w:sz="4" w:space="0" w:color="auto"/>
              <w:right w:val="single" w:sz="4" w:space="0" w:color="auto"/>
            </w:tcBorders>
            <w:shd w:val="clear" w:color="auto" w:fill="auto"/>
            <w:vAlign w:val="center"/>
          </w:tcPr>
          <w:p>
            <w:pPr>
              <w:pStyle w:val="Other|1"/>
              <w:spacing w:line="240" w:lineRule="auto"/>
              <w:ind w:firstLine="0"/>
              <w:jc w:val="left"/>
              <w:rPr>
                <w:rFonts w:eastAsia="宋体" w:hint="default"/>
                <w:sz w:val="17"/>
                <w:szCs w:val="17"/>
                <w:lang w:val="en-US" w:eastAsia="zh-CN"/>
              </w:rPr>
            </w:pPr>
            <w:r>
              <w:rPr>
                <w:rFonts w:hint="eastAsia"/>
                <w:sz w:val="17"/>
                <w:szCs w:val="17"/>
                <w:lang w:val="en-US" w:eastAsia="zh-CN"/>
              </w:rPr>
              <w:t xml:space="preserve">440.77</w:t>
            </w:r>
          </w:p>
        </w:tc>
      </w:tr>
    </w:tbl>
    <w:p>
      <w:pPr>
        <w:pStyle w:val="Tablecaption|1"/>
        <w:ind w:left="101"/>
        <w:jc w:val="left"/>
        <w:rPr>
          <w:rFonts w:eastAsia="宋体"/>
          <w:lang w:eastAsia="zh-CN"/>
        </w:rPr>
        <w:sectPr>
          <w:headerReference w:type="default" r:id="rId16"/>
          <w:footerReference w:type="default" r:id="rId17"/>
          <w:pgSz w:w="16840" w:h="11900" w:orient="landscape"/>
          <w:pgMar w:top="2397" w:right="761" w:bottom="1966" w:left="739" w:header="0" w:footer="1474" w:gutter="0"/>
          <w:pgBorders>
            <w:top w:val="none" w:sz="0" w:space="0" w:color="auto"/>
            <w:left w:val="none" w:sz="0" w:space="0" w:color="auto"/>
            <w:bottom w:val="none" w:sz="0" w:space="0" w:color="auto"/>
            <w:right w:val="none" w:sz="0" w:space="0" w:color="auto"/>
          </w:pgBorders>
          <w:pgNumType w:fmt="decimal"/>
          <w:cols w:num="1" w:space="720">
            <w:col w:w="15340" w:space="720"/>
          </w:cols>
          <w:docGrid w:linePitch="360" w:charSpace="0"/>
        </w:sectPr>
      </w:pPr>
      <w:r>
        <w:t xml:space="preserve">注：报表金额单位转换时可能存在四舍五入尾数误差。</w:t>
      </w:r>
    </w:p>
    <w:p>
      <w:pPr>
        <w:tabs>
          <w:tab w:val="left" w:pos="859"/>
        </w:tabs>
        <w:jc w:val="left"/>
        <w:rPr>
          <w:rFonts w:eastAsia="宋体"/>
          <w:lang w:eastAsia="zh-CN"/>
        </w:rPr>
      </w:pPr>
    </w:p>
    <w:p>
      <w:pPr>
        <w:tabs>
          <w:tab w:val="left" w:pos="859"/>
        </w:tabs>
        <w:jc w:val="center"/>
        <w:rPr>
          <w:rFonts w:eastAsia="宋体" w:hint="eastAsia"/>
          <w:lang w:val="en-US" w:eastAsia="zh-CN"/>
        </w:rPr>
      </w:pPr>
    </w:p>
    <w:p>
      <w:pPr>
        <w:tabs>
          <w:tab w:val="left" w:pos="859"/>
        </w:tabs>
        <w:jc w:val="center"/>
        <w:rPr>
          <w:rFonts w:eastAsia="宋体" w:hint="eastAsia"/>
          <w:lang w:val="en-US" w:eastAsia="zh-CN"/>
        </w:rPr>
      </w:pPr>
      <w:r>
        <w:rPr>
          <w:rFonts w:eastAsia="宋体" w:hint="eastAsia"/>
          <w:lang w:val="en-US" w:eastAsia="zh-CN"/>
        </w:rPr>
        <w:t xml:space="preserve">收入总体情况表</w:t>
      </w:r>
    </w:p>
    <w:p>
      <w:pPr>
        <w:tabs>
          <w:tab w:val="left" w:pos="859"/>
        </w:tabs>
        <w:jc w:val="center"/>
        <w:rPr>
          <w:rFonts w:eastAsia="宋体" w:hint="eastAsia"/>
          <w:lang w:val="en-US"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firstRow="0" w:lastRow="0" w:firstColumn="0" w:lastColumn="0" w:noHBand="1" w:noVBand="1"/>
      </w:tblPr>
      <w:tblGrid>
        <w:gridCol w:w="1636"/>
        <w:gridCol w:w="1279"/>
        <w:gridCol w:w="990"/>
        <w:gridCol w:w="926"/>
        <w:gridCol w:w="909"/>
        <w:gridCol w:w="968"/>
        <w:gridCol w:w="990"/>
        <w:gridCol w:w="1078"/>
        <w:gridCol w:w="972"/>
        <w:gridCol w:w="919"/>
        <w:gridCol w:w="1011"/>
        <w:gridCol w:w="859"/>
        <w:gridCol w:w="944"/>
        <w:gridCol w:w="150"/>
        <w:gridCol w:w="937"/>
        <w:gridCol w:w="9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270"/>
        </w:trPr>
        <w:tc>
          <w:tcPr>
            <w:tcW w:w="13481" w:type="dxa"/>
            <w:gridSpan w:val="13"/>
            <w:tcBorders>
              <w:top w:val="nil"/>
              <w:left w:val="nil"/>
              <w:right w:val="nil"/>
            </w:tcBorders>
          </w:tcPr>
          <w:p>
            <w:pPr>
              <w:pStyle w:val="Tablecaption|1"/>
              <w:jc w:val="both"/>
              <w:rPr>
                <w:rFonts w:hint="eastAsia"/>
                <w:lang w:val="en-US" w:eastAsia="zh-CN"/>
              </w:rPr>
            </w:pPr>
            <w:r>
              <w:rPr>
                <w:sz w:val="17"/>
                <w:szCs w:val="17"/>
              </w:rPr>
              <w:t xml:space="preserve">单位名称：</w:t>
            </w:r>
            <w:r>
              <w:rPr>
                <w:rFonts w:hint="eastAsia"/>
                <w:sz w:val="17"/>
                <w:szCs w:val="17"/>
                <w:lang w:eastAsia="zh-CN"/>
              </w:rPr>
              <w:t xml:space="preserve">环江毛南族自治县第五幼儿园</w:t>
            </w:r>
            <w:r>
              <w:rPr>
                <w:rFonts w:hint="eastAsia"/>
                <w:lang w:val="en-US" w:eastAsia="zh-CN"/>
              </w:rPr>
              <w:t xml:space="preserve">                                                                                  </w:t>
            </w:r>
          </w:p>
        </w:tc>
        <w:tc>
          <w:tcPr>
            <w:tcW w:w="2076" w:type="dxa"/>
            <w:gridSpan w:val="3"/>
            <w:tcBorders>
              <w:top w:val="nil"/>
              <w:left w:val="nil"/>
              <w:right w:val="nil"/>
            </w:tcBorders>
          </w:tcPr>
          <w:p>
            <w:pPr>
              <w:pStyle w:val="Tablecaption|1"/>
              <w:ind w:firstLine="340" w:firstLineChars="200"/>
              <w:jc w:val="left"/>
              <w:rPr>
                <w:rFonts w:hint="eastAsia"/>
                <w:lang w:val="en-US" w:eastAsia="zh-CN"/>
              </w:rPr>
            </w:pPr>
            <w:r>
              <w:rPr>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部门（单位）代码</w:t>
            </w:r>
          </w:p>
        </w:tc>
        <w:tc>
          <w:tcPr>
            <w:tcW w:w="1279" w:type="dxa"/>
            <w:vMerge w:val="restart"/>
            <w:vAlign w:val="center"/>
          </w:tcPr>
          <w:p>
            <w:pPr>
              <w:tabs>
                <w:tab w:val="left" w:pos="859"/>
              </w:tabs>
              <w:jc w:val="center"/>
              <w:rPr>
                <w:rFonts w:eastAsia="宋体" w:hint="eastAsia"/>
                <w:vertAlign w:val="baseline"/>
                <w:lang w:val="en-US" w:eastAsia="zh-CN"/>
              </w:rPr>
            </w:pPr>
            <w:r>
              <w:rPr>
                <w:sz w:val="17"/>
                <w:szCs w:val="17"/>
              </w:rPr>
              <w:t xml:space="preserve">部门（单位）名称</w:t>
            </w:r>
          </w:p>
        </w:tc>
        <w:tc>
          <w:tcPr>
            <w:tcW w:w="990" w:type="dxa"/>
            <w:vMerge w:val="restart"/>
            <w:vAlign w:val="center"/>
          </w:tcPr>
          <w:p>
            <w:pPr>
              <w:pStyle w:val="Other|1"/>
              <w:spacing w:line="240" w:lineRule="auto"/>
              <w:ind w:left="0" w:firstLine="0" w:leftChars="0" w:firstLineChars="0"/>
              <w:jc w:val="center"/>
              <w:rPr>
                <w:rFonts w:eastAsia="宋体" w:hint="eastAsia"/>
                <w:vertAlign w:val="baseline"/>
                <w:lang w:val="en-US" w:eastAsia="zh-CN"/>
              </w:rPr>
            </w:pPr>
            <w:r>
              <w:rPr>
                <w:rFonts w:hint="eastAsia"/>
                <w:sz w:val="17"/>
                <w:szCs w:val="17"/>
                <w:lang w:val="en-US" w:eastAsia="zh-CN"/>
              </w:rPr>
              <w:t xml:space="preserve">合</w:t>
            </w:r>
            <w:r>
              <w:rPr>
                <w:sz w:val="17"/>
                <w:szCs w:val="17"/>
              </w:rPr>
              <w:t xml:space="preserve">计</w:t>
            </w:r>
          </w:p>
        </w:tc>
        <w:tc>
          <w:tcPr>
            <w:tcW w:w="5843" w:type="dxa"/>
            <w:gridSpan w:val="6"/>
          </w:tcPr>
          <w:p>
            <w:pPr>
              <w:tabs>
                <w:tab w:val="left" w:pos="859"/>
              </w:tabs>
              <w:jc w:val="center"/>
              <w:rPr>
                <w:rFonts w:eastAsia="宋体" w:hint="eastAsia"/>
                <w:vertAlign w:val="baseline"/>
                <w:lang w:val="en-US" w:eastAsia="zh-CN"/>
              </w:rPr>
            </w:pPr>
            <w:r>
              <w:rPr>
                <w:sz w:val="17"/>
                <w:szCs w:val="17"/>
              </w:rPr>
              <w:t xml:space="preserve">本年收入</w:t>
            </w:r>
          </w:p>
        </w:tc>
        <w:tc>
          <w:tcPr>
            <w:tcW w:w="5809" w:type="dxa"/>
            <w:gridSpan w:val="7"/>
          </w:tcPr>
          <w:p>
            <w:pPr>
              <w:tabs>
                <w:tab w:val="left" w:pos="859"/>
              </w:tabs>
              <w:jc w:val="center"/>
              <w:rPr>
                <w:rFonts w:eastAsia="宋体" w:hint="eastAsia"/>
                <w:vertAlign w:val="baseline"/>
                <w:lang w:val="en-US" w:eastAsia="zh-CN"/>
              </w:rPr>
            </w:pPr>
            <w:r>
              <w:rPr>
                <w:sz w:val="17"/>
                <w:szCs w:val="17"/>
              </w:rPr>
              <w:t xml:space="preserve">上年结转结余</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1058"/>
        </w:trPr>
        <w:tc>
          <w:tcPr>
            <w:tcW w:w="1636" w:type="dxa"/>
            <w:vMerge/>
          </w:tcPr>
          <w:p>
            <w:pPr>
              <w:tabs>
                <w:tab w:val="left" w:pos="859"/>
              </w:tabs>
              <w:jc w:val="center"/>
              <w:rPr>
                <w:rFonts w:eastAsia="宋体" w:hint="eastAsia"/>
                <w:vertAlign w:val="baseline"/>
                <w:lang w:val="en-US" w:eastAsia="zh-CN"/>
              </w:rPr>
            </w:pPr>
          </w:p>
        </w:tc>
        <w:tc>
          <w:tcPr>
            <w:tcW w:w="1279" w:type="dxa"/>
            <w:vMerge/>
          </w:tcPr>
          <w:p>
            <w:pPr>
              <w:tabs>
                <w:tab w:val="left" w:pos="859"/>
              </w:tabs>
              <w:jc w:val="center"/>
              <w:rPr>
                <w:rFonts w:eastAsia="宋体" w:hint="eastAsia"/>
                <w:vertAlign w:val="baseline"/>
                <w:lang w:val="en-US" w:eastAsia="zh-CN"/>
              </w:rPr>
            </w:pPr>
          </w:p>
        </w:tc>
        <w:tc>
          <w:tcPr>
            <w:tcW w:w="990" w:type="dxa"/>
            <w:vMerge/>
            <w:vAlign w:val="center"/>
          </w:tcPr>
          <w:p>
            <w:pPr>
              <w:pStyle w:val="Other|1"/>
              <w:spacing w:line="240" w:lineRule="auto"/>
              <w:ind w:firstLine="300" w:firstLineChars="0"/>
              <w:jc w:val="center"/>
              <w:rPr>
                <w:rFonts w:eastAsia="宋体" w:hint="eastAsia"/>
                <w:vertAlign w:val="baseline"/>
                <w:lang w:val="en-US" w:eastAsia="zh-CN"/>
              </w:rPr>
            </w:pPr>
          </w:p>
        </w:tc>
        <w:tc>
          <w:tcPr>
            <w:tcW w:w="926"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90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968"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990"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1078"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firstLine="0" w:firstLineChars="0"/>
              <w:jc w:val="center"/>
              <w:rPr>
                <w:rFonts w:eastAsia="宋体" w:hint="eastAsia"/>
                <w:vertAlign w:val="baseline"/>
                <w:lang w:val="en-US" w:eastAsia="zh-CN"/>
              </w:rPr>
            </w:pPr>
            <w:r>
              <w:rPr>
                <w:sz w:val="17"/>
                <w:szCs w:val="17"/>
              </w:rPr>
              <w:t xml:space="preserve">收入</w:t>
            </w:r>
          </w:p>
        </w:tc>
        <w:tc>
          <w:tcPr>
            <w:tcW w:w="972" w:type="dxa"/>
            <w:vAlign w:val="center"/>
          </w:tcPr>
          <w:p>
            <w:pPr>
              <w:pStyle w:val="Other|1"/>
              <w:spacing w:line="240" w:lineRule="auto"/>
              <w:ind w:firstLine="0" w:firstLineChars="0"/>
              <w:jc w:val="center"/>
              <w:rPr>
                <w:rFonts w:eastAsia="宋体" w:hint="eastAsia"/>
                <w:vertAlign w:val="baseline"/>
                <w:lang w:val="en-US" w:eastAsia="zh-CN"/>
              </w:rPr>
            </w:pPr>
            <w:r>
              <w:rPr>
                <w:sz w:val="17"/>
                <w:szCs w:val="17"/>
              </w:rPr>
              <w:t xml:space="preserve">单位资金</w:t>
            </w:r>
          </w:p>
        </w:tc>
        <w:tc>
          <w:tcPr>
            <w:tcW w:w="919" w:type="dxa"/>
            <w:vAlign w:val="center"/>
          </w:tcPr>
          <w:p>
            <w:pPr>
              <w:pStyle w:val="Other|1"/>
              <w:spacing w:line="240" w:lineRule="auto"/>
              <w:ind w:firstLine="300" w:firstLineChars="0"/>
              <w:jc w:val="center"/>
              <w:rPr>
                <w:rFonts w:eastAsia="宋体" w:hint="eastAsia"/>
                <w:vertAlign w:val="baseline"/>
                <w:lang w:val="en-US" w:eastAsia="zh-CN"/>
              </w:rPr>
            </w:pPr>
            <w:r>
              <w:rPr>
                <w:sz w:val="17"/>
                <w:szCs w:val="17"/>
              </w:rPr>
              <w:t xml:space="preserve">小计</w:t>
            </w:r>
          </w:p>
        </w:tc>
        <w:tc>
          <w:tcPr>
            <w:tcW w:w="1011"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一般公共预算</w:t>
            </w:r>
          </w:p>
        </w:tc>
        <w:tc>
          <w:tcPr>
            <w:tcW w:w="859" w:type="dxa"/>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政府性基金预算</w:t>
            </w:r>
          </w:p>
        </w:tc>
        <w:tc>
          <w:tcPr>
            <w:tcW w:w="1094" w:type="dxa"/>
            <w:gridSpan w:val="2"/>
            <w:vAlign w:val="center"/>
          </w:tcPr>
          <w:p>
            <w:pPr>
              <w:pStyle w:val="Other|1"/>
              <w:spacing w:line="317" w:lineRule="exact"/>
              <w:ind w:firstLine="0" w:firstLineChars="0"/>
              <w:jc w:val="center"/>
              <w:rPr>
                <w:rFonts w:eastAsia="宋体" w:hint="eastAsia"/>
                <w:vertAlign w:val="baseline"/>
                <w:lang w:val="en-US" w:eastAsia="zh-CN"/>
              </w:rPr>
            </w:pPr>
            <w:r>
              <w:rPr>
                <w:sz w:val="17"/>
                <w:szCs w:val="17"/>
              </w:rPr>
              <w:t xml:space="preserve">国有资本经营预算</w:t>
            </w:r>
          </w:p>
        </w:tc>
        <w:tc>
          <w:tcPr>
            <w:tcW w:w="937" w:type="dxa"/>
          </w:tcPr>
          <w:p>
            <w:pPr>
              <w:pStyle w:val="Other|1"/>
              <w:spacing w:line="312" w:lineRule="exact"/>
              <w:ind w:firstLine="0"/>
              <w:jc w:val="center"/>
              <w:rPr>
                <w:sz w:val="17"/>
                <w:szCs w:val="17"/>
              </w:rPr>
            </w:pPr>
            <w:r>
              <w:rPr>
                <w:sz w:val="17"/>
                <w:szCs w:val="17"/>
              </w:rPr>
              <w:t xml:space="preserve">财政专户管理资金</w:t>
            </w:r>
          </w:p>
          <w:p>
            <w:pPr>
              <w:pStyle w:val="Other|1"/>
              <w:spacing w:line="312" w:lineRule="exact"/>
              <w:ind w:right="280" w:firstLine="0" w:rightChars="0" w:firstLineChars="0"/>
              <w:jc w:val="center"/>
              <w:rPr>
                <w:rFonts w:eastAsia="宋体" w:hint="eastAsia"/>
                <w:vertAlign w:val="baseline"/>
                <w:lang w:val="en-US" w:eastAsia="zh-CN"/>
              </w:rPr>
            </w:pPr>
            <w:r>
              <w:rPr>
                <w:sz w:val="17"/>
                <w:szCs w:val="17"/>
              </w:rPr>
              <w:t xml:space="preserve">收入</w:t>
            </w:r>
          </w:p>
        </w:tc>
        <w:tc>
          <w:tcPr>
            <w:tcW w:w="989" w:type="dxa"/>
            <w:vAlign w:val="center"/>
          </w:tcPr>
          <w:p>
            <w:pPr>
              <w:pStyle w:val="Other|1"/>
              <w:spacing w:line="240" w:lineRule="auto"/>
              <w:ind w:firstLine="140" w:firstLineChars="0"/>
              <w:jc w:val="center"/>
              <w:rPr>
                <w:rFonts w:eastAsia="宋体" w:hint="eastAsia"/>
                <w:vertAlign w:val="baseline"/>
                <w:lang w:val="en-US" w:eastAsia="zh-CN"/>
              </w:rPr>
            </w:pPr>
            <w:r>
              <w:rPr>
                <w:sz w:val="17"/>
                <w:szCs w:val="17"/>
              </w:rPr>
              <w:t xml:space="preserve">单位资金</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636" w:type="dxa"/>
          </w:tcPr>
          <w:p>
            <w:pPr>
              <w:tabs>
                <w:tab w:val="left" w:pos="859"/>
              </w:tabs>
              <w:jc w:val="both"/>
              <w:rPr>
                <w:rFonts w:eastAsia="宋体" w:hint="eastAsia"/>
                <w:vertAlign w:val="baseline"/>
                <w:lang w:val="en-US" w:eastAsia="zh-CN"/>
              </w:rPr>
            </w:pPr>
          </w:p>
        </w:tc>
        <w:tc>
          <w:tcPr>
            <w:tcW w:w="1279" w:type="dxa"/>
          </w:tcPr>
          <w:p>
            <w:pPr>
              <w:tabs>
                <w:tab w:val="left" w:pos="859"/>
              </w:tabs>
              <w:jc w:val="both"/>
              <w:rPr>
                <w:rFonts w:eastAsia="宋体" w:hint="eastAsia"/>
                <w:vertAlign w:val="baseline"/>
                <w:lang w:val="en-US" w:eastAsia="zh-CN"/>
              </w:rPr>
            </w:pPr>
          </w:p>
        </w:tc>
        <w:tc>
          <w:tcPr>
            <w:tcW w:w="990"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w:t>
            </w:r>
          </w:p>
        </w:tc>
        <w:tc>
          <w:tcPr>
            <w:tcW w:w="926"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2</w:t>
            </w:r>
          </w:p>
        </w:tc>
        <w:tc>
          <w:tcPr>
            <w:tcW w:w="909" w:type="dxa"/>
            <w:vAlign w:val="center"/>
          </w:tcPr>
          <w:p>
            <w:pPr>
              <w:pStyle w:val="Other|1"/>
              <w:spacing w:line="240" w:lineRule="auto"/>
              <w:ind w:firstLine="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3</w:t>
            </w:r>
          </w:p>
        </w:tc>
        <w:tc>
          <w:tcPr>
            <w:tcW w:w="96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4</w:t>
            </w:r>
          </w:p>
        </w:tc>
        <w:tc>
          <w:tcPr>
            <w:tcW w:w="990"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5</w:t>
            </w:r>
          </w:p>
        </w:tc>
        <w:tc>
          <w:tcPr>
            <w:tcW w:w="1078"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6</w:t>
            </w:r>
          </w:p>
        </w:tc>
        <w:tc>
          <w:tcPr>
            <w:tcW w:w="972"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7</w:t>
            </w:r>
          </w:p>
        </w:tc>
        <w:tc>
          <w:tcPr>
            <w:tcW w:w="919"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8</w:t>
            </w:r>
          </w:p>
        </w:tc>
        <w:tc>
          <w:tcPr>
            <w:tcW w:w="1011" w:type="dxa"/>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9</w:t>
            </w:r>
          </w:p>
        </w:tc>
        <w:tc>
          <w:tcPr>
            <w:tcW w:w="859" w:type="dxa"/>
            <w:vAlign w:val="center"/>
          </w:tcPr>
          <w:p>
            <w:pPr>
              <w:pStyle w:val="Other|1"/>
              <w:spacing w:line="240" w:lineRule="auto"/>
              <w:ind w:right="36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10</w:t>
            </w:r>
          </w:p>
        </w:tc>
        <w:tc>
          <w:tcPr>
            <w:tcW w:w="1094" w:type="dxa"/>
            <w:gridSpan w:val="2"/>
            <w:vAlign w:val="center"/>
          </w:tcPr>
          <w:p>
            <w:pPr>
              <w:pStyle w:val="Other|1"/>
              <w:spacing w:line="240" w:lineRule="auto"/>
              <w:ind w:left="0" w:firstLine="0" w:lef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11</w:t>
            </w:r>
          </w:p>
        </w:tc>
        <w:tc>
          <w:tcPr>
            <w:tcW w:w="937" w:type="dxa"/>
            <w:vAlign w:val="center"/>
          </w:tcPr>
          <w:p>
            <w:pPr>
              <w:pStyle w:val="Other|1"/>
              <w:spacing w:line="240" w:lineRule="auto"/>
              <w:ind w:right="38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12</w:t>
            </w:r>
          </w:p>
        </w:tc>
        <w:tc>
          <w:tcPr>
            <w:tcW w:w="989" w:type="dxa"/>
            <w:vAlign w:val="center"/>
          </w:tcPr>
          <w:p>
            <w:pPr>
              <w:pStyle w:val="Other|1"/>
              <w:spacing w:line="240" w:lineRule="auto"/>
              <w:ind w:right="420" w:firstLine="0" w:rightChars="0" w:firstLineChars="0"/>
              <w:jc w:val="center"/>
              <w:rPr>
                <w:rFonts w:eastAsia="宋体" w:hint="eastAsia"/>
                <w:vertAlign w:val="baseline"/>
                <w:lang w:val="en-US" w:eastAsia="zh-CN"/>
              </w:rPr>
            </w:pPr>
            <w:r>
              <w:rPr>
                <w:rFonts w:ascii="Times New Roman" w:eastAsia="Times New Roman" w:hAnsi="Times New Roman" w:cs="Times New Roman"/>
                <w:b/>
                <w:bCs/>
                <w:sz w:val="17"/>
                <w:szCs w:val="17"/>
              </w:rPr>
              <w:t xml:space="preserve">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90"/>
        </w:trPr>
        <w:tc>
          <w:tcPr>
            <w:tcW w:w="1636"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rPr>
              <w:t xml:space="preserve">201006</w:t>
            </w:r>
          </w:p>
        </w:tc>
        <w:tc>
          <w:tcPr>
            <w:tcW w:w="1279" w:type="dxa"/>
          </w:tcPr>
          <w:p>
            <w:pPr>
              <w:pStyle w:val="Other|1"/>
              <w:spacing w:line="326" w:lineRule="exact"/>
              <w:ind w:firstLine="0" w:firstLineChars="0"/>
              <w:jc w:val="lef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rPr>
              <w:t xml:space="preserve">环江毛南族自治县第五幼儿园</w:t>
            </w:r>
          </w:p>
        </w:tc>
        <w:tc>
          <w:tcPr>
            <w:tcW w:w="990"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440.77</w:t>
            </w:r>
          </w:p>
        </w:tc>
        <w:tc>
          <w:tcPr>
            <w:tcW w:w="926"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429.30</w:t>
            </w:r>
          </w:p>
        </w:tc>
        <w:tc>
          <w:tcPr>
            <w:tcW w:w="909"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429.30</w:t>
            </w:r>
          </w:p>
        </w:tc>
        <w:tc>
          <w:tcPr>
            <w:tcW w:w="968"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90" w:type="dxa"/>
            <w:vAlign w:val="center"/>
          </w:tcPr>
          <w:p>
            <w:pPr>
              <w:pStyle w:val="Other|1"/>
              <w:spacing w:line="240" w:lineRule="auto"/>
              <w:ind w:left="0" w:firstLine="0" w:leftChars="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1078"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72"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19"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11.47</w:t>
            </w:r>
          </w:p>
        </w:tc>
        <w:tc>
          <w:tcPr>
            <w:tcW w:w="1011"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11.47</w:t>
            </w:r>
          </w:p>
        </w:tc>
        <w:tc>
          <w:tcPr>
            <w:tcW w:w="859" w:type="dxa"/>
            <w:vAlign w:val="center"/>
          </w:tcPr>
          <w:p>
            <w:pPr>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1094" w:type="dxa"/>
            <w:gridSpan w:val="2"/>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37" w:type="dxa"/>
            <w:vAlign w:val="center"/>
          </w:tcPr>
          <w:p>
            <w:pPr>
              <w:spacing w:line="240" w:lineRule="auto"/>
              <w:ind w:firstLine="0" w:firstLineChars="0"/>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c>
          <w:tcPr>
            <w:tcW w:w="989" w:type="dxa"/>
            <w:vAlign w:val="center"/>
          </w:tcPr>
          <w:p>
            <w:pPr>
              <w:spacing w:line="240" w:lineRule="auto"/>
              <w:jc w:val="right"/>
              <w:rPr>
                <w:rFonts w:ascii="宋体" w:eastAsia="宋体" w:hAnsi="宋体" w:cs="宋体" w:hint="eastAsia"/>
                <w:b w:val="0"/>
                <w:bCs w:val="0"/>
                <w:sz w:val="17"/>
                <w:szCs w:val="17"/>
                <w:vertAlign w:val="baseline"/>
                <w:lang w:val="en-US" w:eastAsia="zh-CN"/>
              </w:rPr>
            </w:pPr>
            <w:r>
              <w:rPr>
                <w:rFonts w:ascii="宋体" w:eastAsia="宋体" w:hAnsi="宋体" w:cs="宋体"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Pr>
        <w:tc>
          <w:tcPr>
            <w:tcW w:w="15557" w:type="dxa"/>
            <w:gridSpan w:val="16"/>
            <w:tcBorders>
              <w:left w:val="nil"/>
              <w:bottom w:val="nil"/>
              <w:right w:val="nil"/>
            </w:tcBorders>
          </w:tcPr>
          <w:p>
            <w:pPr>
              <w:pStyle w:val="Tablecaption|1"/>
              <w:jc w:val="left"/>
              <w:rPr>
                <w:rFonts w:eastAsia="宋体" w:hint="eastAsia"/>
                <w:sz w:val="17"/>
                <w:szCs w:val="17"/>
                <w:vertAlign w:val="baseline"/>
                <w:lang w:val="en-US" w:eastAsia="zh-CN"/>
              </w:rPr>
            </w:pPr>
            <w:r>
              <w:rPr>
                <w:sz w:val="17"/>
                <w:szCs w:val="17"/>
              </w:rPr>
              <w:t xml:space="preserve">注：本报表金额单位转换时可能存在四舍五入尾数误差。</w:t>
            </w:r>
          </w:p>
        </w:tc>
      </w:tr>
    </w:tbl>
    <w:p>
      <w:pPr>
        <w:tabs>
          <w:tab w:val="left" w:pos="859"/>
        </w:tabs>
        <w:jc w:val="both"/>
        <w:rPr>
          <w:rFonts w:eastAsia="宋体" w:hint="eastAsia"/>
          <w:lang w:val="en-US" w:eastAsia="zh-CN"/>
        </w:rPr>
      </w:pPr>
    </w:p>
    <w:p>
      <w:pPr>
        <w:spacing w:line="1" w:lineRule="exact"/>
        <w:jc w:val="left"/>
        <w:rPr>
          <w:lang w:eastAsia="zh-CN"/>
        </w:rPr>
        <w:sectPr>
          <w:headerReference w:type="default" r:id="rId18"/>
          <w:footerReference w:type="default" r:id="rId19"/>
          <w:pgSz w:w="16840" w:h="11900" w:orient="landscape"/>
          <w:pgMar w:top="2709" w:right="764" w:bottom="2709" w:left="735" w:header="2281"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2|1"/>
        <w:keepNext/>
        <w:keepLines/>
        <w:spacing w:after="240"/>
        <w:jc w:val="center"/>
      </w:pPr>
      <w:bookmarkStart w:id="19" w:name="bookmark43"/>
      <w:bookmarkStart w:id="20" w:name="bookmark41"/>
      <w:bookmarkStart w:id="21" w:name="bookmark42"/>
      <w:r>
        <w:t xml:space="preserve">支出总体情况表</w:t>
      </w:r>
      <w:bookmarkEnd w:id="19"/>
      <w:bookmarkEnd w:id="20"/>
      <w:bookmarkEnd w:id="21"/>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1934"/>
        <w:gridCol w:w="2390"/>
        <w:gridCol w:w="2280"/>
        <w:gridCol w:w="2299"/>
        <w:gridCol w:w="2222"/>
        <w:gridCol w:w="2371"/>
      </w:tblGrid>
      <w:tr>
        <w:tblPrEx>
          <w:tblW w:w="0" w:type="auto"/>
          <w:tblInd w:w="0" w:type="dxa"/>
          <w:tblLayout w:type="fixed"/>
          <w:tblCellMar>
            <w:top w:w="0" w:type="dxa"/>
            <w:left w:w="10" w:type="dxa"/>
            <w:bottom w:w="0" w:type="dxa"/>
            <w:right w:w="10" w:type="dxa"/>
          </w:tblCellMar>
        </w:tblPrEx>
        <w:trPr>
          <w:cantSplit/>
          <w:trHeight w:hRule="exact" w:val="346"/>
        </w:trPr>
        <w:tc>
          <w:tcPr>
            <w:tcW w:w="12968" w:type="dxa"/>
            <w:gridSpan w:val="6"/>
            <w:shd w:val="clear" w:color="auto" w:fill="FFFFFF"/>
          </w:tcPr>
          <w:p>
            <w:pPr>
              <w:pStyle w:val="Other|1"/>
              <w:spacing w:line="240" w:lineRule="auto"/>
              <w:ind w:firstLine="0"/>
              <w:jc w:val="left"/>
              <w:rPr>
                <w:sz w:val="17"/>
                <w:szCs w:val="17"/>
              </w:rPr>
            </w:pPr>
            <w:r>
              <w:rPr>
                <w:sz w:val="17"/>
                <w:szCs w:val="17"/>
              </w:rPr>
              <w:t xml:space="preserve">单位名称：</w:t>
            </w:r>
            <w:r>
              <w:rPr>
                <w:rFonts w:hint="eastAsia"/>
                <w:sz w:val="17"/>
                <w:szCs w:val="17"/>
                <w:lang w:eastAsia="zh-CN"/>
              </w:rPr>
              <w:t xml:space="preserve">环江毛南族自治县第五幼儿园</w:t>
            </w:r>
          </w:p>
        </w:tc>
        <w:tc>
          <w:tcPr>
            <w:tcW w:w="2371" w:type="dxa"/>
            <w:shd w:val="clear" w:color="auto" w:fill="FFFFFF"/>
          </w:tcPr>
          <w:p>
            <w:pPr>
              <w:pStyle w:val="Other|1"/>
              <w:spacing w:line="240" w:lineRule="auto"/>
              <w:ind w:firstLine="1190" w:firstLineChars="700"/>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exact" w:val="854"/>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科目编码</w:t>
            </w:r>
          </w:p>
        </w:tc>
        <w:tc>
          <w:tcPr>
            <w:tcW w:w="1934"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left"/>
              <w:rPr>
                <w:sz w:val="17"/>
                <w:szCs w:val="17"/>
              </w:rPr>
            </w:pPr>
            <w:r>
              <w:rPr>
                <w:sz w:val="17"/>
                <w:szCs w:val="17"/>
              </w:rPr>
              <w:t xml:space="preserve">部门（单位）代码</w:t>
            </w:r>
          </w:p>
        </w:tc>
        <w:tc>
          <w:tcPr>
            <w:tcW w:w="2390" w:type="dxa"/>
            <w:tcBorders>
              <w:top w:val="single" w:sz="4" w:space="0" w:color="auto"/>
              <w:left w:val="single" w:sz="4" w:space="0" w:color="auto"/>
              <w:bottom w:val="single" w:sz="4" w:space="0" w:color="auto"/>
            </w:tcBorders>
            <w:shd w:val="clear" w:color="auto" w:fill="FFFFFF"/>
            <w:vAlign w:val="center"/>
          </w:tcPr>
          <w:p>
            <w:pPr>
              <w:pStyle w:val="Other|1"/>
              <w:spacing w:after="120" w:line="240" w:lineRule="auto"/>
              <w:ind w:firstLine="0"/>
              <w:jc w:val="left"/>
              <w:rPr>
                <w:sz w:val="17"/>
                <w:szCs w:val="17"/>
              </w:rPr>
            </w:pPr>
            <w:r>
              <w:rPr>
                <w:sz w:val="17"/>
                <w:szCs w:val="17"/>
              </w:rPr>
              <w:t xml:space="preserve">部门（单位）名称</w:t>
            </w:r>
          </w:p>
          <w:p>
            <w:pPr>
              <w:pStyle w:val="Other|1"/>
              <w:spacing w:line="240" w:lineRule="auto"/>
              <w:ind w:firstLine="0"/>
              <w:jc w:val="left"/>
              <w:rPr>
                <w:sz w:val="17"/>
                <w:szCs w:val="17"/>
              </w:rPr>
            </w:pPr>
            <w:r>
              <w:rPr>
                <w:sz w:val="17"/>
                <w:szCs w:val="17"/>
              </w:rPr>
              <w:t xml:space="preserve">（功能分类科目名称）</w:t>
            </w:r>
          </w:p>
        </w:tc>
        <w:tc>
          <w:tcPr>
            <w:tcW w:w="228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合计</w:t>
            </w:r>
          </w:p>
        </w:tc>
        <w:tc>
          <w:tcPr>
            <w:tcW w:w="229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基本支出</w:t>
            </w:r>
          </w:p>
        </w:tc>
        <w:tc>
          <w:tcPr>
            <w:tcW w:w="2222"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项目支出</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结转下年支出</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 </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合计</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440.77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271.30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169.47</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201006</w:t>
            </w: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440.77</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271.30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169.47</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2012999</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其他群众团体事务支出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3.13</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3.13</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2050201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学前教育</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420.00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250.52</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169.47</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2080505</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机关事业单位基本养老保险缴费支出</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9.50</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9.50</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Layout w:type="fixed"/>
          <w:tblCellMar>
            <w:top w:w="0" w:type="dxa"/>
            <w:left w:w="10" w:type="dxa"/>
            <w:bottom w:w="0" w:type="dxa"/>
            <w:right w:w="10" w:type="dxa"/>
          </w:tblCellMar>
        </w:tblPrEx>
        <w:trPr>
          <w:cantSplit/>
          <w:trHeight w:hRule="exact" w:val="437"/>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2210201</w:t>
            </w:r>
          </w:p>
        </w:tc>
        <w:tc>
          <w:tcPr>
            <w:tcW w:w="1934"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p>
        </w:tc>
        <w:tc>
          <w:tcPr>
            <w:tcW w:w="239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住房公积金</w:t>
            </w:r>
          </w:p>
        </w:tc>
        <w:tc>
          <w:tcPr>
            <w:tcW w:w="228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8.15</w:t>
            </w:r>
          </w:p>
        </w:tc>
        <w:tc>
          <w:tcPr>
            <w:tcW w:w="2299"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8.15</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0.00</w:t>
            </w:r>
          </w:p>
        </w:tc>
        <w:tc>
          <w:tcPr>
            <w:tcW w:w="237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0</w:t>
            </w:r>
          </w:p>
        </w:tc>
      </w:tr>
    </w:tbl>
    <w:p>
      <w:pPr>
        <w:pStyle w:val="Tablecaption|1"/>
        <w:ind w:left="672"/>
        <w:jc w:val="left"/>
      </w:pPr>
      <w:r>
        <w:rPr>
          <w:b w:val="0"/>
          <w:bCs w:val="0"/>
        </w:rPr>
        <w:t xml:space="preserve">注：本报表金额单位转换时可能存在四舍五入尾数误差。</w:t>
      </w:r>
      <w:r>
        <w:br w:type="page"/>
      </w:r>
    </w:p>
    <w:p>
      <w:pPr>
        <w:pStyle w:val="Heading#2|1"/>
        <w:keepNext/>
        <w:keepLines/>
        <w:spacing w:after="240"/>
        <w:jc w:val="center"/>
      </w:pPr>
      <w:bookmarkStart w:id="22" w:name="bookmark46"/>
      <w:bookmarkStart w:id="23" w:name="bookmark45"/>
      <w:bookmarkStart w:id="24" w:name="bookmark44"/>
      <w:r>
        <w:t xml:space="preserve">财政拨款收支总体情况表</w:t>
      </w:r>
      <w:bookmarkEnd w:id="22"/>
      <w:bookmarkEnd w:id="23"/>
      <w:bookmarkEnd w:id="24"/>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2885"/>
        <w:gridCol w:w="955"/>
        <w:gridCol w:w="3830"/>
        <w:gridCol w:w="3826"/>
        <w:gridCol w:w="3845"/>
        <w:gridCol w:w="1"/>
      </w:tblGrid>
      <w:tr>
        <w:tblPrEx>
          <w:tblW w:w="0" w:type="auto"/>
          <w:tblInd w:w="0" w:type="dxa"/>
          <w:tblLayout w:type="fixed"/>
          <w:tblCellMar>
            <w:top w:w="0" w:type="dxa"/>
            <w:left w:w="10" w:type="dxa"/>
            <w:bottom w:w="0" w:type="dxa"/>
            <w:right w:w="10" w:type="dxa"/>
          </w:tblCellMar>
        </w:tblPrEx>
        <w:trPr>
          <w:gridAfter w:val="1"/>
          <w:wAfter w:w="1" w:type="dxa"/>
          <w:cantSplit/>
          <w:trHeight w:hRule="exact" w:val="346"/>
        </w:trPr>
        <w:tc>
          <w:tcPr>
            <w:tcW w:w="11496" w:type="dxa"/>
            <w:gridSpan w:val="4"/>
            <w:shd w:val="clear" w:color="auto" w:fill="FFFFFF"/>
          </w:tcPr>
          <w:p>
            <w:pPr>
              <w:pStyle w:val="Other|1"/>
              <w:spacing w:line="240" w:lineRule="auto"/>
              <w:ind w:firstLine="0"/>
              <w:jc w:val="left"/>
              <w:rPr>
                <w:rFonts w:hint="default"/>
                <w:sz w:val="17"/>
                <w:szCs w:val="17"/>
                <w:lang w:val="en-US"/>
              </w:rPr>
            </w:pPr>
            <w:r>
              <w:rPr>
                <w:sz w:val="17"/>
                <w:szCs w:val="17"/>
              </w:rPr>
              <w:t xml:space="preserve">单位名称：</w:t>
            </w:r>
            <w:r>
              <w:rPr>
                <w:rFonts w:hint="eastAsia"/>
                <w:sz w:val="17"/>
                <w:szCs w:val="17"/>
                <w:lang w:eastAsia="zh-CN"/>
              </w:rPr>
              <w:t xml:space="preserve">环江毛南族自治县第五幼儿园</w:t>
            </w:r>
            <w:r>
              <w:rPr>
                <w:rFonts w:hint="eastAsia"/>
                <w:sz w:val="17"/>
                <w:szCs w:val="17"/>
                <w:lang w:val="en-US" w:eastAsia="zh-CN"/>
              </w:rPr>
              <w:t xml:space="preserve">                         </w:t>
            </w:r>
          </w:p>
        </w:tc>
        <w:tc>
          <w:tcPr>
            <w:tcW w:w="3845" w:type="dxa"/>
            <w:shd w:val="clear" w:color="auto" w:fill="FFFFFF"/>
          </w:tcPr>
          <w:p>
            <w:pPr>
              <w:pStyle w:val="Other|1"/>
              <w:spacing w:line="240" w:lineRule="auto"/>
              <w:jc w:val="left"/>
              <w:rPr>
                <w:sz w:val="17"/>
                <w:szCs w:val="17"/>
              </w:rPr>
            </w:pPr>
            <w:r>
              <w:rPr>
                <w:sz w:val="17"/>
                <w:szCs w:val="17"/>
              </w:rPr>
              <w:t xml:space="preserve">单位：万元</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2885" w:type="dxa"/>
            <w:tcBorders>
              <w:top w:val="single" w:sz="4" w:space="0" w:color="auto"/>
              <w:left w:val="single" w:sz="4" w:space="0" w:color="auto"/>
            </w:tcBorders>
            <w:shd w:val="clear" w:color="auto" w:fill="FFFFFF"/>
          </w:tcPr>
          <w:p>
            <w:pPr>
              <w:jc w:val="left"/>
              <w:rPr>
                <w:sz w:val="10"/>
                <w:szCs w:val="10"/>
              </w:rPr>
            </w:pPr>
          </w:p>
        </w:tc>
        <w:tc>
          <w:tcPr>
            <w:tcW w:w="955" w:type="dxa"/>
            <w:tcBorders>
              <w:top w:val="single" w:sz="4" w:space="0" w:color="auto"/>
            </w:tcBorders>
            <w:shd w:val="clear" w:color="auto" w:fill="FFFFFF"/>
            <w:vAlign w:val="center"/>
          </w:tcPr>
          <w:p>
            <w:pPr>
              <w:pStyle w:val="Other|1"/>
              <w:spacing w:line="240" w:lineRule="auto"/>
              <w:ind w:firstLine="0"/>
              <w:jc w:val="left"/>
              <w:rPr>
                <w:sz w:val="17"/>
                <w:szCs w:val="17"/>
              </w:rPr>
            </w:pPr>
            <w:r>
              <w:rPr>
                <w:sz w:val="17"/>
                <w:szCs w:val="17"/>
              </w:rPr>
              <w:t xml:space="preserve">收</w:t>
            </w:r>
          </w:p>
        </w:tc>
        <w:tc>
          <w:tcPr>
            <w:tcW w:w="3830" w:type="dxa"/>
            <w:tcBorders>
              <w:top w:val="single" w:sz="4" w:space="0" w:color="auto"/>
            </w:tcBorders>
            <w:shd w:val="clear" w:color="auto" w:fill="FFFFFF"/>
            <w:vAlign w:val="center"/>
          </w:tcPr>
          <w:p>
            <w:pPr>
              <w:pStyle w:val="Other|1"/>
              <w:spacing w:line="240" w:lineRule="auto"/>
              <w:ind w:firstLine="340"/>
              <w:jc w:val="left"/>
              <w:rPr>
                <w:sz w:val="17"/>
                <w:szCs w:val="17"/>
              </w:rPr>
            </w:pPr>
            <w:r>
              <w:rPr>
                <w:sz w:val="17"/>
                <w:szCs w:val="17"/>
              </w:rPr>
              <w:t xml:space="preserve">入</w:t>
            </w:r>
          </w:p>
        </w:tc>
        <w:tc>
          <w:tcPr>
            <w:tcW w:w="3826" w:type="dxa"/>
            <w:tcBorders>
              <w:top w:val="single" w:sz="4" w:space="0" w:color="auto"/>
              <w:left w:val="single" w:sz="4" w:space="0" w:color="auto"/>
            </w:tcBorders>
            <w:shd w:val="clear" w:color="auto" w:fill="FFFFFF"/>
            <w:vAlign w:val="center"/>
          </w:tcPr>
          <w:p>
            <w:pPr>
              <w:pStyle w:val="Other|1"/>
              <w:spacing w:line="240" w:lineRule="auto"/>
              <w:ind w:right="340" w:firstLine="2720" w:firstLineChars="1600"/>
              <w:jc w:val="left"/>
              <w:rPr>
                <w:sz w:val="17"/>
                <w:szCs w:val="17"/>
              </w:rPr>
            </w:pPr>
            <w:r>
              <w:rPr>
                <w:sz w:val="17"/>
                <w:szCs w:val="17"/>
              </w:rPr>
              <w:t xml:space="preserve">支</w:t>
            </w:r>
          </w:p>
        </w:tc>
        <w:tc>
          <w:tcPr>
            <w:tcW w:w="3845" w:type="dxa"/>
            <w:tcBorders>
              <w:top w:val="single" w:sz="4" w:space="0" w:color="auto"/>
              <w:right w:val="single" w:sz="4" w:space="0" w:color="auto"/>
            </w:tcBorders>
            <w:shd w:val="clear" w:color="auto" w:fill="FFFFFF"/>
            <w:vAlign w:val="center"/>
          </w:tcPr>
          <w:p>
            <w:pPr>
              <w:pStyle w:val="Other|1"/>
              <w:spacing w:line="240" w:lineRule="auto"/>
              <w:ind w:firstLine="935" w:firstLineChars="550"/>
              <w:jc w:val="left"/>
              <w:rPr>
                <w:sz w:val="17"/>
                <w:szCs w:val="17"/>
              </w:rPr>
            </w:pPr>
            <w:r>
              <w:rPr>
                <w:sz w:val="17"/>
                <w:szCs w:val="17"/>
              </w:rPr>
              <w:t xml:space="preserve">出</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51"/>
        </w:trPr>
        <w:tc>
          <w:tcPr>
            <w:tcW w:w="3840" w:type="dxa"/>
            <w:gridSpan w:val="2"/>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项目</w:t>
            </w:r>
          </w:p>
        </w:tc>
        <w:tc>
          <w:tcPr>
            <w:tcW w:w="3830" w:type="dxa"/>
            <w:tcBorders>
              <w:top w:val="single" w:sz="4" w:space="0" w:color="auto"/>
              <w:lef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c>
          <w:tcPr>
            <w:tcW w:w="3826" w:type="dxa"/>
            <w:tcBorders>
              <w:top w:val="single" w:sz="4" w:space="0" w:color="auto"/>
              <w:left w:val="single" w:sz="4" w:space="0" w:color="auto"/>
            </w:tcBorders>
            <w:shd w:val="clear" w:color="auto" w:fill="FFFFFF"/>
            <w:vAlign w:val="center"/>
          </w:tcPr>
          <w:p>
            <w:pPr>
              <w:pStyle w:val="Other|1"/>
              <w:tabs>
                <w:tab w:val="left" w:pos="1034"/>
              </w:tabs>
              <w:spacing w:line="240" w:lineRule="auto"/>
              <w:ind w:firstLine="540"/>
              <w:jc w:val="center"/>
              <w:rPr>
                <w:sz w:val="17"/>
                <w:szCs w:val="17"/>
              </w:rPr>
            </w:pPr>
            <w:r>
              <w:rPr>
                <w:sz w:val="17"/>
                <w:szCs w:val="17"/>
              </w:rPr>
              <w:t xml:space="preserve">项</w:t>
            </w:r>
            <w:r>
              <w:rPr>
                <w:sz w:val="17"/>
                <w:szCs w:val="17"/>
              </w:rPr>
              <w:tab/>
            </w:r>
            <w:r>
              <w:rPr>
                <w:sz w:val="17"/>
                <w:szCs w:val="17"/>
              </w:rPr>
              <w:t xml:space="preserve">目（按支出功能科目分类）</w:t>
            </w:r>
          </w:p>
        </w:tc>
        <w:tc>
          <w:tcPr>
            <w:tcW w:w="3845" w:type="dxa"/>
            <w:tcBorders>
              <w:top w:val="single" w:sz="4" w:space="0" w:color="auto"/>
              <w:left w:val="single" w:sz="4" w:space="0" w:color="auto"/>
              <w:right w:val="single" w:sz="4" w:space="0" w:color="auto"/>
            </w:tcBorders>
            <w:shd w:val="clear" w:color="auto" w:fill="FFFFFF"/>
            <w:vAlign w:val="center"/>
          </w:tcPr>
          <w:p>
            <w:pPr>
              <w:pStyle w:val="Other|1"/>
              <w:spacing w:line="240" w:lineRule="auto"/>
              <w:ind w:firstLine="0"/>
              <w:jc w:val="center"/>
              <w:rPr>
                <w:sz w:val="17"/>
                <w:szCs w:val="17"/>
              </w:rPr>
            </w:pPr>
            <w:r>
              <w:rPr>
                <w:sz w:val="17"/>
                <w:szCs w:val="17"/>
              </w:rPr>
              <w:t xml:space="preserve">预算数</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一、一般公共预算拨款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429.30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一、一般公共服务支出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3.13</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二、外交支出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429.30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三、国防支出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二、政府性基金预算拨款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四、公共安全支出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五、教育支出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420.00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     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六、科学技术支出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三、国有资本经营预算拨款</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七、文化旅游体育与传媒支出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1、上级补助</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八、社会保障和就业支出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9.50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2、本级</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九、卫生健康支出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十、节能环保支出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十一、城乡社区支出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十二、农林水支出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十三、交通运输支出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十四、资源勘探工业信息等支出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十五、商业服务业等支出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十六、金融支出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十七、援助其他地区支出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十八、自然资源海洋气象等支出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十九、住房保障支出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8.15</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二十、粮油物资储备支出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二十一、国有资本经营预算支出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二十二、灾害防治及应急管理支出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二十三、其他支出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二十四、债务还本支出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二十五、债务付息支出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二十六、债务发行费用支出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本年收入合计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429.30</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本年支出合计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440.77</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上年结转结余</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11.47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结转下年支出</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0.00</w:t>
            </w:r>
          </w:p>
        </w:tc>
      </w:tr>
      <w:tr>
        <w:tblPrEx>
          <w:tblW w:w="0" w:type="auto"/>
          <w:tblInd w:w="0" w:type="dxa"/>
          <w:tblLayout w:type="fixed"/>
          <w:tblCellMar>
            <w:top w:w="0" w:type="dxa"/>
            <w:left w:w="10" w:type="dxa"/>
            <w:bottom w:w="0" w:type="dxa"/>
            <w:right w:w="10" w:type="dxa"/>
          </w:tblCellMar>
        </w:tblPrEx>
        <w:trPr>
          <w:gridAfter w:val="1"/>
          <w:wAfter w:w="1" w:type="dxa"/>
          <w:cantSplit/>
          <w:trHeight w:hRule="exact" w:val="437"/>
        </w:trPr>
        <w:tc>
          <w:tcPr>
            <w:tcW w:w="3840" w:type="dxa"/>
            <w:gridSpan w:val="2"/>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left"/>
              <w:rPr>
                <w:rFonts w:hint="default"/>
                <w:sz w:val="17"/>
                <w:szCs w:val="17"/>
                <w:lang w:val="en-US" w:eastAsia="zh-CN"/>
              </w:rPr>
            </w:pPr>
            <w:r>
              <w:rPr>
                <w:rFonts w:hint="eastAsia"/>
                <w:sz w:val="17"/>
                <w:szCs w:val="17"/>
                <w:lang w:val="en-US" w:eastAsia="zh-CN"/>
              </w:rPr>
              <w:t xml:space="preserve">收入总计</w:t>
            </w:r>
          </w:p>
        </w:tc>
        <w:tc>
          <w:tcPr>
            <w:tcW w:w="383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440.77</w:t>
            </w:r>
          </w:p>
        </w:tc>
        <w:tc>
          <w:tcPr>
            <w:tcW w:w="3826"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支出总计</w:t>
            </w:r>
          </w:p>
        </w:tc>
        <w:tc>
          <w:tcPr>
            <w:tcW w:w="3845"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200"/>
              <w:jc w:val="right"/>
              <w:rPr>
                <w:rFonts w:hint="default"/>
                <w:sz w:val="17"/>
                <w:szCs w:val="17"/>
                <w:lang w:val="en-US" w:eastAsia="zh-CN"/>
              </w:rPr>
            </w:pPr>
            <w:r>
              <w:rPr>
                <w:rFonts w:hint="eastAsia"/>
                <w:sz w:val="17"/>
                <w:szCs w:val="17"/>
                <w:lang w:val="en-US" w:eastAsia="zh-CN"/>
              </w:rPr>
              <w:t xml:space="preserve">440.77</w:t>
            </w:r>
          </w:p>
        </w:tc>
      </w:tr>
      <w:tr>
        <w:tblPrEx>
          <w:tblW w:w="0" w:type="auto"/>
          <w:tblInd w:w="0" w:type="dxa"/>
          <w:tblLayout w:type="fixed"/>
          <w:tblCellMar>
            <w:top w:w="0" w:type="dxa"/>
            <w:left w:w="10" w:type="dxa"/>
            <w:bottom w:w="0" w:type="dxa"/>
            <w:right w:w="10" w:type="dxa"/>
          </w:tblCellMar>
        </w:tblPrEx>
        <w:trPr>
          <w:cantSplit/>
          <w:trHeight w:hRule="exact" w:val="352"/>
        </w:trPr>
        <w:tc>
          <w:tcPr>
            <w:tcW w:w="15342" w:type="dxa"/>
            <w:gridSpan w:val="6"/>
            <w:tcBorders>
              <w:top w:val="single" w:sz="4" w:space="0" w:color="auto"/>
            </w:tcBorders>
            <w:shd w:val="clear" w:color="auto" w:fill="FFFFFF"/>
          </w:tcPr>
          <w:p>
            <w:pPr>
              <w:jc w:val="left"/>
              <w:rPr>
                <w:rFonts w:ascii="宋体" w:eastAsia="宋体" w:hAnsi="宋体" w:cs="宋体" w:hint="eastAsia"/>
                <w:sz w:val="17"/>
                <w:szCs w:val="17"/>
                <w:lang w:eastAsia="zh-CN"/>
              </w:rPr>
            </w:pPr>
            <w:r>
              <w:rPr>
                <w:rFonts w:ascii="宋体" w:eastAsia="宋体" w:hAnsi="宋体" w:cs="宋体" w:hint="eastAsia"/>
                <w:sz w:val="17"/>
                <w:szCs w:val="17"/>
              </w:rPr>
              <w:t xml:space="preserve">注：表中功能分类科目，根据各部门实际预算编制情况编列。</w:t>
            </w:r>
          </w:p>
        </w:tc>
      </w:tr>
      <w:tr>
        <w:tblPrEx>
          <w:tblW w:w="0" w:type="auto"/>
          <w:tblInd w:w="0" w:type="dxa"/>
          <w:tblLayout w:type="fixed"/>
          <w:tblCellMar>
            <w:top w:w="0" w:type="dxa"/>
            <w:left w:w="10" w:type="dxa"/>
            <w:bottom w:w="0" w:type="dxa"/>
            <w:right w:w="10" w:type="dxa"/>
          </w:tblCellMar>
        </w:tblPrEx>
        <w:trPr>
          <w:cantSplit/>
          <w:trHeight w:hRule="exact" w:val="274"/>
        </w:trPr>
        <w:tc>
          <w:tcPr>
            <w:tcW w:w="15342" w:type="dxa"/>
            <w:gridSpan w:val="6"/>
            <w:shd w:val="clear" w:color="auto" w:fill="FFFFFF"/>
            <w:vAlign w:val="bottom"/>
          </w:tcPr>
          <w:p>
            <w:pPr>
              <w:jc w:val="left"/>
              <w:rPr>
                <w:rFonts w:ascii="宋体" w:eastAsia="宋体" w:hAnsi="宋体" w:cs="宋体" w:hint="eastAsia"/>
                <w:sz w:val="17"/>
                <w:szCs w:val="17"/>
                <w:lang w:eastAsia="zh-CN"/>
              </w:rPr>
            </w:pPr>
            <w:r>
              <w:rPr>
                <w:rFonts w:ascii="宋体" w:eastAsia="宋体" w:hAnsi="宋体" w:cs="宋体" w:hint="eastAsia"/>
                <w:sz w:val="17"/>
                <w:szCs w:val="17"/>
              </w:rPr>
              <w:t xml:space="preserve">报表金额单位转换时可能存在四舍五入尾数误差。</w:t>
            </w:r>
          </w:p>
        </w:tc>
      </w:tr>
    </w:tbl>
    <w:p>
      <w:pPr>
        <w:jc w:val="left"/>
        <w:rPr>
          <w:lang w:eastAsia="zh-CN"/>
        </w:rPr>
      </w:pPr>
      <w:r>
        <w:br w:type="page"/>
      </w:r>
    </w:p>
    <w:p>
      <w:pPr>
        <w:jc w:val="center"/>
        <w:rPr>
          <w:rFonts w:hint="eastAsia"/>
          <w:lang w:eastAsia="zh-CN"/>
        </w:rPr>
      </w:pPr>
      <w:r>
        <w:rPr>
          <w:rFonts w:hint="eastAsia"/>
          <w:lang w:eastAsia="zh-CN"/>
        </w:rPr>
        <w:t xml:space="preserve">一般公共预算支出情况表</w:t>
      </w:r>
    </w:p>
    <w:p>
      <w:pPr>
        <w:jc w:val="center"/>
        <w:rPr>
          <w:rFonts w:hint="eastAsia"/>
          <w:lang w:eastAsia="zh-CN"/>
        </w:rPr>
      </w:pP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1715"/>
        <w:gridCol w:w="1676"/>
        <w:gridCol w:w="1662"/>
        <w:gridCol w:w="1717"/>
        <w:gridCol w:w="1879"/>
        <w:gridCol w:w="1729"/>
        <w:gridCol w:w="1718"/>
        <w:gridCol w:w="72"/>
        <w:gridCol w:w="1694"/>
        <w:gridCol w:w="1695"/>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2096" w:type="dxa"/>
            <w:gridSpan w:val="7"/>
            <w:tcBorders>
              <w:top w:val="nil"/>
              <w:left w:val="nil"/>
              <w:right w:val="nil"/>
            </w:tcBorders>
          </w:tcPr>
          <w:p>
            <w:pPr>
              <w:jc w:val="left"/>
              <w:rPr>
                <w:rFonts w:hint="eastAsia"/>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环江毛南族自治县第五幼儿园</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461" w:type="dxa"/>
            <w:gridSpan w:val="3"/>
            <w:tcBorders>
              <w:top w:val="nil"/>
              <w:left w:val="nil"/>
              <w:right w:val="nil"/>
            </w:tcBorders>
          </w:tcPr>
          <w:p>
            <w:pPr>
              <w:ind w:firstLine="1760" w:firstLineChars="1100"/>
              <w:jc w:val="left"/>
              <w:rPr>
                <w:rFonts w:hint="eastAsia"/>
                <w:vertAlign w:val="baseline"/>
                <w:lang w:eastAsia="zh-CN"/>
              </w:rPr>
            </w:pPr>
            <w:r>
              <w:rPr>
                <w:rFonts w:ascii="宋体" w:eastAsia="宋体" w:hAnsi="宋体" w:cs="宋体" w:hint="eastAsia"/>
                <w:sz w:val="16"/>
                <w:szCs w:val="16"/>
                <w:vertAlign w:val="baseline"/>
                <w:lang w:eastAsia="zh-CN"/>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val="restart"/>
          </w:tcPr>
          <w:p>
            <w:pPr>
              <w:jc w:val="center"/>
              <w:rPr>
                <w:rFonts w:hint="eastAsia"/>
                <w:vertAlign w:val="baseline"/>
                <w:lang w:eastAsia="zh-CN"/>
              </w:rPr>
            </w:pPr>
            <w:r>
              <w:rPr>
                <w:sz w:val="17"/>
                <w:szCs w:val="17"/>
              </w:rPr>
              <w:t xml:space="preserve">科目编码</w:t>
            </w:r>
          </w:p>
        </w:tc>
        <w:tc>
          <w:tcPr>
            <w:tcW w:w="1676" w:type="dxa"/>
            <w:vMerge w:val="restart"/>
          </w:tcPr>
          <w:p>
            <w:pPr>
              <w:jc w:val="center"/>
              <w:rPr>
                <w:rFonts w:hint="eastAsia"/>
                <w:vertAlign w:val="baseline"/>
                <w:lang w:eastAsia="zh-CN"/>
              </w:rPr>
            </w:pPr>
            <w:r>
              <w:rPr>
                <w:sz w:val="17"/>
                <w:szCs w:val="17"/>
              </w:rPr>
              <w:t xml:space="preserve">部门（单位）代码</w:t>
            </w:r>
          </w:p>
        </w:tc>
        <w:tc>
          <w:tcPr>
            <w:tcW w:w="1662" w:type="dxa"/>
            <w:vMerge w:val="restart"/>
          </w:tcPr>
          <w:p>
            <w:pPr>
              <w:pStyle w:val="Other|1"/>
              <w:spacing w:after="120" w:line="240" w:lineRule="auto"/>
              <w:ind w:firstLine="0"/>
              <w:jc w:val="center"/>
              <w:rPr>
                <w:sz w:val="17"/>
                <w:szCs w:val="17"/>
              </w:rPr>
            </w:pPr>
            <w:r>
              <w:rPr>
                <w:sz w:val="17"/>
                <w:szCs w:val="17"/>
              </w:rPr>
              <w:t xml:space="preserve">部门（单位）名称</w:t>
            </w:r>
          </w:p>
          <w:p>
            <w:pPr>
              <w:jc w:val="center"/>
              <w:rPr>
                <w:rFonts w:hint="eastAsia"/>
                <w:vertAlign w:val="baseline"/>
                <w:lang w:eastAsia="zh-CN"/>
              </w:rPr>
            </w:pPr>
            <w:r>
              <w:rPr>
                <w:sz w:val="17"/>
                <w:szCs w:val="17"/>
              </w:rPr>
              <w:t xml:space="preserve">（功能分类科目名称）</w:t>
            </w:r>
          </w:p>
        </w:tc>
        <w:tc>
          <w:tcPr>
            <w:tcW w:w="1717" w:type="dxa"/>
            <w:vMerge w:val="restart"/>
          </w:tcPr>
          <w:p>
            <w:pPr>
              <w:jc w:val="center"/>
              <w:rPr>
                <w:rFonts w:hint="eastAsia"/>
                <w:vertAlign w:val="baseline"/>
                <w:lang w:eastAsia="zh-CN"/>
              </w:rPr>
            </w:pPr>
            <w:r>
              <w:rPr>
                <w:sz w:val="17"/>
                <w:szCs w:val="17"/>
              </w:rPr>
              <w:t xml:space="preserve">合计</w:t>
            </w:r>
          </w:p>
        </w:tc>
        <w:tc>
          <w:tcPr>
            <w:tcW w:w="5398" w:type="dxa"/>
            <w:gridSpan w:val="4"/>
          </w:tcPr>
          <w:p>
            <w:pPr>
              <w:jc w:val="center"/>
              <w:rPr>
                <w:rFonts w:hint="eastAsia"/>
                <w:vertAlign w:val="baseline"/>
                <w:lang w:eastAsia="zh-CN"/>
              </w:rPr>
            </w:pPr>
            <w:r>
              <w:rPr>
                <w:sz w:val="17"/>
                <w:szCs w:val="17"/>
              </w:rPr>
              <w:t xml:space="preserve">基本支出</w:t>
            </w:r>
          </w:p>
        </w:tc>
        <w:tc>
          <w:tcPr>
            <w:tcW w:w="1694" w:type="dxa"/>
            <w:vMerge w:val="restart"/>
          </w:tcPr>
          <w:p>
            <w:pPr>
              <w:jc w:val="center"/>
              <w:rPr>
                <w:rFonts w:hint="eastAsia"/>
                <w:vertAlign w:val="baseline"/>
                <w:lang w:eastAsia="zh-CN"/>
              </w:rPr>
            </w:pPr>
            <w:r>
              <w:rPr>
                <w:sz w:val="17"/>
                <w:szCs w:val="17"/>
              </w:rPr>
              <w:t xml:space="preserve">项目支出</w:t>
            </w:r>
          </w:p>
        </w:tc>
        <w:tc>
          <w:tcPr>
            <w:tcW w:w="1695" w:type="dxa"/>
            <w:vMerge w:val="restart"/>
          </w:tcPr>
          <w:p>
            <w:pPr>
              <w:jc w:val="center"/>
              <w:rPr>
                <w:rFonts w:hint="eastAsia"/>
                <w:vertAlign w:val="baseline"/>
                <w:lang w:eastAsia="zh-CN"/>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Merge/>
          </w:tcPr>
          <w:p>
            <w:pPr>
              <w:jc w:val="center"/>
              <w:rPr>
                <w:rFonts w:hint="eastAsia"/>
                <w:vertAlign w:val="baseline"/>
                <w:lang w:eastAsia="zh-CN"/>
              </w:rPr>
            </w:pPr>
          </w:p>
        </w:tc>
        <w:tc>
          <w:tcPr>
            <w:tcW w:w="1676" w:type="dxa"/>
            <w:vMerge/>
          </w:tcPr>
          <w:p>
            <w:pPr>
              <w:jc w:val="center"/>
              <w:rPr>
                <w:rFonts w:hint="eastAsia"/>
                <w:vertAlign w:val="baseline"/>
                <w:lang w:eastAsia="zh-CN"/>
              </w:rPr>
            </w:pPr>
          </w:p>
        </w:tc>
        <w:tc>
          <w:tcPr>
            <w:tcW w:w="1662" w:type="dxa"/>
            <w:vMerge/>
          </w:tcPr>
          <w:p>
            <w:pPr>
              <w:jc w:val="center"/>
              <w:rPr>
                <w:rFonts w:hint="eastAsia"/>
                <w:vertAlign w:val="baseline"/>
                <w:lang w:eastAsia="zh-CN"/>
              </w:rPr>
            </w:pPr>
          </w:p>
        </w:tc>
        <w:tc>
          <w:tcPr>
            <w:tcW w:w="1717" w:type="dxa"/>
            <w:vMerge/>
          </w:tcPr>
          <w:p>
            <w:pPr>
              <w:jc w:val="center"/>
              <w:rPr>
                <w:rFonts w:hint="eastAsia"/>
                <w:vertAlign w:val="baseline"/>
                <w:lang w:eastAsia="zh-CN"/>
              </w:rPr>
            </w:pPr>
          </w:p>
        </w:tc>
        <w:tc>
          <w:tcPr>
            <w:tcW w:w="187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小计</w:t>
            </w:r>
          </w:p>
        </w:tc>
        <w:tc>
          <w:tcPr>
            <w:tcW w:w="1729" w:type="dxa"/>
            <w:vAlign w:val="center"/>
          </w:tcPr>
          <w:p>
            <w:pPr>
              <w:pStyle w:val="Other|1"/>
              <w:spacing w:line="240" w:lineRule="auto"/>
              <w:ind w:firstLine="0" w:firstLineChars="0"/>
              <w:jc w:val="center"/>
              <w:rPr>
                <w:rFonts w:hint="eastAsia"/>
                <w:vertAlign w:val="baseline"/>
                <w:lang w:eastAsia="zh-CN"/>
              </w:rPr>
            </w:pPr>
            <w:r>
              <w:rPr>
                <w:sz w:val="17"/>
                <w:szCs w:val="17"/>
              </w:rPr>
              <w:t xml:space="preserve">人员经费</w:t>
            </w:r>
          </w:p>
        </w:tc>
        <w:tc>
          <w:tcPr>
            <w:tcW w:w="1790" w:type="dxa"/>
            <w:gridSpan w:val="2"/>
            <w:vAlign w:val="center"/>
          </w:tcPr>
          <w:p>
            <w:pPr>
              <w:pStyle w:val="Other|1"/>
              <w:spacing w:line="240" w:lineRule="auto"/>
              <w:ind w:firstLine="440" w:firstLineChars="0"/>
              <w:jc w:val="center"/>
              <w:rPr>
                <w:rFonts w:hint="eastAsia"/>
                <w:vertAlign w:val="baseline"/>
                <w:lang w:eastAsia="zh-CN"/>
              </w:rPr>
            </w:pPr>
            <w:r>
              <w:rPr>
                <w:sz w:val="17"/>
                <w:szCs w:val="17"/>
              </w:rPr>
              <w:t xml:space="preserve">公用经费</w:t>
            </w:r>
          </w:p>
        </w:tc>
        <w:tc>
          <w:tcPr>
            <w:tcW w:w="1694" w:type="dxa"/>
            <w:vMerge/>
          </w:tcPr>
          <w:p>
            <w:pPr>
              <w:jc w:val="center"/>
              <w:rPr>
                <w:rFonts w:hint="eastAsia"/>
                <w:vertAlign w:val="baseline"/>
                <w:lang w:eastAsia="zh-CN"/>
              </w:rPr>
            </w:pPr>
          </w:p>
        </w:tc>
        <w:tc>
          <w:tcPr>
            <w:tcW w:w="1695" w:type="dxa"/>
            <w:vMerge/>
          </w:tcPr>
          <w:p>
            <w:pPr>
              <w:jc w:val="center"/>
              <w:rPr>
                <w:rFonts w:hint="eastAsia"/>
                <w:vertAlign w:val="baseline"/>
                <w:lang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jc w:val="center"/>
              <w:rPr>
                <w:rFonts w:hint="eastAsia"/>
                <w:vertAlign w:val="baseline"/>
                <w:lang w:eastAsia="zh-CN"/>
              </w:rPr>
            </w:pPr>
          </w:p>
        </w:tc>
        <w:tc>
          <w:tcPr>
            <w:tcW w:w="1676" w:type="dxa"/>
            <w:vAlign w:val="center"/>
          </w:tcPr>
          <w:p>
            <w:pPr>
              <w:jc w:val="center"/>
              <w:rPr>
                <w:rFonts w:hint="eastAsia"/>
                <w:vertAlign w:val="baseline"/>
                <w:lang w:eastAsia="zh-CN"/>
              </w:rPr>
            </w:pPr>
          </w:p>
        </w:tc>
        <w:tc>
          <w:tcPr>
            <w:tcW w:w="1662" w:type="dxa"/>
            <w:vAlign w:val="center"/>
          </w:tcPr>
          <w:p>
            <w:pPr>
              <w:jc w:val="center"/>
              <w:rPr>
                <w:rFonts w:hint="eastAsia"/>
                <w:vertAlign w:val="baseline"/>
                <w:lang w:eastAsia="zh-CN"/>
              </w:rPr>
            </w:pPr>
          </w:p>
        </w:tc>
        <w:tc>
          <w:tcPr>
            <w:tcW w:w="1717"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1</w:t>
            </w:r>
          </w:p>
        </w:tc>
        <w:tc>
          <w:tcPr>
            <w:tcW w:w="187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2</w:t>
            </w:r>
          </w:p>
        </w:tc>
        <w:tc>
          <w:tcPr>
            <w:tcW w:w="1729" w:type="dxa"/>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3</w:t>
            </w:r>
          </w:p>
        </w:tc>
        <w:tc>
          <w:tcPr>
            <w:tcW w:w="1790" w:type="dxa"/>
            <w:gridSpan w:val="2"/>
            <w:vAlign w:val="center"/>
          </w:tcPr>
          <w:p>
            <w:pPr>
              <w:pStyle w:val="Other|1"/>
              <w:spacing w:line="240" w:lineRule="auto"/>
              <w:ind w:firstLine="0" w:firstLineChars="0"/>
              <w:jc w:val="center"/>
              <w:rPr>
                <w:rFonts w:hint="eastAsia"/>
                <w:vertAlign w:val="baseline"/>
                <w:lang w:eastAsia="zh-CN"/>
              </w:rPr>
            </w:pPr>
            <w:r>
              <w:rPr>
                <w:rFonts w:ascii="Times New Roman" w:eastAsia="Times New Roman" w:hAnsi="Times New Roman" w:cs="Times New Roman"/>
                <w:b/>
                <w:bCs/>
                <w:sz w:val="17"/>
                <w:szCs w:val="17"/>
              </w:rPr>
              <w:t xml:space="preserve">4</w:t>
            </w:r>
          </w:p>
        </w:tc>
        <w:tc>
          <w:tcPr>
            <w:tcW w:w="1694" w:type="dxa"/>
            <w:vAlign w:val="center"/>
          </w:tcPr>
          <w:p>
            <w:pPr>
              <w:pStyle w:val="Other|1"/>
              <w:spacing w:line="240" w:lineRule="auto"/>
              <w:ind w:firstLine="660" w:firstLineChars="0"/>
              <w:jc w:val="center"/>
              <w:rPr>
                <w:rFonts w:hint="eastAsia"/>
                <w:vertAlign w:val="baseline"/>
                <w:lang w:eastAsia="zh-CN"/>
              </w:rPr>
            </w:pPr>
            <w:r>
              <w:rPr>
                <w:rFonts w:ascii="Times New Roman" w:eastAsia="Times New Roman" w:hAnsi="Times New Roman" w:cs="Times New Roman"/>
                <w:b/>
                <w:bCs/>
                <w:sz w:val="17"/>
                <w:szCs w:val="17"/>
              </w:rPr>
              <w:t xml:space="preserve">5</w:t>
            </w:r>
          </w:p>
        </w:tc>
        <w:tc>
          <w:tcPr>
            <w:tcW w:w="1695" w:type="dxa"/>
            <w:vAlign w:val="center"/>
          </w:tcPr>
          <w:p>
            <w:pPr>
              <w:pStyle w:val="Other|1"/>
              <w:spacing w:line="240" w:lineRule="auto"/>
              <w:ind w:right="700" w:firstLine="0" w:rightChars="0" w:firstLineChars="0"/>
              <w:jc w:val="center"/>
              <w:rPr>
                <w:rFonts w:hint="eastAsia"/>
                <w:vertAlign w:val="baseline"/>
                <w:lang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201006</w:t>
            </w: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440.77</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271.30</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268.17</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3.13</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169.47</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2012999</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其他群众团体事务支出</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3.13</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3.13</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3.13</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2050201</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学前教育</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420.00</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250.52</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250.52</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169.47</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2080505</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机关事业单位基本养老保险缴费支出</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9.50</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9.50</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9.50</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715"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2210201</w:t>
            </w:r>
          </w:p>
        </w:tc>
        <w:tc>
          <w:tcPr>
            <w:tcW w:w="1676"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p>
        </w:tc>
        <w:tc>
          <w:tcPr>
            <w:tcW w:w="1662" w:type="dxa"/>
            <w:vAlign w:val="center"/>
          </w:tcPr>
          <w:p>
            <w:pPr>
              <w:pStyle w:val="Other|1"/>
              <w:spacing w:line="240" w:lineRule="auto"/>
              <w:ind w:firstLine="0" w:firstLineChars="0"/>
              <w:jc w:val="center"/>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住房公积金</w:t>
            </w:r>
          </w:p>
        </w:tc>
        <w:tc>
          <w:tcPr>
            <w:tcW w:w="1717"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8.15</w:t>
            </w:r>
          </w:p>
        </w:tc>
        <w:tc>
          <w:tcPr>
            <w:tcW w:w="187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8.15</w:t>
            </w:r>
          </w:p>
        </w:tc>
        <w:tc>
          <w:tcPr>
            <w:tcW w:w="1729" w:type="dxa"/>
            <w:vAlign w:val="center"/>
          </w:tcPr>
          <w:p>
            <w:pPr>
              <w:pStyle w:val="Other|1"/>
              <w:spacing w:line="240" w:lineRule="auto"/>
              <w:ind w:left="0" w:firstLine="510" w:leftChars="0" w:firstLineChars="3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8.15</w:t>
            </w:r>
          </w:p>
        </w:tc>
        <w:tc>
          <w:tcPr>
            <w:tcW w:w="1790" w:type="dxa"/>
            <w:gridSpan w:val="2"/>
            <w:vAlign w:val="center"/>
          </w:tcPr>
          <w:p>
            <w:pPr>
              <w:pStyle w:val="Other|1"/>
              <w:spacing w:line="240" w:lineRule="auto"/>
              <w:ind w:left="0" w:firstLine="340" w:leftChars="0" w:firstLineChars="20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1694"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bidi="en-US"/>
              </w:rPr>
              <w:t xml:space="preserve">0.00</w:t>
            </w:r>
          </w:p>
        </w:tc>
        <w:tc>
          <w:tcPr>
            <w:tcW w:w="1695" w:type="dxa"/>
            <w:vAlign w:val="center"/>
          </w:tcPr>
          <w:p>
            <w:pPr>
              <w:pStyle w:val="Other|1"/>
              <w:spacing w:line="240" w:lineRule="auto"/>
              <w:ind w:firstLine="400" w:firstLineChars="0"/>
              <w:jc w:val="both"/>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10"/>
            <w:tcBorders>
              <w:left w:val="nil"/>
              <w:bottom w:val="nil"/>
              <w:right w:val="nil"/>
            </w:tcBorders>
          </w:tcPr>
          <w:p>
            <w:pPr>
              <w:jc w:val="left"/>
              <w:rPr>
                <w:rFonts w:hint="eastAsia"/>
                <w:sz w:val="17"/>
                <w:szCs w:val="17"/>
                <w:vertAlign w:val="baseline"/>
                <w:lang w:eastAsia="zh-CN"/>
              </w:rPr>
            </w:pPr>
            <w:r>
              <w:rPr>
                <w:rFonts w:ascii="宋体" w:eastAsia="宋体" w:hAnsi="宋体" w:cs="宋体" w:hint="eastAsia"/>
                <w:sz w:val="17"/>
                <w:szCs w:val="17"/>
              </w:rPr>
              <w:t xml:space="preserve">注：本报表金额单位转换时可能存在四舍五入尾数误差。</w:t>
            </w:r>
          </w:p>
        </w:tc>
      </w:tr>
    </w:tbl>
    <w:p>
      <w:pPr>
        <w:rPr>
          <w:lang w:eastAsia="zh-CN"/>
        </w:rPr>
      </w:pPr>
      <w:r>
        <w:br w:type="page"/>
      </w:r>
    </w:p>
    <w:p>
      <w:pPr>
        <w:jc w:val="left"/>
        <w:rPr>
          <w:lang w:eastAsia="zh-CN"/>
        </w:rPr>
      </w:pPr>
    </w:p>
    <w:p>
      <w:pPr>
        <w:pStyle w:val="Heading#2|1"/>
        <w:keepNext/>
        <w:keepLines/>
        <w:spacing w:after="240"/>
        <w:jc w:val="center"/>
      </w:pPr>
      <w:bookmarkStart w:id="25" w:name="bookmark57"/>
      <w:bookmarkStart w:id="26" w:name="bookmark56"/>
      <w:bookmarkStart w:id="27" w:name="bookmark58"/>
      <w:r>
        <w:t xml:space="preserve">一般公共预算基本支出情况表</w:t>
      </w:r>
      <w:bookmarkEnd w:id="25"/>
      <w:bookmarkEnd w:id="26"/>
      <w:bookmarkEnd w:id="27"/>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3110"/>
        <w:gridCol w:w="3111"/>
        <w:gridCol w:w="3111"/>
        <w:gridCol w:w="3112"/>
        <w:gridCol w:w="3113"/>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blHeader/>
        </w:trPr>
        <w:tc>
          <w:tcPr>
            <w:tcW w:w="12444" w:type="dxa"/>
            <w:gridSpan w:val="4"/>
            <w:tcBorders>
              <w:top w:val="nil"/>
              <w:left w:val="nil"/>
              <w:right w:val="nil"/>
            </w:tcBorders>
          </w:tcPr>
          <w:p>
            <w:pPr>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环江毛南族自治县第五幼儿园</w:t>
            </w:r>
            <w:r>
              <w:rPr>
                <w:rFonts w:ascii="宋体" w:eastAsia="宋体" w:hAnsi="宋体" w:cs="宋体"/>
                <w:sz w:val="16"/>
                <w:u w:color="auto"/>
              </w:rPr>
              <w:t xml:space="preserve">                                                          </w:t>
            </w:r>
            <w:r>
              <w:rPr>
                <w:rFonts w:ascii="宋体" w:eastAsia="宋体" w:hAnsi="宋体"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3113" w:type="dxa"/>
            <w:tcBorders>
              <w:top w:val="nil"/>
              <w:left w:val="nil"/>
              <w:right w:val="nil"/>
            </w:tcBorders>
          </w:tcPr>
          <w:p>
            <w:pPr>
              <w:ind w:firstLine="1760" w:firstLineChars="1100"/>
              <w:jc w:val="left"/>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5"/>
          <w:tblHeader/>
        </w:trPr>
        <w:tc>
          <w:tcPr>
            <w:tcW w:w="6221" w:type="dxa"/>
            <w:gridSpan w:val="2"/>
          </w:tcPr>
          <w:p>
            <w:pPr>
              <w:jc w:val="left"/>
              <w:rPr>
                <w:vertAlign w:val="baseline"/>
                <w:lang w:eastAsia="zh-CN"/>
              </w:rPr>
            </w:pPr>
            <w:r>
              <w:rPr>
                <w:sz w:val="17"/>
                <w:szCs w:val="17"/>
              </w:rPr>
              <w:t xml:space="preserve">部门预算支出经济分类科目</w:t>
            </w:r>
          </w:p>
        </w:tc>
        <w:tc>
          <w:tcPr>
            <w:tcW w:w="9336" w:type="dxa"/>
            <w:gridSpan w:val="3"/>
          </w:tcPr>
          <w:p>
            <w:pPr>
              <w:jc w:val="left"/>
              <w:rPr>
                <w:vertAlign w:val="baseline"/>
                <w:lang w:eastAsia="zh-CN"/>
              </w:rPr>
            </w:pPr>
            <w:r>
              <w:rPr>
                <w:sz w:val="17"/>
                <w:szCs w:val="17"/>
              </w:rPr>
              <w:t xml:space="preserve">本年一般公共预算基本支出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20"/>
          <w:tblHeader/>
        </w:trPr>
        <w:tc>
          <w:tcPr>
            <w:tcW w:w="3110" w:type="dxa"/>
            <w:vAlign w:val="center"/>
          </w:tcPr>
          <w:p>
            <w:pPr>
              <w:pStyle w:val="Other|1"/>
              <w:spacing w:line="240" w:lineRule="auto"/>
              <w:ind w:firstLine="0" w:firstLineChars="0"/>
              <w:jc w:val="center"/>
              <w:rPr>
                <w:vertAlign w:val="baseline"/>
                <w:lang w:eastAsia="zh-CN"/>
              </w:rPr>
            </w:pPr>
            <w:r>
              <w:rPr>
                <w:sz w:val="17"/>
                <w:szCs w:val="17"/>
              </w:rPr>
              <w:t xml:space="preserve">科目编码</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科目名称</w:t>
            </w:r>
          </w:p>
        </w:tc>
        <w:tc>
          <w:tcPr>
            <w:tcW w:w="3111" w:type="dxa"/>
            <w:vAlign w:val="center"/>
          </w:tcPr>
          <w:p>
            <w:pPr>
              <w:pStyle w:val="Other|1"/>
              <w:spacing w:line="240" w:lineRule="auto"/>
              <w:ind w:firstLine="0" w:firstLineChars="0"/>
              <w:jc w:val="center"/>
              <w:rPr>
                <w:vertAlign w:val="baseline"/>
                <w:lang w:eastAsia="zh-CN"/>
              </w:rPr>
            </w:pPr>
            <w:r>
              <w:rPr>
                <w:sz w:val="17"/>
                <w:szCs w:val="17"/>
              </w:rPr>
              <w:t xml:space="preserve">合计</w:t>
            </w:r>
          </w:p>
        </w:tc>
        <w:tc>
          <w:tcPr>
            <w:tcW w:w="3112" w:type="dxa"/>
            <w:vAlign w:val="center"/>
          </w:tcPr>
          <w:p>
            <w:pPr>
              <w:pStyle w:val="Other|1"/>
              <w:spacing w:line="240" w:lineRule="auto"/>
              <w:ind w:firstLine="0" w:firstLineChars="0"/>
              <w:jc w:val="center"/>
              <w:rPr>
                <w:vertAlign w:val="baseline"/>
                <w:lang w:eastAsia="zh-CN"/>
              </w:rPr>
            </w:pPr>
            <w:r>
              <w:rPr>
                <w:sz w:val="17"/>
                <w:szCs w:val="17"/>
              </w:rPr>
              <w:t xml:space="preserve">人员经费</w:t>
            </w:r>
          </w:p>
        </w:tc>
        <w:tc>
          <w:tcPr>
            <w:tcW w:w="3113" w:type="dxa"/>
            <w:vAlign w:val="center"/>
          </w:tcPr>
          <w:p>
            <w:pPr>
              <w:pStyle w:val="Other|1"/>
              <w:spacing w:line="240" w:lineRule="auto"/>
              <w:ind w:firstLine="0" w:firstLineChars="0"/>
              <w:jc w:val="center"/>
              <w:rPr>
                <w:vertAlign w:val="baseline"/>
                <w:lang w:eastAsia="zh-CN"/>
              </w:rPr>
            </w:pPr>
            <w:r>
              <w:rPr>
                <w:sz w:val="17"/>
                <w:szCs w:val="17"/>
              </w:rPr>
              <w:t xml:space="preserve">公用经费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 </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合计</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271.30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268.17</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工资福利支出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267.01</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267.01</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基本工资</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26.01</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26.01</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津贴补贴</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2.07</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2.07</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奖金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52.91</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52.91</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30107</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绩效工资</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45.31</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45.31</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30108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机关事业单位基本养老保险缴费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9.50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9.50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30110</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职工基本医疗保险缴费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3.80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3.80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其他社会保障缴费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0.42</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0.42</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30113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住房公积金</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28.47</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28.47</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30199</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其他工资福利支出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98.53</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98.53</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商品和服务支出</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3.13</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30201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办公费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30211</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差旅费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30214</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租赁费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30228</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工会经费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3.13</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3.13</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对个人和家庭的补助</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1.16</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1.16</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95"/>
          <w:tblHeader/>
        </w:trPr>
        <w:tc>
          <w:tcPr>
            <w:tcW w:w="3110" w:type="dxa"/>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30302</w:t>
            </w:r>
          </w:p>
        </w:tc>
        <w:tc>
          <w:tcPr>
            <w:tcW w:w="3111" w:type="dxa"/>
            <w:vAlign w:val="center"/>
          </w:tcPr>
          <w:p>
            <w:pPr>
              <w:pStyle w:val="Other|1"/>
              <w:spacing w:line="240" w:lineRule="auto"/>
              <w:ind w:firstLine="0" w:firstLineChars="0"/>
              <w:jc w:val="lef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退休费</w:t>
            </w:r>
          </w:p>
        </w:tc>
        <w:tc>
          <w:tcPr>
            <w:tcW w:w="3111"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1.16</w:t>
            </w:r>
          </w:p>
        </w:tc>
        <w:tc>
          <w:tcPr>
            <w:tcW w:w="3112"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1.16</w:t>
            </w:r>
          </w:p>
        </w:tc>
        <w:tc>
          <w:tcPr>
            <w:tcW w:w="3113" w:type="dxa"/>
            <w:vAlign w:val="center"/>
          </w:tcPr>
          <w:p>
            <w:pPr>
              <w:pStyle w:val="Other|1"/>
              <w:spacing w:line="240" w:lineRule="auto"/>
              <w:ind w:firstLine="0" w:firstLineChars="0"/>
              <w:jc w:val="right"/>
              <w:rPr>
                <w:rFonts w:ascii="宋体" w:eastAsia="宋体" w:hAnsi="宋体" w:cs="宋体" w:hint="eastAsia"/>
                <w:b w:val="0"/>
                <w:bCs w:val="0"/>
                <w:vertAlign w:val="baseline"/>
                <w:lang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432"/>
          <w:tblHeader/>
        </w:trPr>
        <w:tc>
          <w:tcPr>
            <w:tcW w:w="15557" w:type="dxa"/>
            <w:gridSpan w:val="5"/>
            <w:tcBorders>
              <w:left w:val="nil"/>
              <w:bottom w:val="nil"/>
              <w:right w:val="nil"/>
            </w:tcBorders>
          </w:tcPr>
          <w:p>
            <w:pPr>
              <w:jc w:val="left"/>
              <w:rPr>
                <w:sz w:val="16"/>
                <w:szCs w:val="16"/>
              </w:rPr>
            </w:pPr>
          </w:p>
          <w:p>
            <w:pPr>
              <w:jc w:val="left"/>
              <w:rPr>
                <w:vertAlign w:val="baseline"/>
                <w:lang w:eastAsia="zh-CN"/>
              </w:rPr>
            </w:pPr>
            <w:r>
              <w:rPr>
                <w:rFonts w:ascii="宋体" w:eastAsia="宋体" w:hAnsi="宋体" w:cs="宋体" w:hint="eastAsia"/>
                <w:sz w:val="17"/>
                <w:szCs w:val="17"/>
              </w:rPr>
              <w:t xml:space="preserve">注：本报表金额单位转换时可能存在四舍五入尾数误差。</w:t>
            </w:r>
          </w:p>
        </w:tc>
      </w:tr>
    </w:tbl>
    <w:p>
      <w:pPr>
        <w:rPr>
          <w:lang w:eastAsia="zh-CN"/>
        </w:rPr>
      </w:pPr>
      <w:r>
        <w:br w:type="page"/>
      </w:r>
    </w:p>
    <w:p>
      <w:pPr>
        <w:jc w:val="left"/>
        <w:rPr>
          <w:lang w:eastAsia="zh-CN"/>
        </w:rPr>
      </w:pPr>
    </w:p>
    <w:p>
      <w:pPr>
        <w:pStyle w:val="Heading#2|1"/>
        <w:keepNext/>
        <w:keepLines/>
        <w:spacing w:after="240"/>
        <w:jc w:val="center"/>
        <w:rPr>
          <w:rFonts w:hint="default"/>
          <w:sz w:val="28"/>
          <w:szCs w:val="28"/>
          <w:lang w:val="en-US" w:eastAsia="zh-CN"/>
        </w:rPr>
      </w:pPr>
      <w:bookmarkStart w:id="28" w:name="bookmark67"/>
      <w:bookmarkStart w:id="29" w:name="bookmark65"/>
      <w:bookmarkStart w:id="30" w:name="bookmark66"/>
      <w:r>
        <w:rPr>
          <w:rFonts w:hint="default"/>
          <w:sz w:val="28"/>
          <w:szCs w:val="28"/>
          <w:lang w:val="en-US" w:eastAsia="zh-CN"/>
        </w:rPr>
        <w:t xml:space="preserve">一般公共预算“三公”经费预算表</w:t>
      </w:r>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296"/>
        <w:gridCol w:w="1918"/>
        <w:gridCol w:w="1884"/>
        <w:gridCol w:w="1895"/>
        <w:gridCol w:w="1888"/>
        <w:gridCol w:w="1890"/>
        <w:gridCol w:w="1895"/>
        <w:gridCol w:w="2"/>
        <w:gridCol w:w="1889"/>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666" w:type="dxa"/>
            <w:gridSpan w:val="7"/>
            <w:tcBorders>
              <w:top w:val="nil"/>
              <w:left w:val="nil"/>
              <w:right w:val="nil"/>
            </w:tcBorders>
          </w:tcPr>
          <w:p>
            <w:pPr>
              <w:pStyle w:val="Tablecaption|1"/>
              <w:bidi w:val="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单位名称：</w:t>
            </w:r>
            <w:r>
              <w:rPr>
                <w:rFonts w:ascii="宋体" w:eastAsia="宋体" w:hAnsi="宋体" w:cs="宋体"/>
                <w:sz w:val="16"/>
                <w:u w:color="auto"/>
              </w:rPr>
              <w:t xml:space="preserve">环江毛南族自治县第五幼儿园</w:t>
            </w:r>
            <w:r>
              <w:rPr>
                <w:rFonts w:ascii="宋体" w:eastAsia="宋体" w:hAnsi="宋体" w:cs="宋体"/>
                <w:sz w:val="16"/>
                <w:u w:color="auto"/>
              </w:rPr>
              <w:t xml:space="preserve">                                           </w:t>
            </w:r>
            <w:r>
              <w:rPr>
                <w:rFonts w:cs="宋体" w:hint="eastAsia"/>
                <w:sz w:val="16"/>
                <w:szCs w:val="16"/>
                <w:vertAlign w:val="baseline"/>
                <w:lang w:val="en-US" w:eastAsia="zh-CN"/>
              </w:rPr>
              <w:t xml:space="preserve">                    </w:t>
            </w:r>
            <w:r>
              <w:rPr>
                <w:rFonts w:ascii="宋体" w:eastAsia="宋体" w:hAnsi="宋体" w:cs="宋体" w:hint="eastAsia"/>
                <w:sz w:val="16"/>
                <w:szCs w:val="16"/>
                <w:vertAlign w:val="baseline"/>
                <w:lang w:eastAsia="zh-CN"/>
              </w:rPr>
              <w:t xml:space="preserve">                                                                                   </w:t>
            </w:r>
          </w:p>
        </w:tc>
        <w:tc>
          <w:tcPr>
            <w:tcW w:w="1891" w:type="dxa"/>
            <w:gridSpan w:val="2"/>
            <w:tcBorders>
              <w:top w:val="nil"/>
              <w:left w:val="nil"/>
              <w:right w:val="nil"/>
            </w:tcBorders>
          </w:tcPr>
          <w:p>
            <w:pPr>
              <w:pStyle w:val="Tablecaption|1"/>
              <w:bidi w:val="0"/>
              <w:ind w:firstLine="480" w:firstLineChars="300"/>
              <w:jc w:val="both"/>
              <w:rPr>
                <w:rFonts w:ascii="宋体" w:eastAsia="宋体" w:hAnsi="宋体" w:cs="宋体" w:hint="eastAsia"/>
                <w:sz w:val="16"/>
                <w:szCs w:val="16"/>
                <w:vertAlign w:val="baseline"/>
                <w:lang w:eastAsia="zh-CN"/>
              </w:rPr>
            </w:pPr>
            <w:r>
              <w:rPr>
                <w:rFonts w:ascii="宋体" w:eastAsia="宋体" w:hAnsi="宋体" w:cs="宋体" w:hint="eastAsia"/>
                <w:sz w:val="16"/>
                <w:szCs w:val="16"/>
                <w:vertAlign w:val="baseline"/>
                <w:lang w:eastAsia="zh-CN"/>
              </w:rPr>
              <w:t xml:space="preserve">单位：万元  </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val="restart"/>
          </w:tcPr>
          <w:p>
            <w:pPr>
              <w:pStyle w:val="Tablecaption|1"/>
              <w:bidi w:val="0"/>
              <w:jc w:val="center"/>
              <w:rPr>
                <w:rFonts w:hint="eastAsia"/>
                <w:vertAlign w:val="baseline"/>
                <w:lang w:val="en-US" w:eastAsia="zh-CN"/>
              </w:rPr>
            </w:pPr>
            <w:r>
              <w:rPr>
                <w:rFonts w:hint="eastAsia"/>
                <w:sz w:val="17"/>
                <w:szCs w:val="17"/>
                <w:lang w:val="en-US" w:eastAsia="zh-CN"/>
              </w:rPr>
              <w:t xml:space="preserve">部</w:t>
            </w:r>
            <w:r>
              <w:rPr>
                <w:sz w:val="17"/>
                <w:szCs w:val="17"/>
              </w:rPr>
              <w:t xml:space="preserve">门（单位）代码</w:t>
            </w:r>
          </w:p>
        </w:tc>
        <w:tc>
          <w:tcPr>
            <w:tcW w:w="1918" w:type="dxa"/>
            <w:vMerge w:val="restart"/>
          </w:tcPr>
          <w:p>
            <w:pPr>
              <w:pStyle w:val="Tablecaption|1"/>
              <w:bidi w:val="0"/>
              <w:jc w:val="center"/>
              <w:rPr>
                <w:rFonts w:hint="eastAsia"/>
                <w:vertAlign w:val="baseline"/>
                <w:lang w:val="en-US" w:eastAsia="zh-CN"/>
              </w:rPr>
            </w:pPr>
            <w:r>
              <w:rPr>
                <w:sz w:val="17"/>
                <w:szCs w:val="17"/>
              </w:rPr>
              <w:t xml:space="preserve">部门（单位）名称</w:t>
            </w:r>
          </w:p>
        </w:tc>
        <w:tc>
          <w:tcPr>
            <w:tcW w:w="11343" w:type="dxa"/>
            <w:gridSpan w:val="7"/>
          </w:tcPr>
          <w:p>
            <w:pPr>
              <w:pStyle w:val="Tablecaption|1"/>
              <w:bidi w:val="0"/>
              <w:jc w:val="center"/>
              <w:rPr>
                <w:rFonts w:hint="eastAsia"/>
                <w:vertAlign w:val="baseline"/>
                <w:lang w:val="en-US" w:eastAsia="zh-CN"/>
              </w:rPr>
            </w:pPr>
            <w:r>
              <w:rPr>
                <w:sz w:val="17"/>
                <w:szCs w:val="17"/>
                <w:lang w:val="zh-CN" w:eastAsia="zh-CN" w:bidi="zh-CN"/>
              </w:rPr>
              <w:t xml:space="preserve">“三</w:t>
            </w:r>
            <w:r>
              <w:rPr>
                <w:sz w:val="17"/>
                <w:szCs w:val="17"/>
              </w:rPr>
              <w:t xml:space="preserve">公”经费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val="restart"/>
          </w:tcPr>
          <w:p>
            <w:pPr>
              <w:pStyle w:val="Tablecaption|1"/>
              <w:bidi w:val="0"/>
              <w:jc w:val="center"/>
              <w:rPr>
                <w:rFonts w:hint="eastAsia"/>
                <w:vertAlign w:val="baseline"/>
                <w:lang w:val="en-US" w:eastAsia="zh-CN"/>
              </w:rPr>
            </w:pPr>
            <w:r>
              <w:rPr>
                <w:sz w:val="17"/>
                <w:szCs w:val="17"/>
              </w:rPr>
              <w:t xml:space="preserve">合计</w:t>
            </w:r>
          </w:p>
        </w:tc>
        <w:tc>
          <w:tcPr>
            <w:tcW w:w="1895" w:type="dxa"/>
            <w:vMerge w:val="restart"/>
          </w:tcPr>
          <w:p>
            <w:pPr>
              <w:pStyle w:val="Tablecaption|1"/>
              <w:bidi w:val="0"/>
              <w:jc w:val="center"/>
              <w:rPr>
                <w:rFonts w:hint="eastAsia"/>
                <w:vertAlign w:val="baseline"/>
                <w:lang w:val="en-US" w:eastAsia="zh-CN"/>
              </w:rPr>
            </w:pPr>
            <w:r>
              <w:rPr>
                <w:sz w:val="17"/>
                <w:szCs w:val="17"/>
              </w:rPr>
              <w:t xml:space="preserve">因公出国（境）费</w:t>
            </w:r>
          </w:p>
        </w:tc>
        <w:tc>
          <w:tcPr>
            <w:tcW w:w="5675" w:type="dxa"/>
            <w:gridSpan w:val="4"/>
          </w:tcPr>
          <w:p>
            <w:pPr>
              <w:pStyle w:val="Tablecaption|1"/>
              <w:bidi w:val="0"/>
              <w:jc w:val="center"/>
              <w:rPr>
                <w:rFonts w:hint="eastAsia"/>
                <w:vertAlign w:val="baseline"/>
                <w:lang w:val="en-US" w:eastAsia="zh-CN"/>
              </w:rPr>
            </w:pPr>
            <w:r>
              <w:rPr>
                <w:sz w:val="17"/>
                <w:szCs w:val="17"/>
              </w:rPr>
              <w:t xml:space="preserve">公务用车购置及运行维护费</w:t>
            </w:r>
          </w:p>
        </w:tc>
        <w:tc>
          <w:tcPr>
            <w:tcW w:w="1889" w:type="dxa"/>
            <w:vMerge w:val="restart"/>
          </w:tcPr>
          <w:p>
            <w:pPr>
              <w:pStyle w:val="Tablecaption|1"/>
              <w:bidi w:val="0"/>
              <w:jc w:val="center"/>
              <w:rPr>
                <w:rFonts w:hint="eastAsia"/>
                <w:vertAlign w:val="baseline"/>
                <w:lang w:val="en-US" w:eastAsia="zh-CN"/>
              </w:rPr>
            </w:pPr>
            <w:r>
              <w:rPr>
                <w:sz w:val="17"/>
                <w:szCs w:val="17"/>
              </w:rPr>
              <w:t xml:space="preserve">公务接待费</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Merge/>
          </w:tcPr>
          <w:p>
            <w:pPr>
              <w:pStyle w:val="Tablecaption|1"/>
              <w:bidi w:val="0"/>
              <w:jc w:val="center"/>
              <w:rPr>
                <w:rFonts w:hint="eastAsia"/>
                <w:vertAlign w:val="baseline"/>
                <w:lang w:val="en-US" w:eastAsia="zh-CN"/>
              </w:rPr>
            </w:pPr>
          </w:p>
        </w:tc>
        <w:tc>
          <w:tcPr>
            <w:tcW w:w="1918" w:type="dxa"/>
            <w:vMerge/>
          </w:tcPr>
          <w:p>
            <w:pPr>
              <w:pStyle w:val="Tablecaption|1"/>
              <w:bidi w:val="0"/>
              <w:jc w:val="center"/>
              <w:rPr>
                <w:rFonts w:hint="eastAsia"/>
                <w:vertAlign w:val="baseline"/>
                <w:lang w:val="en-US" w:eastAsia="zh-CN"/>
              </w:rPr>
            </w:pPr>
          </w:p>
        </w:tc>
        <w:tc>
          <w:tcPr>
            <w:tcW w:w="1884" w:type="dxa"/>
            <w:vMerge/>
          </w:tcPr>
          <w:p>
            <w:pPr>
              <w:pStyle w:val="Tablecaption|1"/>
              <w:bidi w:val="0"/>
              <w:jc w:val="center"/>
              <w:rPr>
                <w:rFonts w:hint="eastAsia"/>
                <w:vertAlign w:val="baseline"/>
                <w:lang w:val="en-US" w:eastAsia="zh-CN"/>
              </w:rPr>
            </w:pPr>
          </w:p>
        </w:tc>
        <w:tc>
          <w:tcPr>
            <w:tcW w:w="1895" w:type="dxa"/>
            <w:vMerge/>
          </w:tcPr>
          <w:p>
            <w:pPr>
              <w:pStyle w:val="Tablecaption|1"/>
              <w:bidi w:val="0"/>
              <w:jc w:val="center"/>
              <w:rPr>
                <w:rFonts w:hint="eastAsia"/>
                <w:vertAlign w:val="baseline"/>
                <w:lang w:val="en-US" w:eastAsia="zh-CN"/>
              </w:rPr>
            </w:pPr>
          </w:p>
        </w:tc>
        <w:tc>
          <w:tcPr>
            <w:tcW w:w="1888" w:type="dxa"/>
            <w:vAlign w:val="center"/>
          </w:tcPr>
          <w:p>
            <w:pPr>
              <w:pStyle w:val="Other|1"/>
              <w:spacing w:line="240" w:lineRule="auto"/>
              <w:ind w:firstLine="0" w:firstLineChars="0"/>
              <w:jc w:val="center"/>
              <w:rPr>
                <w:rFonts w:hint="eastAsia"/>
                <w:vertAlign w:val="baseline"/>
                <w:lang w:val="en-US" w:eastAsia="zh-CN"/>
              </w:rPr>
            </w:pPr>
            <w:r>
              <w:rPr>
                <w:sz w:val="17"/>
                <w:szCs w:val="17"/>
              </w:rPr>
              <w:t xml:space="preserve">小计</w:t>
            </w:r>
          </w:p>
        </w:tc>
        <w:tc>
          <w:tcPr>
            <w:tcW w:w="1890" w:type="dxa"/>
            <w:vAlign w:val="center"/>
          </w:tcPr>
          <w:p>
            <w:pPr>
              <w:pStyle w:val="Other|1"/>
              <w:spacing w:line="240" w:lineRule="auto"/>
              <w:ind w:firstLine="220" w:firstLineChars="0"/>
              <w:jc w:val="center"/>
              <w:rPr>
                <w:rFonts w:hint="eastAsia"/>
                <w:vertAlign w:val="baseline"/>
                <w:lang w:val="en-US" w:eastAsia="zh-CN"/>
              </w:rPr>
            </w:pPr>
            <w:r>
              <w:rPr>
                <w:sz w:val="17"/>
                <w:szCs w:val="17"/>
              </w:rPr>
              <w:t xml:space="preserve">公务用车运行维护费</w:t>
            </w:r>
          </w:p>
        </w:tc>
        <w:tc>
          <w:tcPr>
            <w:tcW w:w="1897" w:type="dxa"/>
            <w:gridSpan w:val="2"/>
            <w:vAlign w:val="center"/>
          </w:tcPr>
          <w:p>
            <w:pPr>
              <w:pStyle w:val="Other|1"/>
              <w:spacing w:line="240" w:lineRule="auto"/>
              <w:ind w:firstLine="400" w:firstLineChars="0"/>
              <w:jc w:val="center"/>
              <w:rPr>
                <w:rFonts w:hint="eastAsia"/>
                <w:vertAlign w:val="baseline"/>
                <w:lang w:val="en-US" w:eastAsia="zh-CN"/>
              </w:rPr>
            </w:pPr>
            <w:r>
              <w:rPr>
                <w:sz w:val="17"/>
                <w:szCs w:val="17"/>
              </w:rPr>
              <w:t xml:space="preserve">公务用车购置费</w:t>
            </w:r>
          </w:p>
        </w:tc>
        <w:tc>
          <w:tcPr>
            <w:tcW w:w="1889" w:type="dxa"/>
            <w:vMerge/>
          </w:tcPr>
          <w:p>
            <w:pPr>
              <w:pStyle w:val="Tablecaption|1"/>
              <w:bidi w:val="0"/>
              <w:jc w:val="center"/>
              <w:rPr>
                <w:rFonts w:hint="eastAsia"/>
                <w:vertAlign w:val="baseline"/>
                <w:lang w:val="en-US" w:eastAsia="zh-CN"/>
              </w:rPr>
            </w:pP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jc w:val="center"/>
              <w:rPr>
                <w:rFonts w:hint="eastAsia"/>
                <w:vertAlign w:val="baseline"/>
                <w:lang w:val="en-US" w:eastAsia="zh-CN"/>
              </w:rPr>
            </w:pPr>
          </w:p>
        </w:tc>
        <w:tc>
          <w:tcPr>
            <w:tcW w:w="1918" w:type="dxa"/>
            <w:vAlign w:val="center"/>
          </w:tcPr>
          <w:p>
            <w:pPr>
              <w:jc w:val="center"/>
              <w:rPr>
                <w:rFonts w:hint="eastAsia"/>
                <w:vertAlign w:val="baseline"/>
                <w:lang w:val="en-US" w:eastAsia="zh-CN"/>
              </w:rPr>
            </w:pPr>
          </w:p>
        </w:tc>
        <w:tc>
          <w:tcPr>
            <w:tcW w:w="1884"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1</w:t>
            </w:r>
          </w:p>
        </w:tc>
        <w:tc>
          <w:tcPr>
            <w:tcW w:w="1895"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2</w:t>
            </w:r>
          </w:p>
        </w:tc>
        <w:tc>
          <w:tcPr>
            <w:tcW w:w="1888"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3</w:t>
            </w:r>
          </w:p>
        </w:tc>
        <w:tc>
          <w:tcPr>
            <w:tcW w:w="1890"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4</w:t>
            </w:r>
          </w:p>
        </w:tc>
        <w:tc>
          <w:tcPr>
            <w:tcW w:w="1897" w:type="dxa"/>
            <w:gridSpan w:val="2"/>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5</w:t>
            </w:r>
          </w:p>
        </w:tc>
        <w:tc>
          <w:tcPr>
            <w:tcW w:w="1889" w:type="dxa"/>
            <w:vAlign w:val="center"/>
          </w:tcPr>
          <w:p>
            <w:pPr>
              <w:pStyle w:val="Other|1"/>
              <w:spacing w:line="240" w:lineRule="auto"/>
              <w:ind w:firstLine="0" w:firstLineChars="0"/>
              <w:jc w:val="center"/>
              <w:rPr>
                <w:rFonts w:hint="eastAsia"/>
                <w:vertAlign w:val="baseline"/>
                <w:lang w:val="en-US" w:eastAsia="zh-CN"/>
              </w:rPr>
            </w:pPr>
            <w:r>
              <w:rPr>
                <w:rFonts w:ascii="Times New Roman" w:eastAsia="Times New Roman" w:hAnsi="Times New Roman" w:cs="Times New Roman"/>
                <w:b/>
                <w:bCs/>
                <w:sz w:val="17"/>
                <w:szCs w:val="17"/>
              </w:rPr>
              <w:t xml:space="preserve">6</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296" w:type="dxa"/>
            <w:vAlign w:val="center"/>
          </w:tcPr>
          <w:p>
            <w:pPr>
              <w:pStyle w:val="Other|1"/>
              <w:spacing w:line="240" w:lineRule="auto"/>
              <w:ind w:firstLine="0" w:firstLineChars="0"/>
              <w:jc w:val="lef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201006</w:t>
            </w:r>
          </w:p>
        </w:tc>
        <w:tc>
          <w:tcPr>
            <w:tcW w:w="1918" w:type="dxa"/>
            <w:vAlign w:val="center"/>
          </w:tcPr>
          <w:p>
            <w:pPr>
              <w:pStyle w:val="Other|1"/>
              <w:spacing w:line="240" w:lineRule="auto"/>
              <w:ind w:firstLine="0" w:firstLineChars="0"/>
              <w:jc w:val="left"/>
              <w:rPr>
                <w:rFonts w:ascii="宋体" w:eastAsia="宋体" w:hAnsi="宋体" w:cs="宋体" w:hint="eastAsia"/>
                <w:b w:val="0"/>
                <w:bCs w:val="0"/>
                <w:vertAlign w:val="baseline"/>
                <w:lang w:val="en-US" w:eastAsia="zh-CN"/>
              </w:rPr>
            </w:pPr>
          </w:p>
        </w:tc>
        <w:tc>
          <w:tcPr>
            <w:tcW w:w="1884"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5"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88"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0"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97" w:type="dxa"/>
            <w:gridSpan w:val="2"/>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c>
          <w:tcPr>
            <w:tcW w:w="1889" w:type="dxa"/>
            <w:vAlign w:val="center"/>
          </w:tcPr>
          <w:p>
            <w:pPr>
              <w:pStyle w:val="Other|1"/>
              <w:spacing w:line="240" w:lineRule="auto"/>
              <w:ind w:firstLine="0" w:firstLineChars="0"/>
              <w:jc w:val="right"/>
              <w:rPr>
                <w:rFonts w:ascii="宋体" w:eastAsia="宋体" w:hAnsi="宋体" w:cs="宋体" w:hint="eastAsia"/>
                <w:b w:val="0"/>
                <w:bCs w:val="0"/>
                <w:vertAlign w:val="baseline"/>
                <w:lang w:val="en-US" w:eastAsia="zh-CN"/>
              </w:rPr>
            </w:pPr>
            <w:r>
              <w:rPr>
                <w:rFonts w:ascii="宋体" w:eastAsia="宋体" w:hAnsi="宋体" w:cs="宋体" w:hint="eastAsia"/>
                <w:b w:val="0"/>
                <w:bCs w:val="0"/>
                <w:sz w:val="17"/>
                <w:szCs w:val="17"/>
                <w:lang w:val="en-US" w:eastAsia="zh-CN"/>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val="312"/>
        </w:trPr>
        <w:tc>
          <w:tcPr>
            <w:tcW w:w="15557" w:type="dxa"/>
            <w:gridSpan w:val="9"/>
            <w:tcBorders>
              <w:left w:val="nil"/>
              <w:bottom w:val="nil"/>
              <w:right w:val="nil"/>
            </w:tcBorders>
          </w:tcPr>
          <w:p>
            <w:pPr>
              <w:pStyle w:val="Tablecaption|1"/>
              <w:bidi w:val="0"/>
              <w:jc w:val="both"/>
              <w:rPr>
                <w:rFonts w:hint="eastAsia"/>
                <w:vertAlign w:val="baseline"/>
                <w:lang w:val="en-US" w:eastAsia="zh-CN"/>
              </w:rPr>
            </w:pPr>
            <w:r>
              <w:rPr>
                <w:rFonts w:ascii="宋体" w:eastAsia="宋体" w:hAnsi="宋体" w:cs="宋体" w:hint="eastAsia"/>
                <w:sz w:val="17"/>
                <w:szCs w:val="17"/>
              </w:rPr>
              <w:t xml:space="preserve">注：本报表金额单位转换时可能存在四舍五入尾数误差</w:t>
            </w:r>
          </w:p>
        </w:tc>
      </w:tr>
    </w:tbl>
    <w:p>
      <w:pPr/>
      <w:r>
        <w:br w:type="page"/>
      </w:r>
    </w:p>
    <w:p>
      <w:pPr>
        <w:pStyle w:val="Heading#2|1"/>
        <w:keepNext/>
        <w:keepLines/>
        <w:spacing w:after="240"/>
        <w:jc w:val="center"/>
      </w:pPr>
      <w:r>
        <w:t xml:space="preserve">政府性基金预算支出情况表</w:t>
      </w:r>
      <w:bookmarkEnd w:id="28"/>
      <w:bookmarkEnd w:id="29"/>
      <w:bookmarkEnd w:id="30"/>
    </w:p>
    <w:tbl>
      <w:tblPr>
        <w:tblStyle w:val="TableGrid"/>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12"/>
        <w:gridCol w:w="2149"/>
        <w:gridCol w:w="2150"/>
        <w:gridCol w:w="2210"/>
        <w:gridCol w:w="2149"/>
        <w:gridCol w:w="2158"/>
        <w:gridCol w:w="2151"/>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13328" w:type="dxa"/>
            <w:gridSpan w:val="6"/>
            <w:tcBorders>
              <w:top w:val="nil"/>
              <w:left w:val="nil"/>
              <w:right w:val="nil"/>
            </w:tcBorders>
          </w:tcPr>
          <w:p>
            <w:pPr>
              <w:pStyle w:val="Tablecaption|1"/>
              <w:tabs>
                <w:tab w:val="left" w:pos="14213"/>
              </w:tabs>
              <w:ind w:left="101"/>
              <w:jc w:val="left"/>
            </w:pPr>
            <w:r>
              <w:t xml:space="preserve">单位名称：</w:t>
            </w:r>
            <w:r>
              <w:rPr>
                <w:rFonts w:hint="eastAsia"/>
                <w:lang w:eastAsia="zh-CN"/>
              </w:rPr>
              <w:t xml:space="preserve">环江毛南族自治县第五幼儿园</w:t>
            </w:r>
            <w:r>
              <w:tab/>
            </w:r>
            <w:r>
              <w:t xml:space="preserve">单位：万元</w:t>
            </w:r>
          </w:p>
        </w:tc>
        <w:tc>
          <w:tcPr>
            <w:tcW w:w="2151" w:type="dxa"/>
            <w:tcBorders>
              <w:top w:val="nil"/>
              <w:left w:val="nil"/>
              <w:right w:val="nil"/>
            </w:tcBorders>
          </w:tcPr>
          <w:p>
            <w:pPr>
              <w:pStyle w:val="Tablecaption|1"/>
              <w:tabs>
                <w:tab w:val="left" w:pos="14213"/>
              </w:tabs>
              <w:ind w:left="101" w:firstLine="680" w:firstLineChars="400"/>
              <w:jc w:val="left"/>
            </w:pPr>
            <w:r>
              <w:rPr>
                <w:rFonts w:hint="eastAsia"/>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2512" w:type="dxa"/>
          </w:tcPr>
          <w:p>
            <w:pPr>
              <w:pStyle w:val="Tablecaption|1"/>
              <w:bidi w:val="0"/>
              <w:jc w:val="center"/>
              <w:rPr>
                <w:vertAlign w:val="baseline"/>
              </w:rPr>
            </w:pPr>
            <w:r>
              <w:rPr>
                <w:sz w:val="17"/>
                <w:szCs w:val="17"/>
              </w:rPr>
              <w:t xml:space="preserve">科目编码</w:t>
            </w:r>
          </w:p>
        </w:tc>
        <w:tc>
          <w:tcPr>
            <w:tcW w:w="2149" w:type="dxa"/>
          </w:tcPr>
          <w:p>
            <w:pPr>
              <w:pStyle w:val="Tablecaption|1"/>
              <w:bidi w:val="0"/>
              <w:jc w:val="center"/>
              <w:rPr>
                <w:vertAlign w:val="baseline"/>
              </w:rPr>
            </w:pPr>
            <w:r>
              <w:rPr>
                <w:sz w:val="17"/>
                <w:szCs w:val="17"/>
              </w:rPr>
              <w:t xml:space="preserve">部门（单位）代码</w:t>
            </w:r>
          </w:p>
        </w:tc>
        <w:tc>
          <w:tcPr>
            <w:tcW w:w="2150" w:type="dxa"/>
          </w:tcPr>
          <w:p>
            <w:pPr>
              <w:pStyle w:val="Tablecaption|1"/>
              <w:bidi w:val="0"/>
              <w:jc w:val="center"/>
              <w:rPr>
                <w:vertAlign w:val="baseline"/>
              </w:rPr>
            </w:pPr>
            <w:r>
              <w:rPr>
                <w:sz w:val="17"/>
                <w:szCs w:val="17"/>
              </w:rPr>
              <w:t xml:space="preserve">部门（单位）名称（功能分类科目名称）</w:t>
            </w:r>
          </w:p>
        </w:tc>
        <w:tc>
          <w:tcPr>
            <w:tcW w:w="2210" w:type="dxa"/>
            <w:vAlign w:val="center"/>
          </w:tcPr>
          <w:p>
            <w:pPr>
              <w:pStyle w:val="Other|1"/>
              <w:spacing w:line="240" w:lineRule="auto"/>
              <w:ind w:firstLine="0" w:firstLineChars="0"/>
              <w:jc w:val="center"/>
              <w:rPr>
                <w:vertAlign w:val="baseline"/>
              </w:rPr>
            </w:pPr>
            <w:r>
              <w:rPr>
                <w:sz w:val="17"/>
                <w:szCs w:val="17"/>
              </w:rPr>
              <w:t xml:space="preserve">合计</w:t>
            </w:r>
          </w:p>
        </w:tc>
        <w:tc>
          <w:tcPr>
            <w:tcW w:w="2149" w:type="dxa"/>
            <w:vAlign w:val="center"/>
          </w:tcPr>
          <w:p>
            <w:pPr>
              <w:pStyle w:val="Other|1"/>
              <w:spacing w:line="240" w:lineRule="auto"/>
              <w:ind w:firstLine="0" w:firstLineChars="0"/>
              <w:jc w:val="center"/>
              <w:rPr>
                <w:vertAlign w:val="baseline"/>
              </w:rPr>
            </w:pPr>
            <w:r>
              <w:rPr>
                <w:sz w:val="17"/>
                <w:szCs w:val="17"/>
              </w:rPr>
              <w:t xml:space="preserve">基本支出</w:t>
            </w:r>
          </w:p>
        </w:tc>
        <w:tc>
          <w:tcPr>
            <w:tcW w:w="2158" w:type="dxa"/>
            <w:vAlign w:val="center"/>
          </w:tcPr>
          <w:p>
            <w:pPr>
              <w:pStyle w:val="Other|1"/>
              <w:spacing w:line="240" w:lineRule="auto"/>
              <w:ind w:firstLine="0" w:firstLineChars="0"/>
              <w:jc w:val="center"/>
              <w:rPr>
                <w:vertAlign w:val="baseline"/>
              </w:rPr>
            </w:pPr>
            <w:r>
              <w:rPr>
                <w:sz w:val="17"/>
                <w:szCs w:val="17"/>
              </w:rPr>
              <w:t xml:space="preserve">项目支出</w:t>
            </w:r>
          </w:p>
        </w:tc>
        <w:tc>
          <w:tcPr>
            <w:tcW w:w="2151" w:type="dxa"/>
            <w:vAlign w:val="center"/>
          </w:tcPr>
          <w:p>
            <w:pPr>
              <w:pStyle w:val="Other|1"/>
              <w:spacing w:line="240" w:lineRule="auto"/>
              <w:ind w:firstLine="0" w:firstLineChars="0"/>
              <w:jc w:val="center"/>
              <w:rPr>
                <w:vertAlign w:val="baseline"/>
              </w:rPr>
            </w:pPr>
            <w:r>
              <w:rPr>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2512"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rPr>
            </w:pPr>
          </w:p>
        </w:tc>
        <w:tc>
          <w:tcPr>
            <w:tcW w:w="2149"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rPr>
            </w:pPr>
          </w:p>
        </w:tc>
        <w:tc>
          <w:tcPr>
            <w:tcW w:w="2150" w:type="dxa"/>
            <w:vAlign w:val="center"/>
          </w:tcPr>
          <w:p>
            <w:pPr>
              <w:pStyle w:val="Other|1"/>
              <w:spacing w:line="240" w:lineRule="auto"/>
              <w:ind w:firstLine="0" w:firstLineChars="0"/>
              <w:jc w:val="left"/>
              <w:rPr>
                <w:rFonts w:ascii="宋体" w:eastAsia="宋体" w:hAnsi="宋体" w:cs="宋体" w:hint="eastAsia"/>
                <w:b w:val="0"/>
                <w:bCs w:val="0"/>
                <w:sz w:val="17"/>
                <w:szCs w:val="17"/>
                <w:vertAlign w:val="baseline"/>
              </w:rPr>
            </w:pPr>
          </w:p>
        </w:tc>
        <w:tc>
          <w:tcPr>
            <w:tcW w:w="2210" w:type="dxa"/>
            <w:vAlign w:val="center"/>
          </w:tcPr>
          <w:p>
            <w:pPr>
              <w:pStyle w:val="Other|1"/>
              <w:spacing w:line="240" w:lineRule="auto"/>
              <w:ind w:left="1060" w:firstLine="0" w:leftChars="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bidi="en-US"/>
              </w:rPr>
              <w:t xml:space="preserve">0.00</w:t>
            </w:r>
          </w:p>
        </w:tc>
        <w:tc>
          <w:tcPr>
            <w:tcW w:w="2149"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rPr>
              <w:t xml:space="preserve">0.00</w:t>
            </w:r>
          </w:p>
        </w:tc>
        <w:tc>
          <w:tcPr>
            <w:tcW w:w="2158"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bidi="en-US"/>
              </w:rPr>
              <w:t xml:space="preserve">0.00</w:t>
            </w:r>
          </w:p>
        </w:tc>
        <w:tc>
          <w:tcPr>
            <w:tcW w:w="2151" w:type="dxa"/>
            <w:vAlign w:val="center"/>
          </w:tcPr>
          <w:p>
            <w:pPr>
              <w:pStyle w:val="Other|1"/>
              <w:spacing w:line="240" w:lineRule="auto"/>
              <w:ind w:firstLine="0" w:firstLineChars="0"/>
              <w:jc w:val="right"/>
              <w:rPr>
                <w:rFonts w:ascii="宋体" w:eastAsia="宋体" w:hAnsi="宋体" w:cs="宋体" w:hint="eastAsia"/>
                <w:b w:val="0"/>
                <w:bCs w:val="0"/>
                <w:sz w:val="17"/>
                <w:szCs w:val="17"/>
                <w:vertAlign w:val="baseline"/>
              </w:rPr>
            </w:pPr>
            <w:r>
              <w:rPr>
                <w:rFonts w:ascii="宋体" w:eastAsia="宋体" w:hAnsi="宋体" w:cs="宋体" w:hint="eastAsia"/>
                <w:b w:val="0"/>
                <w:bCs w:val="0"/>
                <w:sz w:val="17"/>
                <w:szCs w:val="17"/>
                <w:lang w:val="en-US" w:eastAsia="zh-CN" w:bidi="en-US"/>
              </w:rPr>
              <w:t xml:space="preserve">0.00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Height w:hRule="auto" w:val="0"/>
        </w:trPr>
        <w:tc>
          <w:tcPr>
            <w:tcW w:w="15479" w:type="dxa"/>
            <w:gridSpan w:val="7"/>
            <w:tcBorders>
              <w:left w:val="nil"/>
              <w:bottom w:val="nil"/>
              <w:right w:val="nil"/>
            </w:tcBorders>
          </w:tcPr>
          <w:p>
            <w:pPr>
              <w:pStyle w:val="Tablecaption|1"/>
              <w:bidi w:val="0"/>
              <w:jc w:val="both"/>
              <w:rPr>
                <w:vertAlign w:val="baseline"/>
              </w:rPr>
            </w:pPr>
            <w:r>
              <w:rPr>
                <w:b w:val="0"/>
                <w:bCs w:val="0"/>
              </w:rPr>
              <w:t xml:space="preserve">注：本报表金额单位转换时可能存在四舍五入尾数误差</w:t>
            </w:r>
          </w:p>
        </w:tc>
      </w:tr>
    </w:tbl>
    <w:p>
      <w:pPr/>
      <w:r>
        <w:br w:type="page"/>
      </w:r>
    </w:p>
    <w:p>
      <w:pPr>
        <w:pStyle w:val="Tablecaption|1"/>
        <w:bidi w:val="0"/>
        <w:jc w:val="center"/>
        <w:rPr>
          <w:sz w:val="28"/>
          <w:szCs w:val="28"/>
        </w:rPr>
      </w:pPr>
      <w:r>
        <w:rPr>
          <w:sz w:val="28"/>
          <w:szCs w:val="28"/>
        </w:rPr>
        <w:t xml:space="preserve">国有资本经营预算支出情况表</w:t>
      </w:r>
    </w:p>
    <w:tbl>
      <w:tblPr>
        <w:tblStyle w:val="TableGrid"/>
        <w:tblpPr w:leftFromText="180" w:rightFromText="180" w:vertAnchor="text" w:horzAnchor="page" w:tblpX="707" w:tblpY="364"/>
        <w:tblOverlap w:val="never"/>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firstRow="0" w:lastRow="0" w:firstColumn="0" w:lastColumn="0" w:noHBand="1" w:noVBand="1"/>
      </w:tblPr>
      <w:tblGrid>
        <w:gridCol w:w="2519"/>
        <w:gridCol w:w="2155"/>
        <w:gridCol w:w="2156"/>
        <w:gridCol w:w="2259"/>
        <w:gridCol w:w="2155"/>
        <w:gridCol w:w="2155"/>
        <w:gridCol w:w="2158"/>
      </w:tblGrid>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3394" w:type="dxa"/>
            <w:gridSpan w:val="6"/>
            <w:tcBorders>
              <w:top w:val="nil"/>
              <w:left w:val="nil"/>
              <w:right w:val="nil"/>
            </w:tcBorders>
          </w:tcPr>
          <w:p>
            <w:pPr>
              <w:pStyle w:val="Tablecaption|1"/>
              <w:tabs>
                <w:tab w:val="left" w:pos="14213"/>
              </w:tabs>
              <w:ind w:left="101"/>
              <w:jc w:val="left"/>
              <w:rPr>
                <w:rFonts w:ascii="宋体" w:eastAsia="宋体" w:hAnsi="宋体" w:cs="宋体" w:hint="eastAsia"/>
              </w:rPr>
            </w:pPr>
            <w:r>
              <w:rPr>
                <w:rFonts w:ascii="宋体" w:eastAsia="宋体" w:hAnsi="宋体" w:cs="宋体" w:hint="eastAsia"/>
              </w:rPr>
              <w:t xml:space="preserve">单位名称：</w:t>
            </w:r>
            <w:r>
              <w:rPr>
                <w:rFonts w:ascii="宋体" w:eastAsia="宋体" w:hAnsi="宋体" w:cs="宋体" w:hint="eastAsia"/>
                <w:lang w:eastAsia="zh-CN"/>
              </w:rPr>
              <w:t xml:space="preserve">环江毛南族自治县第五幼儿园</w:t>
            </w:r>
            <w:r>
              <w:rPr>
                <w:rFonts w:ascii="宋体" w:eastAsia="宋体" w:hAnsi="宋体" w:cs="宋体" w:hint="eastAsia"/>
              </w:rPr>
              <w:tab/>
            </w:r>
            <w:r>
              <w:rPr>
                <w:rFonts w:ascii="宋体" w:eastAsia="宋体" w:hAnsi="宋体" w:cs="宋体" w:hint="eastAsia"/>
              </w:rPr>
              <w:t xml:space="preserve">单位：万元</w:t>
            </w:r>
          </w:p>
        </w:tc>
        <w:tc>
          <w:tcPr>
            <w:tcW w:w="2163" w:type="dxa"/>
            <w:tcBorders>
              <w:top w:val="nil"/>
              <w:left w:val="nil"/>
              <w:right w:val="nil"/>
            </w:tcBorders>
          </w:tcPr>
          <w:p>
            <w:pPr>
              <w:pStyle w:val="Tablecaption|1"/>
              <w:tabs>
                <w:tab w:val="left" w:pos="14213"/>
              </w:tabs>
              <w:ind w:left="101"/>
              <w:jc w:val="left"/>
              <w:rPr>
                <w:rFonts w:ascii="宋体" w:eastAsia="宋体" w:hAnsi="宋体" w:cs="宋体" w:hint="eastAsia"/>
              </w:rPr>
            </w:pPr>
            <w:r>
              <w:rPr>
                <w:rFonts w:ascii="宋体" w:eastAsia="宋体" w:hAnsi="宋体" w:cs="宋体" w:hint="eastAsia"/>
                <w:sz w:val="17"/>
                <w:szCs w:val="17"/>
              </w:rPr>
              <w:t xml:space="preserve">单位：万元</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val="restart"/>
          </w:tcPr>
          <w:p>
            <w:pPr>
              <w:pStyle w:val="Tablecaption|1"/>
              <w:bidi w:val="0"/>
              <w:jc w:val="center"/>
              <w:rPr>
                <w:rFonts w:ascii="宋体" w:eastAsia="宋体" w:hAnsi="宋体" w:cs="宋体" w:hint="eastAsia"/>
                <w:vertAlign w:val="baseline"/>
              </w:rPr>
            </w:pPr>
            <w:r>
              <w:rPr>
                <w:rFonts w:ascii="宋体" w:eastAsia="宋体" w:hAnsi="宋体" w:cs="宋体" w:hint="eastAsia"/>
                <w:sz w:val="17"/>
                <w:szCs w:val="17"/>
              </w:rPr>
              <w:t xml:space="preserve">科目编码</w:t>
            </w:r>
          </w:p>
        </w:tc>
        <w:tc>
          <w:tcPr>
            <w:tcW w:w="2161" w:type="dxa"/>
            <w:vMerge w:val="restart"/>
          </w:tcPr>
          <w:p>
            <w:pPr>
              <w:pStyle w:val="Tablecaption|1"/>
              <w:bidi w:val="0"/>
              <w:jc w:val="center"/>
              <w:rPr>
                <w:rFonts w:ascii="宋体" w:eastAsia="宋体" w:hAnsi="宋体" w:cs="宋体" w:hint="eastAsia"/>
                <w:vertAlign w:val="baseline"/>
              </w:rPr>
            </w:pPr>
            <w:r>
              <w:rPr>
                <w:rFonts w:ascii="宋体" w:eastAsia="宋体" w:hAnsi="宋体" w:cs="宋体" w:hint="eastAsia"/>
                <w:sz w:val="17"/>
                <w:szCs w:val="17"/>
              </w:rPr>
              <w:t xml:space="preserve">部门（单位）代码</w:t>
            </w:r>
          </w:p>
        </w:tc>
        <w:tc>
          <w:tcPr>
            <w:tcW w:w="2162" w:type="dxa"/>
            <w:vMerge w:val="restart"/>
          </w:tcPr>
          <w:p>
            <w:pPr>
              <w:pStyle w:val="Tablecaption|1"/>
              <w:bidi w:val="0"/>
              <w:jc w:val="center"/>
              <w:rPr>
                <w:rFonts w:ascii="宋体" w:eastAsia="宋体" w:hAnsi="宋体" w:cs="宋体" w:hint="eastAsia"/>
                <w:vertAlign w:val="baseline"/>
              </w:rPr>
            </w:pPr>
            <w:r>
              <w:rPr>
                <w:rFonts w:ascii="宋体" w:eastAsia="宋体" w:hAnsi="宋体" w:cs="宋体" w:hint="eastAsia"/>
                <w:sz w:val="17"/>
                <w:szCs w:val="17"/>
              </w:rPr>
              <w:t xml:space="preserve">部门（单位）名称（功能分类科目名称）</w:t>
            </w:r>
          </w:p>
        </w:tc>
        <w:tc>
          <w:tcPr>
            <w:tcW w:w="2222"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合计</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基本支出</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项目支出</w:t>
            </w:r>
          </w:p>
        </w:tc>
        <w:tc>
          <w:tcPr>
            <w:tcW w:w="2163"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sz w:val="17"/>
                <w:szCs w:val="17"/>
              </w:rPr>
              <w:t xml:space="preserve">结转下年支出</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vMerge/>
          </w:tcPr>
          <w:p>
            <w:pPr>
              <w:pStyle w:val="Tablecaption|1"/>
              <w:bidi w:val="0"/>
              <w:jc w:val="both"/>
              <w:rPr>
                <w:rFonts w:ascii="宋体" w:eastAsia="宋体" w:hAnsi="宋体" w:cs="宋体" w:hint="eastAsia"/>
                <w:vertAlign w:val="baseline"/>
              </w:rPr>
            </w:pPr>
          </w:p>
        </w:tc>
        <w:tc>
          <w:tcPr>
            <w:tcW w:w="2161" w:type="dxa"/>
            <w:vMerge/>
          </w:tcPr>
          <w:p>
            <w:pPr>
              <w:pStyle w:val="Tablecaption|1"/>
              <w:bidi w:val="0"/>
              <w:jc w:val="both"/>
              <w:rPr>
                <w:rFonts w:ascii="宋体" w:eastAsia="宋体" w:hAnsi="宋体" w:cs="宋体" w:hint="eastAsia"/>
                <w:vertAlign w:val="baseline"/>
              </w:rPr>
            </w:pPr>
          </w:p>
        </w:tc>
        <w:tc>
          <w:tcPr>
            <w:tcW w:w="2162" w:type="dxa"/>
            <w:vMerge/>
          </w:tcPr>
          <w:p>
            <w:pPr>
              <w:pStyle w:val="Tablecaption|1"/>
              <w:bidi w:val="0"/>
              <w:jc w:val="both"/>
              <w:rPr>
                <w:rFonts w:ascii="宋体" w:eastAsia="宋体" w:hAnsi="宋体" w:cs="宋体" w:hint="eastAsia"/>
                <w:vertAlign w:val="baseline"/>
              </w:rPr>
            </w:pPr>
          </w:p>
        </w:tc>
        <w:tc>
          <w:tcPr>
            <w:tcW w:w="2222"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1</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2</w:t>
            </w:r>
          </w:p>
        </w:tc>
        <w:tc>
          <w:tcPr>
            <w:tcW w:w="2161"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3</w:t>
            </w:r>
          </w:p>
        </w:tc>
        <w:tc>
          <w:tcPr>
            <w:tcW w:w="2163" w:type="dxa"/>
            <w:vAlign w:val="center"/>
          </w:tcPr>
          <w:p>
            <w:pPr>
              <w:pStyle w:val="Other|1"/>
              <w:spacing w:line="240" w:lineRule="auto"/>
              <w:ind w:firstLine="0" w:firstLineChars="0"/>
              <w:jc w:val="center"/>
              <w:rPr>
                <w:rFonts w:ascii="宋体" w:eastAsia="宋体" w:hAnsi="宋体" w:cs="宋体" w:hint="eastAsia"/>
                <w:vertAlign w:val="baseline"/>
              </w:rPr>
            </w:pPr>
            <w:r>
              <w:rPr>
                <w:rFonts w:ascii="宋体" w:eastAsia="宋体" w:hAnsi="宋体" w:cs="宋体" w:hint="eastAsia"/>
                <w:b/>
                <w:bCs/>
                <w:sz w:val="17"/>
                <w:szCs w:val="17"/>
              </w:rPr>
              <w:t xml:space="preserve">4</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2527" w:type="dxa"/>
          </w:tcPr>
          <w:p>
            <w:pPr>
              <w:jc w:val="left"/>
              <w:rPr>
                <w:rFonts w:ascii="宋体" w:eastAsia="宋体" w:hAnsi="宋体" w:cs="宋体" w:hint="eastAsia"/>
                <w:vertAlign w:val="baseline"/>
              </w:rPr>
            </w:pPr>
          </w:p>
        </w:tc>
        <w:tc>
          <w:tcPr>
            <w:tcW w:w="2161" w:type="dxa"/>
          </w:tcPr>
          <w:p>
            <w:pPr>
              <w:jc w:val="left"/>
              <w:rPr>
                <w:rFonts w:ascii="宋体" w:eastAsia="宋体" w:hAnsi="宋体" w:cs="宋体" w:hint="eastAsia"/>
                <w:vertAlign w:val="baseline"/>
              </w:rPr>
            </w:pPr>
          </w:p>
        </w:tc>
        <w:tc>
          <w:tcPr>
            <w:tcW w:w="2162" w:type="dxa"/>
            <w:vAlign w:val="center"/>
          </w:tcPr>
          <w:p>
            <w:pPr>
              <w:pStyle w:val="Other|1"/>
              <w:spacing w:line="240" w:lineRule="auto"/>
              <w:ind w:firstLine="0" w:firstLineChars="0"/>
              <w:jc w:val="left"/>
              <w:rPr>
                <w:rFonts w:ascii="宋体" w:eastAsia="宋体" w:hAnsi="宋体" w:cs="宋体" w:hint="eastAsia"/>
                <w:vertAlign w:val="baseline"/>
              </w:rPr>
            </w:pPr>
            <w:r>
              <w:rPr>
                <w:rFonts w:ascii="宋体" w:eastAsia="宋体" w:hAnsi="宋体" w:cs="宋体" w:hint="eastAsia"/>
                <w:sz w:val="17"/>
                <w:szCs w:val="17"/>
              </w:rPr>
              <w:t xml:space="preserve">合计</w:t>
            </w:r>
          </w:p>
        </w:tc>
        <w:tc>
          <w:tcPr>
            <w:tcW w:w="2222" w:type="dxa"/>
            <w:vAlign w:val="center"/>
          </w:tcPr>
          <w:p>
            <w:pPr>
              <w:pStyle w:val="Other|1"/>
              <w:spacing w:line="240" w:lineRule="auto"/>
              <w:ind w:left="1700" w:firstLine="0" w:leftChars="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c>
          <w:tcPr>
            <w:tcW w:w="2161" w:type="dxa"/>
            <w:vAlign w:val="center"/>
          </w:tcPr>
          <w:p>
            <w:pPr>
              <w:pStyle w:val="Other|1"/>
              <w:spacing w:line="240" w:lineRule="auto"/>
              <w:ind w:firstLine="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c>
          <w:tcPr>
            <w:tcW w:w="2161" w:type="dxa"/>
            <w:vAlign w:val="center"/>
          </w:tcPr>
          <w:p>
            <w:pPr>
              <w:pStyle w:val="Other|1"/>
              <w:spacing w:line="240" w:lineRule="auto"/>
              <w:ind w:firstLine="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c>
          <w:tcPr>
            <w:tcW w:w="2163" w:type="dxa"/>
            <w:vAlign w:val="center"/>
          </w:tcPr>
          <w:p>
            <w:pPr>
              <w:pStyle w:val="Other|1"/>
              <w:spacing w:line="240" w:lineRule="auto"/>
              <w:ind w:firstLine="0" w:firstLineChars="0"/>
              <w:jc w:val="right"/>
              <w:rPr>
                <w:rFonts w:ascii="宋体" w:eastAsia="宋体" w:hAnsi="宋体" w:cs="宋体" w:hint="eastAsia"/>
                <w:vertAlign w:val="baseline"/>
              </w:rPr>
            </w:pPr>
            <w:r>
              <w:rPr>
                <w:rFonts w:ascii="宋体" w:eastAsia="宋体" w:hAnsi="宋体" w:cs="宋体" w:hint="eastAsia"/>
                <w:b/>
                <w:bCs/>
                <w:sz w:val="17"/>
                <w:szCs w:val="17"/>
                <w:lang w:val="en-US" w:eastAsia="en-US" w:bidi="en-US"/>
              </w:rPr>
              <w:t xml:space="preserve">0.</w:t>
            </w:r>
            <w:r>
              <w:rPr>
                <w:rFonts w:ascii="宋体" w:eastAsia="宋体" w:hAnsi="宋体" w:cs="宋体" w:hint="eastAsia"/>
                <w:b/>
                <w:bCs/>
                <w:sz w:val="17"/>
                <w:szCs w:val="17"/>
              </w:rPr>
              <w:t xml:space="preserve">00</w:t>
            </w:r>
          </w:p>
        </w:tc>
      </w:tr>
      <w:tr>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cantSplit/>
        </w:trPr>
        <w:tc>
          <w:tcPr>
            <w:tcW w:w="15557" w:type="dxa"/>
            <w:gridSpan w:val="7"/>
            <w:tcBorders>
              <w:left w:val="nil"/>
              <w:bottom w:val="nil"/>
              <w:right w:val="nil"/>
            </w:tcBorders>
          </w:tcPr>
          <w:p>
            <w:pPr>
              <w:pStyle w:val="Tablecaption|1"/>
              <w:spacing w:line="302" w:lineRule="exact"/>
              <w:ind w:left="672"/>
              <w:jc w:val="left"/>
              <w:rPr>
                <w:rFonts w:ascii="宋体" w:eastAsia="宋体" w:hAnsi="宋体" w:cs="宋体" w:hint="eastAsia"/>
                <w:b w:val="0"/>
                <w:bCs w:val="0"/>
              </w:rPr>
            </w:pPr>
            <w:r>
              <w:rPr>
                <w:rFonts w:ascii="宋体" w:eastAsia="宋体" w:hAnsi="宋体" w:cs="宋体" w:hint="eastAsia"/>
                <w:b w:val="0"/>
                <w:bCs w:val="0"/>
              </w:rPr>
              <w:t xml:space="preserve">注：本报表金额单位转换时可能存在四舍五入尾数误差。本部门</w:t>
            </w:r>
            <w:r>
              <w:rPr>
                <w:rFonts w:ascii="宋体" w:eastAsia="宋体" w:hAnsi="宋体" w:cs="宋体" w:hint="eastAsia"/>
                <w:b w:val="0"/>
                <w:bCs w:val="0"/>
                <w:lang w:eastAsia="zh-CN"/>
              </w:rPr>
              <w:t xml:space="preserve">2024</w:t>
            </w:r>
            <w:r>
              <w:rPr>
                <w:rFonts w:ascii="宋体" w:eastAsia="宋体" w:hAnsi="宋体" w:cs="宋体"/>
                <w:u w:color="auto"/>
              </w:rPr>
              <w:t xml:space="preserve">年</w:t>
            </w:r>
            <w:r>
              <w:rPr>
                <w:rFonts w:ascii="宋体" w:eastAsia="宋体" w:hAnsi="宋体" w:cs="宋体" w:hint="eastAsia"/>
                <w:b w:val="0"/>
                <w:bCs w:val="0"/>
              </w:rPr>
              <w:t xml:space="preserve">度没有国有资本经营预算支出，故本表无数据</w:t>
            </w:r>
          </w:p>
          <w:p>
            <w:pPr>
              <w:pStyle w:val="Tablecaption|1"/>
              <w:bidi w:val="0"/>
              <w:jc w:val="both"/>
              <w:rPr>
                <w:rFonts w:ascii="宋体" w:eastAsia="宋体" w:hAnsi="宋体" w:cs="宋体" w:hint="eastAsia"/>
                <w:vertAlign w:val="baseline"/>
              </w:rPr>
            </w:pPr>
          </w:p>
        </w:tc>
      </w:tr>
    </w:tbl>
    <w:p>
      <w:pPr>
        <w:pStyle w:val="Tablecaption|1"/>
        <w:bidi w:val="0"/>
        <w:jc w:val="center"/>
        <w:rPr>
          <w:sz w:val="28"/>
          <w:szCs w:val="28"/>
        </w:rPr>
      </w:pPr>
    </w:p>
    <w:p>
      <w:pPr/>
      <w:r>
        <w:br w:type="page"/>
      </w:r>
    </w:p>
    <w:p>
      <w:pPr>
        <w:pStyle w:val="Heading#2|1"/>
        <w:keepNext/>
        <w:keepLines/>
        <w:spacing w:after="240"/>
        <w:jc w:val="center"/>
        <w:rPr>
          <w:rFonts w:eastAsia="宋体" w:hint="default"/>
          <w:lang w:val="en-US" w:eastAsia="zh-CN"/>
        </w:rPr>
      </w:pPr>
      <w:r>
        <w:rPr>
          <w:rFonts w:hint="eastAsia"/>
          <w:lang w:val="en-US" w:eastAsia="zh-CN"/>
        </w:rPr>
        <w:t xml:space="preserve">2024年度预算项目绩效目标公开表</w:t>
      </w:r>
    </w:p>
    <w:tbl>
      <w:tblPr>
        <w:tblStyle w:val="NormalTable"/>
        <w:tblW w:w="0" w:type="auto"/>
        <w:tblInd w:w="0" w:type="dxa"/>
        <w:tblLayout w:type="fixed"/>
        <w:tblCellMar>
          <w:top w:w="0" w:type="dxa"/>
          <w:left w:w="10" w:type="dxa"/>
          <w:bottom w:w="0" w:type="dxa"/>
          <w:right w:w="10" w:type="dxa"/>
        </w:tblCellMar>
        <w:tblLook w:firstRow="0" w:lastRow="0" w:firstColumn="0" w:lastColumn="0" w:noHBand="1" w:noVBand="1"/>
      </w:tblPr>
      <w:tblGrid>
        <w:gridCol w:w="1843"/>
        <w:gridCol w:w="2559"/>
        <w:gridCol w:w="3350"/>
        <w:gridCol w:w="1511"/>
        <w:gridCol w:w="6076"/>
      </w:tblGrid>
      <w:tr>
        <w:tblPrEx>
          <w:tblW w:w="0" w:type="auto"/>
          <w:tblInd w:w="0" w:type="dxa"/>
          <w:tblLayout w:type="fixed"/>
          <w:tblCellMar>
            <w:top w:w="0" w:type="dxa"/>
            <w:left w:w="10" w:type="dxa"/>
            <w:bottom w:w="0" w:type="dxa"/>
            <w:right w:w="10" w:type="dxa"/>
          </w:tblCellMar>
        </w:tblPrEx>
        <w:trPr>
          <w:cantSplit/>
          <w:trHeight w:hRule="auto" w:val="0"/>
        </w:trPr>
        <w:tc>
          <w:tcPr>
            <w:tcW w:w="9263" w:type="dxa"/>
            <w:gridSpan w:val="4"/>
            <w:shd w:val="clear" w:color="auto" w:fill="FFFFFF"/>
          </w:tcPr>
          <w:p>
            <w:pPr>
              <w:pStyle w:val="Other|1"/>
              <w:spacing w:line="240" w:lineRule="auto"/>
              <w:ind w:firstLine="0"/>
              <w:jc w:val="left"/>
              <w:rPr>
                <w:rFonts w:ascii="宋体" w:eastAsia="宋体" w:hAnsi="宋体" w:cs="宋体" w:hint="default"/>
                <w:sz w:val="17"/>
                <w:szCs w:val="17"/>
                <w:lang w:val="en-US"/>
              </w:rPr>
            </w:pPr>
            <w:r>
              <w:rPr>
                <w:rFonts w:ascii="宋体" w:eastAsia="宋体" w:hAnsi="宋体" w:cs="宋体" w:hint="eastAsia"/>
                <w:sz w:val="17"/>
                <w:szCs w:val="17"/>
              </w:rPr>
              <w:t xml:space="preserve">单位名称：</w:t>
            </w:r>
            <w:r>
              <w:rPr>
                <w:rFonts w:ascii="宋体" w:eastAsia="宋体" w:hAnsi="宋体" w:cs="宋体" w:hint="eastAsia"/>
                <w:sz w:val="17"/>
                <w:szCs w:val="17"/>
                <w:lang w:eastAsia="zh-CN"/>
              </w:rPr>
              <w:t xml:space="preserve">环江毛南族自治县第五幼儿园</w:t>
            </w:r>
            <w:r>
              <w:rPr>
                <w:rFonts w:cs="宋体" w:hint="eastAsia"/>
                <w:sz w:val="17"/>
                <w:szCs w:val="17"/>
                <w:lang w:val="en-US" w:eastAsia="zh-CN"/>
              </w:rPr>
              <w:t xml:space="preserve">            </w:t>
            </w:r>
          </w:p>
        </w:tc>
        <w:tc>
          <w:tcPr>
            <w:tcW w:w="6076" w:type="dxa"/>
            <w:shd w:val="clear" w:color="auto" w:fill="FFFFFF"/>
          </w:tcPr>
          <w:p>
            <w:pPr>
              <w:pStyle w:val="Other|1"/>
              <w:spacing w:line="240" w:lineRule="auto"/>
              <w:ind w:firstLine="4760" w:firstLineChars="2800"/>
              <w:jc w:val="left"/>
              <w:rPr>
                <w:rFonts w:ascii="宋体" w:eastAsia="宋体" w:hAnsi="宋体" w:cs="宋体" w:hint="eastAsia"/>
                <w:sz w:val="17"/>
                <w:szCs w:val="17"/>
              </w:rPr>
            </w:pPr>
            <w:r>
              <w:rPr>
                <w:rFonts w:ascii="宋体" w:eastAsia="宋体" w:hAnsi="宋体" w:cs="宋体" w:hint="eastAsia"/>
                <w:sz w:val="17"/>
                <w:szCs w:val="17"/>
              </w:rPr>
              <w:t xml:space="preserve">单位：万元</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sz w:val="17"/>
                <w:u w:color="auto"/>
              </w:rPr>
              <w:t xml:space="preserve">单位代码</w:t>
            </w:r>
          </w:p>
        </w:tc>
        <w:tc>
          <w:tcPr>
            <w:tcW w:w="2559"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24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单位名称</w:t>
            </w:r>
          </w:p>
        </w:tc>
        <w:tc>
          <w:tcPr>
            <w:tcW w:w="3350"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项目名称</w:t>
            </w:r>
          </w:p>
        </w:tc>
        <w:tc>
          <w:tcPr>
            <w:tcW w:w="1511" w:type="dxa"/>
            <w:tcBorders>
              <w:top w:val="single" w:sz="4" w:space="0" w:color="auto"/>
              <w:left w:val="single" w:sz="4" w:space="0" w:color="auto"/>
              <w:bottom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预算金额</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center"/>
              <w:rPr>
                <w:rFonts w:ascii="宋体" w:eastAsia="宋体" w:hAnsi="宋体" w:cs="宋体" w:hint="eastAsia"/>
                <w:sz w:val="17"/>
                <w:szCs w:val="17"/>
                <w:lang w:val="en-US" w:eastAsia="zh-CN"/>
              </w:rPr>
            </w:pPr>
            <w:r>
              <w:rPr>
                <w:rFonts w:ascii="宋体" w:eastAsia="宋体" w:hAnsi="宋体" w:cs="宋体" w:hint="eastAsia"/>
                <w:sz w:val="17"/>
                <w:szCs w:val="17"/>
                <w:lang w:val="en-US" w:eastAsia="zh-CN"/>
              </w:rPr>
              <w:t xml:space="preserve">年度绩效目标</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201006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环江毛南族自治县第五幼儿园</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环江县第五幼儿园年初预算经费（非三保））</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158.00</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保障学校各项工作正常运转、保障辖区内幼儿受到好的教育，从而提高幼儿家长对于学校的满意度和教师的幸福感。</w:t>
            </w:r>
            <w:bookmarkStart w:id="31" w:name="_GoBack"/>
            <w:bookmarkEnd w:id="31"/>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201006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环江毛南族自治县第五幼儿园</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学前教育质量提升资金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5.95</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通过项目的实施，保障学前教育学校的日常运转，保障学前教育教学正常开展，不断提高家长送子女入学的积极性。不断提高保障标准和保障水平，学前教育学校的基础设施、教育教学设备不断改善，促进了学校办学水平的提高，促进了学前教育学校的发展。</w:t>
            </w:r>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201006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环江毛南族自治县第五幼儿园</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普惠性民办幼儿园奖补中央补助资金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4.43</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通过普惠幼儿园奖补资金保障各项工作正常运转，改善办学条件。</w:t>
            </w:r>
            <w:bookmarkEnd w:id="31"/>
          </w:p>
        </w:tc>
      </w:tr>
      <w:tr>
        <w:tblPrEx>
          <w:tblW w:w="0" w:type="auto"/>
          <w:tblInd w:w="0" w:type="dxa"/>
          <w:tblLayout w:type="fixed"/>
          <w:tblCellMar>
            <w:top w:w="0" w:type="dxa"/>
            <w:left w:w="10" w:type="dxa"/>
            <w:bottom w:w="0" w:type="dxa"/>
            <w:right w:w="10" w:type="dxa"/>
          </w:tblCellMar>
        </w:tblPrEx>
        <w:trPr>
          <w:cantSplit/>
          <w:trHeight w:hRule="auto" w:val="0"/>
        </w:trPr>
        <w:tc>
          <w:tcPr>
            <w:tcW w:w="1843"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201006</w:t>
            </w:r>
          </w:p>
        </w:tc>
        <w:tc>
          <w:tcPr>
            <w:tcW w:w="2559" w:type="dxa"/>
            <w:tcBorders>
              <w:top w:val="single" w:sz="4" w:space="0" w:color="auto"/>
              <w:left w:val="single" w:sz="4" w:space="0" w:color="auto"/>
              <w:bottom w:val="single" w:sz="4" w:space="0" w:color="auto"/>
              <w:right w:val="single" w:sz="4" w:space="0" w:color="auto"/>
            </w:tcBorders>
            <w:shd w:val="clear" w:color="auto" w:fill="FFFFFF"/>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环江毛南族自治县第五幼儿园</w:t>
            </w:r>
          </w:p>
        </w:tc>
        <w:tc>
          <w:tcPr>
            <w:tcW w:w="3350"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学前教育免除保教费自治区级补助资金</w:t>
            </w:r>
          </w:p>
        </w:tc>
        <w:tc>
          <w:tcPr>
            <w:tcW w:w="1511"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1.09</w:t>
            </w:r>
          </w:p>
        </w:tc>
        <w:tc>
          <w:tcPr>
            <w:tcW w:w="6076" w:type="dxa"/>
            <w:tcBorders>
              <w:top w:val="single" w:sz="4" w:space="0" w:color="auto"/>
              <w:left w:val="single" w:sz="4" w:space="0" w:color="auto"/>
              <w:bottom w:val="single" w:sz="4" w:space="0" w:color="auto"/>
              <w:right w:val="single" w:sz="4" w:space="0" w:color="auto"/>
            </w:tcBorders>
            <w:shd w:val="clear" w:color="auto" w:fill="FFFFFF"/>
            <w:vAlign w:val="center"/>
          </w:tcPr>
          <w:p>
            <w:pPr>
              <w:pStyle w:val="Other|1"/>
              <w:spacing w:line="240" w:lineRule="auto"/>
              <w:ind w:firstLine="0"/>
              <w:jc w:val="left"/>
              <w:rPr>
                <w:rFonts w:ascii="宋体" w:eastAsia="宋体" w:hAnsi="宋体" w:cs="宋体" w:hint="eastAsia"/>
                <w:b w:val="0"/>
                <w:bCs w:val="0"/>
                <w:sz w:val="17"/>
                <w:szCs w:val="17"/>
                <w:lang w:val="en-US" w:eastAsia="zh-CN"/>
              </w:rPr>
            </w:pPr>
            <w:r>
              <w:rPr>
                <w:rFonts w:ascii="宋体" w:eastAsia="宋体" w:hAnsi="宋体" w:cs="宋体" w:hint="eastAsia"/>
                <w:b w:val="0"/>
                <w:bCs w:val="0"/>
                <w:sz w:val="17"/>
                <w:szCs w:val="17"/>
                <w:lang w:val="en-US" w:eastAsia="zh-CN"/>
              </w:rPr>
              <w:t xml:space="preserve">通过项目的实施，减轻原学前教育建档立卡贫困户家庭的就学负担，使原学前教育建档立卡贫困户幼儿顺利入园。</w:t>
            </w:r>
          </w:p>
        </w:tc>
      </w:tr>
    </w:tbl>
    <w:p>
      <w:pPr>
        <w:jc w:val="left"/>
        <w:rPr>
          <w:rFonts w:hint="eastAsia"/>
        </w:rPr>
      </w:pPr>
      <w:r>
        <w:t xml:space="preserve">注：本报表金额单位转换时可能存在四舍五入尾数误差。</w:t>
      </w:r>
    </w:p>
    <w:p>
      <w:pPr>
        <w:jc w:val="left"/>
        <w:rPr>
          <w:rFonts w:hint="eastAsia"/>
          <w:lang w:eastAsia="zh-CN"/>
        </w:rPr>
        <w:sectPr>
          <w:headerReference w:type="default" r:id="rId20"/>
          <w:footerReference w:type="default" r:id="rId21"/>
          <w:pgSz w:w="16840" w:h="11900" w:orient="landscape"/>
          <w:pgMar w:top="2714" w:right="764" w:bottom="2714" w:left="735" w:header="2286" w:footer="1474" w:gutter="0"/>
          <w:pgBorders>
            <w:top w:val="none" w:sz="0" w:space="0" w:color="auto"/>
            <w:left w:val="none" w:sz="0" w:space="0" w:color="auto"/>
            <w:bottom w:val="none" w:sz="0" w:space="0" w:color="auto"/>
            <w:right w:val="none" w:sz="0" w:space="0" w:color="auto"/>
          </w:pgBorders>
          <w:pgNumType w:fmt="decimal"/>
          <w:cols w:num="1" w:space="720">
            <w:col w:w="15341" w:space="720"/>
          </w:cols>
          <w:docGrid w:linePitch="360" w:charSpace="0"/>
        </w:sectPr>
      </w:pPr>
    </w:p>
    <w:p>
      <w:pPr>
        <w:pStyle w:val="Heading#1|1"/>
        <w:keepNext/>
        <w:keepLines/>
        <w:spacing w:before="200" w:after="0"/>
        <w:jc w:val="center"/>
        <w:rPr>
          <w:sz w:val="40"/>
          <w:szCs w:val="40"/>
        </w:rPr>
      </w:pPr>
      <w:bookmarkStart w:id="32" w:name="bookmark95"/>
      <w:bookmarkStart w:id="33" w:name="bookmark94"/>
      <w:bookmarkStart w:id="34" w:name="bookmark96"/>
      <w:r>
        <w:rPr>
          <w:sz w:val="40"/>
          <w:szCs w:val="40"/>
        </w:rPr>
        <w:t xml:space="preserve">第四部</w:t>
      </w:r>
      <w:r>
        <w:rPr>
          <w:rFonts w:hint="eastAsia"/>
          <w:sz w:val="40"/>
          <w:szCs w:val="40"/>
          <w:lang w:val="en-US" w:eastAsia="zh-CN"/>
        </w:rPr>
        <w:t xml:space="preserve">  </w:t>
      </w:r>
      <w:r>
        <w:rPr>
          <w:sz w:val="40"/>
          <w:szCs w:val="40"/>
        </w:rPr>
        <w:t xml:space="preserve">分名词解释</w:t>
      </w:r>
      <w:bookmarkEnd w:id="32"/>
      <w:bookmarkEnd w:id="33"/>
      <w:bookmarkEnd w:id="34"/>
    </w:p>
    <w:p>
      <w:pPr>
        <w:pStyle w:val="Bodytext|1"/>
        <w:tabs>
          <w:tab w:val="left" w:pos="1270"/>
        </w:tabs>
        <w:spacing w:line="626" w:lineRule="exact"/>
        <w:ind w:firstLine="640"/>
        <w:jc w:val="left"/>
      </w:pPr>
      <w:bookmarkStart w:id="35" w:name="bookmark97"/>
      <w:r>
        <w:t xml:space="preserve">一</w:t>
      </w:r>
      <w:bookmarkEnd w:id="35"/>
      <w:r>
        <w:t xml:space="preserve">、</w:t>
      </w:r>
      <w:r>
        <w:tab/>
      </w:r>
      <w:r>
        <w:t xml:space="preserve">财政拨款收入：指预算单位从本级财政部门取得的财政预算资金收入。</w:t>
      </w:r>
    </w:p>
    <w:p>
      <w:pPr>
        <w:pStyle w:val="Bodytext|1"/>
        <w:tabs>
          <w:tab w:val="left" w:pos="1280"/>
        </w:tabs>
        <w:spacing w:line="626" w:lineRule="exact"/>
        <w:ind w:firstLine="640"/>
        <w:jc w:val="left"/>
      </w:pPr>
      <w:bookmarkStart w:id="36" w:name="bookmark98"/>
      <w:r>
        <w:t xml:space="preserve">二</w:t>
      </w:r>
      <w:bookmarkEnd w:id="36"/>
      <w:r>
        <w:t xml:space="preserve">、</w:t>
      </w:r>
      <w:r>
        <w:tab/>
      </w:r>
      <w:r>
        <w:t xml:space="preserve">事业收入：指事业单位开展专业业务活动及辅助活动所取得的收入。</w:t>
      </w:r>
    </w:p>
    <w:p>
      <w:pPr>
        <w:pStyle w:val="Bodytext|1"/>
        <w:tabs>
          <w:tab w:val="left" w:pos="1275"/>
        </w:tabs>
        <w:spacing w:line="626" w:lineRule="exact"/>
        <w:ind w:firstLine="640"/>
        <w:jc w:val="left"/>
      </w:pPr>
      <w:bookmarkStart w:id="37" w:name="bookmark99"/>
      <w:r>
        <w:t xml:space="preserve">三</w:t>
      </w:r>
      <w:bookmarkEnd w:id="37"/>
      <w:r>
        <w:t xml:space="preserve">、</w:t>
      </w:r>
      <w:r>
        <w:tab/>
      </w:r>
      <w:r>
        <w:t xml:space="preserve">经营收入：指事业单位在专业业务活动及其辅助活动之外开展非独立核算经营活动取得的收入。</w:t>
      </w:r>
    </w:p>
    <w:p>
      <w:pPr>
        <w:pStyle w:val="Bodytext|1"/>
        <w:tabs>
          <w:tab w:val="left" w:pos="1309"/>
        </w:tabs>
        <w:spacing w:line="626" w:lineRule="exact"/>
        <w:ind w:firstLine="640"/>
        <w:jc w:val="left"/>
      </w:pPr>
      <w:bookmarkStart w:id="38" w:name="bookmark100"/>
      <w:r>
        <w:t xml:space="preserve">四</w:t>
      </w:r>
      <w:bookmarkEnd w:id="38"/>
      <w:r>
        <w:t xml:space="preserve">、</w:t>
      </w:r>
      <w:r>
        <w:tab/>
      </w:r>
      <w:r>
        <w:t xml:space="preserve">其他收入：指除上述</w:t>
      </w:r>
      <w:r>
        <w:rPr>
          <w:lang w:val="zh-CN" w:eastAsia="zh-CN" w:bidi="zh-CN"/>
        </w:rPr>
        <w:t xml:space="preserve">“财</w:t>
      </w:r>
      <w:r>
        <w:t xml:space="preserve">政拨款收入”、</w:t>
      </w:r>
      <w:r>
        <w:rPr>
          <w:lang w:val="zh-CN" w:eastAsia="zh-CN" w:bidi="zh-CN"/>
        </w:rPr>
        <w:t xml:space="preserve">“事</w:t>
      </w:r>
      <w:r>
        <w:t xml:space="preserve">业收入"、</w:t>
      </w:r>
      <w:r>
        <w:rPr>
          <w:lang w:val="zh-CN" w:eastAsia="zh-CN" w:bidi="zh-CN"/>
        </w:rPr>
        <w:t xml:space="preserve">“经营</w:t>
      </w:r>
      <w:r>
        <w:t xml:space="preserve">收入"等以外的收入。主要是非本级财政拨款、存款利息收入、事业单位固定资产出租收入等。</w:t>
      </w:r>
    </w:p>
    <w:p>
      <w:pPr>
        <w:pStyle w:val="Bodytext|1"/>
        <w:tabs>
          <w:tab w:val="left" w:pos="1275"/>
        </w:tabs>
        <w:spacing w:line="626" w:lineRule="exact"/>
        <w:ind w:firstLine="640"/>
        <w:jc w:val="left"/>
      </w:pPr>
      <w:bookmarkStart w:id="39" w:name="bookmark101"/>
      <w:r>
        <w:t xml:space="preserve">五</w:t>
      </w:r>
      <w:bookmarkEnd w:id="39"/>
      <w:r>
        <w:t xml:space="preserve">、</w:t>
      </w:r>
      <w:r>
        <w:tab/>
      </w:r>
      <w:r>
        <w:t xml:space="preserve">用事业基金弥补收支差额：指事业单位在用当年的</w:t>
      </w:r>
      <w:r>
        <w:rPr>
          <w:lang w:val="zh-CN" w:eastAsia="zh-CN" w:bidi="zh-CN"/>
        </w:rPr>
        <w:t xml:space="preserve">“财</w:t>
      </w:r>
      <w:r>
        <w:t xml:space="preserve">政拨款收入"、</w:t>
      </w:r>
      <w:r>
        <w:rPr>
          <w:lang w:val="zh-CN" w:eastAsia="zh-CN" w:bidi="zh-CN"/>
        </w:rPr>
        <w:t xml:space="preserve">“事业</w:t>
      </w:r>
      <w:r>
        <w:t xml:space="preserve">收入"、</w:t>
      </w:r>
      <w:r>
        <w:rPr>
          <w:lang w:val="zh-CN" w:eastAsia="zh-CN" w:bidi="zh-CN"/>
        </w:rPr>
        <w:t xml:space="preserve">“经营</w:t>
      </w:r>
      <w:r>
        <w:t xml:space="preserve">收入"、</w:t>
      </w:r>
      <w:r>
        <w:rPr>
          <w:lang w:val="zh-CN" w:eastAsia="zh-CN" w:bidi="zh-CN"/>
        </w:rPr>
        <w:t xml:space="preserve">“其他</w:t>
      </w:r>
      <w:r>
        <w:t xml:space="preserve">收入"不足以安排当年支出的情况下，使用以前年度积累的事业基金（事业单位当年收支相抵后按国家规定提取、用于弥补以后年度收支差额的基金）弥补本年度收支缺口的资金。</w:t>
      </w:r>
    </w:p>
    <w:p>
      <w:pPr>
        <w:pStyle w:val="Bodytext|1"/>
        <w:tabs>
          <w:tab w:val="left" w:pos="1270"/>
        </w:tabs>
        <w:spacing w:line="626" w:lineRule="exact"/>
        <w:ind w:firstLine="640"/>
        <w:jc w:val="left"/>
      </w:pPr>
      <w:bookmarkStart w:id="40" w:name="bookmark102"/>
      <w:r>
        <w:t xml:space="preserve">六</w:t>
      </w:r>
      <w:bookmarkEnd w:id="40"/>
      <w:r>
        <w:t xml:space="preserve">、</w:t>
      </w:r>
      <w:r>
        <w:tab/>
      </w:r>
      <w:r>
        <w:t xml:space="preserve">年初结转和结余：指以前年度尚未完成、结转到本年按有关规定继续使用的资金。</w:t>
      </w:r>
    </w:p>
    <w:p>
      <w:pPr>
        <w:pStyle w:val="Bodytext|1"/>
        <w:tabs>
          <w:tab w:val="left" w:pos="1275"/>
        </w:tabs>
        <w:spacing w:line="626" w:lineRule="exact"/>
        <w:ind w:firstLine="640"/>
        <w:jc w:val="left"/>
      </w:pPr>
      <w:bookmarkStart w:id="41" w:name="bookmark103"/>
      <w:r>
        <w:t xml:space="preserve">七</w:t>
      </w:r>
      <w:bookmarkEnd w:id="41"/>
      <w:r>
        <w:t xml:space="preserve">、</w:t>
      </w:r>
      <w:r>
        <w:tab/>
      </w:r>
      <w:r>
        <w:t xml:space="preserve">结余分配：指事业单位按规定提取的职工福利基金、事业基金和缴纳的所得税，以及建设单位按规定应交回的基本建设竣工项目结余资金。</w:t>
      </w:r>
    </w:p>
    <w:p>
      <w:pPr>
        <w:pStyle w:val="Bodytext|1"/>
        <w:tabs>
          <w:tab w:val="left" w:pos="632"/>
        </w:tabs>
        <w:spacing w:line="626" w:lineRule="exact"/>
        <w:ind w:firstLine="640"/>
        <w:jc w:val="left"/>
      </w:pPr>
      <w:bookmarkStart w:id="42" w:name="bookmark104"/>
      <w:r>
        <w:t xml:space="preserve">八</w:t>
      </w:r>
      <w:bookmarkEnd w:id="42"/>
      <w:r>
        <w:t xml:space="preserve">、</w:t>
      </w:r>
      <w:r>
        <w:tab/>
      </w:r>
      <w:r>
        <w:t xml:space="preserve">年末结转和结余：指本年度或以前年度预算安排、因客观条件发生变化无法按原计划实施，需要延迟到以后年度按有关规定继续使用的资金。</w:t>
      </w:r>
    </w:p>
    <w:p>
      <w:pPr>
        <w:pStyle w:val="Bodytext|1"/>
        <w:spacing w:line="628" w:lineRule="exact"/>
        <w:ind w:firstLine="640"/>
        <w:jc w:val="left"/>
      </w:pPr>
      <w:bookmarkStart w:id="43" w:name="bookmark105"/>
      <w:r>
        <w:t xml:space="preserve">九</w:t>
      </w:r>
      <w:bookmarkEnd w:id="43"/>
      <w:r>
        <w:t xml:space="preserve">、基本支出：指为保障机构正常运转、完成日常工作任务而发生的人员支出和公用支出。</w:t>
      </w:r>
    </w:p>
    <w:p>
      <w:pPr>
        <w:pStyle w:val="Bodytext|1"/>
        <w:spacing w:line="628" w:lineRule="exact"/>
        <w:ind w:firstLine="640"/>
        <w:jc w:val="left"/>
      </w:pPr>
      <w:r>
        <w:t xml:space="preserve">十、项目支出：指在基本支出之外为完成特定行政任务和事业发展目标所发生的支出。</w:t>
      </w:r>
    </w:p>
    <w:p>
      <w:pPr>
        <w:pStyle w:val="Bodytext|1"/>
        <w:spacing w:line="628" w:lineRule="exact"/>
        <w:ind w:firstLine="640"/>
        <w:jc w:val="left"/>
      </w:pPr>
      <w:r>
        <w:t xml:space="preserve">十一、经营支出：指事业单位在专业业务活动及其辅助活动之外开展非独立核算经营活动所发生的支出。</w:t>
      </w:r>
    </w:p>
    <w:p>
      <w:pPr>
        <w:pStyle w:val="Bodytext|1"/>
        <w:spacing w:line="628" w:lineRule="exact"/>
        <w:ind w:firstLine="640"/>
        <w:jc w:val="left"/>
      </w:pPr>
      <w:r>
        <w:t xml:space="preserve">十二、</w:t>
      </w:r>
      <w:r>
        <w:rPr>
          <w:lang w:val="zh-CN" w:eastAsia="zh-CN" w:bidi="zh-CN"/>
        </w:rPr>
        <w:t xml:space="preserve">“三</w:t>
      </w:r>
      <w:r>
        <w:t xml:space="preserve">公”经费：纳入财政预决算管理的</w:t>
      </w:r>
      <w:r>
        <w:rPr>
          <w:lang w:val="zh-CN" w:eastAsia="zh-CN" w:bidi="zh-CN"/>
        </w:rPr>
        <w:t xml:space="preserve">“三公</w:t>
      </w:r>
      <w:r>
        <w:t xml:space="preserve">”经费，是指市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Bodytext|1"/>
        <w:spacing w:line="628" w:lineRule="exact"/>
        <w:ind w:firstLine="640"/>
        <w:jc w:val="left"/>
      </w:pPr>
      <w:r>
        <w:t xml:space="preserve">十三、机关运行经费：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headerReference w:type="default" r:id="rId22"/>
      <w:footerReference w:type="default" r:id="rId23"/>
      <w:type w:val="continuous"/>
      <w:pgSz w:w="11900" w:h="16840" w:orient="portrait"/>
      <w:pgMar w:top="1302" w:right="1735" w:bottom="1568" w:left="1793" w:header="874" w:footer="1077" w:gutter="0"/>
      <w:pgBorders>
        <w:top w:val="none" w:sz="0" w:space="0" w:color="auto"/>
        <w:left w:val="none" w:sz="0" w:space="0" w:color="auto"/>
        <w:bottom w:val="none" w:sz="0" w:space="0" w:color="auto"/>
        <w:right w:val="none" w:sz="0" w:space="0" w:color="auto"/>
      </w:pgBorders>
      <w:pgNumType w:fmt="decimal"/>
      <w:cols w:num="1" w:space="720">
        <w:col w:w="8372" w:space="720"/>
      </w:cols>
      <w:docGrid w:linePitch="360" w:charSpace="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Auto"/>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Auto"/>
    <w:pitch w:val="default"/>
    <w:sig w:usb0="E0002EFF" w:usb1="C0007843" w:usb2="00000009" w:usb3="00000000" w:csb0="400001FF" w:csb1="FFFF0000"/>
  </w:font>
  <w:font w:name="Symbol">
    <w:panose1 w:val="05050102010706020507"/>
    <w:charset w:val="02"/>
    <w:family w:val="Auto"/>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581" name="文本框 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2" o:spid="_x0000_s11829"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131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w:t>
                    </w:r>
                    <w:r>
                      <w:fldChar w:fldCharType="end"/>
                    </w:r>
                  </w:p>
                </w:txbxContent>
              </v:textbox>
            </v:shape>
          </w:pict>
        </mc:Fallback>
      </mc:AlternateContent>
    </w:r>
  </w:p>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2336" behindDoc="0" locked="0" layoutInCell="1" allowOverlap="1">
              <wp:simplePos x="0" y="0"/>
              <wp:positionH relativeFrom="margin">
                <wp:posOffset>2574925</wp:posOffset>
              </wp:positionH>
              <wp:positionV relativeFrom="paragraph">
                <wp:posOffset>0</wp:posOffset>
              </wp:positionV>
              <wp:extent cx="394970" cy="168910"/>
              <wp:effectExtent l="0" t="0" r="0" b="0"/>
              <wp:wrapNone/>
              <wp:docPr id="6589" name="文本框 4"/>
              <wp:cNvGraphicFramePr>
                <a:graphicFrameLocks noChangeAspect="0"/>
              </wp:cNvGraphicFramePr>
              <a:graphic>
                <a:graphicData uri="http://schemas.microsoft.com/office/word/2010/wordprocessingShape">
                  <wps:wsp>
                    <wps:cNvSpPr/>
                    <wps:spPr>
                      <a:xfrm>
                        <a:off x="0" y="0"/>
                        <a:ext cx="394970" cy="16891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4</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4" o:spid="_x0000_s11831" type="#_x0000_t202" style="height:13.3pt;margin-left:202.75pt;margin-top:0;mso-height-relative:page;mso-position-horizontal-relative:margin;mso-width-relative:page;mso-wrap-distance-bottom:0;mso-wrap-distance-left:9pt;mso-wrap-distance-right:9pt;mso-wrap-distance-top:0;mso-wrap-style:square;position:absolute;v-text-anchor:top;width:31.1pt;z-index:251662336"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4</w:t>
                    </w:r>
                    <w:r>
                      <w:fldChar w:fldCharType="end"/>
                    </w:r>
                  </w:p>
                </w:txbxContent>
              </v:textbox>
            </v:shape>
          </w:pict>
        </mc:Fallback>
      </mc:AlternateContent>
    </w:r>
  </w:p>
</w:ftr>
</file>

<file path=word/footer4.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3360" behindDoc="0" locked="0" layoutInCell="1" allowOverlap="1">
              <wp:simplePos x="0" y="0"/>
              <wp:positionH relativeFrom="margin">
                <wp:posOffset>4810125</wp:posOffset>
              </wp:positionH>
              <wp:positionV relativeFrom="paragraph">
                <wp:posOffset>0</wp:posOffset>
              </wp:positionV>
              <wp:extent cx="440055" cy="206375"/>
              <wp:effectExtent l="0" t="0" r="0" b="0"/>
              <wp:wrapNone/>
              <wp:docPr id="6591" name="文本框 7"/>
              <wp:cNvGraphicFramePr>
                <a:graphicFrameLocks noChangeAspect="0"/>
              </wp:cNvGraphicFramePr>
              <a:graphic>
                <a:graphicData uri="http://schemas.microsoft.com/office/word/2010/wordprocessingShape">
                  <wps:wsp>
                    <wps:cNvSpPr/>
                    <wps:spPr>
                      <a:xfrm>
                        <a:off x="0" y="0"/>
                        <a:ext cx="440055" cy="20637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15</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7" o:spid="_x0000_s11833" type="#_x0000_t202" style="height:16.25pt;margin-left:378.75pt;margin-top:0;mso-height-relative:page;mso-position-horizontal-relative:margin;mso-width-relative:page;mso-wrap-distance-bottom:0;mso-wrap-distance-left:9pt;mso-wrap-distance-right:9pt;mso-wrap-distance-top:0;mso-wrap-style:square;position:absolute;v-text-anchor:top;width:34.65pt;z-index:251663360"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15</w:t>
                    </w:r>
                    <w:r>
                      <w:fldChar w:fldCharType="end"/>
                    </w:r>
                  </w:p>
                </w:txbxContent>
              </v:textbox>
            </v:shape>
          </w:pict>
        </mc:Fallback>
      </mc:AlternateContent>
    </w:r>
  </w:p>
</w:ftr>
</file>

<file path=word/footer5.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4384" behindDoc="0" locked="0" layoutInCell="1" allowOverlap="1">
              <wp:simplePos x="0" y="0"/>
              <wp:positionH relativeFrom="margin">
                <wp:posOffset>4538345</wp:posOffset>
              </wp:positionH>
              <wp:positionV relativeFrom="paragraph">
                <wp:posOffset>-151765</wp:posOffset>
              </wp:positionV>
              <wp:extent cx="478790" cy="323215"/>
              <wp:effectExtent l="0" t="0" r="0" b="0"/>
              <wp:wrapNone/>
              <wp:docPr id="6592" name="文本框 9"/>
              <wp:cNvGraphicFramePr>
                <a:graphicFrameLocks noChangeAspect="0"/>
              </wp:cNvGraphicFramePr>
              <a:graphic>
                <a:graphicData uri="http://schemas.microsoft.com/office/word/2010/wordprocessingShape">
                  <wps:wsp>
                    <wps:cNvSpPr/>
                    <wps:spPr>
                      <a:xfrm>
                        <a:off x="0" y="0"/>
                        <a:ext cx="478790" cy="323215"/>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16</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9" o:spid="_x0000_s11834" type="#_x0000_t202" style="height:25.45pt;margin-left:357.35pt;margin-top:-11.95pt;mso-height-relative:page;mso-position-horizontal-relative:margin;mso-width-relative:page;mso-wrap-distance-bottom:0;mso-wrap-distance-left:9pt;mso-wrap-distance-right:9pt;mso-wrap-distance-top:0;mso-wrap-style:square;position:absolute;v-text-anchor:top;width:37.7pt;z-index:251664384"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16</w:t>
                    </w:r>
                    <w:r>
                      <w:fldChar w:fldCharType="end"/>
                    </w:r>
                  </w:p>
                </w:txbxContent>
              </v:textbox>
            </v:shape>
          </w:pict>
        </mc:Fallback>
      </mc:AlternateContent>
    </w:r>
  </w:p>
</w:ftr>
</file>

<file path=word/footer6.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5408" behindDoc="0" locked="0" layoutInCell="1" allowOverlap="1">
              <wp:simplePos x="0" y="0"/>
              <wp:positionH relativeFrom="margin">
                <wp:posOffset>4473575</wp:posOffset>
              </wp:positionH>
              <wp:positionV relativeFrom="paragraph">
                <wp:posOffset>-86360</wp:posOffset>
              </wp:positionV>
              <wp:extent cx="447040" cy="267970"/>
              <wp:effectExtent l="0" t="0" r="0" b="0"/>
              <wp:wrapNone/>
              <wp:docPr id="6593" name="文本框 11"/>
              <wp:cNvGraphicFramePr>
                <a:graphicFrameLocks noChangeAspect="0"/>
              </wp:cNvGraphicFramePr>
              <a:graphic>
                <a:graphicData uri="http://schemas.microsoft.com/office/word/2010/wordprocessingShape">
                  <wps:wsp>
                    <wps:cNvSpPr/>
                    <wps:spPr>
                      <a:xfrm>
                        <a:off x="0" y="0"/>
                        <a:ext cx="447040" cy="26797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17</w:t>
                          </w:r>
                          <w:r>
                            <w:fldChar w:fldCharType="end"/>
                          </w:r>
                        </w:p>
                      </w:txbxContent>
                    </wps:txbx>
                    <wps:bodyPr rot="0" spcFirstLastPara="0" vertOverflow="overflow" horzOverflow="overflow" vert="horz" wrap="square" lIns="0" tIns="0" rIns="0" bIns="0" numCol="1" rtlCol="0" anchor="t" upright="0">
                      <a:noAutofit/>
                    </wps:bodyPr>
                  </wps:wsp>
                </a:graphicData>
              </a:graphic>
            </wp:anchor>
          </w:drawing>
        </mc:Choice>
        <mc:Fallback>
          <w:pict>
            <v:shape id="文本框 11" o:spid="_x0000_s11835" type="#_x0000_t202" style="height:21.1pt;margin-left:352.25pt;margin-top:-6.8pt;mso-height-relative:page;mso-position-horizontal-relative:margin;mso-width-relative:page;mso-wrap-distance-bottom:0;mso-wrap-distance-left:9pt;mso-wrap-distance-right:9pt;mso-wrap-distance-top:0;mso-wrap-style:square;position:absolute;v-text-anchor:top;width:35.2pt;z-index:251665408" coordsize="21600,21600" filled="f" stroked="f" strokeweight="0.5pt">
              <w10:bordertop type="none" width="0"/>
              <w10:borderleft type="none" width="0"/>
              <w10:borderbottom type="none" width="0"/>
              <w10:borderright type="none" width="0"/>
              <v:textbox style="layout-flow:horizontal" inset="0,0,0,0">
                <w:txbxContent>
                  <w:p>
                    <w:pPr>
                      <w:pStyle w:val="Footer"/>
                    </w:pPr>
                    <w:r>
                      <w:fldChar w:fldCharType="begin"/>
                    </w:r>
                    <w:r>
                      <w:instrText xml:space="preserve"> PAGE  \* MERGEFORMAT </w:instrText>
                    </w:r>
                    <w:r>
                      <w:fldChar w:fldCharType="separate"/>
                    </w:r>
                    <w:r>
                      <w:t xml:space="preserve">17</w:t>
                    </w:r>
                    <w:r>
                      <w:fldChar w:fldCharType="end"/>
                    </w:r>
                  </w:p>
                </w:txbxContent>
              </v:textbox>
            </v:shape>
          </w:pict>
        </mc:Fallback>
      </mc:AlternateContent>
    </w:r>
  </w:p>
</w:ftr>
</file>

<file path=word/footer7.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w:rPr>
        <w:sz w:val="24"/>
      </w:rPr>
      <mc:AlternateContent xmlns:mc="http://schemas.openxmlformats.org/markup-compatibility/2006">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6594" name="文本框 12"/>
              <wp:cNvGraphicFramePr>
                <a:graphicFrameLocks noChangeAspect="0"/>
              </wp:cNvGraphicFramePr>
              <a:graphic>
                <a:graphicData uri="http://schemas.microsoft.com/office/word/2010/wordprocessingShape">
                  <wps:wsp>
                    <wps:cNvSpPr/>
                    <wps:spPr>
                      <a:xfrm>
                        <a:off x="0" y="0"/>
                        <a:ext cx="1828800" cy="1828800"/>
                      </a:xfrm>
                      <a:prstGeom prst="rect">
                        <a:avLst/>
                      </a:prstGeom>
                      <a:noFill/>
                      <a:ln>
                        <a:noFill/>
                      </a:ln>
                    </wps:spPr>
                    <wps:style>
                      <a:lnRef idx="0"/>
                      <a:fillRef idx="0"/>
                      <a:effectRef idx="0">
                        <a:schemeClr val="accent1"/>
                      </a:effectRef>
                      <a:fontRef idx="minor">
                        <a:schemeClr val="dk1"/>
                      </a:fontRef>
                    </wps:style>
                    <wps:txbx>
                      <w:txbxContent>
                        <w:p>
                          <w:pPr>
                            <w:pStyle w:val="Footer"/>
                          </w:pPr>
                          <w:r>
                            <w:fldChar w:fldCharType="begin"/>
                          </w:r>
                          <w:r>
                            <w:instrText xml:space="preserve"> PAGE  \* MERGEFORMAT </w:instrText>
                          </w:r>
                          <w:r>
                            <w:fldChar w:fldCharType="separate"/>
                          </w:r>
                          <w:r>
                            <w:t xml:space="preserve">25</w:t>
                          </w:r>
                          <w:r>
                            <w:fldChar w:fldCharType="end"/>
                          </w:r>
                        </w:p>
                      </w:txbxContent>
                    </wps:txbx>
                    <wps:bodyPr rot="0" spcFirstLastPara="0" vertOverflow="overflow" horzOverflow="overflow" vert="horz" wrap="none" lIns="0" tIns="0" rIns="0" bIns="0" numCol="1" rtlCol="0" anchor="t" upright="0">
                      <a:spAutoFit/>
                    </wps:bodyPr>
                  </wps:wsp>
                </a:graphicData>
              </a:graphic>
            </wp:anchor>
          </w:drawing>
        </mc:Choice>
        <mc:Fallback>
          <w:pict>
            <v:shape id="文本框 12" o:spid="_x0000_s11836" type="#_x0000_t202" style="height:2in;margin-left:0;margin-top:0;mso-height-relative:page;mso-position-horizontal:center;mso-position-horizontal-relative:margin;mso-width-relative:page;mso-wrap-distance-bottom:0;mso-wrap-distance-left:9pt;mso-wrap-distance-right:9pt;mso-wrap-distance-top:0;mso-wrap-style:none;position:absolute;v-text-anchor:top;width:2in;z-index:251666432" coordsize="21600,21600" filled="f" stroked="f" strokeweight="0.5pt">
              <w10:bordertop type="none" width="0"/>
              <w10:borderleft type="none" width="0"/>
              <w10:borderbottom type="none" width="0"/>
              <w10:borderright type="none" width="0"/>
              <v:textbox style="layout-flow:horizontal;mso-fit-shape-to-text:t" inset="0,0,0,0">
                <w:txbxContent>
                  <w:p>
                    <w:pPr>
                      <w:pStyle w:val="Footer"/>
                    </w:pPr>
                    <w:r>
                      <w:fldChar w:fldCharType="begin"/>
                    </w:r>
                    <w:r>
                      <w:instrText xml:space="preserve"> PAGE  \* MERGEFORMAT </w:instrText>
                    </w:r>
                    <w:r>
                      <w:fldChar w:fldCharType="separate"/>
                    </w:r>
                    <w:r>
                      <w:t xml:space="preserve">25</w:t>
                    </w:r>
                    <w:r>
                      <w:fldChar w:fldCharType="end"/>
                    </w:r>
                  </w:p>
                </w:txbxContent>
              </v:textbox>
            </v:shape>
          </w:pict>
        </mc:Fallback>
      </mc:AlternateConten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Header"/>
    </w:pPr>
  </w:p>
</w:hdr>
</file>

<file path=word/header2.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59264"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588"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11830"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8031" coordsize="21600,21600" filled="f" stroked="f">
              <v:textbox style="mso-fit-shape-to-text:t" inset="0,0,0,0">
                <w:txbxContent>
                  <w:p>
                    <w:pPr>
                      <w:pStyle w:val="Headerorfooter|1"/>
                    </w:pPr>
                  </w:p>
                </w:txbxContent>
              </v:textbox>
            </v:shape>
          </w:pict>
        </mc:Fallback>
      </mc:AlternateContent>
    </w:r>
  </w:p>
</w:hdr>
</file>

<file path=word/header3.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spacing w:line="1" w:lineRule="exact"/>
    </w:pPr>
    <w:r>
      <mc:AlternateContent xmlns:mc="http://schemas.openxmlformats.org/markup-compatibility/2006">
        <mc:Choice Requires="wps">
          <w:drawing>
            <wp:anchor distT="0" distB="0" distL="0" distR="0" simplePos="0" relativeHeight="251660288" behindDoc="1" locked="0" layoutInCell="1" allowOverlap="1">
              <wp:simplePos x="0" y="0"/>
              <wp:positionH relativeFrom="page">
                <wp:posOffset>9117330</wp:posOffset>
              </wp:positionH>
              <wp:positionV relativeFrom="page">
                <wp:posOffset>1217295</wp:posOffset>
              </wp:positionV>
              <wp:extent cx="581025" cy="109855"/>
              <wp:effectExtent l="0" t="0" r="0" b="0"/>
              <wp:wrapNone/>
              <wp:docPr id="6590" name="Shape 5"/>
              <wp:cNvGraphicFramePr>
                <a:graphicFrameLocks noChangeAspect="0"/>
              </wp:cNvGraphicFramePr>
              <a:graphic>
                <a:graphicData uri="http://schemas.microsoft.com/office/word/2010/wordprocessingShape">
                  <wps:wsp>
                    <wps:cNvSpPr/>
                    <wps:spPr>
                      <a:xfrm>
                        <a:off x="0" y="0"/>
                        <a:ext cx="581025" cy="109855"/>
                      </a:xfrm>
                      <a:prstGeom prst="rect">
                        <a:avLst/>
                      </a:prstGeom>
                      <a:noFill/>
                    </wps:spPr>
                    <wps:txbx>
                      <w:txbxContent>
                        <w:p>
                          <w:pPr>
                            <w:pStyle w:val="Headerorfooter|1"/>
                          </w:pPr>
                        </w:p>
                      </w:txbxContent>
                    </wps:txbx>
                    <wps:bodyPr rot="0" spcFirstLastPara="0" vertOverflow="overflow" horzOverflow="overflow" vert="horz" wrap="square" lIns="0" tIns="0" rIns="0" bIns="0" numCol="1" anchor="t" upright="0">
                      <a:spAutoFit/>
                    </wps:bodyPr>
                  </wps:wsp>
                </a:graphicData>
              </a:graphic>
            </wp:anchor>
          </w:drawing>
        </mc:Choice>
        <mc:Fallback>
          <w:pict>
            <v:shape id="Shape 5" o:spid="_x0000_s11832" type="#_x0000_t202" style="height:8.65pt;margin-left:717.9pt;margin-top:95.85pt;mso-height-relative:page;mso-position-horizontal-relative:page;mso-position-vertical-relative:page;mso-width-relative:page;mso-wrap-distance-bottom:0;mso-wrap-distance-left:0;mso-wrap-distance-right:0;mso-wrap-distance-top:0;mso-wrap-style:square;position:absolute;width:45.75pt;z-index:-4043307007" coordsize="21600,21600" filled="f" stroked="f">
              <v:textbox style="mso-fit-shape-to-text:t" inset="0,0,0,0">
                <w:txbxContent>
                  <w:p>
                    <w:pPr>
                      <w:pStyle w:val="Headerorfooter|1"/>
                    </w:pPr>
                  </w:p>
                </w:txbxContent>
              </v:textbox>
            </v:shape>
          </w:pict>
        </mc:Fallback>
      </mc:AlternateContent>
    </w:r>
  </w:p>
</w:hdr>
</file>

<file path=word/header4.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5.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header6.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abstractNum w:abstractNumId="2">
    <w:multiLevelType w:val="singleLevel"/>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sl="http://schemas.openxmlformats.org/schemaLibrary/2006/main" xmlns:w="http://schemas.openxmlformats.org/wordprocessingml/2006/main" xmlns:w14="http://schemas.microsoft.com/office/word/2010/wordml" xmlns:w15="http://schemas.microsoft.com/office/word/2012/wordml" mc:Ignorable="w14 w15">
  <w:zoom w:percent="80"/>
  <w:bordersDoNotSurroundFooter w:val="0"/>
  <w:bordersDoNotSurroundHeader w:val="0"/>
  <w:doNotTrackMoves/>
  <w:documentProtection w:enforcement="1" w:edit="readOnly" w:salt="hIsBSKz2rtI9MFYCm5Uz4w==" w:hash="JQPI1ORT/bFEKEmzCFSheJacLOknVlp0wthg5rm2qv4n2TFJBZFeoxMMPYGPtvkKAIBaY8Vki81HD0mK4Xyc4Q==" w:cryptSpinCount="100000" w:cryptAlgorithmType="typeAny" w:cryptAlgorithmClass="hash" w:cryptProviderType="rsaAES" w:cryptAlgorithmSid="14"/>
  <w:defaultTabStop w:val="420"/>
  <w:drawingGridHorizontalSpacing w:val="181"/>
  <w:drawingGridVerticalSpacing w:val="181"/>
  <w:noPunctuationKerning/>
  <w:characterSpacingControl w:val="compressPunctuation"/>
  <w:compat>
    <w:doNotExpandShiftReturn/>
    <w:doNotWrapTextWithPunct/>
    <w:doNotUseEastAsianBreakRules/>
    <w:useFELayout/>
    <w:doNotUseIndentAsNumberingTabStop/>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w:docVars>
    <w:docVar w:name="commondata" w:val="eyJoZGlkIjoiODFiOTZkYjkwN2Q1MTBhY2U1NDI3ZmEwNzcyMDM4OGMifQ=="/>
  </w:docVars>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qFormat="1"/>
    <w:lsdException w:name="header" w:semiHidden="0" w:uiPriority="0" w:unhideWhenUsed="0" w:qFormat="1"/>
    <w:lsdException w:name="footer" w:semiHidden="0" w:uiPriority="0" w:unhideWhenUsed="0" w:qFormat="1"/>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qFormat="1"/>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uiPriority="1" w:qFormat="1"/>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Variable" w:semiHidden="0" w:uiPriority="0" w:unhideWhenUsed="0"/>
    <w:lsdException w:name="Normal Table" w:qFormat="1"/>
    <w:lsdException w:name="annotation subject" w:semiHidden="0" w:uiPriority="0" w:unhideWhenUsed="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iPriority="0" w:unhideWhenUsed="0"/>
    <w:lsdException w:name="Table Grid" w:semiHidden="0" w:uiPriority="0"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autoRedefine/>
    <w:qFormat/>
    <w:pPr>
      <w:widowControl w:val="0"/>
    </w:pPr>
    <w:rPr>
      <w:rFonts w:ascii="Times New Roman" w:eastAsia="Times New Roman" w:hAnsi="Times New Roman" w:cs="Times New Roman"/>
      <w:color w:val="000000"/>
      <w:sz w:val="24"/>
      <w:szCs w:val="24"/>
      <w:lang w:val="en-US" w:eastAsia="en-US" w:bidi="en-US"/>
    </w:rPr>
  </w:style>
  <w:style w:type="character" w:default="1" w:styleId="DefaultParagraphFont">
    <w:name w:val="Default Paragraph Font"/>
    <w:autoRedefine/>
    <w:uiPriority w:val="1"/>
    <w:semiHidden/>
    <w:unhideWhenUsed/>
    <w:qFormat/>
    <w:rPr/>
  </w:style>
  <w:style w:type="table" w:default="1" w:styleId="NormalTable">
    <w:name w:val="Normal Table"/>
    <w:autoRedefine/>
    <w:uiPriority w:val="99"/>
    <w:semiHidden/>
    <w:unhideWhenUsed/>
    <w:qFormat/>
    <w:rPr/>
    <w:tblPr>
      <w:tblCellMar>
        <w:top w:w="0" w:type="dxa"/>
        <w:left w:w="108" w:type="dxa"/>
        <w:bottom w:w="0" w:type="dxa"/>
        <w:right w:w="108" w:type="dxa"/>
      </w:tblCellMar>
    </w:tblPr>
  </w:style>
  <w:style w:type="paragraph" w:styleId="CommentText">
    <w:name w:val="Comment Text"/>
    <w:basedOn w:val="Normal"/>
    <w:autoRedefine/>
    <w:qFormat/>
    <w:rPr/>
  </w:style>
  <w:style w:type="paragraph" w:styleId="Footer">
    <w:name w:val="Footer"/>
    <w:basedOn w:val="Normal"/>
    <w:autoRedefine/>
    <w:qFormat/>
    <w:pPr>
      <w:tabs>
        <w:tab w:val="center" w:pos="4153"/>
        <w:tab w:val="right" w:pos="8306"/>
      </w:tabs>
      <w:snapToGrid w:val="0"/>
    </w:pPr>
    <w:rPr>
      <w:sz w:val="18"/>
    </w:rPr>
  </w:style>
  <w:style w:type="paragraph" w:styleId="Header">
    <w:name w:val="Header"/>
    <w:basedOn w:val="Normal"/>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styleId="TableGrid">
    <w:name w:val="Table Grid"/>
    <w:basedOn w:val="NormalTable"/>
    <w:autoRedefine/>
    <w:qFormat/>
    <w:pPr>
      <w:widowControl w:val="0"/>
      <w:jc w:val="both"/>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Comment Reference"/>
    <w:basedOn w:val="DefaultParagraphFont"/>
    <w:autoRedefine/>
    <w:qFormat/>
    <w:rPr>
      <w:sz w:val="21"/>
      <w:szCs w:val="21"/>
    </w:rPr>
  </w:style>
  <w:style w:type="character" w:customStyle="1" w:styleId="Bodytext|5_">
    <w:name w:val="Body text|5_"/>
    <w:basedOn w:val="DefaultParagraphFont"/>
    <w:link w:val="Bodytext|5"/>
    <w:autoRedefine/>
    <w:qFormat/>
    <w:rPr>
      <w:rFonts w:ascii="宋体" w:eastAsia="宋体" w:hAnsi="宋体" w:cs="宋体"/>
      <w:sz w:val="54"/>
      <w:szCs w:val="54"/>
      <w:u w:val="none"/>
      <w:shd w:val="clear" w:color="auto" w:fill="auto"/>
      <w:lang w:val="zh-TW" w:eastAsia="zh-TW" w:bidi="zh-TW"/>
    </w:rPr>
  </w:style>
  <w:style w:type="paragraph" w:customStyle="1" w:styleId="Bodytext|5">
    <w:name w:val="Body text|5"/>
    <w:basedOn w:val="Normal"/>
    <w:link w:val="Bodytext|5_"/>
    <w:autoRedefine/>
    <w:qFormat/>
    <w:pPr>
      <w:jc w:val="center"/>
    </w:pPr>
    <w:rPr>
      <w:rFonts w:ascii="宋体" w:eastAsia="宋体" w:hAnsi="宋体" w:cs="宋体"/>
      <w:sz w:val="54"/>
      <w:szCs w:val="54"/>
      <w:lang w:val="zh-TW" w:eastAsia="zh-TW" w:bidi="zh-TW"/>
    </w:rPr>
  </w:style>
  <w:style w:type="character" w:customStyle="1" w:styleId="Heading#1|1_">
    <w:name w:val="Heading #1|1_"/>
    <w:basedOn w:val="DefaultParagraphFont"/>
    <w:link w:val="Heading#1|1"/>
    <w:autoRedefine/>
    <w:qFormat/>
    <w:rPr>
      <w:rFonts w:ascii="宋体" w:eastAsia="宋体" w:hAnsi="宋体" w:cs="宋体"/>
      <w:sz w:val="44"/>
      <w:szCs w:val="44"/>
      <w:u w:val="none"/>
      <w:shd w:val="clear" w:color="auto" w:fill="auto"/>
      <w:lang w:val="zh-TW" w:eastAsia="zh-TW" w:bidi="zh-TW"/>
    </w:rPr>
  </w:style>
  <w:style w:type="paragraph" w:customStyle="1" w:styleId="Heading#1|1">
    <w:name w:val="Heading #1|1"/>
    <w:basedOn w:val="Normal"/>
    <w:link w:val="Heading#1|1_"/>
    <w:autoRedefine/>
    <w:qFormat/>
    <w:pPr>
      <w:spacing w:after="400"/>
      <w:jc w:val="center"/>
      <w:outlineLvl w:val="0"/>
    </w:pPr>
    <w:rPr>
      <w:rFonts w:ascii="宋体" w:eastAsia="宋体" w:hAnsi="宋体" w:cs="宋体"/>
      <w:sz w:val="44"/>
      <w:szCs w:val="44"/>
      <w:lang w:val="zh-TW" w:eastAsia="zh-TW" w:bidi="zh-TW"/>
    </w:rPr>
  </w:style>
  <w:style w:type="character" w:customStyle="1" w:styleId="Headerorfooter|2_">
    <w:name w:val="Header or footer|2_"/>
    <w:basedOn w:val="DefaultParagraphFont"/>
    <w:link w:val="Headerorfooter|2"/>
    <w:autoRedefine/>
    <w:qFormat/>
    <w:rPr>
      <w:sz w:val="20"/>
      <w:szCs w:val="20"/>
      <w:u w:val="none"/>
      <w:shd w:val="clear" w:color="auto" w:fill="auto"/>
      <w:lang w:val="zh-TW" w:eastAsia="zh-TW" w:bidi="zh-TW"/>
    </w:rPr>
  </w:style>
  <w:style w:type="paragraph" w:customStyle="1" w:styleId="Headerorfooter|2">
    <w:name w:val="Header or footer|2"/>
    <w:basedOn w:val="Normal"/>
    <w:link w:val="Headerorfooter|2_"/>
    <w:autoRedefine/>
    <w:qFormat/>
    <w:rPr>
      <w:sz w:val="20"/>
      <w:szCs w:val="20"/>
      <w:lang w:val="zh-TW" w:eastAsia="zh-TW" w:bidi="zh-TW"/>
    </w:rPr>
  </w:style>
  <w:style w:type="character" w:customStyle="1" w:styleId="Bodytext|2_">
    <w:name w:val="Body text|2_"/>
    <w:basedOn w:val="DefaultParagraphFont"/>
    <w:link w:val="Bodytext|2"/>
    <w:autoRedefine/>
    <w:qFormat/>
    <w:rPr>
      <w:rFonts w:ascii="宋体" w:eastAsia="宋体" w:hAnsi="宋体" w:cs="宋体"/>
      <w:sz w:val="32"/>
      <w:szCs w:val="32"/>
      <w:u w:val="none"/>
      <w:shd w:val="clear" w:color="auto" w:fill="auto"/>
      <w:lang w:val="zh-TW" w:eastAsia="zh-TW" w:bidi="zh-TW"/>
    </w:rPr>
  </w:style>
  <w:style w:type="paragraph" w:customStyle="1" w:styleId="Bodytext|2">
    <w:name w:val="Body text|2"/>
    <w:basedOn w:val="Normal"/>
    <w:link w:val="Bodytext|2_"/>
    <w:autoRedefine/>
    <w:qFormat/>
    <w:pPr>
      <w:spacing w:after="240"/>
      <w:ind w:firstLine="560"/>
    </w:pPr>
    <w:rPr>
      <w:rFonts w:ascii="宋体" w:eastAsia="宋体" w:hAnsi="宋体" w:cs="宋体"/>
      <w:sz w:val="32"/>
      <w:szCs w:val="32"/>
      <w:lang w:val="zh-TW" w:eastAsia="zh-TW" w:bidi="zh-TW"/>
    </w:rPr>
  </w:style>
  <w:style w:type="character" w:customStyle="1" w:styleId="Bodytext|1_">
    <w:name w:val="Body text|1_"/>
    <w:basedOn w:val="DefaultParagraphFont"/>
    <w:link w:val="Bodytext|1"/>
    <w:autoRedefine/>
    <w:qFormat/>
    <w:rPr>
      <w:rFonts w:ascii="宋体" w:eastAsia="宋体" w:hAnsi="宋体" w:cs="宋体"/>
      <w:sz w:val="28"/>
      <w:szCs w:val="28"/>
      <w:u w:val="none"/>
      <w:shd w:val="clear" w:color="auto" w:fill="auto"/>
      <w:lang w:val="zh-TW" w:eastAsia="zh-TW" w:bidi="zh-TW"/>
    </w:rPr>
  </w:style>
  <w:style w:type="paragraph" w:customStyle="1" w:styleId="Bodytext|1">
    <w:name w:val="Body text|1"/>
    <w:basedOn w:val="Normal"/>
    <w:link w:val="Bodytext|1_"/>
    <w:autoRedefine/>
    <w:qFormat/>
    <w:pPr>
      <w:spacing w:line="468" w:lineRule="auto"/>
      <w:ind w:firstLine="400"/>
    </w:pPr>
    <w:rPr>
      <w:rFonts w:ascii="宋体" w:eastAsia="宋体" w:hAnsi="宋体" w:cs="宋体"/>
      <w:sz w:val="28"/>
      <w:szCs w:val="28"/>
      <w:lang w:val="zh-TW" w:eastAsia="zh-TW" w:bidi="zh-TW"/>
    </w:rPr>
  </w:style>
  <w:style w:type="character" w:customStyle="1" w:styleId="Headerorfooter|1_">
    <w:name w:val="Header or footer|1_"/>
    <w:basedOn w:val="DefaultParagraphFont"/>
    <w:link w:val="Headerorfooter|1"/>
    <w:autoRedefine/>
    <w:qFormat/>
    <w:rPr>
      <w:b/>
      <w:bCs/>
      <w:sz w:val="17"/>
      <w:szCs w:val="17"/>
      <w:u w:val="none"/>
      <w:shd w:val="clear" w:color="auto" w:fill="auto"/>
      <w:lang w:val="zh-TW" w:eastAsia="zh-TW" w:bidi="zh-TW"/>
    </w:rPr>
  </w:style>
  <w:style w:type="paragraph" w:customStyle="1" w:styleId="Headerorfooter|1">
    <w:name w:val="Header or footer|1"/>
    <w:basedOn w:val="Normal"/>
    <w:link w:val="Headerorfooter|1_"/>
    <w:autoRedefine/>
    <w:qFormat/>
    <w:rPr>
      <w:b/>
      <w:bCs/>
      <w:sz w:val="17"/>
      <w:szCs w:val="17"/>
      <w:lang w:val="zh-TW" w:eastAsia="zh-TW" w:bidi="zh-TW"/>
    </w:rPr>
  </w:style>
  <w:style w:type="character" w:customStyle="1" w:styleId="Heading#2|1_">
    <w:name w:val="Heading #2|1_"/>
    <w:basedOn w:val="DefaultParagraphFont"/>
    <w:link w:val="Heading#2|1"/>
    <w:autoRedefine/>
    <w:qFormat/>
    <w:rPr>
      <w:rFonts w:ascii="宋体" w:eastAsia="宋体" w:hAnsi="宋体" w:cs="宋体"/>
      <w:sz w:val="26"/>
      <w:szCs w:val="26"/>
      <w:u w:val="none"/>
      <w:shd w:val="clear" w:color="auto" w:fill="auto"/>
      <w:lang w:val="zh-TW" w:eastAsia="zh-TW" w:bidi="zh-TW"/>
    </w:rPr>
  </w:style>
  <w:style w:type="paragraph" w:customStyle="1" w:styleId="Heading#2|1">
    <w:name w:val="Heading #2|1"/>
    <w:basedOn w:val="Normal"/>
    <w:link w:val="Heading#2|1_"/>
    <w:autoRedefine/>
    <w:qFormat/>
    <w:pPr>
      <w:spacing w:after="230"/>
      <w:jc w:val="center"/>
      <w:outlineLvl w:val="1"/>
    </w:pPr>
    <w:rPr>
      <w:rFonts w:ascii="宋体" w:eastAsia="宋体" w:hAnsi="宋体" w:cs="宋体"/>
      <w:sz w:val="26"/>
      <w:szCs w:val="26"/>
      <w:lang w:val="zh-TW" w:eastAsia="zh-TW" w:bidi="zh-TW"/>
    </w:rPr>
  </w:style>
  <w:style w:type="character" w:customStyle="1" w:styleId="Other|1_">
    <w:name w:val="Other|1_"/>
    <w:basedOn w:val="DefaultParagraphFont"/>
    <w:link w:val="Other|1"/>
    <w:autoRedefine/>
    <w:qFormat/>
    <w:rPr>
      <w:rFonts w:ascii="宋体" w:eastAsia="宋体" w:hAnsi="宋体" w:cs="宋体"/>
      <w:sz w:val="28"/>
      <w:szCs w:val="28"/>
      <w:u w:val="none"/>
      <w:shd w:val="clear" w:color="auto" w:fill="auto"/>
      <w:lang w:val="zh-TW" w:eastAsia="zh-TW" w:bidi="zh-TW"/>
    </w:rPr>
  </w:style>
  <w:style w:type="paragraph" w:customStyle="1" w:styleId="Other|1">
    <w:name w:val="Other|1"/>
    <w:basedOn w:val="Normal"/>
    <w:link w:val="Other|1_"/>
    <w:autoRedefine/>
    <w:qFormat/>
    <w:pPr>
      <w:spacing w:line="468" w:lineRule="auto"/>
      <w:ind w:firstLine="400"/>
    </w:pPr>
    <w:rPr>
      <w:rFonts w:ascii="宋体" w:eastAsia="宋体" w:hAnsi="宋体" w:cs="宋体"/>
      <w:sz w:val="28"/>
      <w:szCs w:val="28"/>
      <w:lang w:val="zh-TW" w:eastAsia="zh-TW" w:bidi="zh-TW"/>
    </w:rPr>
  </w:style>
  <w:style w:type="character" w:customStyle="1" w:styleId="Tablecaption|1_">
    <w:name w:val="Table caption|1_"/>
    <w:basedOn w:val="DefaultParagraphFont"/>
    <w:link w:val="Tablecaption|1"/>
    <w:autoRedefine/>
    <w:qFormat/>
    <w:rPr>
      <w:rFonts w:ascii="宋体" w:eastAsia="宋体" w:hAnsi="宋体" w:cs="宋体"/>
      <w:sz w:val="17"/>
      <w:szCs w:val="17"/>
      <w:u w:val="none"/>
      <w:shd w:val="clear" w:color="auto" w:fill="auto"/>
      <w:lang w:val="zh-TW" w:eastAsia="zh-TW" w:bidi="zh-TW"/>
    </w:rPr>
  </w:style>
  <w:style w:type="paragraph" w:customStyle="1" w:styleId="Tablecaption|1">
    <w:name w:val="Table caption|1"/>
    <w:basedOn w:val="Normal"/>
    <w:link w:val="Tablecaption|1_"/>
    <w:autoRedefine/>
    <w:qFormat/>
    <w:rPr>
      <w:rFonts w:ascii="宋体" w:eastAsia="宋体" w:hAnsi="宋体" w:cs="宋体"/>
      <w:sz w:val="17"/>
      <w:szCs w:val="17"/>
      <w:lang w:val="zh-TW" w:eastAsia="zh-TW" w:bidi="zh-TW"/>
    </w:rPr>
  </w:style>
  <w:style w:type="character" w:customStyle="1" w:styleId="Bodytext|4_">
    <w:name w:val="Body text|4_"/>
    <w:basedOn w:val="DefaultParagraphFont"/>
    <w:link w:val="Bodytext|4"/>
    <w:autoRedefine/>
    <w:qFormat/>
    <w:rPr>
      <w:rFonts w:ascii="宋体" w:eastAsia="宋体" w:hAnsi="宋体" w:cs="宋体"/>
      <w:sz w:val="17"/>
      <w:szCs w:val="17"/>
      <w:u w:val="none"/>
      <w:shd w:val="clear" w:color="auto" w:fill="auto"/>
      <w:lang w:val="zh-TW" w:eastAsia="zh-TW" w:bidi="zh-TW"/>
    </w:rPr>
  </w:style>
  <w:style w:type="paragraph" w:customStyle="1" w:styleId="Bodytext|4">
    <w:name w:val="Body text|4"/>
    <w:basedOn w:val="Normal"/>
    <w:link w:val="Bodytext|4_"/>
    <w:autoRedefine/>
    <w:qFormat/>
    <w:pPr>
      <w:ind w:firstLine="680"/>
    </w:pPr>
    <w:rPr>
      <w:rFonts w:ascii="宋体" w:eastAsia="宋体" w:hAnsi="宋体" w:cs="宋体"/>
      <w:sz w:val="17"/>
      <w:szCs w:val="17"/>
      <w:lang w:val="zh-TW" w:eastAsia="zh-TW" w:bidi="zh-TW"/>
    </w:rPr>
  </w:style>
  <w:style w:type="character" w:customStyle="1" w:styleId="Bodytext|3_">
    <w:name w:val="Body text|3_"/>
    <w:basedOn w:val="DefaultParagraphFont"/>
    <w:link w:val="Bodytext|3"/>
    <w:autoRedefine/>
    <w:qFormat/>
    <w:rPr>
      <w:sz w:val="30"/>
      <w:szCs w:val="30"/>
      <w:u w:val="none"/>
      <w:shd w:val="clear" w:color="auto" w:fill="auto"/>
      <w:lang w:val="zh-TW" w:eastAsia="zh-TW" w:bidi="zh-TW"/>
    </w:rPr>
  </w:style>
  <w:style w:type="paragraph" w:customStyle="1" w:styleId="Bodytext|3">
    <w:name w:val="Body text|3"/>
    <w:basedOn w:val="Normal"/>
    <w:link w:val="Bodytext|3_"/>
    <w:autoRedefine/>
    <w:qFormat/>
    <w:pPr>
      <w:spacing w:after="140" w:line="336" w:lineRule="auto"/>
      <w:ind w:firstLine="370"/>
    </w:pPr>
    <w:rPr>
      <w:sz w:val="30"/>
      <w:szCs w:val="30"/>
      <w:lang w:val="zh-TW" w:eastAsia="zh-TW" w:bidi="zh-TW"/>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charts/chart3.xml" Type="http://schemas.openxmlformats.org/officeDocument/2006/relationships/chart"/><Relationship Id="rId11" Target="charts/chart4.xml" Type="http://schemas.openxmlformats.org/officeDocument/2006/relationships/chart"/><Relationship Id="rId12" Target="charts/chart5.xml" Type="http://schemas.openxmlformats.org/officeDocument/2006/relationships/chart"/><Relationship Id="rId13" Target="charts/chart6.xml" Type="http://schemas.openxmlformats.org/officeDocument/2006/relationships/chart"/><Relationship Id="rId14" Target="header2.xml" Type="http://schemas.openxmlformats.org/officeDocument/2006/relationships/header"/><Relationship Id="rId15" Target="footer3.xml" Type="http://schemas.openxmlformats.org/officeDocument/2006/relationships/footer"/><Relationship Id="rId16" Target="header3.xml" Type="http://schemas.openxmlformats.org/officeDocument/2006/relationships/header"/><Relationship Id="rId17" Target="footer4.xml" Type="http://schemas.openxmlformats.org/officeDocument/2006/relationships/footer"/><Relationship Id="rId18" Target="header4.xml" Type="http://schemas.openxmlformats.org/officeDocument/2006/relationships/header"/><Relationship Id="rId19" Target="footer5.xml" Type="http://schemas.openxmlformats.org/officeDocument/2006/relationships/footer"/><Relationship Id="rId2" Target="../customXml/item2.xml" Type="http://schemas.openxmlformats.org/officeDocument/2006/relationships/customXml"/><Relationship Id="rId20" Target="header5.xml" Type="http://schemas.openxmlformats.org/officeDocument/2006/relationships/header"/><Relationship Id="rId21" Target="footer6.xml" Type="http://schemas.openxmlformats.org/officeDocument/2006/relationships/footer"/><Relationship Id="rId22" Target="header6.xml" Type="http://schemas.openxmlformats.org/officeDocument/2006/relationships/header"/><Relationship Id="rId23" Target="footer7.xml" Type="http://schemas.openxmlformats.org/officeDocument/2006/relationships/footer"/><Relationship Id="rId24" Target="theme/theme1.xml" Type="http://schemas.openxmlformats.org/officeDocument/2006/relationships/theme"/><Relationship Id="rId25" Target="styles.xml" Type="http://schemas.openxmlformats.org/officeDocument/2006/relationships/styles"/><Relationship Id="rId26" Target="webSettings.xml" Type="http://schemas.openxmlformats.org/officeDocument/2006/relationships/webSettings"/><Relationship Id="rId27" Target="numbering.xml" Type="http://schemas.openxmlformats.org/officeDocument/2006/relationships/numbering"/><Relationship Id="rId28" Target="fontTable.xml" Type="http://schemas.openxmlformats.org/officeDocument/2006/relationships/fontTable"/><Relationship Id="rId29" Target="settings.xml" Type="http://schemas.openxmlformats.org/officeDocument/2006/relationships/settings"/><Relationship Id="rId3" Target="../customXml/item3.xml" Type="http://schemas.openxmlformats.org/officeDocument/2006/relationships/customXml"/><Relationship Id="rId4" Target="../customXml/item4.xml" Type="http://schemas.openxmlformats.org/officeDocument/2006/relationships/customXml"/><Relationship Id="rId5" Target="header1.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charts/chart1.xml" Type="http://schemas.openxmlformats.org/officeDocument/2006/relationships/chart"/><Relationship Id="rId9" Target="charts/chart2.xml" Type="http://schemas.openxmlformats.org/officeDocument/2006/relationships/chart"/></Relationships>
</file>

<file path=word/charts/_rels/chart1.xml.rels><?xml version="1.0" encoding="UTF-8" standalone="yes"?><Relationships xmlns="http://schemas.openxmlformats.org/package/2006/relationships"><Relationship Id="rId1" Target="../embeddings/Microsoft_Office_Excel_Worksheet1.xlsx" Type="http://schemas.openxmlformats.org/officeDocument/2006/relationships/package"/></Relationships>
</file>

<file path=word/charts/_rels/chart2.xml.rels><?xml version="1.0" encoding="UTF-8" standalone="yes"?><Relationships xmlns="http://schemas.openxmlformats.org/package/2006/relationships"><Relationship Id="rId1" Target="../embeddings/Microsoft_Office_Excel_Worksheet2.xlsx" Type="http://schemas.openxmlformats.org/officeDocument/2006/relationships/package"/></Relationships>
</file>

<file path=word/charts/_rels/chart3.xml.rels><?xml version="1.0" encoding="UTF-8" standalone="yes"?><Relationships xmlns="http://schemas.openxmlformats.org/package/2006/relationships"><Relationship Id="rId1" Target="../embeddings/Microsoft_Office_Excel_Worksheet3.xlsx" Type="http://schemas.openxmlformats.org/officeDocument/2006/relationships/package"/></Relationships>
</file>

<file path=word/charts/_rels/chart4.xml.rels><?xml version="1.0" encoding="UTF-8" standalone="yes"?><Relationships xmlns="http://schemas.openxmlformats.org/package/2006/relationships"><Relationship Id="rId1" Target="../embeddings/Microsoft_Office_Excel_Worksheet4.xlsx" Type="http://schemas.openxmlformats.org/officeDocument/2006/relationships/package"/></Relationships>
</file>

<file path=word/charts/_rels/chart5.xml.rels><?xml version="1.0" encoding="UTF-8" standalone="yes"?><Relationships xmlns="http://schemas.openxmlformats.org/package/2006/relationships"><Relationship Id="rId1" Target="../embeddings/Microsoft_Office_Excel_Worksheet5.xlsx" Type="http://schemas.openxmlformats.org/officeDocument/2006/relationships/package"/></Relationships>
</file>

<file path=word/charts/_rels/chart6.xml.rels><?xml version="1.0" encoding="UTF-8" standalone="yes"?><Relationships xmlns="http://schemas.openxmlformats.org/package/2006/relationships"><Relationship Id="rId1" Target="../embeddings/Microsoft_Office_Excel_Worksheet6.xlsx" Type="http://schemas.openxmlformats.org/officeDocument/2006/relationships/package"/></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部门收入总体情况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一般公共预算拨款</c:v>
                </c:pt>
              </c:strCache>
            </c:strRef>
          </c:cat>
          <c:val>
            <c:numRef>
              <c:f>Sheet1!$B$2</c:f>
              <c:numCache>
                <c:ptCount val="1"/>
                <c:pt idx="0">
                  <c:v>440.77</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部门支出总体情况</a:t>
            </a:r>
            <a:endParaRPr lang="en-US" sz="1100"/>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explosion val="0"/>
          <c:dPt>
            <c:idx val="0"/>
            <c:bubble3D val="0"/>
            <c:spPr>
              <a:solidFill>
                <a:schemeClr val="accent1"/>
              </a:solidFill>
              <a:ln w="19050">
                <a:solidFill>
                  <a:schemeClr val="lt1"/>
                </a:solidFill>
              </a:ln>
              <a:effectLst/>
            </c:spPr>
          </c:dPt>
          <c:dLbls>
            <c:delete val="1"/>
          </c:dLbls>
          <c:cat>
            <c:strRef>
              <c:f>Sheet1!$A$2:$A$5</c:f>
              <c:strCache>
                <c:ptCount val="4"/>
                <c:pt idx="0">
                  <c:v>一般公共服务支出</c:v>
                </c:pt>
                <c:pt idx="1">
                  <c:v>教育支出</c:v>
                </c:pt>
                <c:pt idx="2">
                  <c:v>社会保障和就业支出</c:v>
                </c:pt>
                <c:pt idx="3">
                  <c:v>住房保障支出</c:v>
                </c:pt>
              </c:strCache>
            </c:strRef>
          </c:cat>
          <c:val>
            <c:numRef>
              <c:f>Sheet1!$B$2:$B$5</c:f>
              <c:numCache>
                <c:ptCount val="4"/>
                <c:pt idx="0">
                  <c:v>3.13</c:v>
                </c:pt>
                <c:pt idx="1">
                  <c:v>408.52</c:v>
                </c:pt>
                <c:pt idx="2">
                  <c:v>9.5</c:v>
                </c:pt>
                <c:pt idx="3">
                  <c:v>8.15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财政拨款收支总体情况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c:f>
              <c:strCache>
                <c:ptCount val="1"/>
                <c:pt idx="0">
                  <c:v>收入</c:v>
                </c:pt>
              </c:strCache>
            </c:strRef>
          </c:cat>
          <c:val>
            <c:numRef>
              <c:f>Sheet1!$B$2</c:f>
              <c:numCache>
                <c:formatCode>General</c:formatCode>
                <c:ptCount val="1"/>
                <c:pt idx="0">
                  <c:v>468.26</c:v>
                </c:pt>
              </c:numCache>
            </c:numRef>
          </c:val>
        </c:ser>
        <c:ser>
          <c:idx val="1"/>
          <c:order val="1"/>
          <c:tx>
            <c:strRef>
              <c:f>Sheet1!$C$1</c:f>
              <c:strCache>
                <c:ptCount val="1"/>
                <c:pt idx="0">
                  <c:v>当年</c:v>
                </c:pt>
              </c:strCache>
            </c:strRef>
          </c:tx>
          <c:spPr>
            <a:solidFill>
              <a:schemeClr val="accent2"/>
            </a:solidFill>
            <a:ln>
              <a:noFill/>
            </a:ln>
            <a:effectLst/>
          </c:spPr>
          <c:invertIfNegative val="0"/>
          <c:dLbls>
            <c:delete val="1"/>
          </c:dLbls>
          <c:cat>
            <c:strRef>
              <c:f>Sheet1!$A$2</c:f>
              <c:strCache>
                <c:ptCount val="1"/>
                <c:pt idx="0">
                  <c:v>收入</c:v>
                </c:pt>
              </c:strCache>
            </c:strRef>
          </c:cat>
          <c:val>
            <c:numRef>
              <c:f>Sheet1!$C$2</c:f>
              <c:numCache>
                <c:formatCode>General</c:formatCode>
                <c:ptCount val="1"/>
                <c:pt idx="0">
                  <c:v>440.77</c:v>
                </c:pt>
              </c:numCache>
            </c:numRef>
          </c:val>
        </c:ser>
        <c:dLbls>
          <c:showLegendKey val="0"/>
          <c:showVal val="0"/>
          <c:showCatName val="0"/>
          <c:showSerName val="0"/>
          <c:showPercent val="0"/>
          <c:showBubbleSize val="0"/>
        </c:dLbls>
        <c:gapWidth val="219"/>
        <c:overlap val="-27"/>
        <c:axId val="811850650"/>
        <c:axId val="698020238"/>
      </c:barChart>
      <c:catAx>
        <c:axId val="81185065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8020238"/>
        <c:crosses val="autoZero"/>
        <c:auto val="1"/>
        <c:lblAlgn val="ctr"/>
        <c:lblOffset val="100"/>
        <c:noMultiLvlLbl val="0"/>
      </c:catAx>
      <c:valAx>
        <c:axId val="69802023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11850650"/>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bar"/>
        <c:grouping val="clustered"/>
        <c:varyColors val="0"/>
        <c:ser>
          <c:idx val="0"/>
          <c:order val="0"/>
          <c:tx>
            <c:strRef>
              <c:f>Sheet1!$B$1</c:f>
              <c:strCache>
                <c:ptCount val="1"/>
                <c:pt idx="0">
                  <c:v>基本支出</c:v>
                </c:pt>
              </c:strCache>
            </c:strRef>
          </c:tx>
          <c:spPr>
            <a:solidFill>
              <a:schemeClr val="accent1"/>
            </a:solidFill>
            <a:ln>
              <a:noFill/>
            </a:ln>
            <a:effectLst/>
          </c:spPr>
          <c:invertIfNegative val="0"/>
          <c:dLbls>
            <c:delete val="1"/>
          </c:dLbls>
          <c:cat>
            <c:strRef>
              <c:f>Sheet1!$A$2</c:f>
              <c:strCache>
                <c:ptCount val="1"/>
                <c:pt idx="0">
                  <c:v>当年</c:v>
                </c:pt>
              </c:strCache>
            </c:strRef>
          </c:cat>
          <c:val>
            <c:numRef>
              <c:f>Sheet1!$B$2</c:f>
              <c:numCache>
                <c:formatCode>General</c:formatCode>
                <c:ptCount val="1"/>
                <c:pt idx="0">
                  <c:v>271.3</c:v>
                </c:pt>
              </c:numCache>
            </c:numRef>
          </c:val>
        </c:ser>
        <c:ser>
          <c:idx val="1"/>
          <c:order val="1"/>
          <c:tx>
            <c:strRef>
              <c:f>Sheet1!$C$1</c:f>
              <c:strCache>
                <c:ptCount val="1"/>
                <c:pt idx="0">
                  <c:v>结转下年支出</c:v>
                </c:pt>
              </c:strCache>
            </c:strRef>
          </c:tx>
          <c:cat>
            <c:strRef>
              <c:f>Sheet1!$A$2</c:f>
              <c:strCache>
                <c:ptCount val="1"/>
                <c:pt idx="0">
                  <c:v>当年</c:v>
                </c:pt>
              </c:strCache>
            </c:strRef>
          </c:cat>
          <c:val>
            <c:numRef>
              <c:f>Sheet1!$C$2</c:f>
              <c:numCache>
                <c:ptCount val="1"/>
                <c:pt idx="0">
                  <c:v>0.0</c:v>
                </c:pt>
              </c:numCache>
            </c:numRef>
          </c:val>
        </c:ser>
        <c:ser>
          <c:idx val="2"/>
          <c:order val="2"/>
          <c:tx>
            <c:strRef>
              <c:f>Sheet1!$D$1</c:f>
              <c:strCache>
                <c:ptCount val="1"/>
                <c:pt idx="0">
                  <c:v>项目支出</c:v>
                </c:pt>
              </c:strCache>
            </c:strRef>
          </c:tx>
          <c:cat>
            <c:strRef>
              <c:f>Sheet1!$A$2</c:f>
              <c:strCache>
                <c:ptCount val="1"/>
                <c:pt idx="0">
                  <c:v>当年</c:v>
                </c:pt>
              </c:strCache>
            </c:strRef>
          </c:cat>
          <c:val>
            <c:numRef>
              <c:f>Sheet1!$D$2</c:f>
              <c:numCache>
                <c:ptCount val="1"/>
                <c:pt idx="0">
                  <c:v>158.0</c:v>
                </c:pt>
              </c:numCache>
            </c:numRef>
          </c:val>
        </c:ser>
        <c:ser>
          <c:idx val="3"/>
          <c:order val="3"/>
          <c:tx>
            <c:strRef>
              <c:f>Sheet1!$E$1</c:f>
              <c:strCache>
                <c:ptCount val="1"/>
                <c:pt idx="0">
                  <c:v>公用经费</c:v>
                </c:pt>
              </c:strCache>
            </c:strRef>
          </c:tx>
          <c:cat>
            <c:strRef>
              <c:f>Sheet1!$A$2</c:f>
              <c:strCache>
                <c:ptCount val="1"/>
                <c:pt idx="0">
                  <c:v>当年</c:v>
                </c:pt>
              </c:strCache>
            </c:strRef>
          </c:cat>
          <c:val>
            <c:numRef>
              <c:f>Sheet1!$E$2</c:f>
              <c:numCache>
                <c:ptCount val="1"/>
                <c:pt idx="0">
                  <c:v>3.13</c:v>
                </c:pt>
              </c:numCache>
            </c:numRef>
          </c:val>
        </c:ser>
        <c:ser>
          <c:idx val="4"/>
          <c:order val="4"/>
          <c:tx>
            <c:strRef>
              <c:f>Sheet1!$F$1</c:f>
              <c:strCache>
                <c:ptCount val="1"/>
                <c:pt idx="0">
                  <c:v>人员经费</c:v>
                </c:pt>
              </c:strCache>
            </c:strRef>
          </c:tx>
          <c:cat>
            <c:strRef>
              <c:f>Sheet1!$A$2</c:f>
              <c:strCache>
                <c:ptCount val="1"/>
                <c:pt idx="0">
                  <c:v>当年</c:v>
                </c:pt>
              </c:strCache>
            </c:strRef>
          </c:cat>
          <c:val>
            <c:numRef>
              <c:f>Sheet1!$F$2</c:f>
              <c:numCache>
                <c:ptCount val="1"/>
                <c:pt idx="0">
                  <c:v>268.17</c:v>
                </c:pt>
              </c:numCache>
            </c:numRef>
          </c:val>
        </c:ser>
        <c:dLbls>
          <c:showLegendKey val="0"/>
          <c:showVal val="0"/>
          <c:showCatName val="0"/>
          <c:showSerName val="0"/>
          <c:showPercent val="0"/>
          <c:showBubbleSize val="0"/>
        </c:dLbls>
        <c:gapWidth val="182"/>
        <c:overlap val="0"/>
        <c:axId val="691519273"/>
        <c:axId val="850134922"/>
      </c:barChart>
      <c:catAx>
        <c:axId val="691519273"/>
        <c:scaling>
          <c:orientation val="minMax"/>
        </c:scaling>
        <c:delete val="1"/>
        <c:axPos val="l"/>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0134922"/>
        <c:crosses val="autoZero"/>
        <c:auto val="1"/>
        <c:lblAlgn val="ctr"/>
        <c:lblOffset val="100"/>
        <c:noMultiLvlLbl val="0"/>
      </c:catAx>
      <c:valAx>
        <c:axId val="85013492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91519273"/>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nchor="t" rtlCol="false"/>
          <a:lstStyle/>
          <a:p>
            <a:pPr algn="l">
              <a:defRPr/>
            </a:pPr>
            <a:r>
              <a:rPr lang="zh-CN"/>
              <a:t>一般公共预算基本支出情况</a:t>
            </a:r>
            <a:endParaRPr lang="en-US" sz="1100"/>
          </a:p>
        </c:rich>
      </c:tx>
      <c:layout/>
      <c:overlay val="false"/>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Sheet1!$A$2:$A$3</c:f>
              <c:strCache>
                <c:ptCount val="2"/>
                <c:pt idx="0">
                  <c:v>人员经费</c:v>
                </c:pt>
                <c:pt idx="1">
                  <c:v>公用经费</c:v>
                </c:pt>
              </c:strCache>
            </c:strRef>
          </c:cat>
          <c:val>
            <c:numRef>
              <c:f>Sheet1!$B$2:$B$3</c:f>
              <c:numCache>
                <c:ptCount val="2"/>
                <c:pt idx="0">
                  <c:v>268.17</c:v>
                </c:pt>
                <c:pt idx="1">
                  <c:v>3.13</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zh-CN"/>
              <a:t>一般公共预算“三公”经费安排情况</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上年</c:v>
                </c:pt>
              </c:strCache>
            </c:strRef>
          </c:tx>
          <c:spPr>
            <a:solidFill>
              <a:schemeClr val="accent1"/>
            </a:solidFill>
            <a:ln>
              <a:noFill/>
            </a:ln>
            <a:effectLst/>
          </c:spPr>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Sheet1!$B$2:$B$4</c:f>
              <c:numCache>
                <c:formatCode>General</c:formatCode>
                <c:ptCount val="3"/>
                <c:pt idx="0">
                  <c:v>0.0</c:v>
                </c:pt>
                <c:pt idx="1">
                  <c:v>0.0</c:v>
                </c:pt>
                <c:pt idx="2">
                  <c:v>0.0</c:v>
                </c:pt>
              </c:numCache>
            </c:numRef>
          </c:val>
        </c:ser>
        <c:ser>
          <c:idx val="1"/>
          <c:order val="1"/>
          <c:tx>
            <c:strRef>
              <c:f>Sheet1!$C$1</c:f>
              <c:strCache>
                <c:ptCount val="1"/>
                <c:pt idx="0">
                  <c:v>当年</c:v>
                </c:pt>
              </c:strCache>
            </c:strRef>
          </c:tx>
          <c:invertIfNegative val="0"/>
          <c:dLbls>
            <c:delete val="1"/>
          </c:dLbls>
          <c:cat>
            <c:strRef>
              <c:f>Sheet1!$A$2:$A$4</c:f>
              <c:strCache>
                <c:ptCount val="3"/>
                <c:pt idx="0">
                  <c:v>因公出国（境）经费预算</c:v>
                </c:pt>
                <c:pt idx="1">
                  <c:v>公务接待费预算</c:v>
                </c:pt>
                <c:pt idx="2">
                  <c:v>公务用车购置及运行费预算</c:v>
                </c:pt>
              </c:strCache>
            </c:strRef>
          </c:cat>
          <c:val>
            <c:numRef>
              <c:f>Sheet1!$C$2:$C$4</c:f>
              <c:numCache>
                <c:formatCode>General</c:formatCode>
                <c:ptCount val="3"/>
                <c:pt idx="0">
                  <c:v>0.0</c:v>
                </c:pt>
                <c:pt idx="1">
                  <c:v>0.0</c:v>
                </c:pt>
                <c:pt idx="2">
                  <c:v>0.0</c:v>
                </c:pt>
              </c:numCache>
            </c:numRef>
          </c:val>
        </c:ser>
        <c:dLbls>
          <c:showLegendKey val="0"/>
          <c:showVal val="0"/>
          <c:showCatName val="0"/>
          <c:showSerName val="0"/>
          <c:showPercent val="0"/>
          <c:showBubbleSize val="0"/>
        </c:dLbls>
        <c:gapWidth val="182"/>
        <c:overlap val="0"/>
        <c:axId val="587647791"/>
        <c:axId val="468612210"/>
      </c:barChart>
      <c:catAx>
        <c:axId val="587647791"/>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68612210"/>
        <c:crosses val="autoZero"/>
        <c:auto val="1"/>
        <c:lblAlgn val="ctr"/>
        <c:lblOffset val="100"/>
        <c:noMultiLvlLbl val="0"/>
      </c:catAx>
      <c:valAx>
        <c:axId val="468612210"/>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8764779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_rels/item4.xml.rels><?xml version="1.0" encoding="UTF-8" standalone="yes"?><Relationships xmlns="http://schemas.openxmlformats.org/package/2006/relationships"><Relationship Id="rId1" Target="itemProps4.xml" Type="http://schemas.openxmlformats.org/officeDocument/2006/relationships/customXmlProps"/></Relationships>
</file>

<file path=customXml/item1.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2024-03-06T02:48:26Z</dcterms:modified>
  <cp:revision>3</cp:revision>
</cp:coreProperties>
</file>

<file path=customXml/item2.xml><?xml version="1.0" encoding="utf-8"?>
<Properties xmlns="http://schemas.openxmlformats.org/officeDocument/2006/extended-properties" xmlns:vt="http://schemas.openxmlformats.org/officeDocument/2006/docPropsVTypes">
  <Template>Normal.dotm</Template>
  <Pages>35</Pages>
  <Words>8576</Words>
  <Characters>11046</Characters>
  <Lines>105</Lines>
  <Paragraphs>29</Paragraphs>
  <TotalTime>1</TotalTime>
  <ScaleCrop>false</ScaleCrop>
  <LinksUpToDate>false</LinksUpToDate>
  <CharactersWithSpaces>11333</CharactersWithSpaces>
  <Application>WPS Office_12.1.0.16120_F1E327BC-269C-435d-A152-05C5408002CA</Application>
  <DocSecurity>0</DocSecurity>
</Properties>
</file>

<file path=customXml/item3.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12DC9CEE36A04FED99CEAB3C4FE7F44F_13</vt:lpwstr>
  </property>
</Properties>
</file>

<file path=customXml/item4.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vt="http://schemas.openxmlformats.org/officeDocument/2006/docPropsVTypes" xmlns="http://schemas.openxmlformats.org/officeDocument/2006/extended-properties">
  <Template>Normal.dotm</Template>
  <TotalTime>1</TotalTime>
  <Pages>35</Pages>
  <Words>8576</Words>
  <Characters>11046</Characters>
  <Application>WPS Office_12.1.0.16120_F1E327BC-269C-435d-A152-05C5408002CA</Application>
  <DocSecurity>0</DocSecurity>
  <Lines>105</Lines>
  <Paragraphs>29</Paragraphs>
  <CharactersWithSpaces>11333</CharactersWithSpaces>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2023-02-07T06:11:00Z</dcterms:created>
  <dc:creator>蔡冬冬</dc:creator>
  <cp:lastModifiedBy>C D D</cp:lastModifiedBy>
  <dcterms:modified xsi:type="dcterms:W3CDTF">2024-03-07T01:04:38Z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str>2052-12.1.0.16120</vt:lpstr>
  </property>
  <property fmtid="{D5CDD505-2E9C-101B-9397-08002B2CF9AE}" pid="3" name="ICV">
    <vt:lpstr>12DC9CEE36A04FED99CEAB3C4FE7F44F_13</vt:lpstr>
  </property>
</Properties>
</file>