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lang w:eastAsia="zh-CN"/>
        </w:rPr>
      </w:pPr>
      <w:r>
        <w:rPr>
          <w:rFonts w:hint="eastAsia"/>
          <w:lang w:eastAsia="zh-CN"/>
        </w:rPr>
        <w:t xml:space="preserve">环江毛南族自治县市场监督管理局</w:t>
      </w:r>
    </w:p>
    <w:p>
      <w:pPr>
        <w:pStyle w:val="Bodytext|5"/>
        <w:jc w:val="center"/>
        <w:sectPr>
          <w:pgSz w:w="11900" w:h="16840" w:orient="portrait"/>
          <w:pgMar w:top="4713" w:right="1913" w:bottom="4713" w:left="2020" w:header="4285" w:footer="4285" w:gutter="0"/>
          <w:pgBorders>
            <w:top w:val="none" w:sz="0" w:space="0" w:color="auto"/>
            <w:left w:val="none" w:sz="0" w:space="0" w:color="auto"/>
            <w:bottom w:val="none" w:sz="0" w:space="0" w:color="auto"/>
            <w:right w:val="none" w:sz="0" w:space="0" w:color="auto"/>
          </w:pgBorders>
          <w:pgNumType w:start="1"/>
          <w:cols w:num="1" w:space="720">
            <w:col w:w="7967" w:space="720"/>
          </w:cols>
          <w:docGrid w:linePitch="360" w:charSpace="0"/>
        </w:sectPr>
      </w:pPr>
      <w:r>
        <w:rPr>
          <w:rFonts w:hint="eastAsia"/>
          <w:lang w:eastAsia="zh-CN"/>
        </w:rPr>
        <w:t xml:space="preserve">2024</w:t>
      </w:r>
      <w:r>
        <w:rPr>
          <w:rFonts w:ascii="Times New Roman" w:eastAsia="Times New Roman" w:hAnsi="Times New Roman" w:cs="Times New Roman"/>
          <w:sz w:val="56"/>
          <w:u w:color="auto"/>
        </w:rPr>
        <w:t xml:space="preserve">年</w:t>
      </w:r>
      <w:r>
        <w:t xml:space="preserve">度部门预算</w:t>
      </w:r>
    </w:p>
    <w:p>
      <w:pPr>
        <w:pStyle w:val="Heading#1|1"/>
        <w:keepNext/>
        <w:keepLines/>
        <w:spacing w:after="240"/>
        <w:jc w:val="center"/>
      </w:pPr>
      <w:bookmarkStart w:id="0" w:name="bookmark0"/>
      <w:bookmarkStart w:id="1" w:name="bookmark1"/>
      <w:bookmarkStart w:id="2" w:name="bookmark2"/>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环江毛南族自治县市场监督管理局</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环江毛南族自治县市场监督管理局</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环江毛南族自治县市场监督管理局</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5"/>
          <w:pgSz w:w="11900" w:h="16840" w:orient="portrait"/>
          <w:pgMar w:top="1508" w:right="1674" w:bottom="1508" w:left="1851" w:header="1080" w:footer="3" w:gutter="0"/>
          <w:pgBorders>
            <w:top w:val="none" w:sz="0" w:space="0" w:color="auto"/>
            <w:left w:val="none" w:sz="0" w:space="0" w:color="auto"/>
            <w:bottom w:val="none" w:sz="0" w:space="0" w:color="auto"/>
            <w:right w:val="none" w:sz="0" w:space="0" w:color="auto"/>
          </w:pgBorders>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spacing w:after="560"/>
        <w:jc w:val="both"/>
      </w:pPr>
      <w:bookmarkStart w:id="3" w:name="bookmark13"/>
      <w:bookmarkStart w:id="4" w:name="bookmark14"/>
      <w:bookmarkStart w:id="5" w:name="bookmark12"/>
    </w:p>
    <w:p>
      <w:pPr>
        <w:pStyle w:val="Heading#1|1"/>
        <w:keepNext/>
        <w:keepLines/>
        <w:spacing w:after="560"/>
        <w:jc w:val="center"/>
        <w:rPr>
          <w:b/>
          <w:bCs/>
        </w:rPr>
      </w:pPr>
      <w:r>
        <w:rPr>
          <w:b/>
          <w:bCs/>
        </w:rPr>
        <w:t xml:space="preserve">第一部分</w:t>
      </w:r>
      <w:r>
        <w:rPr>
          <w:rFonts w:hint="eastAsia"/>
          <w:b/>
          <w:bCs/>
          <w:lang w:eastAsia="zh-CN"/>
        </w:rPr>
        <w:t xml:space="preserve">：</w:t>
      </w:r>
      <w:r>
        <w:rPr>
          <w:b/>
          <w:u w:color="auto"/>
        </w:rPr>
        <w:t xml:space="preserve">环江毛南族自治县市场监督管理局</w:t>
      </w:r>
      <w:r>
        <w:rPr>
          <w:b/>
          <w:bCs/>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环江毛南族自治县市场监督管理局的主要职能是：负责市场综合监督管理；负责市场主体统一登记注册工作；负责组织和指导全县市场监管综合行政执法工作；负责反垄断统一执法；负责监督管理全县市场秩序；负责宏观质量管理；负责产品质量安全监督管理；负责特种设备安全监督管理；负责食品(含特殊食品)安全监督管理综合协调；负责食品安全监督管理；负责统一管理计量工作；负责统一管理标准化工作；负责统一管理认证认可与检验检测工作；负责市场监督管理科技和信息化建设、新闻宣传；按规定承担技术性贸易措施有关工作；组织指导个体私营经济发展与监督管理；负责药品(含中药、民族药)、医疗器械和化妆品安全监督管理；负责药品、医疗器械、化妆品标准管理；负责药品、医疗器械和化妆品质量管理；负责药品、医疗器械和化妆品上市后风险管理；负责组织实施药品、医疗器械和化妆品监督检查；负责特殊食品和食盐质量安全监督管理；负责促进知识产权运用和保护；贯彻执行国家价格法律、法规和政策并监督实施；完成自治县党委、自治县人民政府交办的其他任务。</w:t>
      </w:r>
    </w:p>
    <w:p>
      <w:pPr>
        <w:pStyle w:val="Bodytext|2"/>
        <w:tabs>
          <w:tab w:val="left" w:pos="1369"/>
        </w:tabs>
        <w:spacing w:after="0" w:line="623" w:lineRule="exact"/>
        <w:ind w:firstLine="620"/>
        <w:jc w:val="left"/>
        <w:rPr>
          <w:b/>
          <w:bCs/>
        </w:rPr>
      </w:pPr>
      <w:bookmarkStart w:id="6" w:name="bookmark24"/>
      <w:r>
        <w:rPr>
          <w:b/>
          <w:bCs/>
        </w:rPr>
        <w:t xml:space="preserve">二</w:t>
      </w:r>
      <w:bookmarkEnd w:id="6"/>
      <w:r>
        <w:rPr>
          <w:b/>
          <w:bCs/>
        </w:rPr>
        <w:t xml:space="preserve">、</w:t>
      </w:r>
      <w:r>
        <w:rPr>
          <w:b/>
          <w:bCs/>
        </w:rPr>
        <w:tab/>
      </w:r>
      <w:r>
        <w:rPr>
          <w:rFonts w:hint="eastAsia"/>
          <w:b/>
          <w:bCs/>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本部门无下属单位，部门预算为局本级预算。</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spacing w:before="120" w:after="0" w:line="629" w:lineRule="exact"/>
        <w:jc w:val="center"/>
        <w:rPr>
          <w:b/>
          <w:bCs/>
        </w:rPr>
      </w:pPr>
      <w:bookmarkStart w:id="7" w:name="bookmark70"/>
      <w:bookmarkStart w:id="8" w:name="bookmark68"/>
      <w:bookmarkStart w:id="9" w:name="bookmark69"/>
      <w:bookmarkStart w:id="10" w:name="bookmark28"/>
      <w:bookmarkStart w:id="11" w:name="bookmark27"/>
      <w:bookmarkStart w:id="12" w:name="bookmark26"/>
      <w:r>
        <w:rPr>
          <w:b/>
          <w:bCs/>
        </w:rPr>
        <w:t xml:space="preserve">第</w:t>
      </w:r>
      <w:r>
        <w:rPr>
          <w:rFonts w:hint="eastAsia"/>
          <w:b/>
          <w:bCs/>
          <w:lang w:val="en-US" w:eastAsia="zh-CN"/>
        </w:rPr>
        <w:t xml:space="preserve">二</w:t>
      </w:r>
      <w:r>
        <w:rPr>
          <w:b/>
          <w:bCs/>
        </w:rPr>
        <w:t xml:space="preserve">部分</w:t>
      </w:r>
      <w:r>
        <w:rPr>
          <w:rFonts w:hint="eastAsia"/>
          <w:b/>
          <w:bCs/>
          <w:lang w:eastAsia="zh-CN"/>
        </w:rPr>
        <w:t xml:space="preserve">：</w:t>
      </w:r>
      <w:bookmarkEnd w:id="7"/>
      <w:bookmarkEnd w:id="8"/>
      <w:bookmarkEnd w:id="9"/>
      <w:r>
        <w:rPr>
          <w:rFonts w:hint="eastAsia"/>
          <w:b/>
          <w:bCs/>
          <w:lang w:eastAsia="zh-CN"/>
        </w:rPr>
        <w:t xml:space="preserve">环江毛南族自治县市场监督管理局</w:t>
      </w:r>
      <w:r>
        <w:rPr>
          <w:b/>
          <w:u w:color="auto"/>
        </w:rPr>
        <w:t xml:space="preserve">2024</w:t>
      </w:r>
      <w:r>
        <w:rPr>
          <w:b/>
          <w:u w:color="auto"/>
        </w:rPr>
        <w:t xml:space="preserve">年部门预算情况说明</w:t>
      </w:r>
    </w:p>
    <w:p>
      <w:pPr>
        <w:pStyle w:val="Bodytext|2"/>
        <w:tabs>
          <w:tab w:val="left" w:pos="1235"/>
        </w:tabs>
        <w:spacing w:after="0" w:line="624" w:lineRule="exact"/>
        <w:ind w:firstLine="580"/>
        <w:jc w:val="left"/>
        <w:rPr>
          <w:b/>
          <w:bCs/>
        </w:rPr>
      </w:pPr>
      <w:bookmarkStart w:id="13" w:name="bookmark71"/>
      <w:r>
        <w:rPr>
          <w:b/>
          <w:bCs/>
        </w:rPr>
        <w:t xml:space="preserve">一</w:t>
      </w:r>
      <w:bookmarkEnd w:id="13"/>
      <w:r>
        <w:rPr>
          <w:b/>
          <w:bCs/>
        </w:rPr>
        <w:t xml:space="preserve">、</w:t>
      </w:r>
      <w:r>
        <w:rPr>
          <w:b/>
          <w:bCs/>
        </w:rPr>
        <w:tab/>
      </w:r>
      <w:r>
        <w:rPr>
          <w:b/>
          <w:bCs/>
        </w:rPr>
        <w:t xml:space="preserve">部门预算收支总体情况说明</w:t>
      </w:r>
    </w:p>
    <w:p>
      <w:pPr>
        <w:pStyle w:val="Bodytext|1"/>
        <w:spacing w:line="623" w:lineRule="exact"/>
        <w:ind w:left="0" w:firstLine="560" w:leftChars="0" w:firstLineChars="200"/>
        <w:jc w:val="left"/>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1854.94</w:t>
      </w:r>
      <w:r>
        <w:rPr>
          <w:rFonts w:hint="eastAsia"/>
          <w:b w:val="0"/>
          <w:bCs w:val="0"/>
          <w:sz w:val="28"/>
          <w:szCs w:val="28"/>
        </w:rPr>
        <w:t xml:space="preserve">万元，总支出</w:t>
      </w:r>
      <w:r>
        <w:rPr>
          <w:rFonts w:hint="eastAsia"/>
          <w:sz w:val="28"/>
          <w:szCs w:val="28"/>
          <w:lang w:val="en-US" w:eastAsia="zh-CN"/>
        </w:rPr>
        <w:t xml:space="preserve">1854.94</w:t>
      </w:r>
      <w:r>
        <w:rPr>
          <w:rFonts w:hint="eastAsia"/>
          <w:b w:val="0"/>
          <w:bCs w:val="0"/>
          <w:sz w:val="28"/>
          <w:szCs w:val="28"/>
        </w:rPr>
        <w:t xml:space="preserve">万元。总收入较2023年度预算数</w:t>
      </w:r>
      <w:r>
        <w:rPr>
          <w:rFonts w:hint="eastAsia"/>
          <w:sz w:val="28"/>
          <w:szCs w:val="28"/>
          <w:lang w:val="en-US" w:eastAsia="zh-CN"/>
        </w:rPr>
        <w:t xml:space="preserve">1626.58</w:t>
      </w:r>
      <w:r>
        <w:rPr>
          <w:rFonts w:hint="eastAsia"/>
          <w:b w:val="0"/>
          <w:bCs w:val="0"/>
          <w:sz w:val="28"/>
          <w:szCs w:val="28"/>
        </w:rPr>
        <w:t xml:space="preserve">万元，</w:t>
      </w:r>
      <w:r>
        <w:rPr>
          <w:rFonts w:hint="eastAsia"/>
          <w:sz w:val="28"/>
          <w:szCs w:val="28"/>
        </w:rPr>
        <w:t xml:space="preserve">增加228.36</w:t>
      </w:r>
      <w:r>
        <w:rPr>
          <w:rFonts w:hint="eastAsia"/>
          <w:b w:val="0"/>
          <w:bCs w:val="0"/>
          <w:sz w:val="28"/>
          <w:szCs w:val="28"/>
        </w:rPr>
        <w:t xml:space="preserve">万元，</w:t>
      </w:r>
      <w:r>
        <w:rPr>
          <w:rFonts w:hint="eastAsia"/>
          <w:sz w:val="28"/>
          <w:szCs w:val="28"/>
        </w:rPr>
        <w:t xml:space="preserve">增长14.04%</w:t>
      </w:r>
      <w:r>
        <w:rPr>
          <w:rFonts w:hint="eastAsia"/>
          <w:b w:val="0"/>
          <w:bCs w:val="0"/>
          <w:sz w:val="28"/>
          <w:szCs w:val="28"/>
        </w:rPr>
        <w:t xml:space="preserve">，主要原因是</w:t>
      </w:r>
      <w:r>
        <w:rPr>
          <w:rFonts w:hint="eastAsia"/>
          <w:highlight w:val="none"/>
          <w:lang w:val="en-US" w:eastAsia="zh-CN"/>
        </w:rPr>
        <w:t xml:space="preserve">人员增减变动及调资，人员经费预算增加</w:t>
      </w:r>
      <w:r>
        <w:rPr>
          <w:rFonts w:hint="eastAsia"/>
          <w:b w:val="0"/>
          <w:bCs w:val="0"/>
          <w:sz w:val="28"/>
          <w:szCs w:val="28"/>
        </w:rPr>
        <w:t xml:space="preserve">。总支出较2023年度预算数</w:t>
      </w:r>
      <w:r>
        <w:rPr>
          <w:rFonts w:hint="eastAsia"/>
          <w:sz w:val="28"/>
          <w:szCs w:val="28"/>
          <w:lang w:val="en-US" w:eastAsia="zh-CN"/>
        </w:rPr>
        <w:t xml:space="preserve">1626.58</w:t>
      </w:r>
      <w:r>
        <w:rPr>
          <w:rFonts w:hint="eastAsia"/>
          <w:b w:val="0"/>
          <w:bCs w:val="0"/>
          <w:sz w:val="28"/>
          <w:szCs w:val="28"/>
        </w:rPr>
        <w:t xml:space="preserve">万元，</w:t>
      </w:r>
      <w:r>
        <w:rPr>
          <w:rFonts w:hint="eastAsia"/>
          <w:sz w:val="28"/>
          <w:szCs w:val="28"/>
        </w:rPr>
        <w:t xml:space="preserve">增加228.36</w:t>
      </w:r>
      <w:r>
        <w:rPr>
          <w:rFonts w:hint="eastAsia"/>
          <w:b w:val="0"/>
          <w:bCs w:val="0"/>
          <w:sz w:val="28"/>
          <w:szCs w:val="28"/>
        </w:rPr>
        <w:t xml:space="preserve">万元，</w:t>
      </w:r>
      <w:r>
        <w:rPr>
          <w:rFonts w:hint="eastAsia"/>
          <w:sz w:val="28"/>
          <w:szCs w:val="28"/>
        </w:rPr>
        <w:t xml:space="preserve">增长14.04%</w:t>
      </w:r>
      <w:r>
        <w:rPr>
          <w:rFonts w:hint="eastAsia"/>
          <w:b w:val="0"/>
          <w:bCs w:val="0"/>
          <w:sz w:val="28"/>
          <w:szCs w:val="28"/>
        </w:rPr>
        <w:t xml:space="preserve">，主要原因是</w:t>
      </w:r>
      <w:r>
        <w:rPr>
          <w:rFonts w:hint="eastAsia"/>
          <w:highlight w:val="none"/>
          <w:lang w:val="en-US" w:eastAsia="zh-CN"/>
        </w:rPr>
        <w:t xml:space="preserve">人员增减变动及调资，人员经费预算增加</w:t>
      </w:r>
      <w:r>
        <w:rPr>
          <w:rFonts w:hint="eastAsia"/>
          <w:b w:val="0"/>
          <w:bCs w:val="0"/>
          <w:sz w:val="28"/>
          <w:szCs w:val="28"/>
        </w:rPr>
        <w:t xml:space="preserve">。</w:t>
      </w:r>
    </w:p>
    <w:p>
      <w:pPr>
        <w:pStyle w:val="Bodytext|2"/>
        <w:tabs>
          <w:tab w:val="left" w:pos="1235"/>
        </w:tabs>
        <w:spacing w:after="0" w:line="624" w:lineRule="exact"/>
        <w:ind w:firstLine="580"/>
        <w:jc w:val="left"/>
        <w:rPr>
          <w:b/>
          <w:bCs/>
          <w:lang w:val="en-US" w:eastAsia="zh-CN"/>
        </w:rPr>
      </w:pPr>
      <w:r>
        <w:rPr>
          <w:rFonts w:hint="eastAsia"/>
          <w:b/>
          <w:bCs/>
          <w:lang w:val="en-US" w:eastAsia="zh-CN"/>
        </w:rPr>
        <w:t xml:space="preserve">二、</w:t>
      </w:r>
      <w:r>
        <w:rPr>
          <w:b/>
          <w:bCs/>
        </w:rPr>
        <w:t xml:space="preserve">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5790"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6"/>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1854.94</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1626.58</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增加228.36</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增长14.04%</w:t>
      </w:r>
      <w:r>
        <w:rPr>
          <w:rFonts w:ascii="宋体" w:eastAsia="宋体" w:hAnsi="宋体" w:cs="宋体" w:hint="eastAsia"/>
          <w:sz w:val="28"/>
          <w:szCs w:val="28"/>
          <w:u w:color="auto"/>
        </w:rPr>
        <w:t xml:space="preserve">，主要原因是</w:t>
      </w:r>
      <w:r>
        <w:rPr>
          <w:rFonts w:hint="eastAsia"/>
          <w:highlight w:val="none"/>
          <w:lang w:val="en-US" w:eastAsia="zh-CN"/>
        </w:rPr>
        <w:t xml:space="preserve">人员增减变动及调资，人员经费预算增加</w:t>
      </w:r>
      <w:r>
        <w:rPr>
          <w:rFonts w:ascii="宋体" w:eastAsia="宋体" w:hAnsi="宋体" w:cs="宋体" w:hint="eastAsia"/>
          <w:sz w:val="28"/>
          <w:szCs w:val="28"/>
          <w:u w:color="auto"/>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三、</w:t>
      </w:r>
      <w:r>
        <w:rPr>
          <w:b/>
          <w:bCs/>
        </w:rPr>
        <w:t xml:space="preserve">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5791"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7"/>
              </a:graphicData>
            </a:graphic>
          </wp:inline>
        </w:drawing>
      </w:r>
    </w:p>
    <w:p>
      <w:pPr>
        <w:pStyle w:val="Bodytext|1"/>
        <w:spacing w:line="623" w:lineRule="exact"/>
        <w:ind w:left="0" w:firstLine="560" w:leftChars="0" w:firstLineChars="200"/>
        <w:jc w:val="left"/>
        <w:rPr>
          <w:rFonts w:ascii="Times New Roman" w:hAnsi="Times New Roman" w:cs="Times New Roman" w:hint="eastAsia"/>
          <w:sz w:val="30"/>
          <w:szCs w:val="30"/>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1854.94</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1626.58</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增加228.36</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增长14.04%</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人员增减变动及调资，人员经费预算增加</w:t>
      </w:r>
      <w:r>
        <w:rPr>
          <w:rFonts w:ascii="Times New Roman" w:hAnsi="Times New Roman" w:cs="Times New Roman" w:hint="eastAsia"/>
          <w:sz w:val="30"/>
          <w:szCs w:val="30"/>
          <w:lang w:eastAsia="zh-CN"/>
        </w:rPr>
        <w:t xml:space="preserve">。主要包括：</w:t>
      </w:r>
      <w:r>
        <w:rPr>
          <w:rFonts w:hint="eastAsia"/>
          <w:highlight w:val="none"/>
          <w:lang w:val="en-US" w:eastAsia="zh-CN"/>
        </w:rPr>
        <w:t xml:space="preserve">一般公共服务支出1528.15万元，较2023年度预算数增加214.07万元，增长16.29%；社会保障和就业支出174.07万元，较2023年度预算数减少3.68万元，降低2.07%；住房保障支出152.72万元较2023年度预算数增加17.97万元，增长13.33%</w:t>
      </w:r>
      <w:r>
        <w:rPr>
          <w:rFonts w:ascii="Times New Roman" w:hAnsi="Times New Roman" w:cs="Times New Roman" w:hint="eastAsia"/>
          <w:sz w:val="30"/>
          <w:szCs w:val="30"/>
          <w:lang w:eastAsia="zh-CN"/>
        </w:rPr>
        <w:t xml:space="preserve">。</w:t>
      </w:r>
    </w:p>
    <w:p>
      <w:pPr>
        <w:pStyle w:val="Bodytext|1"/>
        <w:spacing w:after="140" w:line="240" w:lineRule="auto"/>
        <w:ind w:firstLine="0"/>
        <w:jc w:val="left"/>
      </w:pPr>
      <w:r>
        <w:t xml:space="preserve">（一）按支出功能分类科目划分，共分为</w:t>
      </w:r>
      <w:r>
        <w:rPr>
          <w:rFonts w:hint="eastAsia"/>
          <w:lang w:val="en-US" w:eastAsia="zh-CN"/>
        </w:rPr>
        <w:t xml:space="preserve">3</w:t>
      </w:r>
      <w:r>
        <w:t xml:space="preserve">类，其中:</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1</w:t>
      </w:r>
      <w:r>
        <w:rPr>
          <w:u w:color="auto"/>
        </w:rPr>
        <w:t xml:space="preserve">)</w:t>
      </w:r>
      <w:r>
        <w:rPr>
          <w:u w:color="auto"/>
        </w:rPr>
        <w:t xml:space="preserve">一般公共服务支出</w:t>
      </w:r>
      <w:r>
        <w:rPr>
          <w:rFonts w:hint="eastAsia"/>
          <w:lang w:val="en-US" w:eastAsia="zh-CN"/>
        </w:rPr>
        <w:t xml:space="preserve">1528.15</w:t>
      </w:r>
      <w:r>
        <w:rPr>
          <w:rFonts w:hint="eastAsia"/>
        </w:rPr>
        <w:t xml:space="preserve">万元，占支出总预算</w:t>
      </w:r>
      <w:r>
        <w:rPr>
          <w:rFonts w:hint="eastAsia"/>
          <w:lang w:val="en-US" w:eastAsia="zh-CN"/>
        </w:rPr>
        <w:t xml:space="preserve">82.38%</w:t>
      </w:r>
      <w:r>
        <w:rPr>
          <w:rFonts w:hint="eastAsia"/>
        </w:rPr>
        <w:t xml:space="preserve">,比上年</w:t>
      </w:r>
      <w:r>
        <w:rPr>
          <w:rFonts w:hint="eastAsia"/>
          <w:lang w:val="en-US" w:eastAsia="zh-CN"/>
        </w:rPr>
        <w:t xml:space="preserve">增长214.07</w:t>
      </w:r>
      <w:r>
        <w:rPr>
          <w:rFonts w:hint="eastAsia"/>
        </w:rPr>
        <w:t xml:space="preserve">万元，</w:t>
      </w:r>
      <w:r>
        <w:rPr>
          <w:rFonts w:hint="eastAsia"/>
          <w:lang w:val="en-US" w:eastAsia="zh-CN"/>
        </w:rPr>
        <w:t xml:space="preserve">增长16.29%</w:t>
      </w:r>
      <w:r>
        <w:rPr>
          <w:rFonts w:hint="eastAsia"/>
        </w:rPr>
        <w:t xml:space="preserve">,</w:t>
      </w:r>
      <w:r>
        <w:rPr>
          <w:rFonts w:hint="eastAsia"/>
          <w:highlight w:val="none"/>
        </w:rPr>
        <w:t xml:space="preserve">主要原因是：</w:t>
      </w:r>
      <w:r>
        <w:rPr>
          <w:rFonts w:hint="eastAsia"/>
          <w:highlight w:val="none"/>
          <w:lang w:val="en-US" w:eastAsia="zh-CN"/>
        </w:rPr>
        <w:t xml:space="preserve">人员增减变动及调资，人员经费预算增加，工资福利经费及对个人和家庭的补助经费均有增加</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2</w:t>
      </w:r>
      <w:r>
        <w:rPr>
          <w:u w:color="auto"/>
        </w:rPr>
        <w:t xml:space="preserve">)</w:t>
      </w:r>
      <w:r>
        <w:rPr>
          <w:u w:color="auto"/>
        </w:rPr>
        <w:t xml:space="preserve">住房保障支出</w:t>
      </w:r>
      <w:r>
        <w:rPr>
          <w:rFonts w:hint="eastAsia"/>
          <w:lang w:val="en-US" w:eastAsia="zh-CN"/>
        </w:rPr>
        <w:t xml:space="preserve">152.72</w:t>
      </w:r>
      <w:r>
        <w:rPr>
          <w:rFonts w:hint="eastAsia"/>
        </w:rPr>
        <w:t xml:space="preserve">万元，占支出总预算</w:t>
      </w:r>
      <w:r>
        <w:rPr>
          <w:rFonts w:hint="eastAsia"/>
          <w:lang w:val="en-US" w:eastAsia="zh-CN"/>
        </w:rPr>
        <w:t xml:space="preserve">8.23%</w:t>
      </w:r>
      <w:r>
        <w:rPr>
          <w:rFonts w:hint="eastAsia"/>
        </w:rPr>
        <w:t xml:space="preserve">,比上年</w:t>
      </w:r>
      <w:r>
        <w:rPr>
          <w:rFonts w:hint="eastAsia"/>
          <w:lang w:val="en-US" w:eastAsia="zh-CN"/>
        </w:rPr>
        <w:t xml:space="preserve">增长17.97</w:t>
      </w:r>
      <w:r>
        <w:rPr>
          <w:rFonts w:hint="eastAsia"/>
        </w:rPr>
        <w:t xml:space="preserve">万元，</w:t>
      </w:r>
      <w:r>
        <w:rPr>
          <w:rFonts w:hint="eastAsia"/>
          <w:lang w:val="en-US" w:eastAsia="zh-CN"/>
        </w:rPr>
        <w:t xml:space="preserve">增长13.34%</w:t>
      </w:r>
      <w:r>
        <w:rPr>
          <w:rFonts w:hint="eastAsia"/>
        </w:rPr>
        <w:t xml:space="preserve">,</w:t>
      </w:r>
      <w:r>
        <w:rPr>
          <w:rFonts w:hint="eastAsia"/>
          <w:highlight w:val="none"/>
        </w:rPr>
        <w:t xml:space="preserve">主要原因是：</w:t>
      </w:r>
      <w:r>
        <w:rPr>
          <w:rFonts w:hint="eastAsia"/>
          <w:highlight w:val="none"/>
          <w:lang w:val="en-US" w:eastAsia="zh-CN"/>
        </w:rPr>
        <w:t xml:space="preserve">人员增减变动及调资，公积金基数有所增加</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3</w:t>
      </w:r>
      <w:r>
        <w:rPr>
          <w:u w:color="auto"/>
        </w:rPr>
        <w:t xml:space="preserve">)</w:t>
      </w:r>
      <w:r>
        <w:rPr>
          <w:u w:color="auto"/>
        </w:rPr>
        <w:t xml:space="preserve">社会保障和就业支出</w:t>
      </w:r>
      <w:r>
        <w:rPr>
          <w:rFonts w:hint="eastAsia"/>
          <w:lang w:val="en-US" w:eastAsia="zh-CN"/>
        </w:rPr>
        <w:t xml:space="preserve">174.07</w:t>
      </w:r>
      <w:r>
        <w:rPr>
          <w:rFonts w:hint="eastAsia"/>
        </w:rPr>
        <w:t xml:space="preserve">万元，占支出总预算</w:t>
      </w:r>
      <w:r>
        <w:rPr>
          <w:rFonts w:hint="eastAsia"/>
          <w:lang w:val="en-US" w:eastAsia="zh-CN"/>
        </w:rPr>
        <w:t xml:space="preserve">9.38%</w:t>
      </w:r>
      <w:r>
        <w:rPr>
          <w:rFonts w:hint="eastAsia"/>
        </w:rPr>
        <w:t xml:space="preserve">,比上年</w:t>
      </w:r>
      <w:r>
        <w:rPr>
          <w:rFonts w:hint="eastAsia"/>
          <w:lang w:val="en-US" w:eastAsia="zh-CN"/>
        </w:rPr>
        <w:t xml:space="preserve">减少3.69</w:t>
      </w:r>
      <w:r>
        <w:rPr>
          <w:rFonts w:hint="eastAsia"/>
        </w:rPr>
        <w:t xml:space="preserve">万元，</w:t>
      </w:r>
      <w:r>
        <w:rPr>
          <w:rFonts w:hint="eastAsia"/>
          <w:lang w:val="en-US" w:eastAsia="zh-CN"/>
        </w:rPr>
        <w:t xml:space="preserve">减少2.08%</w:t>
      </w:r>
      <w:r>
        <w:rPr>
          <w:rFonts w:hint="eastAsia"/>
        </w:rPr>
        <w:t xml:space="preserve">,</w:t>
      </w:r>
      <w:r>
        <w:rPr>
          <w:rFonts w:hint="eastAsia"/>
          <w:highlight w:val="none"/>
        </w:rPr>
        <w:t xml:space="preserve">主要原因是：</w:t>
      </w:r>
      <w:r>
        <w:rPr>
          <w:rFonts w:hint="eastAsia"/>
          <w:highlight w:val="none"/>
          <w:lang w:val="en-US" w:eastAsia="zh-CN"/>
        </w:rPr>
        <w:t xml:space="preserve">人员增减变动及调资，社保基数有所降低</w:t>
      </w:r>
      <w:r>
        <w:rPr>
          <w:rFonts w:hint="eastAsia"/>
          <w:highlight w:val="none"/>
        </w:rPr>
        <w:t xml:space="preserve">。</w:t>
      </w:r>
    </w:p>
    <w:p>
      <w:pPr>
        <w:pStyle w:val="Bodytext|1"/>
        <w:spacing w:line="635" w:lineRule="exact"/>
        <w:ind w:firstLine="740"/>
        <w:jc w:val="left"/>
      </w:pPr>
      <w:r>
        <w:t xml:space="preserve">(二)按支出结构分类划分，分为基本支出预算和项目支出预算。</w:t>
      </w:r>
    </w:p>
    <w:p>
      <w:pPr>
        <w:pStyle w:val="Bodytext|1"/>
        <w:spacing w:line="635" w:lineRule="exact"/>
        <w:ind w:firstLine="600"/>
        <w:jc w:val="left"/>
      </w:pPr>
      <w:r>
        <w:rPr>
          <w:rFonts w:ascii="Times New Roman" w:eastAsia="Times New Roman" w:hAnsi="Times New Roman" w:cs="Times New Roman"/>
          <w:sz w:val="30"/>
          <w:szCs w:val="30"/>
        </w:rPr>
        <w:t xml:space="preserve">1</w:t>
      </w:r>
      <w:r>
        <w:t xml:space="preserve">.基本支出预算。</w:t>
      </w:r>
    </w:p>
    <w:p>
      <w:pPr>
        <w:pStyle w:val="Bodytext|1"/>
        <w:spacing w:line="619" w:lineRule="exact"/>
        <w:ind w:firstLine="600"/>
        <w:jc w:val="left"/>
        <w:rPr>
          <w:rFonts w:hint="eastAsia"/>
          <w:lang w:val="en-US" w:eastAsia="zh-CN"/>
        </w:rPr>
      </w:pPr>
      <w:r>
        <w:rPr>
          <w:rFonts w:hint="eastAsia"/>
        </w:rPr>
        <w:t xml:space="preserve">基本支出预算</w:t>
      </w:r>
      <w:r>
        <w:rPr>
          <w:rFonts w:hint="eastAsia"/>
          <w:lang w:val="en-US" w:eastAsia="zh-CN"/>
        </w:rPr>
        <w:t xml:space="preserve">1722.81</w:t>
      </w:r>
      <w:r>
        <w:rPr>
          <w:rFonts w:hint="eastAsia"/>
        </w:rPr>
        <w:t xml:space="preserve">万元，占支出预算</w:t>
      </w:r>
      <w:r>
        <w:rPr>
          <w:u w:color="auto"/>
        </w:rPr>
        <w:t xml:space="preserve">92.88%</w:t>
      </w:r>
      <w:r>
        <w:rPr>
          <w:u w:color="auto"/>
        </w:rPr>
        <w:t xml:space="preserve">,比上年</w:t>
      </w:r>
      <w:r>
        <w:rPr>
          <w:u w:color="auto"/>
        </w:rPr>
        <w:t xml:space="preserve">增长200.33</w:t>
      </w:r>
      <w:r>
        <w:rPr>
          <w:u w:color="auto"/>
        </w:rPr>
        <w:t xml:space="preserve">万元，</w:t>
      </w:r>
      <w:r>
        <w:rPr>
          <w:u w:color="auto"/>
        </w:rPr>
        <w:t xml:space="preserve">增长13.16%</w:t>
      </w:r>
      <w:r>
        <w:t xml:space="preserve">。</w:t>
      </w:r>
      <w:r>
        <w:rPr>
          <w:rFonts w:hint="eastAsia"/>
          <w:lang w:val="en-US" w:eastAsia="zh-CN"/>
        </w:rPr>
        <w:t xml:space="preserve">其中：</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1471.32</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85.40%</w:t>
      </w:r>
      <w:r>
        <w:rPr>
          <w:rFonts w:hint="eastAsia"/>
        </w:rPr>
        <w:t xml:space="preserve">,</w:t>
      </w:r>
      <w:r>
        <w:t xml:space="preserve">比上年</w:t>
      </w:r>
      <w:r>
        <w:rPr>
          <w:rFonts w:hint="eastAsia"/>
        </w:rPr>
        <w:t xml:space="preserve">增长177.77</w:t>
      </w:r>
      <w:r>
        <w:t xml:space="preserve">万元，</w:t>
      </w:r>
      <w:r>
        <w:rPr>
          <w:rFonts w:hint="eastAsia"/>
        </w:rPr>
        <w:t xml:space="preserve">增长13.74%</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人员增减变动，基本工资、奖金及住房公积金预算有所增加</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179.85</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10.44%</w:t>
      </w:r>
      <w:r>
        <w:rPr>
          <w:rFonts w:hint="eastAsia"/>
        </w:rPr>
        <w:t xml:space="preserve">,</w:t>
      </w:r>
      <w:r>
        <w:t xml:space="preserve">比上年</w:t>
      </w:r>
      <w:r>
        <w:rPr>
          <w:rFonts w:hint="eastAsia"/>
        </w:rPr>
        <w:t xml:space="preserve">减少3.73</w:t>
      </w:r>
      <w:r>
        <w:t xml:space="preserve">万元，</w:t>
      </w:r>
      <w:r>
        <w:rPr>
          <w:rFonts w:hint="eastAsia"/>
        </w:rPr>
        <w:t xml:space="preserve">减少2.03%</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工会经费预算较上年有所降低</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71.65</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4.16%</w:t>
      </w:r>
      <w:r>
        <w:rPr>
          <w:rFonts w:hint="eastAsia"/>
        </w:rPr>
        <w:t xml:space="preserve">,</w:t>
      </w:r>
      <w:r>
        <w:t xml:space="preserve">比上年</w:t>
      </w:r>
      <w:r>
        <w:rPr>
          <w:rFonts w:hint="eastAsia"/>
        </w:rPr>
        <w:t xml:space="preserve">增长26.30</w:t>
      </w:r>
      <w:r>
        <w:t xml:space="preserve">万元，</w:t>
      </w:r>
      <w:r>
        <w:rPr>
          <w:rFonts w:hint="eastAsia"/>
        </w:rPr>
        <w:t xml:space="preserve">增长57.99%</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退休人员退休费用有所增加</w:t>
      </w:r>
      <w:r>
        <w:rPr>
          <w:rFonts w:hint="eastAsia"/>
          <w:highlight w:val="none"/>
          <w:lang w:val="en-US" w:eastAsia="zh-CN"/>
        </w:rPr>
        <w:t xml:space="preserve">。</w:t>
      </w:r>
    </w:p>
    <w:p>
      <w:pPr>
        <w:pStyle w:val="Bodytext|1"/>
        <w:numPr>
          <w:ilvl w:val="0"/>
          <w:numId w:val="3"/>
        </w:numPr>
        <w:spacing w:line="614" w:lineRule="exact"/>
        <w:ind w:firstLine="600"/>
        <w:jc w:val="left"/>
      </w:pPr>
      <w:r>
        <w:t xml:space="preserve">项目支出预算。</w:t>
      </w:r>
    </w:p>
    <w:p>
      <w:pPr>
        <w:pStyle w:val="Bodytext|1"/>
        <w:spacing w:line="619" w:lineRule="exact"/>
        <w:ind w:firstLine="600"/>
        <w:jc w:val="left"/>
        <w:rPr>
          <w:rFonts w:hint="eastAsia"/>
          <w:lang w:val="en-US" w:eastAsia="zh-CN"/>
        </w:rPr>
      </w:pPr>
      <w:r>
        <w:rPr>
          <w:rFonts w:hint="eastAsia"/>
        </w:rPr>
        <w:t xml:space="preserve">项目支出预算</w:t>
      </w:r>
      <w:r>
        <w:rPr>
          <w:rFonts w:hint="eastAsia"/>
          <w:lang w:val="en-US" w:eastAsia="zh-CN"/>
        </w:rPr>
        <w:t xml:space="preserve">132.13</w:t>
      </w:r>
      <w:r>
        <w:rPr>
          <w:rFonts w:hint="eastAsia"/>
        </w:rPr>
        <w:t xml:space="preserve">万元，占支出预算</w:t>
      </w:r>
      <w:r>
        <w:rPr>
          <w:u w:color="auto"/>
        </w:rPr>
        <w:t xml:space="preserve">7.12%</w:t>
      </w:r>
      <w:r>
        <w:rPr>
          <w:rFonts w:hint="eastAsia"/>
        </w:rPr>
        <w:t xml:space="preserve">,比上年</w:t>
      </w:r>
      <w:r>
        <w:rPr>
          <w:u w:color="auto"/>
        </w:rPr>
        <w:t xml:space="preserve">增长28.02</w:t>
      </w:r>
      <w:r>
        <w:rPr>
          <w:rFonts w:hint="eastAsia"/>
        </w:rPr>
        <w:t xml:space="preserve">万元，</w:t>
      </w:r>
      <w:r>
        <w:rPr>
          <w:u w:color="auto"/>
        </w:rPr>
        <w:t xml:space="preserve">增长26.91%</w:t>
      </w:r>
      <w:r>
        <w:t xml:space="preserve">。</w:t>
      </w:r>
      <w:r>
        <w:rPr>
          <w:rFonts w:hint="eastAsia"/>
          <w:lang w:val="en-US" w:eastAsia="zh-CN"/>
        </w:rPr>
        <w:t xml:space="preserve">其中：</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109.57</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82.93%</w:t>
      </w:r>
      <w:r>
        <w:t xml:space="preserve">,比上年</w:t>
      </w:r>
      <w:r>
        <w:rPr>
          <w:rFonts w:hint="eastAsia"/>
        </w:rPr>
        <w:t xml:space="preserve">增长18.86</w:t>
      </w:r>
      <w:r>
        <w:t xml:space="preserve">万元，</w:t>
      </w:r>
      <w:r>
        <w:rPr>
          <w:rFonts w:hint="eastAsia"/>
        </w:rPr>
        <w:t xml:space="preserve">增长20.79%</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上年结转的上级拨款专项资金增加</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资本性支出</w:t>
      </w:r>
      <w:r>
        <w:rPr>
          <w:rFonts w:ascii="宋体" w:eastAsia="宋体" w:hAnsi="宋体" w:cs="宋体" w:hint="eastAsia"/>
          <w:sz w:val="28"/>
          <w:szCs w:val="28"/>
          <w:lang w:val="en-US" w:eastAsia="zh-CN"/>
        </w:rPr>
        <w:t xml:space="preserve">14.16</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10.72%</w:t>
      </w:r>
      <w:r>
        <w:t xml:space="preserve">,比上年</w:t>
      </w:r>
      <w:r>
        <w:rPr>
          <w:rFonts w:hint="eastAsia"/>
        </w:rPr>
        <w:t xml:space="preserve">增长9.16</w:t>
      </w:r>
      <w:r>
        <w:t xml:space="preserve">万元，</w:t>
      </w:r>
      <w:r>
        <w:rPr>
          <w:rFonts w:hint="eastAsia"/>
        </w:rPr>
        <w:t xml:space="preserve">增长183.20%</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增加上年结转的上级拨款专项资金资本性支出预算</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8.40</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6.36%</w:t>
      </w:r>
      <w:r>
        <w:t xml:space="preserve">,比上年</w:t>
      </w:r>
      <w:r>
        <w:rPr>
          <w:rFonts w:hint="eastAsia"/>
        </w:rPr>
        <w:t xml:space="preserve">增长8.40</w:t>
      </w:r>
      <w:r>
        <w:t xml:space="preserve">万元，</w:t>
      </w:r>
      <w:r>
        <w:rPr>
          <w:rFonts w:hint="eastAsia"/>
        </w:rPr>
        <w:t xml:space="preserve">增长100%</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应财政局要求，将全县食品药品安全协管员工资放在对个人和家庭的补助类进行核算</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0.00%</w:t>
      </w:r>
      <w:r>
        <w:t xml:space="preserve">,比上年</w:t>
      </w:r>
      <w:r>
        <w:rPr>
          <w:rFonts w:hint="eastAsia"/>
        </w:rPr>
        <w:t xml:space="preserve">减少8.40</w:t>
      </w:r>
      <w:r>
        <w:t xml:space="preserve">万元，</w:t>
      </w:r>
      <w:r>
        <w:rPr>
          <w:rFonts w:hint="eastAsia"/>
        </w:rPr>
        <w:t xml:space="preserve">减少100.00%</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应财政局要求，将全县食品药品安全协管员工资放在对个人和家庭的补助类进行核算</w:t>
      </w:r>
      <w:r>
        <w:rPr>
          <w:rFonts w:hint="eastAsia"/>
          <w:highlight w:val="none"/>
          <w:lang w:val="en-US" w:eastAsia="zh-CN"/>
        </w:rPr>
        <w:t xml:space="preserve">。</w:t>
      </w:r>
    </w:p>
    <w:p>
      <w:pPr>
        <w:pStyle w:val="Bodytext|2"/>
        <w:numPr>
          <w:ilvl w:val="0"/>
          <w:numId w:val="0"/>
        </w:numPr>
        <w:tabs>
          <w:tab w:val="left" w:pos="1238"/>
        </w:tabs>
        <w:spacing w:after="0" w:line="625" w:lineRule="exact"/>
        <w:jc w:val="left"/>
        <w:rPr>
          <w:b/>
          <w:bCs/>
        </w:rPr>
      </w:pPr>
    </w:p>
    <w:p>
      <w:pPr>
        <w:pStyle w:val="Bodytext|2"/>
        <w:tabs>
          <w:tab w:val="left" w:pos="1235"/>
        </w:tabs>
        <w:spacing w:after="0" w:line="624" w:lineRule="exact"/>
        <w:ind w:firstLine="580"/>
        <w:jc w:val="left"/>
        <w:rPr>
          <w:b/>
          <w:bCs/>
        </w:rPr>
      </w:pPr>
      <w:r>
        <w:rPr>
          <w:rFonts w:hint="eastAsia"/>
          <w:b/>
          <w:bCs/>
          <w:lang w:val="en-US" w:eastAsia="zh-CN"/>
        </w:rPr>
        <w:t xml:space="preserve">四、</w:t>
      </w:r>
      <w:r>
        <w:rPr>
          <w:b/>
          <w:bCs/>
        </w:rPr>
        <w:t xml:space="preserve">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20955" b="14605"/>
            <wp:docPr id="5792"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spacing w:line="624" w:lineRule="exact"/>
        <w:ind w:firstLine="6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1854.94</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1854.94</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1626.58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增加228.36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增长14.04%</w:t>
      </w:r>
      <w:r>
        <w:rPr>
          <w:rFonts w:ascii="宋体" w:eastAsia="宋体" w:hAnsi="宋体" w:cs="宋体" w:hint="eastAsia"/>
          <w:sz w:val="28"/>
          <w:szCs w:val="28"/>
        </w:rPr>
        <w:t xml:space="preserve">，主要原因是</w:t>
      </w:r>
      <w:r>
        <w:rPr>
          <w:rFonts w:hint="eastAsia"/>
          <w:highlight w:val="none"/>
          <w:lang w:val="en-US" w:eastAsia="zh-CN"/>
        </w:rPr>
        <w:t xml:space="preserve">人员增减变动及调资，人员经费预算增加</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1626.58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增加228.36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增长14.04%</w:t>
      </w:r>
      <w:r>
        <w:rPr>
          <w:rFonts w:ascii="宋体" w:eastAsia="宋体" w:hAnsi="宋体" w:cs="宋体" w:hint="eastAsia"/>
          <w:sz w:val="28"/>
          <w:szCs w:val="28"/>
        </w:rPr>
        <w:t xml:space="preserve">，主要原因是</w:t>
      </w:r>
      <w:r>
        <w:rPr>
          <w:rFonts w:hint="eastAsia"/>
          <w:highlight w:val="none"/>
          <w:lang w:val="en-US" w:eastAsia="zh-CN"/>
        </w:rPr>
        <w:t xml:space="preserve">人员增减变动及调资，人员经费预算增加</w:t>
      </w:r>
      <w:r>
        <w:rPr>
          <w:rFonts w:ascii="宋体" w:eastAsia="宋体" w:hAnsi="宋体" w:cs="宋体" w:hint="eastAsia"/>
          <w:sz w:val="28"/>
          <w:szCs w:val="28"/>
        </w:rPr>
        <w:t xml:space="preserve">。</w:t>
      </w:r>
    </w:p>
    <w:p>
      <w:pPr>
        <w:pStyle w:val="Bodytext|2"/>
        <w:numPr>
          <w:ilvl w:val="0"/>
          <w:numId w:val="0"/>
        </w:numPr>
        <w:tabs>
          <w:tab w:val="left" w:pos="1238"/>
        </w:tabs>
        <w:spacing w:after="0" w:line="625" w:lineRule="exact"/>
        <w:ind w:firstLine="560" w:firstLineChars="200"/>
        <w:jc w:val="left"/>
        <w:rPr>
          <w:rFonts w:hint="eastAsia"/>
          <w:sz w:val="28"/>
          <w:szCs w:val="28"/>
        </w:rPr>
      </w:pPr>
    </w:p>
    <w:p>
      <w:pPr>
        <w:pStyle w:val="Bodytext|2"/>
        <w:tabs>
          <w:tab w:val="left" w:pos="1235"/>
        </w:tabs>
        <w:spacing w:after="0" w:line="624" w:lineRule="exact"/>
        <w:ind w:firstLine="580"/>
        <w:jc w:val="left"/>
        <w:rPr>
          <w:b/>
          <w:bCs/>
        </w:rPr>
      </w:pPr>
      <w:r>
        <w:rPr>
          <w:rFonts w:hint="eastAsia"/>
          <w:b/>
          <w:bCs/>
          <w:lang w:val="en-US" w:eastAsia="zh-CN"/>
        </w:rPr>
        <w:t xml:space="preserve">五、</w:t>
      </w:r>
      <w:r>
        <w:rPr>
          <w:b/>
          <w:bCs/>
        </w:rPr>
        <w:t xml:space="preserve">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5793"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1854.94</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1626.58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增加228.36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增长14.04%</w:t>
      </w:r>
      <w:r>
        <w:rPr>
          <w:rFonts w:ascii="宋体" w:eastAsia="宋体" w:hAnsi="宋体" w:cs="宋体" w:hint="eastAsia"/>
          <w:sz w:val="28"/>
          <w:szCs w:val="28"/>
        </w:rPr>
        <w:t xml:space="preserve">，主要原因是</w:t>
      </w:r>
      <w:r>
        <w:rPr>
          <w:rFonts w:hint="eastAsia"/>
          <w:highlight w:val="none"/>
          <w:lang w:val="en-US" w:eastAsia="zh-CN"/>
        </w:rPr>
        <w:t xml:space="preserve">人员增减变动及调资，人员经费预算增加</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670.00</w:t>
      </w:r>
      <w:r>
        <w:rPr>
          <w:rFonts w:ascii="宋体" w:eastAsia="宋体" w:hAnsi="宋体" w:cs="宋体" w:hint="eastAsia"/>
          <w:sz w:val="28"/>
          <w:szCs w:val="28"/>
        </w:rPr>
        <w:t xml:space="preserve">万元。具体情况为：</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1528.15</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82.38%</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1314.08</w:t>
      </w:r>
      <w:r>
        <w:rPr>
          <w:rFonts w:ascii="宋体" w:eastAsia="宋体" w:hAnsi="宋体" w:cs="宋体" w:hint="eastAsia"/>
          <w:sz w:val="28"/>
          <w:szCs w:val="28"/>
        </w:rPr>
        <w:t xml:space="preserve">万元，</w:t>
      </w:r>
      <w:r>
        <w:rPr>
          <w:rFonts w:ascii="宋体" w:eastAsia="宋体" w:hAnsi="宋体" w:cs="宋体"/>
          <w:sz w:val="28"/>
          <w:u w:color="auto"/>
        </w:rPr>
        <w:t xml:space="preserve">增长214.07</w:t>
      </w:r>
      <w:r>
        <w:rPr>
          <w:rFonts w:ascii="宋体" w:eastAsia="宋体" w:hAnsi="宋体" w:cs="宋体" w:hint="eastAsia"/>
          <w:sz w:val="28"/>
          <w:szCs w:val="28"/>
        </w:rPr>
        <w:t xml:space="preserve">万元，</w:t>
      </w:r>
      <w:r>
        <w:rPr>
          <w:rFonts w:ascii="宋体" w:eastAsia="宋体" w:hAnsi="宋体" w:cs="宋体"/>
          <w:sz w:val="28"/>
          <w:u w:color="auto"/>
        </w:rPr>
        <w:t xml:space="preserve">增长16.29%</w:t>
      </w:r>
      <w:r>
        <w:rPr>
          <w:rFonts w:ascii="宋体" w:eastAsia="宋体" w:hAnsi="宋体" w:cs="宋体" w:hint="eastAsia"/>
          <w:sz w:val="28"/>
          <w:szCs w:val="28"/>
        </w:rPr>
        <w:t xml:space="preserve">，主要原因是：</w:t>
      </w:r>
      <w:r>
        <w:rPr>
          <w:rFonts w:hint="eastAsia"/>
          <w:highlight w:val="none"/>
        </w:rPr>
        <w:t xml:space="preserve">人员增减变动及调资，人员经费预算增加</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152.72</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8.23%</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134.75</w:t>
      </w:r>
      <w:r>
        <w:rPr>
          <w:rFonts w:ascii="宋体" w:eastAsia="宋体" w:hAnsi="宋体" w:cs="宋体" w:hint="eastAsia"/>
          <w:sz w:val="28"/>
          <w:szCs w:val="28"/>
        </w:rPr>
        <w:t xml:space="preserve">万元，</w:t>
      </w:r>
      <w:r>
        <w:rPr>
          <w:rFonts w:ascii="宋体" w:eastAsia="宋体" w:hAnsi="宋体" w:cs="宋体"/>
          <w:sz w:val="28"/>
          <w:u w:color="auto"/>
        </w:rPr>
        <w:t xml:space="preserve">增长17.97</w:t>
      </w:r>
      <w:r>
        <w:rPr>
          <w:rFonts w:ascii="宋体" w:eastAsia="宋体" w:hAnsi="宋体" w:cs="宋体" w:hint="eastAsia"/>
          <w:sz w:val="28"/>
          <w:szCs w:val="28"/>
        </w:rPr>
        <w:t xml:space="preserve">万元，</w:t>
      </w:r>
      <w:r>
        <w:rPr>
          <w:rFonts w:ascii="宋体" w:eastAsia="宋体" w:hAnsi="宋体" w:cs="宋体"/>
          <w:sz w:val="28"/>
          <w:u w:color="auto"/>
        </w:rPr>
        <w:t xml:space="preserve">增长13.34%</w:t>
      </w:r>
      <w:r>
        <w:rPr>
          <w:rFonts w:ascii="宋体" w:eastAsia="宋体" w:hAnsi="宋体" w:cs="宋体" w:hint="eastAsia"/>
          <w:sz w:val="28"/>
          <w:szCs w:val="28"/>
        </w:rPr>
        <w:t xml:space="preserve">，主要原因是：</w:t>
      </w:r>
      <w:r>
        <w:rPr>
          <w:rFonts w:hint="eastAsia"/>
          <w:highlight w:val="none"/>
        </w:rPr>
        <w:t xml:space="preserve">人员增减变动及调资，公积金基数有所增加</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174.07</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9.38%</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177.76</w:t>
      </w:r>
      <w:r>
        <w:rPr>
          <w:rFonts w:ascii="宋体" w:eastAsia="宋体" w:hAnsi="宋体" w:cs="宋体" w:hint="eastAsia"/>
          <w:sz w:val="28"/>
          <w:szCs w:val="28"/>
        </w:rPr>
        <w:t xml:space="preserve">万元，</w:t>
      </w:r>
      <w:r>
        <w:rPr>
          <w:rFonts w:ascii="宋体" w:eastAsia="宋体" w:hAnsi="宋体" w:cs="宋体"/>
          <w:sz w:val="28"/>
          <w:u w:color="auto"/>
        </w:rPr>
        <w:t xml:space="preserve">减少3.69</w:t>
      </w:r>
      <w:r>
        <w:rPr>
          <w:rFonts w:ascii="宋体" w:eastAsia="宋体" w:hAnsi="宋体" w:cs="宋体" w:hint="eastAsia"/>
          <w:sz w:val="28"/>
          <w:szCs w:val="28"/>
        </w:rPr>
        <w:t xml:space="preserve">万元，</w:t>
      </w:r>
      <w:r>
        <w:rPr>
          <w:rFonts w:ascii="宋体" w:eastAsia="宋体" w:hAnsi="宋体" w:cs="宋体"/>
          <w:sz w:val="28"/>
          <w:u w:color="auto"/>
        </w:rPr>
        <w:t xml:space="preserve">减少2.08%</w:t>
      </w:r>
      <w:r>
        <w:rPr>
          <w:rFonts w:ascii="宋体" w:eastAsia="宋体" w:hAnsi="宋体" w:cs="宋体" w:hint="eastAsia"/>
          <w:sz w:val="28"/>
          <w:szCs w:val="28"/>
        </w:rPr>
        <w:t xml:space="preserve">，主要原因是：</w:t>
      </w:r>
      <w:r>
        <w:rPr>
          <w:rFonts w:hint="eastAsia"/>
          <w:highlight w:val="none"/>
        </w:rPr>
        <w:t xml:space="preserve">人员增减变动及调资，社保基数有所降低</w:t>
      </w:r>
      <w:r>
        <w:rPr>
          <w:rFonts w:ascii="宋体" w:eastAsia="宋体" w:hAnsi="宋体" w:cs="宋体" w:hint="eastAsia"/>
          <w:sz w:val="28"/>
          <w:szCs w:val="28"/>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六、</w:t>
      </w:r>
      <w:r>
        <w:rPr>
          <w:b/>
          <w:bCs/>
        </w:rPr>
        <w:t xml:space="preserve">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5794"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spacing w:line="623" w:lineRule="exact"/>
        <w:ind w:left="0" w:firstLine="560" w:leftChars="0" w:firstLineChars="200"/>
        <w:jc w:val="left"/>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1722.81</w:t>
      </w:r>
      <w:r>
        <w:rPr>
          <w:rFonts w:hint="eastAsia"/>
        </w:rPr>
        <w:t xml:space="preserve">万元，较2023年度预算数</w:t>
      </w:r>
      <w:r>
        <w:rPr>
          <w:rFonts w:hint="eastAsia"/>
          <w:lang w:val="en-US" w:eastAsia="zh-CN"/>
        </w:rPr>
        <w:t xml:space="preserve">1522.48</w:t>
      </w:r>
      <w:r>
        <w:rPr>
          <w:rFonts w:hint="eastAsia"/>
        </w:rPr>
        <w:t xml:space="preserve">万元</w:t>
      </w:r>
      <w:r>
        <w:rPr>
          <w:rFonts w:hint="eastAsia"/>
          <w:lang w:val="en-US" w:eastAsia="zh-CN"/>
        </w:rPr>
        <w:t xml:space="preserve">,</w:t>
      </w:r>
      <w:r>
        <w:rPr>
          <w:u w:color="auto"/>
        </w:rPr>
        <w:t xml:space="preserve">增加200.33</w:t>
      </w:r>
      <w:r>
        <w:rPr>
          <w:rFonts w:hint="eastAsia"/>
        </w:rPr>
        <w:t xml:space="preserve">万元，</w:t>
      </w:r>
      <w:r>
        <w:rPr>
          <w:rFonts w:hint="eastAsia"/>
          <w:lang w:val="en-US" w:eastAsia="zh-CN"/>
        </w:rPr>
        <w:t xml:space="preserve">增长13.16%</w:t>
      </w:r>
      <w:r>
        <w:rPr>
          <w:rFonts w:hint="eastAsia"/>
        </w:rPr>
        <w:t xml:space="preserve">，主要原因是</w:t>
      </w:r>
      <w:r>
        <w:rPr>
          <w:rFonts w:hint="eastAsia"/>
          <w:highlight w:val="none"/>
          <w:lang w:val="en-US" w:eastAsia="zh-CN"/>
        </w:rPr>
        <w:t xml:space="preserve">人员增减变动及调资，人员经费预算增加</w:t>
      </w:r>
      <w:r>
        <w:rPr>
          <w:rFonts w:hint="eastAsia"/>
        </w:rPr>
        <w:t xml:space="preserve">。具体情况为：</w:t>
      </w:r>
    </w:p>
    <w:p>
      <w:pPr>
        <w:pStyle w:val="Bodytext|1"/>
        <w:spacing w:line="626" w:lineRule="exact"/>
        <w:ind w:firstLine="600"/>
        <w:jc w:val="left"/>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1471.32</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85.40%</w:t>
      </w:r>
      <w:r>
        <w:rPr>
          <w:rFonts w:hint="eastAsia"/>
        </w:rPr>
        <w:t xml:space="preserve">，较2023年度预算数</w:t>
      </w:r>
      <w:r>
        <w:rPr>
          <w:rFonts w:hint="eastAsia"/>
          <w:lang w:val="en-US" w:eastAsia="zh-CN"/>
        </w:rPr>
        <w:t xml:space="preserve">1293.55</w:t>
      </w:r>
      <w:r>
        <w:rPr>
          <w:rFonts w:hint="eastAsia"/>
        </w:rPr>
        <w:t xml:space="preserve">万元，</w:t>
      </w:r>
      <w:r>
        <w:rPr>
          <w:rFonts w:hint="eastAsia"/>
          <w:lang w:val="en-US" w:eastAsia="zh-CN"/>
        </w:rPr>
        <w:t xml:space="preserve">增长177.77</w:t>
      </w:r>
      <w:r>
        <w:rPr>
          <w:rFonts w:hint="eastAsia"/>
        </w:rPr>
        <w:t xml:space="preserve">万元，</w:t>
      </w:r>
      <w:r>
        <w:rPr>
          <w:rFonts w:hint="eastAsia"/>
          <w:lang w:val="en-US" w:eastAsia="zh-CN"/>
        </w:rPr>
        <w:t xml:space="preserve">增长13.74%</w:t>
      </w:r>
      <w:r>
        <w:rPr>
          <w:rFonts w:hint="eastAsia"/>
        </w:rPr>
        <w:t xml:space="preserve">，主要原因是：</w:t>
      </w:r>
      <w:r>
        <w:rPr>
          <w:rFonts w:hint="eastAsia"/>
          <w:highlight w:val="none"/>
        </w:rPr>
        <w:t xml:space="preserve">人员增减变动及调资，基本工资、奖金及住房公积金预算有所增加</w:t>
      </w:r>
      <w:r>
        <w:rPr>
          <w:rFonts w:hint="eastAsia"/>
          <w:highlight w:val="none"/>
          <w:lang w:val="en-US" w:eastAsia="zh-CN"/>
        </w:rPr>
        <w:t xml:space="preserve">。</w:t>
      </w:r>
    </w:p>
    <w:p>
      <w:pPr>
        <w:pStyle w:val="Bodytext|1"/>
        <w:spacing w:line="626" w:lineRule="exact"/>
        <w:ind w:firstLine="600"/>
        <w:jc w:val="left"/>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179.85</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10.44%</w:t>
      </w:r>
      <w:r>
        <w:rPr>
          <w:rFonts w:hint="eastAsia"/>
        </w:rPr>
        <w:t xml:space="preserve">，较2023年度预算数</w:t>
      </w:r>
      <w:r>
        <w:rPr>
          <w:rFonts w:hint="eastAsia"/>
          <w:lang w:val="en-US" w:eastAsia="zh-CN"/>
        </w:rPr>
        <w:t xml:space="preserve">183.58</w:t>
      </w:r>
      <w:r>
        <w:rPr>
          <w:rFonts w:hint="eastAsia"/>
        </w:rPr>
        <w:t xml:space="preserve">万元，</w:t>
      </w:r>
      <w:r>
        <w:rPr>
          <w:rFonts w:hint="eastAsia"/>
          <w:lang w:val="en-US" w:eastAsia="zh-CN"/>
        </w:rPr>
        <w:t xml:space="preserve">减少3.73</w:t>
      </w:r>
      <w:r>
        <w:rPr>
          <w:rFonts w:hint="eastAsia"/>
        </w:rPr>
        <w:t xml:space="preserve">万元，</w:t>
      </w:r>
      <w:r>
        <w:rPr>
          <w:rFonts w:hint="eastAsia"/>
          <w:lang w:val="en-US" w:eastAsia="zh-CN"/>
        </w:rPr>
        <w:t xml:space="preserve">减少2.03%</w:t>
      </w:r>
      <w:r>
        <w:rPr>
          <w:rFonts w:hint="eastAsia"/>
        </w:rPr>
        <w:t xml:space="preserve">，主要原因是：</w:t>
      </w:r>
      <w:r>
        <w:rPr>
          <w:rFonts w:hint="eastAsia"/>
          <w:highlight w:val="none"/>
        </w:rPr>
        <w:t xml:space="preserve">工会经费预算较上年有所降低</w:t>
      </w:r>
      <w:r>
        <w:rPr>
          <w:rFonts w:hint="eastAsia"/>
          <w:highlight w:val="none"/>
          <w:lang w:val="en-US" w:eastAsia="zh-CN"/>
        </w:rPr>
        <w:t xml:space="preserve">。</w:t>
      </w:r>
    </w:p>
    <w:p>
      <w:pPr>
        <w:pStyle w:val="Bodytext|1"/>
        <w:spacing w:line="626" w:lineRule="exact"/>
        <w:ind w:firstLine="600"/>
        <w:jc w:val="left"/>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71.65</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4.16%</w:t>
      </w:r>
      <w:r>
        <w:rPr>
          <w:rFonts w:hint="eastAsia"/>
        </w:rPr>
        <w:t xml:space="preserve">，较2023年度预算数</w:t>
      </w:r>
      <w:r>
        <w:rPr>
          <w:rFonts w:hint="eastAsia"/>
          <w:lang w:val="en-US" w:eastAsia="zh-CN"/>
        </w:rPr>
        <w:t xml:space="preserve">45.35</w:t>
      </w:r>
      <w:r>
        <w:rPr>
          <w:rFonts w:hint="eastAsia"/>
        </w:rPr>
        <w:t xml:space="preserve">万元，</w:t>
      </w:r>
      <w:r>
        <w:rPr>
          <w:rFonts w:hint="eastAsia"/>
          <w:lang w:val="en-US" w:eastAsia="zh-CN"/>
        </w:rPr>
        <w:t xml:space="preserve">增长26.30</w:t>
      </w:r>
      <w:r>
        <w:rPr>
          <w:rFonts w:hint="eastAsia"/>
        </w:rPr>
        <w:t xml:space="preserve">万元，</w:t>
      </w:r>
      <w:r>
        <w:rPr>
          <w:rFonts w:hint="eastAsia"/>
          <w:lang w:val="en-US" w:eastAsia="zh-CN"/>
        </w:rPr>
        <w:t xml:space="preserve">增长57.99%</w:t>
      </w:r>
      <w:r>
        <w:rPr>
          <w:rFonts w:hint="eastAsia"/>
        </w:rPr>
        <w:t xml:space="preserve">，主要原因是：</w:t>
      </w:r>
      <w:r>
        <w:rPr>
          <w:rFonts w:hint="eastAsia"/>
          <w:highlight w:val="none"/>
        </w:rPr>
        <w:t xml:space="preserve">退休人员退休费用有所增加</w:t>
      </w:r>
      <w:r>
        <w:rPr>
          <w:rFonts w:hint="eastAsia"/>
          <w:highlight w:val="none"/>
          <w:lang w:val="en-US" w:eastAsia="zh-CN"/>
        </w:rPr>
        <w:t xml:space="preserve">。</w:t>
      </w:r>
    </w:p>
    <w:p>
      <w:pPr>
        <w:pStyle w:val="Bodytext|2"/>
        <w:tabs>
          <w:tab w:val="left" w:pos="1235"/>
        </w:tabs>
        <w:spacing w:after="0" w:line="624" w:lineRule="exact"/>
        <w:ind w:firstLine="580"/>
        <w:jc w:val="left"/>
        <w:rPr>
          <w:rFonts w:hint="eastAsia"/>
          <w:b/>
          <w:bCs/>
        </w:rPr>
      </w:pPr>
      <w:r>
        <w:rPr>
          <w:rFonts w:hint="eastAsia"/>
          <w:b/>
          <w:bCs/>
          <w:lang w:val="en-US" w:eastAsia="zh-CN"/>
        </w:rPr>
        <w:t xml:space="preserve">七、</w:t>
      </w:r>
      <w:r>
        <w:rPr>
          <w:b/>
          <w:bCs/>
        </w:rPr>
        <w:t xml:space="preserve">一般公共预算</w:t>
      </w:r>
      <w:r>
        <w:rPr>
          <w:b/>
          <w:bCs/>
          <w:lang w:val="zh-CN" w:eastAsia="zh-CN" w:bidi="zh-CN"/>
        </w:rPr>
        <w:t xml:space="preserve">“三</w:t>
      </w:r>
      <w:r>
        <w:rPr>
          <w:b/>
          <w:bCs/>
        </w:rPr>
        <w:t xml:space="preserve">公”</w:t>
      </w:r>
      <w:r>
        <w:rPr>
          <w:rFonts w:hint="eastAsia"/>
          <w:b/>
          <w:bCs/>
        </w:rPr>
        <w:t xml:space="preserve">经费支出情况说明</w:t>
      </w:r>
    </w:p>
    <w:p>
      <w:pPr>
        <w:pStyle w:val="Bodytext|2"/>
        <w:numPr>
          <w:ilvl w:val="0"/>
          <w:numId w:val="0"/>
        </w:numPr>
        <w:spacing w:after="0"/>
        <w:jc w:val="left"/>
        <w:rPr>
          <w:rFonts w:hint="eastAsia"/>
          <w:b/>
          <w:bCs/>
        </w:rPr>
      </w:pP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5795"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2"/>
        <w:tabs>
          <w:tab w:val="left" w:pos="1253"/>
        </w:tabs>
        <w:spacing w:after="0" w:line="629" w:lineRule="exact"/>
        <w:ind w:firstLine="600"/>
        <w:jc w:val="left"/>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36.20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4.00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32.20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32.20</w:t>
      </w:r>
      <w:r>
        <w:rPr>
          <w:rFonts w:hint="eastAsia"/>
          <w:b w:val="0"/>
          <w:bCs w:val="0"/>
          <w:sz w:val="28"/>
          <w:szCs w:val="28"/>
          <w:lang w:eastAsia="zh-CN"/>
        </w:rPr>
        <w:t xml:space="preserve">万元）。</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36.20</w:t>
      </w:r>
      <w:r>
        <w:rPr>
          <w:rFonts w:hint="eastAsia"/>
          <w:b w:val="0"/>
          <w:bCs w:val="0"/>
          <w:sz w:val="28"/>
          <w:szCs w:val="28"/>
        </w:rPr>
        <w:t xml:space="preserve">万元，同口径较2023年度预算数</w:t>
      </w:r>
      <w:r>
        <w:rPr>
          <w:rFonts w:hint="eastAsia"/>
          <w:b w:val="0"/>
          <w:bCs w:val="0"/>
          <w:sz w:val="28"/>
          <w:szCs w:val="28"/>
          <w:lang w:val="en-US" w:eastAsia="zh-CN"/>
        </w:rPr>
        <w:t xml:space="preserve">36.70</w:t>
      </w:r>
      <w:r>
        <w:rPr>
          <w:rFonts w:hint="eastAsia"/>
          <w:b w:val="0"/>
          <w:bCs w:val="0"/>
          <w:sz w:val="28"/>
          <w:szCs w:val="28"/>
        </w:rPr>
        <w:t xml:space="preserve">万元，</w:t>
      </w:r>
      <w:r>
        <w:rPr>
          <w:rFonts w:hint="eastAsia"/>
          <w:b w:val="0"/>
          <w:bCs w:val="0"/>
          <w:sz w:val="28"/>
          <w:szCs w:val="28"/>
          <w:lang w:val="en-US" w:eastAsia="zh-CN"/>
        </w:rPr>
        <w:t xml:space="preserve">减少0.50</w:t>
      </w:r>
      <w:r>
        <w:rPr>
          <w:rFonts w:hint="eastAsia"/>
          <w:b w:val="0"/>
          <w:bCs w:val="0"/>
          <w:sz w:val="28"/>
          <w:szCs w:val="28"/>
        </w:rPr>
        <w:t xml:space="preserve">万元，</w:t>
      </w:r>
      <w:r>
        <w:rPr>
          <w:rFonts w:hint="eastAsia"/>
          <w:b w:val="0"/>
          <w:bCs w:val="0"/>
          <w:sz w:val="28"/>
          <w:szCs w:val="28"/>
          <w:lang w:val="en-US" w:eastAsia="zh-CN"/>
        </w:rPr>
        <w:t xml:space="preserve">减少1.36%</w:t>
      </w:r>
      <w:r>
        <w:rPr>
          <w:rFonts w:hint="eastAsia"/>
          <w:b w:val="0"/>
          <w:bCs w:val="0"/>
          <w:sz w:val="28"/>
          <w:szCs w:val="28"/>
        </w:rPr>
        <w:t xml:space="preserve">，具体如下：</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我单位无因公出国（境）费用</w:t>
      </w:r>
      <w:r>
        <w:rPr>
          <w:rFonts w:hint="eastAsia"/>
          <w:b w:val="0"/>
          <w:bCs w:val="0"/>
          <w:sz w:val="28"/>
          <w:szCs w:val="28"/>
        </w:rPr>
        <w:t xml:space="preserve">。</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4.00</w:t>
      </w:r>
      <w:r>
        <w:rPr>
          <w:rFonts w:hint="eastAsia"/>
          <w:b w:val="0"/>
          <w:bCs w:val="0"/>
          <w:sz w:val="28"/>
          <w:szCs w:val="28"/>
        </w:rPr>
        <w:t xml:space="preserve">万元，较2023年度预算数</w:t>
      </w:r>
      <w:r>
        <w:rPr>
          <w:sz w:val="28"/>
          <w:u w:color="auto"/>
        </w:rPr>
        <w:t xml:space="preserve">4.50</w:t>
      </w:r>
      <w:r>
        <w:rPr>
          <w:rFonts w:hint="eastAsia"/>
          <w:b w:val="0"/>
          <w:bCs w:val="0"/>
          <w:sz w:val="28"/>
          <w:szCs w:val="28"/>
        </w:rPr>
        <w:t xml:space="preserve">万元，</w:t>
      </w:r>
      <w:r>
        <w:rPr>
          <w:sz w:val="28"/>
          <w:u w:color="auto"/>
        </w:rPr>
        <w:t xml:space="preserve">减少0.50</w:t>
      </w:r>
      <w:r>
        <w:rPr>
          <w:rFonts w:hint="eastAsia"/>
          <w:b w:val="0"/>
          <w:bCs w:val="0"/>
          <w:sz w:val="28"/>
          <w:szCs w:val="28"/>
        </w:rPr>
        <w:t xml:space="preserve">万元，</w:t>
      </w:r>
      <w:r>
        <w:rPr>
          <w:sz w:val="28"/>
          <w:u w:color="auto"/>
        </w:rPr>
        <w:t xml:space="preserve">减少11.11%</w:t>
      </w:r>
      <w:r>
        <w:rPr>
          <w:rFonts w:hint="eastAsia"/>
          <w:b w:val="0"/>
          <w:bCs w:val="0"/>
          <w:sz w:val="28"/>
          <w:szCs w:val="28"/>
        </w:rPr>
        <w:t xml:space="preserve">，主要原因是</w:t>
      </w:r>
      <w:r>
        <w:rPr>
          <w:rFonts w:hint="eastAsia"/>
          <w:highlight w:val="none"/>
          <w:lang w:val="en-US" w:eastAsia="zh-CN"/>
        </w:rPr>
        <w:t xml:space="preserve">厉行节约，严格控制经费支出</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32.20</w:t>
      </w:r>
      <w:r>
        <w:rPr>
          <w:rFonts w:hint="eastAsia"/>
          <w:b w:val="0"/>
          <w:bCs w:val="0"/>
          <w:sz w:val="28"/>
          <w:szCs w:val="28"/>
        </w:rPr>
        <w:t xml:space="preserve">万元，较2023年度预算数</w:t>
      </w:r>
      <w:r>
        <w:rPr>
          <w:sz w:val="28"/>
          <w:u w:color="auto"/>
        </w:rPr>
        <w:t xml:space="preserve">32.20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，其中：</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厉行节约，严格控制经费支出</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32.20</w:t>
      </w:r>
      <w:r>
        <w:rPr>
          <w:rFonts w:hint="eastAsia"/>
          <w:b w:val="0"/>
          <w:bCs w:val="0"/>
          <w:sz w:val="28"/>
          <w:szCs w:val="28"/>
        </w:rPr>
        <w:t xml:space="preserve">万元，较2023年度预算数</w:t>
      </w:r>
      <w:r>
        <w:rPr>
          <w:sz w:val="28"/>
          <w:u w:color="auto"/>
        </w:rPr>
        <w:t xml:space="preserve">32.20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，主要原因是</w:t>
      </w:r>
      <w:r>
        <w:rPr>
          <w:rFonts w:hint="eastAsia"/>
          <w:highlight w:val="none"/>
          <w:lang w:val="en-US" w:eastAsia="zh-CN"/>
        </w:rPr>
        <w:t xml:space="preserve">厉行节约，严格控制经费支出</w:t>
      </w:r>
      <w:r>
        <w:rPr>
          <w:rFonts w:hint="eastAsia"/>
          <w:b w:val="0"/>
          <w:bCs w:val="0"/>
          <w:sz w:val="28"/>
          <w:szCs w:val="28"/>
        </w:rPr>
        <w:t xml:space="preserve">。</w:t>
      </w:r>
    </w:p>
    <w:p>
      <w:pPr>
        <w:pStyle w:val="Bodytext|2"/>
        <w:tabs>
          <w:tab w:val="left" w:pos="1235"/>
        </w:tabs>
        <w:spacing w:after="0" w:line="624" w:lineRule="exact"/>
        <w:ind w:firstLine="580"/>
        <w:jc w:val="left"/>
        <w:rPr>
          <w:b/>
          <w:bCs/>
        </w:rPr>
      </w:pPr>
      <w:r>
        <w:rPr>
          <w:b/>
          <w:bCs/>
        </w:rPr>
        <w:t xml:space="preserve">八</w:t>
      </w:r>
      <w:bookmarkEnd w:id="14"/>
      <w:r>
        <w:rPr>
          <w:b/>
          <w:bCs/>
        </w:rPr>
        <w:t xml:space="preserve">、</w:t>
      </w:r>
      <w:r>
        <w:rPr>
          <w:b/>
          <w:bCs/>
        </w:rPr>
        <w:tab/>
      </w:r>
      <w:r>
        <w:rPr>
          <w:b/>
          <w:bCs/>
        </w:rPr>
        <w:t xml:space="preserve">政府性基金预算支出情况说明</w:t>
      </w:r>
    </w:p>
    <w:p>
      <w:pPr>
        <w:pStyle w:val="Bodytext|1"/>
        <w:spacing w:line="629" w:lineRule="exact"/>
        <w:ind w:firstLine="600"/>
        <w:jc w:val="left"/>
        <w:rPr>
          <w:rFonts w:eastAsia="宋体" w:hint="eastAsia"/>
          <w:lang w:eastAsia="zh-CN"/>
        </w:rPr>
      </w:pPr>
      <w:r>
        <w:rPr>
          <w:rFonts w:hint="eastAsia"/>
        </w:rPr>
        <w:t xml:space="preserve">我部门</w:t>
      </w:r>
      <w:r>
        <w:rPr>
          <w:rFonts w:hint="eastAsia"/>
          <w:b w:val="0"/>
          <w:bCs w:val="0"/>
          <w:sz w:val="28"/>
          <w:szCs w:val="28"/>
          <w:lang w:eastAsia="zh-CN"/>
        </w:rPr>
        <w:t xml:space="preserve">2024</w:t>
      </w:r>
      <w:r>
        <w:rPr>
          <w:rFonts w:hint="eastAsia"/>
        </w:rPr>
        <w:t xml:space="preserve">年政府性基金预算支出共</w:t>
      </w:r>
      <w:r>
        <w:rPr>
          <w:rFonts w:hint="eastAsia"/>
          <w:b w:val="0"/>
          <w:bCs w:val="0"/>
          <w:sz w:val="28"/>
          <w:szCs w:val="28"/>
          <w:lang w:eastAsia="zh-CN"/>
        </w:rPr>
        <w:t xml:space="preserve">0.00</w:t>
      </w:r>
      <w:r>
        <w:rPr>
          <w:rFonts w:hint="eastAsia"/>
        </w:rPr>
        <w:t xml:space="preserve">万元，较2023年度预算数</w:t>
      </w:r>
      <w:r>
        <w:rPr>
          <w:rFonts w:hint="eastAsia"/>
          <w:b w:val="0"/>
          <w:bCs w:val="0"/>
          <w:sz w:val="28"/>
          <w:szCs w:val="28"/>
          <w:lang w:eastAsia="zh-CN"/>
        </w:rPr>
        <w:t xml:space="preserve">0.00</w:t>
      </w:r>
      <w:r>
        <w:rPr>
          <w:rFonts w:hint="eastAsia"/>
        </w:rPr>
        <w:t xml:space="preserve">万元，</w:t>
      </w:r>
      <w:r>
        <w:rPr>
          <w:rFonts w:hint="eastAsia"/>
          <w:b w:val="0"/>
          <w:bCs w:val="0"/>
          <w:sz w:val="28"/>
          <w:szCs w:val="28"/>
          <w:lang w:eastAsia="zh-CN"/>
        </w:rPr>
        <w:t xml:space="preserve">增加0.00</w:t>
      </w:r>
      <w:r>
        <w:rPr>
          <w:rFonts w:hint="eastAsia"/>
        </w:rPr>
        <w:t xml:space="preserve">万元，</w:t>
      </w:r>
      <w:r>
        <w:rPr>
          <w:rFonts w:hint="eastAsia"/>
          <w:b w:val="0"/>
          <w:bCs w:val="0"/>
          <w:sz w:val="28"/>
          <w:szCs w:val="28"/>
          <w:lang w:eastAsia="zh-CN"/>
        </w:rPr>
        <w:t xml:space="preserve">增长0%</w:t>
      </w:r>
      <w:r>
        <w:rPr>
          <w:rFonts w:hint="eastAsia"/>
        </w:rPr>
        <w:t xml:space="preserve">，主要原因是</w:t>
      </w:r>
      <w:r>
        <w:rPr>
          <w:rFonts w:hint="eastAsia"/>
          <w:highlight w:val="none"/>
          <w:lang w:val="en-US" w:eastAsia="zh-CN"/>
        </w:rPr>
        <w:t xml:space="preserve">我部门2024年部门预算无政府性基金预算</w:t>
      </w:r>
      <w:r>
        <w:rPr>
          <w:rFonts w:hint="eastAsia"/>
        </w:rPr>
        <w:t xml:space="preserve">。</w:t>
      </w:r>
    </w:p>
    <w:p>
      <w:pPr>
        <w:pStyle w:val="Bodytext|2"/>
        <w:tabs>
          <w:tab w:val="left" w:pos="1235"/>
        </w:tabs>
        <w:spacing w:after="0" w:line="624" w:lineRule="exact"/>
        <w:ind w:firstLine="580"/>
        <w:jc w:val="left"/>
        <w:rPr>
          <w:b/>
          <w:bCs/>
        </w:rPr>
      </w:pPr>
      <w:bookmarkStart w:id="15" w:name="bookmark91"/>
      <w:r>
        <w:rPr>
          <w:b/>
          <w:bCs/>
        </w:rPr>
        <w:t xml:space="preserve">九</w:t>
      </w:r>
      <w:bookmarkEnd w:id="15"/>
      <w:r>
        <w:rPr>
          <w:b/>
          <w:bCs/>
        </w:rPr>
        <w:t xml:space="preserve">、</w:t>
      </w:r>
      <w:r>
        <w:rPr>
          <w:b/>
          <w:bCs/>
        </w:rPr>
        <w:tab/>
      </w:r>
      <w:r>
        <w:rPr>
          <w:b/>
          <w:bCs/>
        </w:rPr>
        <w:t xml:space="preserve">国有资本经营预算支出情况说明</w:t>
      </w:r>
    </w:p>
    <w:p>
      <w:pPr>
        <w:pStyle w:val="Bodytext|1"/>
        <w:spacing w:line="437" w:lineRule="auto"/>
        <w:ind w:firstLine="600"/>
        <w:jc w:val="left"/>
        <w:rPr>
          <w:rFonts w:eastAsia="宋体" w:hint="eastAsia"/>
          <w:lang w:eastAsia="zh-CN"/>
        </w:rPr>
      </w:pPr>
      <w:r>
        <w:rPr>
          <w:rFonts w:hint="eastAsia"/>
        </w:rPr>
        <w:t xml:space="preserve">我部门</w:t>
      </w:r>
      <w:r>
        <w:rPr>
          <w:rFonts w:hint="eastAsia"/>
          <w:lang w:eastAsia="zh-CN"/>
        </w:rPr>
        <w:t xml:space="preserve">2024</w:t>
      </w:r>
      <w:r>
        <w:rPr>
          <w:rFonts w:hint="eastAsia"/>
        </w:rPr>
        <w:t xml:space="preserve">年国有资本经营预算支出共</w:t>
      </w:r>
      <w:r>
        <w:rPr>
          <w:rFonts w:hint="eastAsia"/>
          <w:lang w:eastAsia="zh-CN"/>
        </w:rPr>
        <w:t xml:space="preserve">0.00</w:t>
      </w:r>
      <w:r>
        <w:rPr>
          <w:rFonts w:hint="eastAsia"/>
        </w:rPr>
        <w:t xml:space="preserve">万元，较2023年度预算数</w:t>
      </w:r>
      <w:r>
        <w:rPr>
          <w:rFonts w:hint="eastAsia"/>
          <w:lang w:eastAsia="zh-CN"/>
        </w:rPr>
        <w:t xml:space="preserve">0.00</w:t>
      </w:r>
      <w:r>
        <w:rPr>
          <w:rFonts w:hint="eastAsia"/>
        </w:rPr>
        <w:t xml:space="preserve">万元，</w:t>
      </w:r>
      <w:r>
        <w:rPr>
          <w:rFonts w:hint="eastAsia"/>
          <w:lang w:eastAsia="zh-CN"/>
        </w:rPr>
        <w:t xml:space="preserve">增加0.00</w:t>
      </w:r>
      <w:r>
        <w:rPr>
          <w:rFonts w:hint="eastAsia"/>
        </w:rPr>
        <w:t xml:space="preserve">万元，</w:t>
      </w:r>
      <w:r>
        <w:rPr>
          <w:rFonts w:hint="eastAsia"/>
          <w:lang w:eastAsia="zh-CN"/>
        </w:rPr>
        <w:t xml:space="preserve">增长0%</w:t>
      </w:r>
      <w:r>
        <w:rPr>
          <w:rFonts w:hint="eastAsia"/>
        </w:rPr>
        <w:t xml:space="preserve">，主要原因是</w:t>
      </w:r>
      <w:r>
        <w:rPr>
          <w:rFonts w:hint="eastAsia"/>
          <w:lang w:val="en-US" w:eastAsia="zh-CN"/>
        </w:rPr>
        <w:t xml:space="preserve">我部门2024年部门预算无国有资本经营预算</w:t>
      </w:r>
      <w:r>
        <w:rPr>
          <w:rFonts w:hint="eastAsia"/>
        </w:rPr>
        <w:t xml:space="preserve">。</w:t>
      </w:r>
    </w:p>
    <w:p>
      <w:pPr>
        <w:pStyle w:val="Bodytext|2"/>
        <w:tabs>
          <w:tab w:val="left" w:pos="1235"/>
        </w:tabs>
        <w:spacing w:after="0" w:line="624" w:lineRule="exact"/>
        <w:ind w:firstLine="580"/>
        <w:jc w:val="left"/>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b w:val="0"/>
          <w:bCs w:val="0"/>
          <w:sz w:val="28"/>
          <w:szCs w:val="28"/>
          <w:lang w:eastAsia="zh-CN"/>
        </w:rPr>
        <w:t xml:space="preserve">2024</w:t>
      </w:r>
      <w:r>
        <w:rPr>
          <w:rFonts w:ascii="宋体" w:eastAsia="宋体" w:hAnsi="宋体" w:cs="宋体" w:hint="eastAsia"/>
          <w:sz w:val="28"/>
          <w:szCs w:val="28"/>
          <w:lang w:eastAsia="zh-CN"/>
        </w:rPr>
        <w:t xml:space="preserve">年本部门机关运行经费预算</w:t>
      </w:r>
      <w:r>
        <w:rPr>
          <w:rFonts w:ascii="宋体" w:eastAsia="宋体" w:hAnsi="宋体" w:cs="宋体" w:hint="eastAsia"/>
          <w:sz w:val="28"/>
          <w:szCs w:val="28"/>
          <w:lang w:val="en-US" w:eastAsia="zh-CN"/>
        </w:rPr>
        <w:t xml:space="preserve">179.85</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183.58</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减少3.73</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下降2.03%</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工会经费预算较上年有所降低。机关运行经费主要指的是为保障行政单位运行用于购买货物和服务的各项资金，包括办公及印刷费、邮电费、差旅费、会议费、福利费、日常维修费、专用材料及一般设备购置费、办公用房水电费、办公用房物业管理费、公务用车运行维护费以及其他费用</w:t>
      </w:r>
      <w:r>
        <w:rPr>
          <w:rFonts w:ascii="宋体" w:eastAsia="宋体" w:hAnsi="宋体" w:cs="宋体" w:hint="eastAsia"/>
          <w:sz w:val="28"/>
          <w:szCs w:val="28"/>
          <w:lang w:eastAsia="zh-CN"/>
        </w:rPr>
        <w:t xml:space="preserve">。</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spacing w:line="624" w:lineRule="exact"/>
        <w:ind w:firstLine="600"/>
        <w:jc w:val="left"/>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hint="eastAsia"/>
          <w:highlight w:val="none"/>
          <w:lang w:val="en-US" w:eastAsia="zh-CN"/>
        </w:rPr>
        <w:t xml:space="preserve">39.5</w:t>
      </w:r>
      <w:r>
        <w:rPr>
          <w:rFonts w:ascii="宋体" w:eastAsia="宋体" w:hAnsi="宋体" w:cs="宋体" w:hint="eastAsia"/>
          <w:sz w:val="28"/>
          <w:szCs w:val="28"/>
          <w:lang w:eastAsia="zh-CN"/>
        </w:rPr>
        <w:t xml:space="preserve">万元。其中：货物类采购</w:t>
      </w:r>
      <w:r>
        <w:rPr>
          <w:rFonts w:hint="eastAsia"/>
          <w:highlight w:val="none"/>
          <w:lang w:val="en-US" w:eastAsia="zh-CN"/>
        </w:rPr>
        <w:t xml:space="preserve">5.5</w:t>
      </w:r>
      <w:r>
        <w:rPr>
          <w:rFonts w:ascii="宋体" w:eastAsia="宋体" w:hAnsi="宋体" w:cs="宋体" w:hint="eastAsia"/>
          <w:sz w:val="28"/>
          <w:szCs w:val="28"/>
          <w:lang w:eastAsia="zh-CN"/>
        </w:rPr>
        <w:t xml:space="preserve">万元、工程类采购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万元、服务类采购</w:t>
      </w:r>
      <w:r>
        <w:rPr>
          <w:rFonts w:hint="eastAsia"/>
          <w:highlight w:val="none"/>
          <w:lang w:val="en-US" w:eastAsia="zh-CN"/>
        </w:rPr>
        <w:t xml:space="preserve">34</w:t>
      </w:r>
      <w:r>
        <w:rPr>
          <w:rFonts w:ascii="宋体" w:eastAsia="宋体" w:hAnsi="宋体" w:cs="宋体" w:hint="eastAsia"/>
          <w:sz w:val="28"/>
          <w:szCs w:val="28"/>
          <w:lang w:eastAsia="zh-CN"/>
        </w:rPr>
        <w:t xml:space="preserve">万元。</w:t>
      </w:r>
      <w:r>
        <w:rPr>
          <w:rFonts w:cs="宋体" w:hint="eastAsia"/>
          <w:sz w:val="28"/>
          <w:szCs w:val="28"/>
          <w:lang w:val="en-US" w:eastAsia="zh-CN"/>
        </w:rPr>
        <w:t xml:space="preserve">主要用于：</w:t>
      </w:r>
      <w:r>
        <w:rPr>
          <w:rFonts w:hint="eastAsia"/>
          <w:highlight w:val="none"/>
          <w:lang w:val="en-US" w:eastAsia="zh-CN"/>
        </w:rPr>
        <w:t xml:space="preserve">办公设备、办公用纸、印刷服务、车辆保险服务、车辆加油服务、车辆维修保养服务等采购。</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highlight w:val="none"/>
          <w:lang w:val="en-US" w:eastAsia="zh-CN"/>
        </w:rPr>
        <w:t xml:space="preserve">14</w:t>
      </w:r>
      <w:r>
        <w:rPr>
          <w:rFonts w:ascii="宋体" w:eastAsia="宋体" w:hAnsi="宋体" w:cs="宋体" w:hint="eastAsia"/>
          <w:sz w:val="28"/>
          <w:szCs w:val="28"/>
          <w:lang w:eastAsia="zh-CN"/>
        </w:rPr>
        <w:t xml:space="preserve">辆，其中，应急机要通信用车</w:t>
      </w:r>
      <w:r>
        <w:rPr>
          <w:rFonts w:hint="eastAsia"/>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highlight w:val="none"/>
          <w:lang w:val="en-US" w:eastAsia="zh-CN"/>
        </w:rPr>
        <w:t xml:space="preserve">9</w:t>
      </w:r>
      <w:r>
        <w:rPr>
          <w:rFonts w:ascii="宋体" w:eastAsia="宋体" w:hAnsi="宋体" w:cs="宋体" w:hint="eastAsia"/>
          <w:sz w:val="28"/>
          <w:szCs w:val="28"/>
          <w:lang w:eastAsia="zh-CN"/>
        </w:rPr>
        <w:t xml:space="preserve">辆、特种专业技术用车</w:t>
      </w:r>
      <w:r>
        <w:rPr>
          <w:rFonts w:hint="eastAsia"/>
          <w:highlight w:val="none"/>
          <w:lang w:val="en-US" w:eastAsia="zh-CN"/>
        </w:rPr>
        <w:t xml:space="preserve">1</w:t>
      </w:r>
      <w:r>
        <w:rPr>
          <w:rFonts w:ascii="宋体" w:eastAsia="宋体" w:hAnsi="宋体" w:cs="宋体" w:hint="eastAsia"/>
          <w:sz w:val="28"/>
          <w:szCs w:val="28"/>
          <w:lang w:eastAsia="zh-CN"/>
        </w:rPr>
        <w:t xml:space="preserve">辆、其他用车</w:t>
      </w:r>
      <w:r>
        <w:rPr>
          <w:rFonts w:hint="eastAsia"/>
          <w:highlight w:val="none"/>
          <w:lang w:val="en-US" w:eastAsia="zh-CN"/>
        </w:rPr>
        <w:t xml:space="preserve">4</w:t>
      </w:r>
      <w:r>
        <w:rPr>
          <w:rFonts w:ascii="宋体" w:eastAsia="宋体" w:hAnsi="宋体" w:cs="宋体" w:hint="eastAsia"/>
          <w:sz w:val="28"/>
          <w:szCs w:val="28"/>
          <w:lang w:eastAsia="zh-CN"/>
        </w:rPr>
        <w:t xml:space="preserve">辆，单位价值200万元以上大型设备</w:t>
      </w:r>
      <w:r>
        <w:rPr>
          <w:rFonts w:hint="eastAsia"/>
          <w:highlight w:val="none"/>
          <w:lang w:val="en-US" w:eastAsia="zh-CN"/>
        </w:rPr>
        <w:t xml:space="preserve">0</w:t>
      </w:r>
      <w:r>
        <w:rPr>
          <w:rFonts w:ascii="宋体" w:eastAsia="宋体" w:hAnsi="宋体" w:cs="宋体" w:hint="eastAsia"/>
          <w:sz w:val="28"/>
          <w:szCs w:val="28"/>
          <w:lang w:eastAsia="zh-CN"/>
        </w:rPr>
        <w:t xml:space="preserve">台（套）。</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highlight w:val="none"/>
          <w:lang w:val="en-US" w:eastAsia="zh-CN"/>
        </w:rPr>
        <w:t xml:space="preserve">15</w:t>
      </w:r>
      <w:r>
        <w:rPr>
          <w:rFonts w:ascii="宋体" w:eastAsia="宋体" w:hAnsi="宋体" w:cs="宋体" w:hint="eastAsia"/>
          <w:sz w:val="28"/>
          <w:szCs w:val="28"/>
          <w:lang w:eastAsia="zh-CN"/>
        </w:rPr>
        <w:t xml:space="preserve">个，预算资金</w:t>
      </w:r>
      <w:r>
        <w:rPr>
          <w:rFonts w:hint="eastAsia"/>
          <w:highlight w:val="none"/>
          <w:lang w:val="en-US" w:eastAsia="zh-CN"/>
        </w:rPr>
        <w:t xml:space="preserve">132.13</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项目名称：食品安全监管经费。2024年度绩效目标为：不断完善和加强食品安全抽样检验工作。加强培训，提高基层监管队伍专业水平和综合素质。提高食品安全法律法规和监管内容宣传。提升食品安全检验监测能力和设备水平，高效配合日常行政执法和稽查办案。设1条数量指标：全县性食品安全周宣传次数≥1次；设1条质量指标：食品抽检不合格率≤5%；设1条时效指标：项目完成时间2024年12月31日前；设1条成本指标：项目成本≤80000元；设1条社会效益指标：辖区内重大食品安全监管责任事故发生数=0起；设1条满意度指标：重大活动食品安全保障对象满意度=100%。</w:t>
      </w:r>
    </w:p>
    <w:p>
      <w:pPr>
        <w:pStyle w:val="Bodytext|1"/>
        <w:spacing w:line="624" w:lineRule="exact"/>
        <w:ind w:firstLine="600"/>
        <w:jc w:val="left"/>
        <w:rPr>
          <w:rFonts w:hint="eastAsia"/>
          <w:highlight w:val="none"/>
          <w:lang w:val="en-US" w:eastAsia="zh-CN"/>
        </w:rPr>
      </w:pPr>
    </w:p>
    <w:p>
      <w:pPr>
        <w:pStyle w:val="Bodytext|1"/>
        <w:spacing w:line="624" w:lineRule="exact"/>
        <w:ind w:firstLine="600"/>
        <w:jc w:val="left"/>
        <w:rPr>
          <w:rFonts w:hint="default"/>
          <w:highlight w:val="none"/>
          <w:lang w:val="en-US" w:eastAsia="zh-CN"/>
        </w:rPr>
        <w:sectPr>
          <w:headerReference w:type="default" r:id="rId12"/>
          <w:footerReference w:type="default" r:id="rId13"/>
          <w:pgSz w:w="11900" w:h="16840" w:orient="portrait"/>
          <w:pgMar w:top="1440" w:right="1800" w:bottom="1440" w:left="1800" w:header="0" w:footer="3" w:gutter="0"/>
          <w:pgBorders>
            <w:top w:val="none" w:sz="0" w:space="0" w:color="auto"/>
            <w:left w:val="none" w:sz="0" w:space="0" w:color="auto"/>
            <w:bottom w:val="none" w:sz="0" w:space="0" w:color="auto"/>
            <w:right w:val="none" w:sz="0" w:space="0" w:color="auto"/>
          </w:pgBorders>
          <w:cols w:num="1" w:space="720">
            <w:col w:w="8300" w:space="720"/>
          </w:cols>
          <w:docGrid w:linePitch="360" w:charSpace="0"/>
        </w:sectPr>
      </w:pPr>
    </w:p>
    <w:p>
      <w:pPr>
        <w:pStyle w:val="Heading#1|1"/>
        <w:keepNext/>
        <w:keepLines/>
        <w:spacing w:after="980"/>
        <w:jc w:val="center"/>
      </w:pPr>
      <w:bookmarkEnd w:id="10"/>
      <w:bookmarkEnd w:id="11"/>
      <w:bookmarkEnd w:id="12"/>
      <w:r>
        <w:t xml:space="preserve">第</w:t>
      </w:r>
      <w:r>
        <w:rPr>
          <w:rFonts w:hint="eastAsia"/>
          <w:lang w:val="en-US" w:eastAsia="zh-CN"/>
        </w:rPr>
        <w:t xml:space="preserve">三</w:t>
      </w:r>
      <w:r>
        <w:t xml:space="preserve">部分</w:t>
      </w:r>
      <w:r>
        <w:rPr>
          <w:rFonts w:hint="eastAsia"/>
          <w:lang w:eastAsia="zh-CN"/>
        </w:rPr>
        <w:t xml:space="preserve">环江毛南族自治县市场监督管理局</w:t>
      </w:r>
      <w:r>
        <w:rPr>
          <w:rFonts w:ascii="Times New Roman" w:hAnsi="Times New Roman" w:cs="Times New Roman" w:hint="eastAsia"/>
          <w:sz w:val="42"/>
          <w:szCs w:val="42"/>
          <w:lang w:eastAsia="zh-CN"/>
        </w:rPr>
        <w:t xml:space="preserve">2024</w:t>
      </w:r>
      <w:r>
        <w:rPr>
          <w:rFonts w:ascii="Times New Roman" w:hAnsi="Times New Roman" w:cs="Times New Roman"/>
          <w:sz w:val="42"/>
          <w:u w:color="auto"/>
        </w:rPr>
        <w:t xml:space="preserve">年</w:t>
      </w:r>
      <w:r>
        <w:t xml:space="preserve">部门预算表</w:t>
      </w:r>
    </w:p>
    <w:p>
      <w:pPr>
        <w:pStyle w:val="Heading#2|1"/>
        <w:keepNext/>
        <w:keepLines/>
        <w:spacing w:after="240"/>
        <w:jc w:val="center"/>
      </w:pPr>
      <w:bookmarkStart w:id="16" w:name="bookmark29"/>
      <w:bookmarkStart w:id="17" w:name="bookmark30"/>
      <w:bookmarkStart w:id="18" w:name="bookmark31"/>
      <w:r>
        <w:t xml:space="preserve">收支总体情况表</w:t>
      </w:r>
      <w:bookmarkEnd w:id="16"/>
      <w:bookmarkEnd w:id="17"/>
      <w:bookmarkEnd w:id="18"/>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环江毛南族自治县市场监督管理局</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1854.94</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1528.15</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729.13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1125.81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174.07</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152.72</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1854.94</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1854.94</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1854.94</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1854.94</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4"/>
          <w:footerReference w:type="default" r:id="rId15"/>
          <w:pgSz w:w="16840" w:h="11900" w:orient="landscape"/>
          <w:pgMar w:top="2397" w:right="761" w:bottom="1966" w:left="739" w:header="0" w:footer="3" w:gutter="0"/>
          <w:pgBorders>
            <w:top w:val="none" w:sz="0" w:space="0" w:color="auto"/>
            <w:left w:val="none" w:sz="0" w:space="0" w:color="auto"/>
            <w:bottom w:val="none" w:sz="0" w:space="0" w:color="auto"/>
            <w:right w:val="none" w:sz="0" w:space="0" w:color="auto"/>
          </w:pgBorders>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环江毛南族自治县市场监督管理局</w:t>
            </w:r>
            <w:r>
              <w:rPr>
                <w:rFonts w:hint="eastAsia"/>
                <w:lang w:val="en-US" w:eastAsia="zh-CN"/>
              </w:rPr>
              <w:t xml:space="preserve">                                                                                  </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tcPr>
          <w:p>
            <w:pPr>
              <w:tabs>
                <w:tab w:val="left" w:pos="859"/>
              </w:tabs>
              <w:jc w:val="both"/>
              <w:rPr>
                <w:rFonts w:eastAsia="宋体" w:hint="eastAsia"/>
                <w:vertAlign w:val="baseline"/>
                <w:lang w:val="en-US" w:eastAsia="zh-CN"/>
              </w:rPr>
            </w:pPr>
            <w:r>
              <w:rPr>
                <w:sz w:val="17"/>
                <w:szCs w:val="17"/>
              </w:rPr>
              <w:t xml:space="preserve">部门（单位）代码</w:t>
            </w:r>
          </w:p>
        </w:tc>
        <w:tc>
          <w:tcPr>
            <w:tcW w:w="1279" w:type="dxa"/>
            <w:vMerge w:val="restart"/>
          </w:tcPr>
          <w:p>
            <w:pPr>
              <w:tabs>
                <w:tab w:val="left" w:pos="859"/>
              </w:tabs>
              <w:jc w:val="both"/>
              <w:rPr>
                <w:rFonts w:eastAsia="宋体" w:hint="eastAsia"/>
                <w:vertAlign w:val="baseline"/>
                <w:lang w:val="en-US" w:eastAsia="zh-CN"/>
              </w:rPr>
            </w:pPr>
            <w:r>
              <w:rPr>
                <w:sz w:val="17"/>
                <w:szCs w:val="17"/>
              </w:rPr>
              <w:t xml:space="preserve">部门（单位）名称</w:t>
            </w:r>
          </w:p>
        </w:tc>
        <w:tc>
          <w:tcPr>
            <w:tcW w:w="990" w:type="dxa"/>
            <w:vMerge w:val="restart"/>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4871" w:type="dxa"/>
            <w:gridSpan w:val="5"/>
          </w:tcPr>
          <w:p>
            <w:pPr>
              <w:tabs>
                <w:tab w:val="left" w:pos="859"/>
              </w:tabs>
              <w:jc w:val="both"/>
              <w:rPr>
                <w:rFonts w:eastAsia="宋体" w:hint="eastAsia"/>
                <w:vertAlign w:val="baseline"/>
                <w:lang w:val="en-US" w:eastAsia="zh-CN"/>
              </w:rPr>
            </w:pPr>
            <w:r>
              <w:rPr>
                <w:sz w:val="17"/>
                <w:szCs w:val="17"/>
              </w:rPr>
              <w:t xml:space="preserve">本年收入</w:t>
            </w:r>
          </w:p>
        </w:tc>
        <w:tc>
          <w:tcPr>
            <w:tcW w:w="6781" w:type="dxa"/>
            <w:gridSpan w:val="8"/>
          </w:tcPr>
          <w:p>
            <w:pPr>
              <w:tabs>
                <w:tab w:val="left" w:pos="859"/>
              </w:tabs>
              <w:jc w:val="both"/>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both"/>
              <w:rPr>
                <w:rFonts w:eastAsia="宋体" w:hint="eastAsia"/>
                <w:vertAlign w:val="baseline"/>
                <w:lang w:val="en-US" w:eastAsia="zh-CN"/>
              </w:rPr>
            </w:pPr>
          </w:p>
        </w:tc>
        <w:tc>
          <w:tcPr>
            <w:tcW w:w="1279" w:type="dxa"/>
            <w:vMerge/>
          </w:tcPr>
          <w:p>
            <w:pPr>
              <w:tabs>
                <w:tab w:val="left" w:pos="859"/>
              </w:tabs>
              <w:jc w:val="both"/>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left"/>
              <w:rPr>
                <w:rFonts w:eastAsia="宋体" w:hint="eastAsia"/>
                <w:vertAlign w:val="baseline"/>
                <w:lang w:val="en-US" w:eastAsia="zh-CN"/>
              </w:rPr>
            </w:pP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116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3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44"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firstLine="0" w:firstLineChars="0"/>
              <w:jc w:val="left"/>
              <w:rPr>
                <w:rFonts w:eastAsia="宋体" w:hint="eastAsia"/>
                <w:vertAlign w:val="baseline"/>
                <w:lang w:val="en-US" w:eastAsia="zh-CN"/>
              </w:rPr>
            </w:pPr>
            <w:r>
              <w:rPr>
                <w:sz w:val="17"/>
                <w:szCs w:val="17"/>
              </w:rPr>
              <w:t xml:space="preserve">收入</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sz w:val="17"/>
                <w:szCs w:val="17"/>
              </w:rPr>
              <w:t xml:space="preserve">单位资金</w:t>
            </w:r>
          </w:p>
        </w:tc>
        <w:tc>
          <w:tcPr>
            <w:tcW w:w="1035"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72"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right="280" w:firstLine="0" w:rightChars="0" w:firstLineChars="0"/>
              <w:jc w:val="left"/>
              <w:rPr>
                <w:rFonts w:eastAsia="宋体" w:hint="eastAsia"/>
                <w:vertAlign w:val="baseline"/>
                <w:lang w:val="en-US" w:eastAsia="zh-CN"/>
              </w:rPr>
            </w:pPr>
            <w:r>
              <w:rPr>
                <w:sz w:val="17"/>
                <w:szCs w:val="17"/>
              </w:rPr>
              <w:t xml:space="preserve">收入</w:t>
            </w:r>
          </w:p>
        </w:tc>
        <w:tc>
          <w:tcPr>
            <w:tcW w:w="1054" w:type="dxa"/>
            <w:vAlign w:val="center"/>
          </w:tcPr>
          <w:p>
            <w:pPr>
              <w:pStyle w:val="Other|1"/>
              <w:spacing w:line="240" w:lineRule="auto"/>
              <w:ind w:firstLine="140" w:firstLineChars="0"/>
              <w:jc w:val="left"/>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1161"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103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844"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856"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1035"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872" w:type="dxa"/>
            <w:vAlign w:val="center"/>
          </w:tcPr>
          <w:p>
            <w:pPr>
              <w:pStyle w:val="Other|1"/>
              <w:spacing w:line="240" w:lineRule="auto"/>
              <w:ind w:right="38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1054" w:type="dxa"/>
            <w:vAlign w:val="center"/>
          </w:tcPr>
          <w:p>
            <w:pPr>
              <w:pStyle w:val="Other|1"/>
              <w:spacing w:line="240" w:lineRule="auto"/>
              <w:ind w:right="42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 </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hint="eastAsia"/>
                <w:sz w:val="17"/>
                <w:szCs w:val="17"/>
                <w:lang w:val="en-US" w:eastAsia="zh-CN"/>
              </w:rPr>
              <w:t xml:space="preserve">合计</w:t>
            </w: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1854.94</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1854.94</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1854.94</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150001</w:t>
            </w:r>
          </w:p>
        </w:tc>
        <w:tc>
          <w:tcPr>
            <w:tcW w:w="1279" w:type="dxa"/>
          </w:tcPr>
          <w:p>
            <w:pPr>
              <w:pStyle w:val="Other|1"/>
              <w:spacing w:line="326" w:lineRule="exact"/>
              <w:ind w:firstLine="0" w:firstLineChars="0"/>
              <w:jc w:val="left"/>
              <w:rPr>
                <w:rFonts w:eastAsia="宋体" w:hint="eastAsia"/>
                <w:vertAlign w:val="baseline"/>
                <w:lang w:val="en-US" w:eastAsia="zh-CN"/>
              </w:rPr>
            </w:pP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1854.94</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1854.94</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1854.94</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6"/>
          <w:footerReference w:type="default" r:id="rId17"/>
          <w:pgSz w:w="16840" w:h="11900" w:orient="landscape"/>
          <w:pgMar w:top="2709" w:right="764" w:bottom="2709" w:left="735" w:header="2281"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2|1"/>
        <w:keepNext/>
        <w:keepLines/>
        <w:spacing w:after="240"/>
        <w:jc w:val="center"/>
      </w:pPr>
      <w:bookmarkStart w:id="19" w:name="bookmark41"/>
      <w:bookmarkStart w:id="20" w:name="bookmark42"/>
      <w:bookmarkStart w:id="21" w:name="bookmark43"/>
      <w:r>
        <w:t xml:space="preserve">支出总体情况表</w:t>
      </w:r>
      <w:bookmarkEnd w:id="19"/>
      <w:bookmarkEnd w:id="20"/>
      <w:bookmarkEnd w:id="21"/>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环江毛南族自治县市场监督管理局</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1854.94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1722.81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132.13</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150001</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1854.94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1722.81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132.13</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14.75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14.75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2013801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行政运行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1386.57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1381.27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5.30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2013802</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一般行政管理事务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2013804</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市场主体管理</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8.40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8.40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2013805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市场秩序执法</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16.20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16.20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2013810</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质量基础</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7.60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7.60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2013812</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药品事务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1.80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1.80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2013813</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医疗器械事务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1.80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1.80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2013815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质量安全监管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3.50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3.50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2013816</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食品安全监管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75.53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75.53</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2013899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其他市场监督管理事务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174.07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174.07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152.72</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152.72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2" w:name="bookmark46"/>
      <w:bookmarkStart w:id="23" w:name="bookmark45"/>
      <w:bookmarkStart w:id="24" w:name="bookmark44"/>
      <w:r>
        <w:t xml:space="preserve">财政拨款收支总体情况表</w:t>
      </w:r>
      <w:bookmarkEnd w:id="22"/>
      <w:bookmarkEnd w:id="23"/>
      <w:bookmarkEnd w:id="24"/>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环江毛南族自治县市场监督管理局</w:t>
            </w:r>
            <w:r>
              <w:rPr>
                <w:rFonts w:hint="eastAsia"/>
                <w:sz w:val="17"/>
                <w:szCs w:val="17"/>
                <w:lang w:val="en-US" w:eastAsia="zh-CN"/>
              </w:rPr>
              <w:t xml:space="preserve">                         </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1854.94</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1528.15</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729.13</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1125.81</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174.07</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152.72</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1854.94</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1854.94</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1854.94</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1854.94</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环江毛南族自治县市场监督管理局</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150001</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1854.94</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1722.81</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1542.96</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179.85</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132.13</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14.75</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14.75</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14.75</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2013801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行政运行</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1386.57</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1381.26</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1216.17</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165.09</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5.30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2013802</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一般行政管理事务</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2013804</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市场主体管理</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8.40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8.40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2013805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市场秩序执法</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16.20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16.20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2013810</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质量基础</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7.60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7.60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2013812</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药品事务</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1.80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1.80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2013813</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医疗器械事务</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1.80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1.80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2013815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质量安全监管</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3.50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3.50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2013816</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食品安全监管</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75.53</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75.53</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2013899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其他市场监督管理事务</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174.07</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174.07</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174.07</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152.72</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152.72</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152.72</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5" w:name="bookmark57"/>
      <w:bookmarkStart w:id="26" w:name="bookmark56"/>
      <w:bookmarkStart w:id="27" w:name="bookmark58"/>
      <w:r>
        <w:t xml:space="preserve">一般公共预算基本支出情况表</w:t>
      </w:r>
      <w:bookmarkEnd w:id="25"/>
      <w:bookmarkEnd w:id="26"/>
      <w:bookmarkEnd w:id="27"/>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环江毛南族自治县市场监督管理局</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 </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1722.82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1542.97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179.85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1471.32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1471.32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449.67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449.67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234.69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234.69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362.07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362.07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19.37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19.37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175.56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175.56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70.22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70.22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1.74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1.74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152.72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152.72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5.28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5.28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179.85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179.85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10.55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10.55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印刷费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邮电费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22.90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22.90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维修（护）费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培训费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公务接待费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劳务费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委托业务费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14.75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14.75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30231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公务用车运行维护费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32.20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32.20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30239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其他交通费用</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88.44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88.44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71.65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71.65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退休费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63.08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63.08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生活补助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8.57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8.57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资本性支出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办公设备购置</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专用设备购置</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8" w:name="bookmark65"/>
      <w:bookmarkStart w:id="29" w:name="bookmark67"/>
      <w:bookmarkStart w:id="30" w:name="bookmark66"/>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环江毛南族自治县市场监督管理局</w:t>
            </w:r>
            <w:r>
              <w:rPr>
                <w:rFonts w:ascii="宋体" w:eastAsia="宋体" w:hAnsi="宋体" w:cs="宋体"/>
                <w:sz w:val="16"/>
                <w:u w:color="auto"/>
              </w:rPr>
              <w:t xml:space="preserve">                                           </w:t>
            </w:r>
            <w:r>
              <w:rPr>
                <w:rFonts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150001</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36.20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32.20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32.20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4.00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8"/>
      <w:bookmarkEnd w:id="29"/>
      <w:bookmarkEnd w:id="30"/>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环江毛南族自治县市场监督管理局</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bookmarkStart w:id="31" w:name="_GoBack"/>
      <w:bookmarkEnd w:id="31"/>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环江毛南族自治县市场监督管理局</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环江毛南族自治县市场监督管理局</w:t>
            </w:r>
            <w:r>
              <w:rPr>
                <w:rFonts w:cs="宋体" w:hint="eastAsia"/>
                <w:sz w:val="17"/>
                <w:szCs w:val="17"/>
                <w:lang w:val="en-US" w:eastAsia="zh-CN"/>
              </w:rPr>
              <w:t xml:space="preserve">            </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150001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环江毛南族自治县市场监督管理局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市场主体管理经费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8.40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有序开展企业、个体工商户的注册登记及商标广告管理等工作，并通过宣传使各企事业单位和个体经营户了解到市场管理部门的有关法律法规，促进我县经济健康有序发展。</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150001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环江毛南族自治县市场监督管理局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市场秩序执法经费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16.20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加强培训，提高基层监管队伍专业水平和综合素质；保持“打非”高压态势，加大执法力度，整顿企业违法违规生产经营；加强企业监管力度，保护公平竞争，促进经济有序发展；进一步完善12315消费者申诉举报服务网络，及时解决消费纠纷，严厉查处侵害消费者权益的案件。</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150001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环江毛南族自治县市场监督管理局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质量基础经费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7.60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完善社会公用计量标准体系，构建公共计量检测服务平台。加大执法力度，强化对重点产品的质量监督抽查和监督检验。及时更新已不符合新规程要求的计量器具，从源头上把好计量关，提高计量服务水平、加强计量管理力度。</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150001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环江毛南族自治县市场监督管理局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药品事务经费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1.80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加强培训，提高基层监管队伍专业水平和综合素质；提升药品不良反应监测能力；不断完善和加强“两品一械”安全抽样检验工作，高效配合日常行政执法和稽查办案；提升“两品一械”检验检测能力。</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150001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环江毛南族自治县市场监督管理局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医疗器械事务经费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1.80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加强培训，提高基层监管队伍专业水平和综合素质；不断完善和加强“两品一械”安全抽样检验工作，高效配合日常行政执法和稽查办案；提升“两品一械”检验检测能力。</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150001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环江毛南族自治县市场监督管理局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质量安全监管经费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3.50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加强特种设备监管力度，确保辖区特种设备安全，组织打击、取缔特种设备非法生产点，查处非法使用特种设备的违法行为，保护群众生命财产安全。</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150001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环江毛南族自治县市场监督管理局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食品安全监管经费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8.00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不断完善和加强食品安全抽样检验工作。加强培训，提高基层监管队伍专业水平和综合素质。提高食品安全法律法规和监管内容宣传。提升食品安全检验监测能力和设备水平，高效配合日常行政执法和稽查办案。</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150001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环江毛南族自治县市场监督管理局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一般行政管理事务经费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按照基层规范化建设要求，实现市场监管系统体制规范化、服务发展规范化、教育管理规范化、工作机制规范化、工作保障规范化。</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150001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环江毛南族自治县市场监督管理局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党组织生活经费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0.50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加强对党员的教育、管理和监督，提高党员素质，维护党员队伍纯洁性，保持党的先进性和战斗力。</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150001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环江毛南族自治县市场监督管理局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河财行[2022]13号《河池市财政局关于下达2022年自治区食品药品安全资金的通知》一般性转移支付资金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2022年内完成738批次的食品经营环节快速检验任务。</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150001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环江毛南族自治县市场监督管理局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2023年自治区食品药品监管补助资金(食品部分)</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58.13</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不断完善和加强食品安全抽样检验工作。加强培训，提高基层监管队伍专业水平和综合素质。提高食品安全法律法规和监管内容宣传。提升食品安全检验监测能力和设备水平，高效配合日常行政执法和稽查办案。</w:t>
            </w:r>
            <w:r>
              <w:rPr>
                <w:rFonts w:ascii="宋体" w:eastAsia="宋体" w:hAnsi="宋体" w:cs="宋体" w:hint="eastAsia"/>
                <w:b/>
                <w:bCs/>
                <w:sz w:val="17"/>
                <w:szCs w:val="17"/>
                <w:lang w:val="en-US" w:eastAsia="zh-CN"/>
              </w:rPr>
              <w:br/>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150001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环江毛南族自治县市场监督管理局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法治政府建设工作</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设区市、县（市、区）党委和政府及所属工作部门（以下简称“党政机关”）年内作出重大决策前按规定安排法律顾问参与或听取法律顾问意见得2分；2.设区市政府及所属各部门、各县级政府新出台的政策措施公平竞争审查应审尽审，每发现1份未进行审查扣0.2分；存在违反审查标准的，每起扣0.4分；违反审查标准未及时停止或调整的，每起扣 0.4分；涉嫌排除、限制竞争问题，未及时核查、改正、上报或反馈有关方面的，每起扣 0.4 分；因违反审查标准规定，构成排除、限制竞争行为，被依法处理建议的，每起扣0.8分。以上扣完2分为止。</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150001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环江毛南族自治县市场监督管理局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知识产权工作经费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保持“打击侵犯知识产权和制售假冒伪劣商品工作”高压态势，加大执法力度；加强商标、广告的监督管理，查处商标侵权和虚假广告违法案件以及其它商标广告违法案件，指导全县广告行业发展及企业商标注册、驰名商标、著名商标培育发展工作。</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150001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环江毛南族自治县市场监督管理局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食品药品安全村级协管员工资</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8.40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年内按时发放协管员工资。</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150001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环江毛南族自治县市场监督管理局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聘请保安服务费用</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4.80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按时支付保安服务费。</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18"/>
          <w:footerReference w:type="default" r:id="rId19"/>
          <w:pgSz w:w="16840" w:h="11900" w:orient="landscape"/>
          <w:pgMar w:top="2714" w:right="764" w:bottom="2714" w:left="735" w:header="2286"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1|1"/>
        <w:keepNext/>
        <w:keepLines/>
        <w:spacing w:before="200" w:after="0"/>
        <w:jc w:val="center"/>
      </w:pPr>
      <w:bookmarkStart w:id="32" w:name="bookmark95"/>
      <w:bookmarkStart w:id="33" w:name="bookmark96"/>
      <w:bookmarkStart w:id="34" w:name="bookmark94"/>
      <w:r>
        <w:t xml:space="preserve">第四部分名词解释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0"/>
      <w:footerReference w:type="default" r:id="rId21"/>
      <w:type w:val="continuous"/>
      <w:pgSz w:w="11900" w:h="16840" w:orient="portrait"/>
      <w:pgMar w:top="1302" w:right="1735" w:bottom="1568" w:left="1793" w:header="874" w:footer="3" w:gutter="0"/>
      <w:pgBorders>
        <w:top w:val="none" w:sz="0" w:space="0" w:color="auto"/>
        <w:left w:val="none" w:sz="0" w:space="0" w:color="auto"/>
        <w:bottom w:val="none" w:sz="0" w:space="0" w:color="auto"/>
        <w:right w:val="none" w:sz="0" w:space="0" w:color="auto"/>
      </w:pgBorders>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5796"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10553"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5797"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10554"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2"/>
      <w:numFmt w:val="decimal"/>
      <w:suff w:val="tab"/>
      <w:lvlText w:val="%1."/>
      <w:lvlJc w:val="left"/>
      <w:pPr>
        <w:tabs>
          <w:tab w:val="left" w:pos="312"/>
        </w:tabs>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20"/>
  <w:doNotDisplayPageBoundaries/>
  <w:bordersDoNotSurroundFooter w:val="0"/>
  <w:bordersDoNotSurroundHeader w:val="0"/>
  <w:doNotTrackMoves/>
  <w:documentProtection w:enforcement="1" w:edit="readOnly" w:salt="rxHTiuDf2Uvr5HDAk8Y3BA==" w:hash="7O7NvSAqTOYERIyPdp/Otu55shWB6BgbR2hHNnahWyGCONukQljbnf+XkCarfLsSyy2fCupaDOICQl8Z5GEWPg=="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OGMwZTIwMjA5OTI4N2MwODc2NzEzYWVkMzg3YjQ5N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5.xml" Type="http://schemas.openxmlformats.org/officeDocument/2006/relationships/chart"/><Relationship Id="rId11" Target="charts/chart6.xml" Type="http://schemas.openxmlformats.org/officeDocument/2006/relationships/chart"/><Relationship Id="rId12" Target="header1.xml" Type="http://schemas.openxmlformats.org/officeDocument/2006/relationships/head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theme/theme1.xml" Type="http://schemas.openxmlformats.org/officeDocument/2006/relationships/theme"/><Relationship Id="rId23" Target="styles.xml" Type="http://schemas.openxmlformats.org/officeDocument/2006/relationships/styles"/><Relationship Id="rId24" Target="webSettings.xml" Type="http://schemas.openxmlformats.org/officeDocument/2006/relationships/webSettings"/><Relationship Id="rId25" Target="numbering.xml" Type="http://schemas.openxmlformats.org/officeDocument/2006/relationships/numbering"/><Relationship Id="rId26" Target="fontTable.xml" Type="http://schemas.openxmlformats.org/officeDocument/2006/relationships/fontTable"/><Relationship Id="rId27"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footer1.xml" Type="http://schemas.openxmlformats.org/officeDocument/2006/relationships/footer"/><Relationship Id="rId6" Target="charts/chart1.xml" Type="http://schemas.openxmlformats.org/officeDocument/2006/relationships/chart"/><Relationship Id="rId7" Target="charts/chart2.xml" Type="http://schemas.openxmlformats.org/officeDocument/2006/relationships/chart"/><Relationship Id="rId8" Target="charts/chart3.xml" Type="http://schemas.openxmlformats.org/officeDocument/2006/relationships/chart"/><Relationship Id="rId9" Target="charts/chart4.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1854.94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Sheet1!$A$2:$A$4</c:f>
              <c:strCache>
                <c:ptCount val="3"/>
                <c:pt idx="0">
                  <c:v>一般公共服务支出</c:v>
                </c:pt>
                <c:pt idx="1">
                  <c:v>社会保障和就业支出</c:v>
                </c:pt>
                <c:pt idx="2">
                  <c:v>住房保障支出</c:v>
                </c:pt>
              </c:strCache>
            </c:strRef>
          </c:cat>
          <c:val>
            <c:numRef>
              <c:f>Sheet1!$B$2:$B$4</c:f>
              <c:numCache>
                <c:ptCount val="3"/>
                <c:pt idx="0">
                  <c:v>799.02</c:v>
                </c:pt>
                <c:pt idx="1">
                  <c:v>174.07</c:v>
                </c:pt>
                <c:pt idx="2">
                  <c:v>152.72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Sheet1!$A$2:$A$3</c:f>
              <c:strCache>
                <c:ptCount val="2"/>
                <c:pt idx="0">
                  <c:v>支出</c:v>
                </c:pt>
                <c:pt idx="1">
                  <c:v>收入</c:v>
                </c:pt>
              </c:strCache>
            </c:strRef>
          </c:cat>
          <c:val>
            <c:numRef>
              <c:f>Sheet1!$B$2:$B$3</c:f>
              <c:numCache>
                <c:formatCode>General</c:formatCode>
                <c:ptCount val="2"/>
                <c:pt idx="0">
                  <c:v>1595.88</c:v>
                </c:pt>
                <c:pt idx="1">
                  <c:v>1595.88</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Sheet1!$A$2:$A$3</c:f>
              <c:strCache>
                <c:ptCount val="2"/>
                <c:pt idx="0">
                  <c:v>支出</c:v>
                </c:pt>
                <c:pt idx="1">
                  <c:v>收入</c:v>
                </c:pt>
              </c:strCache>
            </c:strRef>
          </c:cat>
          <c:val>
            <c:numRef>
              <c:f>Sheet1!$C$2:$C$3</c:f>
              <c:numCache>
                <c:formatCode>General</c:formatCode>
                <c:ptCount val="2"/>
                <c:pt idx="0">
                  <c:v>1795.81</c:v>
                </c:pt>
                <c:pt idx="1">
                  <c:v>1795.81</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1722.81</c:v>
                </c:pt>
              </c:numCache>
            </c:numRef>
          </c:val>
        </c:ser>
        <c:ser>
          <c:idx val="1"/>
          <c:order val="1"/>
          <c:tx>
            <c:strRef>
              <c:f>Sheet1!$C$1</c:f>
              <c:strCache>
                <c:ptCount val="1"/>
                <c:pt idx="0">
                  <c:v>结转下年支出</c:v>
                </c:pt>
              </c:strCache>
            </c:strRef>
          </c:tx>
          <c:cat>
            <c:strRef>
              <c:f>Sheet1!$A$2</c:f>
              <c:strCache>
                <c:ptCount val="1"/>
                <c:pt idx="0">
                  <c:v>上年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上年</c:v>
                </c:pt>
              </c:strCache>
            </c:strRef>
          </c:cat>
          <c:val>
            <c:numRef>
              <c:f>Sheet1!$D$2</c:f>
              <c:numCache>
                <c:ptCount val="1"/>
                <c:pt idx="0">
                  <c:v>73.0</c:v>
                </c:pt>
              </c:numCache>
            </c:numRef>
          </c:val>
        </c:ser>
        <c:ser>
          <c:idx val="3"/>
          <c:order val="3"/>
          <c:tx>
            <c:strRef>
              <c:f>Sheet1!$E$1</c:f>
              <c:strCache>
                <c:ptCount val="1"/>
                <c:pt idx="0">
                  <c:v>公用经费</c:v>
                </c:pt>
              </c:strCache>
            </c:strRef>
          </c:tx>
          <c:cat>
            <c:strRef>
              <c:f>Sheet1!$A$2</c:f>
              <c:strCache>
                <c:ptCount val="1"/>
                <c:pt idx="0">
                  <c:v>上年</c:v>
                </c:pt>
              </c:strCache>
            </c:strRef>
          </c:cat>
          <c:val>
            <c:numRef>
              <c:f>Sheet1!$E$2</c:f>
              <c:numCache>
                <c:ptCount val="1"/>
                <c:pt idx="0">
                  <c:v>179.85</c:v>
                </c:pt>
              </c:numCache>
            </c:numRef>
          </c:val>
        </c:ser>
        <c:ser>
          <c:idx val="4"/>
          <c:order val="4"/>
          <c:tx>
            <c:strRef>
              <c:f>Sheet1!$F$1</c:f>
              <c:strCache>
                <c:ptCount val="1"/>
                <c:pt idx="0">
                  <c:v>人员经费</c:v>
                </c:pt>
              </c:strCache>
            </c:strRef>
          </c:tx>
          <c:cat>
            <c:strRef>
              <c:f>Sheet1!$A$2</c:f>
              <c:strCache>
                <c:ptCount val="1"/>
                <c:pt idx="0">
                  <c:v>上年</c:v>
                </c:pt>
              </c:strCache>
            </c:strRef>
          </c:cat>
          <c:val>
            <c:numRef>
              <c:f>Sheet1!$F$2</c:f>
              <c:numCache>
                <c:ptCount val="1"/>
                <c:pt idx="0">
                  <c:v>1542.96</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1542.96</c:v>
                </c:pt>
                <c:pt idx="1">
                  <c:v>179.85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4.5</c:v>
                </c:pt>
                <c:pt idx="2">
                  <c:v>32.2</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4.0</c:v>
                </c:pt>
                <c:pt idx="2">
                  <c:v>32.2</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向左走</cp:lastModifiedBy>
  <dcterms:modified xsi:type="dcterms:W3CDTF">2024-02-26T10:01:48Z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10</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FE193AB58C2A4C168D34CB3A6F7CE640_13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10</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向左走</cp:lastModifiedBy>
  <dcterms:modified xsi:type="dcterms:W3CDTF">2024-02-27T10:12:19Z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FE193AB58C2A4C168D34CB3A6F7CE640_13</vt:lpstr>
  </property>
</Properties>
</file>