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lang w:eastAsia="zh-CN"/>
        </w:rPr>
      </w:pPr>
      <w:bookmarkStart w:id="43" w:name="_GoBack"/>
      <w:bookmarkEnd w:id="43"/>
      <w:r>
        <w:rPr>
          <w:rFonts w:hint="eastAsia"/>
          <w:lang w:eastAsia="zh-CN"/>
        </w:rPr>
        <w:t>环江毛南族自治县大数据发展局</w:t>
      </w:r>
    </w:p>
    <w:p>
      <w:pPr>
        <w:pStyle w:val="10"/>
        <w:jc w:val="center"/>
        <w:sectPr>
          <w:pgSz w:w="11900" w:h="16840"/>
          <w:pgMar w:top="4713" w:right="1913" w:bottom="4713" w:left="2020" w:header="4285" w:footer="4285" w:gutter="0"/>
          <w:pgBorders>
            <w:top w:val="none" w:sz="0" w:space="0"/>
            <w:left w:val="none" w:sz="0" w:space="0"/>
            <w:bottom w:val="none" w:sz="0" w:space="0"/>
            <w:right w:val="none" w:sz="0" w:space="0"/>
          </w:pgBorders>
          <w:pgNumType w:start="1"/>
          <w:cols w:space="720" w:num="1"/>
          <w:docGrid w:linePitch="360" w:charSpace="0"/>
        </w:sectPr>
      </w:pPr>
      <w:r>
        <w:rPr>
          <w:rFonts w:hint="eastAsia"/>
          <w:lang w:eastAsia="zh-CN"/>
        </w:rPr>
        <w:t>2024</w:t>
      </w:r>
      <w:r>
        <w:rPr>
          <w:rFonts w:ascii="Times New Roman" w:hAnsi="Times New Roman" w:eastAsia="Times New Roman" w:cs="Times New Roman"/>
          <w:sz w:val="56"/>
          <w:u w:color="auto"/>
        </w:rPr>
        <w:t>年</w:t>
      </w:r>
      <w:r>
        <w:t>度部门预算</w:t>
      </w:r>
    </w:p>
    <w:p>
      <w:pPr>
        <w:pStyle w:val="12"/>
        <w:keepNext/>
        <w:keepLines/>
        <w:spacing w:after="240"/>
        <w:jc w:val="center"/>
      </w:pPr>
      <w:bookmarkStart w:id="0" w:name="bookmark2"/>
      <w:bookmarkStart w:id="1" w:name="bookmark1"/>
      <w:bookmarkStart w:id="2" w:name="bookmark0"/>
      <w:r>
        <w:t>目录</w:t>
      </w:r>
      <w:bookmarkEnd w:id="0"/>
      <w:bookmarkEnd w:id="1"/>
      <w:bookmarkEnd w:id="2"/>
    </w:p>
    <w:p>
      <w:pPr>
        <w:pStyle w:val="16"/>
        <w:ind w:left="0" w:leftChars="0" w:firstLine="320" w:firstLineChars="100"/>
        <w:jc w:val="left"/>
      </w:pPr>
      <w:r>
        <w:t>第一部分</w:t>
      </w:r>
      <w:r>
        <w:rPr>
          <w:rFonts w:hint="eastAsia"/>
          <w:lang w:eastAsia="zh-CN"/>
        </w:rPr>
        <w:t>：</w:t>
      </w:r>
      <w:r>
        <w:rPr>
          <w:u w:color="auto"/>
        </w:rPr>
        <w:t>环江毛南族自治县大数据发展局单位</w:t>
      </w:r>
      <w:r>
        <w:t>概况</w:t>
      </w:r>
    </w:p>
    <w:p>
      <w:pPr>
        <w:pStyle w:val="16"/>
        <w:jc w:val="left"/>
      </w:pPr>
      <w:r>
        <w:rPr>
          <w:lang w:val="en-US" w:eastAsia="zh-CN" w:bidi="en-US"/>
        </w:rPr>
        <w:t>—</w:t>
      </w:r>
      <w:r>
        <w:t>、主要职责</w:t>
      </w:r>
    </w:p>
    <w:p>
      <w:pPr>
        <w:pStyle w:val="16"/>
        <w:jc w:val="left"/>
        <w:rPr>
          <w:rFonts w:hint="eastAsia"/>
        </w:rPr>
      </w:pPr>
      <w:r>
        <w:rPr>
          <w:rFonts w:hint="eastAsia"/>
          <w:lang w:val="en-US" w:eastAsia="zh-CN"/>
        </w:rPr>
        <w:t>二、</w:t>
      </w:r>
      <w:r>
        <w:rPr>
          <w:rFonts w:hint="eastAsia"/>
        </w:rPr>
        <w:t>机构设置情况</w:t>
      </w:r>
    </w:p>
    <w:p>
      <w:pPr>
        <w:pStyle w:val="16"/>
        <w:ind w:left="0" w:leftChars="0" w:firstLine="320" w:firstLineChars="100"/>
        <w:jc w:val="left"/>
      </w:pPr>
      <w:r>
        <w:t>第二部分</w:t>
      </w:r>
      <w:r>
        <w:rPr>
          <w:rFonts w:hint="eastAsia"/>
          <w:lang w:eastAsia="zh-CN"/>
        </w:rPr>
        <w:t>：</w:t>
      </w:r>
      <w:r>
        <w:rPr>
          <w:u w:color="auto"/>
        </w:rPr>
        <w:t>环江毛南族自治县大数据发展局2024</w:t>
      </w:r>
      <w:r>
        <w:t>部门预算情况说明</w:t>
      </w:r>
    </w:p>
    <w:p>
      <w:pPr>
        <w:pStyle w:val="16"/>
        <w:numPr>
          <w:ilvl w:val="0"/>
          <w:numId w:val="0"/>
        </w:numPr>
        <w:ind w:firstLine="640" w:firstLineChars="200"/>
        <w:jc w:val="left"/>
        <w:rPr>
          <w:rFonts w:hint="eastAsia"/>
        </w:rPr>
      </w:pPr>
      <w:r>
        <w:rPr>
          <w:rFonts w:hint="eastAsia"/>
        </w:rPr>
        <w:t>一、部门收支总体情况说明</w:t>
      </w:r>
    </w:p>
    <w:p>
      <w:pPr>
        <w:pStyle w:val="16"/>
        <w:numPr>
          <w:ilvl w:val="0"/>
          <w:numId w:val="0"/>
        </w:numPr>
        <w:ind w:firstLine="640" w:firstLineChars="200"/>
        <w:jc w:val="left"/>
        <w:rPr>
          <w:rFonts w:hint="eastAsia"/>
        </w:rPr>
      </w:pPr>
      <w:r>
        <w:rPr>
          <w:rFonts w:hint="eastAsia"/>
        </w:rPr>
        <w:t>二、部门收入总体情况说明</w:t>
      </w:r>
    </w:p>
    <w:p>
      <w:pPr>
        <w:pStyle w:val="16"/>
        <w:numPr>
          <w:ilvl w:val="0"/>
          <w:numId w:val="0"/>
        </w:numPr>
        <w:ind w:firstLine="640" w:firstLineChars="200"/>
        <w:jc w:val="left"/>
        <w:rPr>
          <w:rFonts w:hint="eastAsia"/>
        </w:rPr>
      </w:pPr>
      <w:r>
        <w:rPr>
          <w:rFonts w:hint="eastAsia"/>
        </w:rPr>
        <w:t>三、部门支出总体情况说明</w:t>
      </w:r>
    </w:p>
    <w:p>
      <w:pPr>
        <w:pStyle w:val="16"/>
        <w:numPr>
          <w:ilvl w:val="0"/>
          <w:numId w:val="0"/>
        </w:numPr>
        <w:ind w:firstLine="640" w:firstLineChars="200"/>
        <w:jc w:val="left"/>
        <w:rPr>
          <w:rFonts w:hint="eastAsia"/>
        </w:rPr>
      </w:pPr>
      <w:r>
        <w:rPr>
          <w:rFonts w:hint="eastAsia"/>
        </w:rPr>
        <w:t>四、财政拨款收支总体情况说明</w:t>
      </w:r>
    </w:p>
    <w:p>
      <w:pPr>
        <w:pStyle w:val="16"/>
        <w:numPr>
          <w:ilvl w:val="0"/>
          <w:numId w:val="0"/>
        </w:numPr>
        <w:ind w:firstLine="640" w:firstLineChars="200"/>
        <w:jc w:val="left"/>
        <w:rPr>
          <w:rFonts w:hint="eastAsia"/>
        </w:rPr>
      </w:pPr>
      <w:r>
        <w:rPr>
          <w:rFonts w:hint="eastAsia"/>
        </w:rPr>
        <w:t>五、一般公共预算支出情况说明</w:t>
      </w:r>
    </w:p>
    <w:p>
      <w:pPr>
        <w:pStyle w:val="16"/>
        <w:numPr>
          <w:ilvl w:val="0"/>
          <w:numId w:val="0"/>
        </w:numPr>
        <w:ind w:firstLine="640" w:firstLineChars="200"/>
        <w:jc w:val="left"/>
        <w:rPr>
          <w:rFonts w:hint="eastAsia"/>
        </w:rPr>
      </w:pPr>
      <w:r>
        <w:rPr>
          <w:rFonts w:hint="eastAsia"/>
        </w:rPr>
        <w:t>六、一般公共预算基本支出情况说明</w:t>
      </w:r>
    </w:p>
    <w:p>
      <w:pPr>
        <w:pStyle w:val="16"/>
        <w:numPr>
          <w:ilvl w:val="0"/>
          <w:numId w:val="0"/>
        </w:numPr>
        <w:ind w:firstLine="640" w:firstLineChars="200"/>
        <w:jc w:val="left"/>
        <w:rPr>
          <w:rFonts w:hint="eastAsia"/>
        </w:rPr>
      </w:pPr>
      <w:r>
        <w:rPr>
          <w:rFonts w:hint="eastAsia"/>
        </w:rPr>
        <w:t>七、一般公共预算“三公”经费支出情况说明</w:t>
      </w:r>
    </w:p>
    <w:p>
      <w:pPr>
        <w:pStyle w:val="16"/>
        <w:numPr>
          <w:ilvl w:val="0"/>
          <w:numId w:val="0"/>
        </w:numPr>
        <w:ind w:firstLine="640" w:firstLineChars="200"/>
        <w:jc w:val="left"/>
        <w:rPr>
          <w:rFonts w:hint="eastAsia"/>
        </w:rPr>
      </w:pPr>
      <w:r>
        <w:rPr>
          <w:rFonts w:hint="eastAsia"/>
        </w:rPr>
        <w:t>八、政府性基金预算支出情况说明</w:t>
      </w:r>
    </w:p>
    <w:p>
      <w:pPr>
        <w:pStyle w:val="16"/>
        <w:numPr>
          <w:ilvl w:val="0"/>
          <w:numId w:val="0"/>
        </w:numPr>
        <w:ind w:firstLine="640" w:firstLineChars="200"/>
        <w:jc w:val="left"/>
        <w:rPr>
          <w:rFonts w:hint="eastAsia"/>
        </w:rPr>
      </w:pPr>
      <w:r>
        <w:rPr>
          <w:rFonts w:hint="eastAsia"/>
        </w:rPr>
        <w:t>九、国有资本经营预算支出情况说明</w:t>
      </w:r>
    </w:p>
    <w:p>
      <w:pPr>
        <w:pStyle w:val="16"/>
        <w:numPr>
          <w:ilvl w:val="0"/>
          <w:numId w:val="0"/>
        </w:numPr>
        <w:ind w:firstLine="640" w:firstLineChars="200"/>
        <w:jc w:val="left"/>
      </w:pPr>
      <w:r>
        <w:rPr>
          <w:rFonts w:hint="eastAsia"/>
        </w:rPr>
        <w:t>十、其他重要事项情况说明</w:t>
      </w:r>
    </w:p>
    <w:p>
      <w:pPr>
        <w:pStyle w:val="16"/>
        <w:ind w:left="0" w:leftChars="0" w:firstLine="320" w:firstLineChars="100"/>
        <w:jc w:val="left"/>
      </w:pPr>
      <w:r>
        <w:t>第三部分</w:t>
      </w:r>
      <w:r>
        <w:rPr>
          <w:rFonts w:hint="eastAsia"/>
          <w:lang w:eastAsia="zh-CN"/>
        </w:rPr>
        <w:t>：</w:t>
      </w:r>
      <w:r>
        <w:rPr>
          <w:u w:color="auto"/>
        </w:rPr>
        <w:t>环江毛南族自治县大数据发展局2024</w:t>
      </w:r>
      <w:r>
        <w:rPr>
          <w:rFonts w:ascii="Times New Roman" w:hAnsi="Times New Roman" w:cs="Times New Roman"/>
          <w:u w:color="auto"/>
        </w:rPr>
        <w:t>年</w:t>
      </w:r>
      <w:r>
        <w:t>部门预算</w:t>
      </w:r>
      <w:r>
        <w:rPr>
          <w:rFonts w:hint="eastAsia"/>
          <w:lang w:val="en-US" w:eastAsia="zh-CN"/>
        </w:rPr>
        <w:t>相关报</w:t>
      </w:r>
      <w:r>
        <w:t>表</w:t>
      </w:r>
    </w:p>
    <w:p>
      <w:pPr>
        <w:pStyle w:val="16"/>
        <w:jc w:val="left"/>
        <w:rPr>
          <w:rFonts w:hint="eastAsia"/>
        </w:rPr>
      </w:pPr>
      <w:r>
        <w:rPr>
          <w:rFonts w:hint="eastAsia"/>
        </w:rPr>
        <w:t>一、部门收支总体情况表</w:t>
      </w:r>
    </w:p>
    <w:p>
      <w:pPr>
        <w:pStyle w:val="16"/>
        <w:jc w:val="left"/>
        <w:rPr>
          <w:rFonts w:hint="eastAsia"/>
        </w:rPr>
      </w:pPr>
      <w:r>
        <w:rPr>
          <w:rFonts w:hint="eastAsia"/>
        </w:rPr>
        <w:t>二、部门收入总体情况表</w:t>
      </w:r>
    </w:p>
    <w:p>
      <w:pPr>
        <w:pStyle w:val="16"/>
        <w:jc w:val="left"/>
        <w:rPr>
          <w:rFonts w:hint="eastAsia"/>
        </w:rPr>
      </w:pPr>
      <w:r>
        <w:rPr>
          <w:rFonts w:hint="eastAsia"/>
        </w:rPr>
        <w:t>三、部门支出总体情况表</w:t>
      </w:r>
    </w:p>
    <w:p>
      <w:pPr>
        <w:pStyle w:val="16"/>
        <w:jc w:val="left"/>
        <w:rPr>
          <w:rFonts w:hint="eastAsia"/>
        </w:rPr>
      </w:pPr>
      <w:r>
        <w:rPr>
          <w:rFonts w:hint="eastAsia"/>
        </w:rPr>
        <w:t>四、财政拨款收支总体情况表</w:t>
      </w:r>
    </w:p>
    <w:p>
      <w:pPr>
        <w:pStyle w:val="16"/>
        <w:jc w:val="left"/>
        <w:rPr>
          <w:rFonts w:hint="eastAsia"/>
        </w:rPr>
      </w:pPr>
      <w:r>
        <w:rPr>
          <w:rFonts w:hint="eastAsia"/>
        </w:rPr>
        <w:t>五、一般公共预算支出情况表</w:t>
      </w:r>
    </w:p>
    <w:p>
      <w:pPr>
        <w:pStyle w:val="16"/>
        <w:jc w:val="left"/>
        <w:rPr>
          <w:rFonts w:hint="eastAsia"/>
        </w:rPr>
      </w:pPr>
      <w:r>
        <w:rPr>
          <w:rFonts w:hint="eastAsia"/>
        </w:rPr>
        <w:t>六、一般公共预算基本支出情况表</w:t>
      </w:r>
    </w:p>
    <w:p>
      <w:pPr>
        <w:pStyle w:val="16"/>
        <w:jc w:val="left"/>
        <w:rPr>
          <w:rFonts w:hint="eastAsia"/>
        </w:rPr>
      </w:pPr>
      <w:r>
        <w:rPr>
          <w:rFonts w:hint="eastAsia"/>
        </w:rPr>
        <w:t>七、一般公开预算“三公”经费支出情况表</w:t>
      </w:r>
    </w:p>
    <w:p>
      <w:pPr>
        <w:pStyle w:val="16"/>
        <w:jc w:val="left"/>
        <w:rPr>
          <w:rFonts w:hint="eastAsia"/>
        </w:rPr>
      </w:pPr>
      <w:r>
        <w:rPr>
          <w:rFonts w:hint="eastAsia"/>
        </w:rPr>
        <w:t>八、政府性基金预算支出情况表</w:t>
      </w:r>
    </w:p>
    <w:p>
      <w:pPr>
        <w:pStyle w:val="16"/>
        <w:jc w:val="left"/>
        <w:rPr>
          <w:rFonts w:hint="eastAsia"/>
        </w:rPr>
      </w:pPr>
      <w:r>
        <w:rPr>
          <w:rFonts w:hint="eastAsia"/>
        </w:rPr>
        <w:t>九、国有资本经营预算支出情况表</w:t>
      </w:r>
    </w:p>
    <w:p>
      <w:pPr>
        <w:pStyle w:val="16"/>
        <w:jc w:val="left"/>
        <w:rPr>
          <w:rFonts w:hint="eastAsia" w:eastAsia="宋体"/>
          <w:lang w:eastAsia="zh-CN"/>
        </w:rPr>
      </w:pPr>
      <w:r>
        <w:rPr>
          <w:rFonts w:hint="eastAsia"/>
        </w:rPr>
        <w:t>十、2024年度预算项目绩效目标公开表</w:t>
      </w:r>
    </w:p>
    <w:p>
      <w:pPr>
        <w:pStyle w:val="16"/>
        <w:ind w:left="0" w:leftChars="0" w:firstLine="320" w:firstLineChars="100"/>
        <w:jc w:val="left"/>
        <w:rPr>
          <w:rFonts w:hint="eastAsia" w:eastAsia="宋体"/>
          <w:lang w:eastAsia="zh-CN"/>
        </w:rPr>
        <w:sectPr>
          <w:footerReference r:id="rId3" w:type="default"/>
          <w:pgSz w:w="11900" w:h="16840"/>
          <w:pgMar w:top="1508" w:right="1674" w:bottom="1508" w:left="1851" w:header="1080" w:footer="3" w:gutter="0"/>
          <w:pgBorders>
            <w:top w:val="none" w:sz="0" w:space="0"/>
            <w:left w:val="none" w:sz="0" w:space="0"/>
            <w:bottom w:val="none" w:sz="0" w:space="0"/>
            <w:right w:val="none" w:sz="0" w:space="0"/>
          </w:pgBorders>
          <w:cols w:space="720" w:num="1"/>
          <w:docGrid w:linePitch="360" w:charSpace="0"/>
        </w:sectPr>
      </w:pPr>
      <w:r>
        <w:t>第四部分</w:t>
      </w:r>
      <w:r>
        <w:rPr>
          <w:rFonts w:hint="eastAsia"/>
          <w:lang w:eastAsia="zh-CN"/>
        </w:rPr>
        <w:t>：</w:t>
      </w:r>
      <w:r>
        <w:t>名词</w:t>
      </w:r>
      <w:r>
        <w:rPr>
          <w:rFonts w:hint="eastAsia"/>
          <w:lang w:val="en-US" w:eastAsia="zh-CN"/>
        </w:rPr>
        <w:t>解释</w:t>
      </w:r>
    </w:p>
    <w:p>
      <w:pPr>
        <w:pStyle w:val="12"/>
        <w:keepNext/>
        <w:keepLines/>
        <w:spacing w:after="560"/>
        <w:jc w:val="both"/>
      </w:pPr>
      <w:bookmarkStart w:id="3" w:name="bookmark13"/>
      <w:bookmarkStart w:id="4" w:name="bookmark12"/>
      <w:bookmarkStart w:id="5" w:name="bookmark14"/>
    </w:p>
    <w:p>
      <w:pPr>
        <w:pStyle w:val="12"/>
        <w:keepNext/>
        <w:keepLines/>
        <w:spacing w:after="560"/>
        <w:jc w:val="center"/>
        <w:rPr>
          <w:b/>
          <w:bCs/>
        </w:rPr>
      </w:pPr>
      <w:r>
        <w:rPr>
          <w:b/>
          <w:bCs/>
        </w:rPr>
        <w:t>第一部分</w:t>
      </w:r>
      <w:r>
        <w:rPr>
          <w:rFonts w:hint="eastAsia"/>
          <w:b/>
          <w:bCs/>
          <w:lang w:eastAsia="zh-CN"/>
        </w:rPr>
        <w:t>：</w:t>
      </w:r>
      <w:r>
        <w:rPr>
          <w:b/>
          <w:u w:color="auto"/>
        </w:rPr>
        <w:t>环江毛南族自治县大数据发展局</w:t>
      </w:r>
      <w:r>
        <w:rPr>
          <w:b/>
          <w:bCs/>
        </w:rPr>
        <w:t>概况</w:t>
      </w:r>
      <w:bookmarkEnd w:id="3"/>
      <w:bookmarkEnd w:id="4"/>
      <w:bookmarkEnd w:id="5"/>
    </w:p>
    <w:p>
      <w:pPr>
        <w:pStyle w:val="16"/>
        <w:spacing w:after="0" w:line="619" w:lineRule="exact"/>
        <w:ind w:firstLine="620"/>
        <w:jc w:val="left"/>
        <w:rPr>
          <w:b/>
          <w:bCs/>
        </w:rPr>
      </w:pPr>
      <w:r>
        <w:rPr>
          <w:rFonts w:hint="eastAsia"/>
          <w:b/>
          <w:bCs/>
          <w:lang w:val="en-US" w:eastAsia="zh-CN"/>
        </w:rPr>
        <w:t>一、</w:t>
      </w:r>
      <w:r>
        <w:rPr>
          <w:b/>
          <w:bCs/>
        </w:rPr>
        <w:t>主要职责</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一）负责统筹推进全县信息化、数字化发展工作。负责统筹县相关机构的信息化、数字化领域有关项目建设，信息资源开发利用与共享，政务服务和公共资源交易监督管理等工作。负责全县大数据发展、数字环江建设、政务服务、政务公开和公共资源交易的管理、指导、协调和监督等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   　（二）负责起草“放管服”相关改革、大数据发展、数字环江建设、政务服务、政务公开和公共资源交易领域的规章草案，拟订相关行业技术标准规范、管理办法和考核评估办法并组织实施。</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三）负责组织拟订并推动实施大数据发展、数字环江发展战略规划，负责拟订并组织实施全县数字政府、数字经济、数字社会、数字设施领域的专项发展规划和年度计划。统筹协调工作中的重大问题，提出加快大数据发展、数字环江建设的意见建议。</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   　（四）负责拟订县本级信息化、数字化领域的财政性资金(专项资金)年度投资计划并组织实施。负责审核县本级信息化、数字化领域财政性资金投资项目。</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  　 （五）负责统筹协调推进数字设施建设，配合做好网络安全工作。负责推进电子政务网络、数据资源安全体系建设。负责协调通信基础设施等其他基础设施建设。负责协调推进公共数据共享开放平台建设。</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  　（六）负责统筹全县数据资源建设、管理、应用，政务数据的汇聚、共享。指导协调行业主管部门推动社会数据的汇聚、共享，统筹推进政府数据和社会数据的开放、应用。</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七）负责统筹数字政府建设。负责全县统一的电子政务云平台、公共应用平台和公共支撑平台建设，负责数字政府建设和政务服务，政务公开、电子政务的推进、协调、指导、监督、考核等工作。负责全县政府网站、政府热线的统筹规划、监督考核、综合分析等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   　（八）负责统筹数字经济发展。协调推进大数据与三次产业深度融合。协调业务主管部门推动大数据、人工智能、物联网等新一代信息技术在实体经济中的创新融合。负责全县数字经济运行分析。</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   　（九）负责统筹数字社会建设。协调推动互联网、大数据、云计算、人工智能等新技术与社会民生深度融合。协调推进数字城市、数字乡村，数字信用、数字文化、数字公共安全等领域的大数据应用。协调推动数字民生服务市场化发展。</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   　（十）负责统筹推进全县行政审批制度改革。负责协调推进行政许可事项的清理、规范、管理等工作，规范行政审批行为，推进审批服务便民化。负责审核并督促落实取消下放审批事项的事中事后监管措施。</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  　（十一）负责对进驻县政务服务平台的政务服务事项的组织协调和监督管理。负责对全县各部门实施行政权力涉及的中介服务行为进行综合协调监督。负责指导、推进全县政务服务信用体系建设。负责进驻县政务服务平台的窗口单位及其工作人员的管理、考核及奖惩。负责对进入县政务服务中心的行政审批及其他公共服务等事项的投诉举报的承办、转办和督办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（十二）指导全县公共资源交易监督管理工作，拟订规章制度并组织实施。负责对行业主管部门履行公共资源交易监管职责的督查工作。负责县本级公共资源交易活动的监督管理工作。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（十三）负责统筹大数据领域人才队伍建设。</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（十四）完成县委、县人民政府交办的其他任务。</w:t>
      </w:r>
    </w:p>
    <w:p>
      <w:pPr>
        <w:pStyle w:val="16"/>
        <w:tabs>
          <w:tab w:val="left" w:pos="1369"/>
        </w:tabs>
        <w:spacing w:after="0" w:line="623" w:lineRule="exact"/>
        <w:ind w:firstLine="620"/>
        <w:jc w:val="left"/>
        <w:rPr>
          <w:b/>
          <w:bCs/>
        </w:rPr>
      </w:pPr>
      <w:bookmarkStart w:id="6" w:name="bookmark24"/>
      <w:r>
        <w:rPr>
          <w:b/>
          <w:bCs/>
        </w:rPr>
        <w:t>二</w:t>
      </w:r>
      <w:bookmarkEnd w:id="6"/>
      <w:r>
        <w:rPr>
          <w:b/>
          <w:bCs/>
        </w:rPr>
        <w:t>、</w:t>
      </w:r>
      <w:r>
        <w:rPr>
          <w:b/>
          <w:bCs/>
        </w:rPr>
        <w:tab/>
      </w:r>
      <w:r>
        <w:rPr>
          <w:rFonts w:hint="eastAsia"/>
          <w:b/>
          <w:bCs/>
        </w:rPr>
        <w:t>机构设置情况</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根据上述职责，环江毛南族自治县大数据发展局内设综合技术股、政务公开股和公共资源交易股等3个内设机构。</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一）综合技术股。负责办公室（局）的日常政务和综合协调工作；负责组织、人事、财务、文电收发、印鉴管理、文书档案管理、保密、安全保卫、资产管理、基建、后勤服务和其他事务性工作；负责办公室（局）的综合性会议和重大活动的组织及对外联络接待工作；负责内部规章制度建设；负责工作计划、工作总结、综合性文字材料的调研和组织起草工作；负责宣传、教育和信息工作；负责绩效管理和考评工作；组织并参与起草自治县行政审批制度改革的有关规章制度；负责推进行政审批项目集中办理和行政审批标准化工作；负责审查县级各职能部门行政审批事项的授权，审核行政审批事项设立的法律依据、材料、程序、时限、收费标准等；指导、协调全县行政审批、政务服务中心管理工作；承办领导交办的其他工作。负责指导、协调全县政务服务、政务公开、政府信息公开信息化建设和推广应用；负责全县政务服务和公共资源交易信息系统的规划、建设及系统的运行维护与管理工作；负责自治县政务服务和公共资源交易信息系统的更新、升级、培训和推广应用；负责建立和完善自治县政府信息公开统一平台；负责推广应用政务服务、政务公开、政府信息公开基层信息化应用平台；负责自治县政务服务和公共资源交易网站建设与管理；负责配合监察部门组织开展行政效能电子监察的数据分析和编发工作；负责起草制定政务服务和公共资源交易信息系统建设技术标准及相关的规章制度；承办领导交办的其他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二）政务公开股。负责推进、指导、协调、监督全市政务公开和政府信息公开工作；组织编制自治县人民政府、自治县人民政府办公室和本办（局）的政府信息公开指南、目录和年度工作报告；协调组织自治县人民政府、自治县人民政府办公室和本办（局）主动公开的政府信息发布和保密审查；依法协调受理公民、法人或其他组织提出获取政府信息的申请；协调、指导公共企事业单位推行办事公开工作；协调受理不依法履行政府信息公开义务的投诉举报；负责自治县政务公开和政府信息公开领导小组办公室的日常工作；承办领导交办的其他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三）公共资源交易股。负责起草、完善公共资源交易监督管理制度和其他规范性文件；负责公共资源交易等法律、法规和政策的宣传工作；负责全县公共资源交易流程和场外交易、合同签订等执行情况的监督检查；负责全县统一的评标专家库、招标投标代理机构库、工程预算和审核中介机构库、招标投标当事人和代理机构信用档案库的建设和管理；负责公共资源交易纠纷的协调和投诉的受理、调查、督办；负责对市场准入等有关制度和公共资源交易责任追究制度执行的日常工作；负责指导、协调全县公共资源交易平台建设；承办领导交办的其他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三、人员构成情况</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人员编制总数为15人，其中行政编制7人，事业编制8人，机关后勤服务中心聘用人员控制数0人。实有财政供养人数24人，其中行政在职7人，事业在职8人，离退休人员2人（其中离休0人）。编外在职实有人数7人。</w:t>
      </w:r>
    </w:p>
    <w:p>
      <w:pPr>
        <w:pStyle w:val="18"/>
        <w:spacing w:line="623" w:lineRule="exact"/>
        <w:ind w:firstLine="1018" w:firstLineChars="0"/>
        <w:jc w:val="left"/>
        <w:rPr>
          <w:rFonts w:hint="eastAsia"/>
          <w:highlight w:val="none"/>
          <w:lang w:val="en-US" w:eastAsia="zh-CN"/>
        </w:rPr>
      </w:pPr>
    </w:p>
    <w:p>
      <w:pPr>
        <w:pStyle w:val="18"/>
        <w:spacing w:line="623" w:lineRule="exact"/>
        <w:ind w:firstLine="1018" w:firstLineChars="0"/>
        <w:jc w:val="left"/>
        <w:rPr>
          <w:rFonts w:hint="eastAsia"/>
          <w:highlight w:val="none"/>
          <w:lang w:val="en-US" w:eastAsia="zh-CN"/>
        </w:rPr>
      </w:pPr>
    </w:p>
    <w:p>
      <w:r>
        <w:br w:type="page"/>
      </w:r>
    </w:p>
    <w:p>
      <w:pPr>
        <w:pStyle w:val="12"/>
        <w:keepNext/>
        <w:keepLines/>
        <w:spacing w:before="120" w:after="0" w:line="629" w:lineRule="exact"/>
        <w:jc w:val="center"/>
        <w:rPr>
          <w:b/>
          <w:bCs/>
        </w:rPr>
      </w:pPr>
      <w:bookmarkStart w:id="7" w:name="bookmark68"/>
      <w:bookmarkStart w:id="8" w:name="bookmark70"/>
      <w:bookmarkStart w:id="9" w:name="bookmark69"/>
      <w:bookmarkStart w:id="10" w:name="bookmark28"/>
      <w:bookmarkStart w:id="11" w:name="bookmark27"/>
      <w:bookmarkStart w:id="12" w:name="bookmark26"/>
      <w:r>
        <w:rPr>
          <w:b/>
          <w:bCs/>
        </w:rPr>
        <w:t>第</w:t>
      </w:r>
      <w:r>
        <w:rPr>
          <w:rFonts w:hint="eastAsia"/>
          <w:b/>
          <w:bCs/>
          <w:lang w:val="en-US" w:eastAsia="zh-CN"/>
        </w:rPr>
        <w:t>二</w:t>
      </w:r>
      <w:r>
        <w:rPr>
          <w:b/>
          <w:bCs/>
        </w:rPr>
        <w:t>部分</w:t>
      </w:r>
      <w:r>
        <w:rPr>
          <w:rFonts w:hint="eastAsia"/>
          <w:b/>
          <w:bCs/>
          <w:lang w:eastAsia="zh-CN"/>
        </w:rPr>
        <w:t>：</w:t>
      </w:r>
      <w:bookmarkEnd w:id="7"/>
      <w:bookmarkEnd w:id="8"/>
      <w:bookmarkEnd w:id="9"/>
      <w:r>
        <w:rPr>
          <w:rFonts w:hint="eastAsia"/>
          <w:b/>
          <w:bCs/>
          <w:lang w:eastAsia="zh-CN"/>
        </w:rPr>
        <w:t>环江毛南族自治县大数据发展局</w:t>
      </w:r>
      <w:r>
        <w:rPr>
          <w:b/>
          <w:u w:color="auto"/>
        </w:rPr>
        <w:t>2024年部门预算情况说明</w:t>
      </w:r>
    </w:p>
    <w:p>
      <w:pPr>
        <w:pStyle w:val="16"/>
        <w:tabs>
          <w:tab w:val="left" w:pos="1235"/>
        </w:tabs>
        <w:spacing w:after="0" w:line="624" w:lineRule="exact"/>
        <w:ind w:firstLine="580"/>
        <w:jc w:val="left"/>
        <w:rPr>
          <w:b/>
          <w:bCs/>
        </w:rPr>
      </w:pPr>
      <w:bookmarkStart w:id="13" w:name="bookmark71"/>
      <w:r>
        <w:rPr>
          <w:b/>
          <w:bCs/>
        </w:rPr>
        <w:t>一</w:t>
      </w:r>
      <w:bookmarkEnd w:id="13"/>
      <w:r>
        <w:rPr>
          <w:b/>
          <w:bCs/>
        </w:rPr>
        <w:t>、</w:t>
      </w:r>
      <w:r>
        <w:rPr>
          <w:b/>
          <w:bCs/>
        </w:rPr>
        <w:tab/>
      </w:r>
      <w:r>
        <w:rPr>
          <w:b/>
          <w:bCs/>
        </w:rPr>
        <w:t>部门预算收支总体情况说明</w:t>
      </w:r>
    </w:p>
    <w:p>
      <w:pPr>
        <w:pStyle w:val="18"/>
        <w:spacing w:line="623" w:lineRule="exact"/>
        <w:ind w:left="0" w:leftChars="0" w:firstLine="560" w:firstLineChars="200"/>
        <w:jc w:val="left"/>
        <w:rPr>
          <w:rFonts w:ascii="Times New Roman" w:hAnsi="Times New Roman" w:cs="Times New Roman"/>
          <w:b/>
          <w:bCs/>
          <w:sz w:val="28"/>
          <w:szCs w:val="28"/>
          <w:lang w:val="en-US" w:eastAsia="zh-CN"/>
        </w:rPr>
      </w:pPr>
      <w:r>
        <w:rPr>
          <w:rFonts w:hint="eastAsia"/>
          <w:b w:val="0"/>
          <w:bCs w:val="0"/>
          <w:sz w:val="28"/>
          <w:szCs w:val="28"/>
        </w:rPr>
        <w:t>我部门总收入</w:t>
      </w:r>
      <w:r>
        <w:rPr>
          <w:rFonts w:hint="eastAsia"/>
          <w:sz w:val="28"/>
          <w:szCs w:val="28"/>
          <w:lang w:val="en-US" w:eastAsia="zh-CN"/>
        </w:rPr>
        <w:t>304.58</w:t>
      </w:r>
      <w:r>
        <w:rPr>
          <w:rFonts w:hint="eastAsia"/>
          <w:b w:val="0"/>
          <w:bCs w:val="0"/>
          <w:sz w:val="28"/>
          <w:szCs w:val="28"/>
        </w:rPr>
        <w:t>万元，总支出</w:t>
      </w:r>
      <w:r>
        <w:rPr>
          <w:rFonts w:hint="eastAsia"/>
          <w:sz w:val="28"/>
          <w:szCs w:val="28"/>
          <w:lang w:val="en-US" w:eastAsia="zh-CN"/>
        </w:rPr>
        <w:t>304.58</w:t>
      </w:r>
      <w:r>
        <w:rPr>
          <w:rFonts w:hint="eastAsia"/>
          <w:b w:val="0"/>
          <w:bCs w:val="0"/>
          <w:sz w:val="28"/>
          <w:szCs w:val="28"/>
        </w:rPr>
        <w:t>万元。总收入较2023年度预算数</w:t>
      </w:r>
      <w:r>
        <w:rPr>
          <w:rFonts w:hint="eastAsia"/>
          <w:sz w:val="28"/>
          <w:szCs w:val="28"/>
          <w:lang w:val="en-US" w:eastAsia="zh-CN"/>
        </w:rPr>
        <w:t>378.47</w:t>
      </w:r>
      <w:r>
        <w:rPr>
          <w:rFonts w:hint="eastAsia"/>
          <w:b w:val="0"/>
          <w:bCs w:val="0"/>
          <w:sz w:val="28"/>
          <w:szCs w:val="28"/>
        </w:rPr>
        <w:t>万元，</w:t>
      </w:r>
      <w:r>
        <w:rPr>
          <w:rFonts w:hint="eastAsia"/>
          <w:sz w:val="28"/>
          <w:szCs w:val="28"/>
        </w:rPr>
        <w:t>减少73.89</w:t>
      </w:r>
      <w:r>
        <w:rPr>
          <w:rFonts w:hint="eastAsia"/>
          <w:b w:val="0"/>
          <w:bCs w:val="0"/>
          <w:sz w:val="28"/>
          <w:szCs w:val="28"/>
        </w:rPr>
        <w:t>万元，</w:t>
      </w:r>
      <w:r>
        <w:rPr>
          <w:rFonts w:hint="eastAsia"/>
          <w:sz w:val="28"/>
          <w:szCs w:val="28"/>
        </w:rPr>
        <w:t>下降19.52%</w:t>
      </w:r>
      <w:r>
        <w:rPr>
          <w:rFonts w:hint="eastAsia"/>
          <w:b w:val="0"/>
          <w:bCs w:val="0"/>
          <w:sz w:val="28"/>
          <w:szCs w:val="28"/>
        </w:rPr>
        <w:t>，主要原因是</w:t>
      </w:r>
      <w:r>
        <w:rPr>
          <w:rFonts w:hint="eastAsia"/>
          <w:highlight w:val="none"/>
          <w:lang w:val="en-US" w:eastAsia="zh-CN"/>
        </w:rPr>
        <w:t>2024年部门预算项目支出数量和资金均减少，社保缴费基数下降，社保缴费支出减少</w:t>
      </w:r>
      <w:r>
        <w:rPr>
          <w:rFonts w:hint="eastAsia"/>
          <w:b w:val="0"/>
          <w:bCs w:val="0"/>
          <w:sz w:val="28"/>
          <w:szCs w:val="28"/>
        </w:rPr>
        <w:t>。总支出较2023年度预算数</w:t>
      </w:r>
      <w:r>
        <w:rPr>
          <w:rFonts w:hint="eastAsia"/>
          <w:sz w:val="28"/>
          <w:szCs w:val="28"/>
          <w:lang w:val="en-US" w:eastAsia="zh-CN"/>
        </w:rPr>
        <w:t>378.47</w:t>
      </w:r>
      <w:r>
        <w:rPr>
          <w:rFonts w:hint="eastAsia"/>
          <w:b w:val="0"/>
          <w:bCs w:val="0"/>
          <w:sz w:val="28"/>
          <w:szCs w:val="28"/>
        </w:rPr>
        <w:t>万元，</w:t>
      </w:r>
      <w:r>
        <w:rPr>
          <w:rFonts w:hint="eastAsia"/>
          <w:sz w:val="28"/>
          <w:szCs w:val="28"/>
        </w:rPr>
        <w:t>减少73.89</w:t>
      </w:r>
      <w:r>
        <w:rPr>
          <w:rFonts w:hint="eastAsia"/>
          <w:b w:val="0"/>
          <w:bCs w:val="0"/>
          <w:sz w:val="28"/>
          <w:szCs w:val="28"/>
        </w:rPr>
        <w:t>万元，</w:t>
      </w:r>
      <w:r>
        <w:rPr>
          <w:rFonts w:hint="eastAsia"/>
          <w:sz w:val="28"/>
          <w:szCs w:val="28"/>
        </w:rPr>
        <w:t>下降19.52%</w:t>
      </w:r>
      <w:r>
        <w:rPr>
          <w:rFonts w:hint="eastAsia"/>
          <w:b w:val="0"/>
          <w:bCs w:val="0"/>
          <w:sz w:val="28"/>
          <w:szCs w:val="28"/>
        </w:rPr>
        <w:t>，主要原因是</w:t>
      </w:r>
      <w:r>
        <w:rPr>
          <w:rFonts w:hint="eastAsia"/>
          <w:highlight w:val="none"/>
          <w:lang w:val="en-US" w:eastAsia="zh-CN"/>
        </w:rPr>
        <w:t>2024年部门预算项目支出数量和资金均减少，社保缴费基数下降，社保缴费支出减少</w:t>
      </w:r>
      <w:r>
        <w:rPr>
          <w:rFonts w:hint="eastAsia"/>
          <w:b w:val="0"/>
          <w:bCs w:val="0"/>
          <w:sz w:val="28"/>
          <w:szCs w:val="28"/>
        </w:rPr>
        <w:t>。</w:t>
      </w:r>
    </w:p>
    <w:p>
      <w:pPr>
        <w:pStyle w:val="16"/>
        <w:tabs>
          <w:tab w:val="left" w:pos="1235"/>
        </w:tabs>
        <w:spacing w:after="0" w:line="624" w:lineRule="exact"/>
        <w:ind w:firstLine="580"/>
        <w:jc w:val="left"/>
        <w:rPr>
          <w:b/>
          <w:bCs/>
          <w:lang w:val="en-US" w:eastAsia="zh-CN"/>
        </w:rPr>
      </w:pPr>
      <w:r>
        <w:rPr>
          <w:rFonts w:hint="eastAsia"/>
          <w:b/>
          <w:bCs/>
          <w:lang w:val="en-US" w:eastAsia="zh-CN"/>
        </w:rPr>
        <w:t>二、</w:t>
      </w:r>
      <w:r>
        <w:rPr>
          <w:b/>
          <w:bCs/>
        </w:rPr>
        <w:t>部门收入总体情况说明</w:t>
      </w:r>
    </w:p>
    <w:p>
      <w:pPr>
        <w:pStyle w:val="18"/>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725"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u w:color="auto"/>
          <w:lang w:eastAsia="zh-CN"/>
        </w:rPr>
        <w:t>2024</w:t>
      </w:r>
      <w:r>
        <w:rPr>
          <w:rFonts w:hint="eastAsia" w:ascii="宋体" w:hAnsi="宋体" w:eastAsia="宋体" w:cs="宋体"/>
          <w:sz w:val="28"/>
          <w:szCs w:val="28"/>
          <w:u w:color="auto"/>
        </w:rPr>
        <w:t>年我部门总收入</w:t>
      </w:r>
      <w:r>
        <w:rPr>
          <w:rFonts w:hint="eastAsia" w:ascii="宋体" w:hAnsi="宋体" w:eastAsia="宋体" w:cs="宋体"/>
          <w:sz w:val="28"/>
          <w:szCs w:val="28"/>
          <w:lang w:val="en-US" w:eastAsia="zh-CN"/>
        </w:rPr>
        <w:t>304.58</w:t>
      </w:r>
      <w:r>
        <w:rPr>
          <w:rFonts w:hint="eastAsia" w:ascii="宋体" w:hAnsi="宋体" w:eastAsia="宋体" w:cs="宋体"/>
          <w:sz w:val="28"/>
          <w:szCs w:val="28"/>
          <w:u w:color="auto"/>
        </w:rPr>
        <w:t>万元，较2023年度预算数</w:t>
      </w:r>
      <w:r>
        <w:rPr>
          <w:rFonts w:hint="eastAsia" w:ascii="宋体" w:hAnsi="宋体" w:eastAsia="宋体" w:cs="宋体"/>
          <w:sz w:val="28"/>
          <w:szCs w:val="28"/>
          <w:lang w:val="en-US" w:eastAsia="zh-CN"/>
        </w:rPr>
        <w:t>378.47</w:t>
      </w:r>
      <w:r>
        <w:rPr>
          <w:rFonts w:hint="eastAsia" w:ascii="宋体" w:hAnsi="宋体" w:eastAsia="宋体" w:cs="宋体"/>
          <w:sz w:val="28"/>
          <w:szCs w:val="28"/>
          <w:u w:color="auto"/>
        </w:rPr>
        <w:t>万元，</w:t>
      </w:r>
      <w:r>
        <w:rPr>
          <w:rFonts w:hint="eastAsia" w:ascii="宋体" w:hAnsi="宋体" w:eastAsia="宋体" w:cs="宋体"/>
          <w:sz w:val="28"/>
          <w:szCs w:val="28"/>
        </w:rPr>
        <w:t>减少73.89</w:t>
      </w:r>
      <w:r>
        <w:rPr>
          <w:rFonts w:hint="eastAsia" w:ascii="宋体" w:hAnsi="宋体" w:eastAsia="宋体" w:cs="宋体"/>
          <w:sz w:val="28"/>
          <w:szCs w:val="28"/>
          <w:u w:color="auto"/>
        </w:rPr>
        <w:t>万元，</w:t>
      </w:r>
      <w:r>
        <w:rPr>
          <w:rFonts w:hint="eastAsia" w:ascii="宋体" w:hAnsi="宋体" w:eastAsia="宋体" w:cs="宋体"/>
          <w:sz w:val="28"/>
          <w:szCs w:val="28"/>
        </w:rPr>
        <w:t>下降19.52%</w:t>
      </w:r>
      <w:r>
        <w:rPr>
          <w:rFonts w:hint="eastAsia" w:ascii="宋体" w:hAnsi="宋体" w:eastAsia="宋体" w:cs="宋体"/>
          <w:sz w:val="28"/>
          <w:szCs w:val="28"/>
          <w:u w:color="auto"/>
        </w:rPr>
        <w:t>，主要原因是</w:t>
      </w:r>
      <w:r>
        <w:rPr>
          <w:rFonts w:hint="eastAsia"/>
          <w:highlight w:val="none"/>
          <w:lang w:val="en-US" w:eastAsia="zh-CN"/>
        </w:rPr>
        <w:t>2024年部门预算项目支出数量和资金均减少，社保缴费基数下降，社保缴费支出减少</w:t>
      </w:r>
      <w:r>
        <w:rPr>
          <w:rFonts w:hint="eastAsia" w:ascii="宋体" w:hAnsi="宋体" w:eastAsia="宋体" w:cs="宋体"/>
          <w:sz w:val="28"/>
          <w:szCs w:val="28"/>
          <w:u w:color="auto"/>
        </w:rPr>
        <w:t>。</w:t>
      </w:r>
    </w:p>
    <w:p>
      <w:pPr>
        <w:pStyle w:val="16"/>
        <w:tabs>
          <w:tab w:val="left" w:pos="1235"/>
        </w:tabs>
        <w:spacing w:after="0" w:line="624" w:lineRule="exact"/>
        <w:ind w:firstLine="580"/>
        <w:jc w:val="left"/>
        <w:rPr>
          <w:b/>
          <w:bCs/>
        </w:rPr>
      </w:pPr>
      <w:r>
        <w:rPr>
          <w:rFonts w:hint="eastAsia"/>
          <w:b/>
          <w:bCs/>
          <w:lang w:val="en-US" w:eastAsia="zh-CN"/>
        </w:rPr>
        <w:t>三、</w:t>
      </w:r>
      <w:r>
        <w:rPr>
          <w:b/>
          <w:bCs/>
        </w:rPr>
        <w:t>部门支出总体情况说明</w:t>
      </w:r>
    </w:p>
    <w:p>
      <w:pPr>
        <w:pStyle w:val="18"/>
        <w:spacing w:line="240" w:lineRule="auto"/>
        <w:ind w:firstLine="0"/>
        <w:jc w:val="left"/>
        <w:rPr>
          <w:rFonts w:ascii="Times New Roman" w:hAnsi="Times New Roman" w:eastAsia="Times New Roman" w:cs="Times New Roman"/>
          <w:sz w:val="30"/>
          <w:szCs w:val="30"/>
        </w:rPr>
      </w:pPr>
      <w:r>
        <w:rPr>
          <w:rFonts w:ascii="Times New Roman" w:hAnsi="Times New Roman" w:eastAsia="Times New Roman" w:cs="Times New Roman"/>
          <w:sz w:val="30"/>
          <w:szCs w:val="30"/>
        </w:rPr>
        <w:drawing>
          <wp:inline distT="0" distB="0" distL="114300" distR="114300">
            <wp:extent cx="5080000" cy="3810000"/>
            <wp:effectExtent l="4445" t="4445" r="20955" b="14605"/>
            <wp:docPr id="726"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18"/>
        <w:spacing w:line="623" w:lineRule="exact"/>
        <w:ind w:left="0" w:leftChars="0" w:firstLine="560" w:firstLineChars="200"/>
        <w:jc w:val="left"/>
        <w:rPr>
          <w:rFonts w:hint="eastAsia" w:ascii="Times New Roman" w:hAnsi="Times New Roman" w:cs="Times New Roman"/>
          <w:sz w:val="30"/>
          <w:szCs w:val="30"/>
          <w:lang w:eastAsia="zh-CN"/>
        </w:rPr>
      </w:pPr>
      <w:r>
        <w:rPr>
          <w:rFonts w:hint="eastAsia" w:ascii="宋体" w:hAnsi="宋体" w:eastAsia="宋体" w:cs="宋体"/>
          <w:sz w:val="28"/>
          <w:szCs w:val="28"/>
          <w:lang w:eastAsia="zh-CN"/>
        </w:rPr>
        <w:t>2024</w:t>
      </w:r>
      <w:r>
        <w:rPr>
          <w:rFonts w:ascii="宋体" w:hAnsi="宋体" w:eastAsia="宋体" w:cs="宋体"/>
          <w:sz w:val="28"/>
          <w:u w:color="auto"/>
        </w:rPr>
        <w:t>年我部门总支出</w:t>
      </w:r>
      <w:r>
        <w:rPr>
          <w:rFonts w:hint="eastAsia" w:ascii="宋体" w:hAnsi="宋体" w:eastAsia="宋体" w:cs="宋体"/>
          <w:sz w:val="28"/>
          <w:szCs w:val="28"/>
          <w:lang w:val="en-US" w:eastAsia="zh-CN"/>
        </w:rPr>
        <w:t>304.58</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378.47</w:t>
      </w:r>
      <w:r>
        <w:rPr>
          <w:rFonts w:hint="eastAsia" w:ascii="宋体" w:hAnsi="宋体" w:eastAsia="宋体" w:cs="宋体"/>
          <w:sz w:val="28"/>
          <w:szCs w:val="28"/>
          <w:lang w:eastAsia="zh-CN"/>
        </w:rPr>
        <w:t>万元，</w:t>
      </w:r>
      <w:r>
        <w:rPr>
          <w:rFonts w:hint="eastAsia" w:ascii="宋体" w:hAnsi="宋体" w:eastAsia="宋体" w:cs="宋体"/>
          <w:sz w:val="28"/>
          <w:szCs w:val="28"/>
        </w:rPr>
        <w:t>减少73.89</w:t>
      </w:r>
      <w:r>
        <w:rPr>
          <w:rFonts w:hint="eastAsia" w:ascii="宋体" w:hAnsi="宋体" w:eastAsia="宋体" w:cs="宋体"/>
          <w:sz w:val="28"/>
          <w:szCs w:val="28"/>
          <w:lang w:eastAsia="zh-CN"/>
        </w:rPr>
        <w:t>万元，</w:t>
      </w:r>
      <w:r>
        <w:rPr>
          <w:rFonts w:hint="eastAsia" w:ascii="宋体" w:hAnsi="宋体" w:eastAsia="宋体" w:cs="宋体"/>
          <w:sz w:val="28"/>
          <w:szCs w:val="28"/>
        </w:rPr>
        <w:t>下降19.52%</w:t>
      </w:r>
      <w:r>
        <w:rPr>
          <w:rFonts w:hint="eastAsia" w:ascii="宋体" w:hAnsi="宋体" w:eastAsia="宋体" w:cs="宋体"/>
          <w:sz w:val="28"/>
          <w:szCs w:val="28"/>
          <w:lang w:eastAsia="zh-CN"/>
        </w:rPr>
        <w:t>，主要原因是</w:t>
      </w:r>
      <w:r>
        <w:rPr>
          <w:rFonts w:hint="eastAsia"/>
          <w:highlight w:val="none"/>
          <w:lang w:val="en-US" w:eastAsia="zh-CN"/>
        </w:rPr>
        <w:t>2024年部门预算项目支出数量和资金均减少，社保缴费基数下降，社保缴费支出减少</w:t>
      </w:r>
      <w:r>
        <w:rPr>
          <w:rFonts w:hint="eastAsia" w:ascii="Times New Roman" w:hAnsi="Times New Roman" w:cs="Times New Roman"/>
          <w:sz w:val="30"/>
          <w:szCs w:val="30"/>
          <w:lang w:eastAsia="zh-CN"/>
        </w:rPr>
        <w:t>。主要包括：</w:t>
      </w:r>
      <w:r>
        <w:rPr>
          <w:rFonts w:hint="eastAsia"/>
          <w:highlight w:val="none"/>
          <w:lang w:val="en-US" w:eastAsia="zh-CN"/>
        </w:rPr>
        <w:t>一是2024年部门预算项目支出数量和资金均减少；二是社保缴费基数下降，社保缴费支出减少</w:t>
      </w:r>
      <w:r>
        <w:rPr>
          <w:rFonts w:hint="eastAsia" w:ascii="Times New Roman" w:hAnsi="Times New Roman" w:cs="Times New Roman"/>
          <w:sz w:val="30"/>
          <w:szCs w:val="30"/>
          <w:lang w:eastAsia="zh-CN"/>
        </w:rPr>
        <w:t>。</w:t>
      </w:r>
    </w:p>
    <w:p>
      <w:pPr>
        <w:pStyle w:val="18"/>
        <w:spacing w:after="140" w:line="240" w:lineRule="auto"/>
        <w:ind w:firstLine="0"/>
        <w:jc w:val="left"/>
      </w:pPr>
      <w:r>
        <w:t>（一）按支出功能分类科目划分，共分为</w:t>
      </w:r>
      <w:r>
        <w:rPr>
          <w:rFonts w:hint="eastAsia"/>
          <w:lang w:val="en-US" w:eastAsia="zh-CN"/>
        </w:rPr>
        <w:t>4</w:t>
      </w:r>
      <w:r>
        <w:t>类，其中:</w:t>
      </w:r>
    </w:p>
    <w:p>
      <w:pPr>
        <w:pStyle w:val="18"/>
        <w:spacing w:line="623" w:lineRule="exact"/>
        <w:ind w:left="0" w:leftChars="0" w:firstLine="560" w:firstLineChars="200"/>
        <w:jc w:val="left"/>
        <w:rPr>
          <w:rFonts w:hint="eastAsia"/>
        </w:rPr>
      </w:pPr>
      <w:r>
        <w:rPr>
          <w:rFonts w:hint="eastAsia"/>
        </w:rPr>
        <w:t>(</w:t>
      </w:r>
      <w:r>
        <w:rPr>
          <w:u w:color="auto"/>
        </w:rPr>
        <w:t>1)科学技术支出</w:t>
      </w:r>
      <w:r>
        <w:rPr>
          <w:rFonts w:hint="eastAsia"/>
          <w:lang w:val="en-US" w:eastAsia="zh-CN"/>
        </w:rPr>
        <w:t>0.00</w:t>
      </w:r>
      <w:r>
        <w:rPr>
          <w:rFonts w:hint="eastAsia"/>
        </w:rPr>
        <w:t>万元，占支出总预算</w:t>
      </w:r>
      <w:r>
        <w:rPr>
          <w:rFonts w:hint="eastAsia"/>
          <w:lang w:val="en-US" w:eastAsia="zh-CN"/>
        </w:rPr>
        <w:t>0.00%</w:t>
      </w:r>
      <w:r>
        <w:rPr>
          <w:rFonts w:hint="eastAsia"/>
        </w:rPr>
        <w:t>,比上年</w:t>
      </w:r>
      <w:r>
        <w:rPr>
          <w:rFonts w:hint="eastAsia"/>
          <w:lang w:val="en-US" w:eastAsia="zh-CN"/>
        </w:rPr>
        <w:t>减少128.00</w:t>
      </w:r>
      <w:r>
        <w:rPr>
          <w:rFonts w:hint="eastAsia"/>
        </w:rPr>
        <w:t>万元，</w:t>
      </w:r>
      <w:r>
        <w:rPr>
          <w:rFonts w:hint="eastAsia"/>
          <w:lang w:val="en-US" w:eastAsia="zh-CN"/>
        </w:rPr>
        <w:t>减少100.00%</w:t>
      </w:r>
      <w:r>
        <w:rPr>
          <w:rFonts w:hint="eastAsia"/>
        </w:rPr>
        <w:t>,</w:t>
      </w:r>
      <w:r>
        <w:rPr>
          <w:rFonts w:hint="eastAsia"/>
          <w:highlight w:val="none"/>
        </w:rPr>
        <w:t>主要原因是：</w:t>
      </w:r>
      <w:r>
        <w:rPr>
          <w:rFonts w:hint="eastAsia"/>
          <w:highlight w:val="none"/>
          <w:lang w:val="en-US" w:eastAsia="zh-CN"/>
        </w:rPr>
        <w:t>2024年部门预算项目支出数量和资金均减少，社保缴费基数下降，社保缴费支出减少</w:t>
      </w:r>
      <w:r>
        <w:rPr>
          <w:rFonts w:hint="eastAsia"/>
          <w:highlight w:val="none"/>
        </w:rPr>
        <w:t>。</w:t>
      </w:r>
    </w:p>
    <w:p>
      <w:pPr>
        <w:pStyle w:val="18"/>
        <w:spacing w:line="623" w:lineRule="exact"/>
        <w:ind w:left="0" w:leftChars="0" w:firstLine="560" w:firstLineChars="200"/>
        <w:jc w:val="left"/>
        <w:rPr>
          <w:rFonts w:hint="eastAsia"/>
        </w:rPr>
      </w:pPr>
      <w:r>
        <w:rPr>
          <w:rFonts w:hint="eastAsia"/>
        </w:rPr>
        <w:t>(</w:t>
      </w:r>
      <w:r>
        <w:rPr>
          <w:u w:color="auto"/>
        </w:rPr>
        <w:t>2)一般公共服务支出</w:t>
      </w:r>
      <w:r>
        <w:rPr>
          <w:rFonts w:hint="eastAsia"/>
          <w:lang w:val="en-US" w:eastAsia="zh-CN"/>
        </w:rPr>
        <w:t>261.28</w:t>
      </w:r>
      <w:r>
        <w:rPr>
          <w:rFonts w:hint="eastAsia"/>
        </w:rPr>
        <w:t>万元，占支出总预算</w:t>
      </w:r>
      <w:r>
        <w:rPr>
          <w:rFonts w:hint="eastAsia"/>
          <w:lang w:val="en-US" w:eastAsia="zh-CN"/>
        </w:rPr>
        <w:t>85.78%</w:t>
      </w:r>
      <w:r>
        <w:rPr>
          <w:rFonts w:hint="eastAsia"/>
        </w:rPr>
        <w:t>,比上年</w:t>
      </w:r>
      <w:r>
        <w:rPr>
          <w:rFonts w:hint="eastAsia"/>
          <w:lang w:val="en-US" w:eastAsia="zh-CN"/>
        </w:rPr>
        <w:t>增长52.79</w:t>
      </w:r>
      <w:r>
        <w:rPr>
          <w:rFonts w:hint="eastAsia"/>
        </w:rPr>
        <w:t>万元，</w:t>
      </w:r>
      <w:r>
        <w:rPr>
          <w:rFonts w:hint="eastAsia"/>
          <w:lang w:val="en-US" w:eastAsia="zh-CN"/>
        </w:rPr>
        <w:t>增长25.32%</w:t>
      </w:r>
      <w:r>
        <w:rPr>
          <w:rFonts w:hint="eastAsia"/>
        </w:rPr>
        <w:t>,</w:t>
      </w:r>
      <w:r>
        <w:rPr>
          <w:rFonts w:hint="eastAsia"/>
          <w:highlight w:val="none"/>
        </w:rPr>
        <w:t>主要原因是：</w:t>
      </w:r>
      <w:r>
        <w:rPr>
          <w:rFonts w:hint="eastAsia"/>
          <w:highlight w:val="none"/>
          <w:lang w:val="en-US" w:eastAsia="zh-CN"/>
        </w:rPr>
        <w:t>二层机构人员调入，增加工作职能、编制数和人员，住房保障支出增加</w:t>
      </w:r>
      <w:r>
        <w:rPr>
          <w:rFonts w:hint="eastAsia"/>
          <w:highlight w:val="none"/>
        </w:rPr>
        <w:t>。</w:t>
      </w:r>
    </w:p>
    <w:p>
      <w:pPr>
        <w:pStyle w:val="18"/>
        <w:spacing w:line="623" w:lineRule="exact"/>
        <w:ind w:left="0" w:leftChars="0" w:firstLine="560" w:firstLineChars="200"/>
        <w:jc w:val="left"/>
        <w:rPr>
          <w:rFonts w:hint="eastAsia"/>
        </w:rPr>
      </w:pPr>
      <w:r>
        <w:rPr>
          <w:rFonts w:hint="eastAsia"/>
        </w:rPr>
        <w:t>(</w:t>
      </w:r>
      <w:r>
        <w:rPr>
          <w:u w:color="auto"/>
        </w:rPr>
        <w:t>3)社会保障和就业支出</w:t>
      </w:r>
      <w:r>
        <w:rPr>
          <w:rFonts w:hint="eastAsia"/>
          <w:lang w:val="en-US" w:eastAsia="zh-CN"/>
        </w:rPr>
        <w:t>23.27</w:t>
      </w:r>
      <w:r>
        <w:rPr>
          <w:rFonts w:hint="eastAsia"/>
        </w:rPr>
        <w:t>万元，占支出总预算</w:t>
      </w:r>
      <w:r>
        <w:rPr>
          <w:rFonts w:hint="eastAsia"/>
          <w:lang w:val="en-US" w:eastAsia="zh-CN"/>
        </w:rPr>
        <w:t>7.64%</w:t>
      </w:r>
      <w:r>
        <w:rPr>
          <w:rFonts w:hint="eastAsia"/>
        </w:rPr>
        <w:t>,比上年</w:t>
      </w:r>
      <w:r>
        <w:rPr>
          <w:rFonts w:hint="eastAsia"/>
          <w:lang w:val="en-US" w:eastAsia="zh-CN"/>
        </w:rPr>
        <w:t>减少0.72</w:t>
      </w:r>
      <w:r>
        <w:rPr>
          <w:rFonts w:hint="eastAsia"/>
        </w:rPr>
        <w:t>万元，</w:t>
      </w:r>
      <w:r>
        <w:rPr>
          <w:rFonts w:hint="eastAsia"/>
          <w:lang w:val="en-US" w:eastAsia="zh-CN"/>
        </w:rPr>
        <w:t>减少3.00%</w:t>
      </w:r>
      <w:r>
        <w:rPr>
          <w:rFonts w:hint="eastAsia"/>
        </w:rPr>
        <w:t>,</w:t>
      </w:r>
      <w:r>
        <w:rPr>
          <w:rFonts w:hint="eastAsia"/>
          <w:highlight w:val="none"/>
        </w:rPr>
        <w:t>主要原因是：</w:t>
      </w:r>
      <w:r>
        <w:rPr>
          <w:rFonts w:hint="eastAsia"/>
          <w:highlight w:val="none"/>
          <w:lang w:val="en-US" w:eastAsia="zh-CN"/>
        </w:rPr>
        <w:t>社保缴费基数下降，社保缴费支出减少</w:t>
      </w:r>
      <w:r>
        <w:rPr>
          <w:rFonts w:hint="eastAsia"/>
          <w:highlight w:val="none"/>
        </w:rPr>
        <w:t>。</w:t>
      </w:r>
    </w:p>
    <w:p>
      <w:pPr>
        <w:pStyle w:val="18"/>
        <w:spacing w:line="623" w:lineRule="exact"/>
        <w:ind w:left="0" w:leftChars="0" w:firstLine="560" w:firstLineChars="200"/>
        <w:jc w:val="left"/>
        <w:rPr>
          <w:rFonts w:hint="eastAsia"/>
        </w:rPr>
      </w:pPr>
      <w:r>
        <w:rPr>
          <w:rFonts w:hint="eastAsia"/>
        </w:rPr>
        <w:t>(</w:t>
      </w:r>
      <w:r>
        <w:rPr>
          <w:u w:color="auto"/>
        </w:rPr>
        <w:t>4)住房保障支出</w:t>
      </w:r>
      <w:r>
        <w:rPr>
          <w:rFonts w:hint="eastAsia"/>
          <w:lang w:val="en-US" w:eastAsia="zh-CN"/>
        </w:rPr>
        <w:t>20.03</w:t>
      </w:r>
      <w:r>
        <w:rPr>
          <w:rFonts w:hint="eastAsia"/>
        </w:rPr>
        <w:t>万元，占支出总预算</w:t>
      </w:r>
      <w:r>
        <w:rPr>
          <w:rFonts w:hint="eastAsia"/>
          <w:lang w:val="en-US" w:eastAsia="zh-CN"/>
        </w:rPr>
        <w:t>6.58%</w:t>
      </w:r>
      <w:r>
        <w:rPr>
          <w:rFonts w:hint="eastAsia"/>
        </w:rPr>
        <w:t>,比上年</w:t>
      </w:r>
      <w:r>
        <w:rPr>
          <w:rFonts w:hint="eastAsia"/>
          <w:lang w:val="en-US" w:eastAsia="zh-CN"/>
        </w:rPr>
        <w:t>增长2.04</w:t>
      </w:r>
      <w:r>
        <w:rPr>
          <w:rFonts w:hint="eastAsia"/>
        </w:rPr>
        <w:t>万元，</w:t>
      </w:r>
      <w:r>
        <w:rPr>
          <w:rFonts w:hint="eastAsia"/>
          <w:lang w:val="en-US" w:eastAsia="zh-CN"/>
        </w:rPr>
        <w:t>增长11.34%</w:t>
      </w:r>
      <w:r>
        <w:rPr>
          <w:rFonts w:hint="eastAsia"/>
        </w:rPr>
        <w:t>,</w:t>
      </w:r>
      <w:r>
        <w:rPr>
          <w:rFonts w:hint="eastAsia"/>
          <w:highlight w:val="none"/>
        </w:rPr>
        <w:t>主要原因是：</w:t>
      </w:r>
      <w:r>
        <w:rPr>
          <w:rFonts w:hint="eastAsia"/>
          <w:highlight w:val="none"/>
          <w:lang w:val="en-US" w:eastAsia="zh-CN"/>
        </w:rPr>
        <w:t>人员职务、职级晋升，工资较上年增加，住房保障基数提高，缴费支出增加</w:t>
      </w:r>
      <w:r>
        <w:rPr>
          <w:rFonts w:hint="eastAsia"/>
          <w:highlight w:val="none"/>
        </w:rPr>
        <w:t>。</w:t>
      </w:r>
    </w:p>
    <w:p>
      <w:pPr>
        <w:pStyle w:val="18"/>
        <w:spacing w:line="635" w:lineRule="exact"/>
        <w:ind w:firstLine="740"/>
        <w:jc w:val="left"/>
      </w:pPr>
      <w:r>
        <w:t>(二)按支出结构分类划分，分为基本支出预算和项目支出预算。</w:t>
      </w:r>
    </w:p>
    <w:p>
      <w:pPr>
        <w:pStyle w:val="18"/>
        <w:spacing w:line="635" w:lineRule="exact"/>
        <w:ind w:firstLine="600"/>
        <w:jc w:val="left"/>
      </w:pPr>
      <w:r>
        <w:rPr>
          <w:rFonts w:ascii="Times New Roman" w:hAnsi="Times New Roman" w:eastAsia="Times New Roman" w:cs="Times New Roman"/>
          <w:sz w:val="30"/>
          <w:szCs w:val="30"/>
        </w:rPr>
        <w:t>1</w:t>
      </w:r>
      <w:r>
        <w:t>.基本支出预算。</w:t>
      </w:r>
    </w:p>
    <w:p>
      <w:pPr>
        <w:pStyle w:val="18"/>
        <w:spacing w:line="619" w:lineRule="exact"/>
        <w:ind w:firstLine="600"/>
        <w:jc w:val="left"/>
        <w:rPr>
          <w:rFonts w:hint="eastAsia"/>
          <w:lang w:val="en-US" w:eastAsia="zh-CN"/>
        </w:rPr>
      </w:pPr>
      <w:r>
        <w:rPr>
          <w:rFonts w:hint="eastAsia"/>
        </w:rPr>
        <w:t>基本支出预算</w:t>
      </w:r>
      <w:r>
        <w:rPr>
          <w:rFonts w:hint="eastAsia"/>
          <w:lang w:val="en-US" w:eastAsia="zh-CN"/>
        </w:rPr>
        <w:t>222.96</w:t>
      </w:r>
      <w:r>
        <w:rPr>
          <w:rFonts w:hint="eastAsia"/>
        </w:rPr>
        <w:t>万元，占支出预算</w:t>
      </w:r>
      <w:r>
        <w:rPr>
          <w:u w:color="auto"/>
        </w:rPr>
        <w:t>73.20%,比上年增长12.12万元，增长5.75%</w:t>
      </w:r>
      <w:r>
        <w:t>。</w:t>
      </w:r>
      <w:r>
        <w:rPr>
          <w:rFonts w:hint="eastAsia"/>
          <w:lang w:val="en-US" w:eastAsia="zh-CN"/>
        </w:rPr>
        <w:t>其中：</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1)工资福利支出</w:t>
      </w:r>
      <w:r>
        <w:rPr>
          <w:rFonts w:hint="eastAsia" w:ascii="宋体" w:hAnsi="宋体" w:eastAsia="宋体" w:cs="宋体"/>
          <w:sz w:val="28"/>
          <w:szCs w:val="28"/>
          <w:lang w:val="en-US" w:eastAsia="zh-CN"/>
        </w:rPr>
        <w:t>207.29</w:t>
      </w:r>
      <w:r>
        <w:rPr>
          <w:rFonts w:hint="eastAsia" w:ascii="宋体" w:hAnsi="宋体" w:eastAsia="宋体" w:cs="宋体"/>
          <w:sz w:val="28"/>
          <w:szCs w:val="28"/>
        </w:rPr>
        <w:t>万</w:t>
      </w:r>
      <w:r>
        <w:rPr>
          <w:rFonts w:ascii="宋体" w:hAnsi="宋体" w:eastAsia="宋体" w:cs="宋体"/>
          <w:sz w:val="28"/>
          <w:szCs w:val="28"/>
        </w:rPr>
        <w:t>元，占基本支出总预算</w:t>
      </w:r>
      <w:r>
        <w:rPr>
          <w:rFonts w:hint="eastAsia" w:ascii="宋体" w:hAnsi="宋体" w:eastAsia="宋体" w:cs="宋体"/>
          <w:sz w:val="28"/>
          <w:szCs w:val="28"/>
          <w:lang w:val="en-US" w:eastAsia="zh-CN"/>
        </w:rPr>
        <w:t>92.97%</w:t>
      </w:r>
      <w:r>
        <w:rPr>
          <w:rFonts w:hint="eastAsia"/>
        </w:rPr>
        <w:t>,</w:t>
      </w:r>
      <w:r>
        <w:t>比上年</w:t>
      </w:r>
      <w:r>
        <w:rPr>
          <w:rFonts w:hint="eastAsia"/>
        </w:rPr>
        <w:t>增长12.34</w:t>
      </w:r>
      <w:r>
        <w:t>万元，</w:t>
      </w:r>
      <w:r>
        <w:rPr>
          <w:rFonts w:hint="eastAsia"/>
        </w:rPr>
        <w:t>增长6.33%</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2024年度部门预算包含公务员基础性绩效奖励、事业人员基础性绩效工资增量</w:t>
      </w:r>
      <w:r>
        <w:rPr>
          <w:rFonts w:hint="eastAsia"/>
          <w:highlight w:val="none"/>
          <w:lang w:val="en-US" w:eastAsia="zh-CN"/>
        </w:rPr>
        <w:t>。</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2)商品和服务支出</w:t>
      </w:r>
      <w:r>
        <w:rPr>
          <w:rFonts w:hint="eastAsia" w:ascii="宋体" w:hAnsi="宋体" w:eastAsia="宋体" w:cs="宋体"/>
          <w:sz w:val="28"/>
          <w:szCs w:val="28"/>
          <w:lang w:val="en-US" w:eastAsia="zh-CN"/>
        </w:rPr>
        <w:t>13.44</w:t>
      </w:r>
      <w:r>
        <w:rPr>
          <w:rFonts w:hint="eastAsia" w:ascii="宋体" w:hAnsi="宋体" w:eastAsia="宋体" w:cs="宋体"/>
          <w:sz w:val="28"/>
          <w:szCs w:val="28"/>
        </w:rPr>
        <w:t>万</w:t>
      </w:r>
      <w:r>
        <w:rPr>
          <w:rFonts w:ascii="宋体" w:hAnsi="宋体" w:eastAsia="宋体" w:cs="宋体"/>
          <w:sz w:val="28"/>
          <w:szCs w:val="28"/>
        </w:rPr>
        <w:t>元，占基本支出总预算</w:t>
      </w:r>
      <w:r>
        <w:rPr>
          <w:rFonts w:hint="eastAsia" w:ascii="宋体" w:hAnsi="宋体" w:eastAsia="宋体" w:cs="宋体"/>
          <w:sz w:val="28"/>
          <w:szCs w:val="28"/>
          <w:lang w:val="en-US" w:eastAsia="zh-CN"/>
        </w:rPr>
        <w:t>6.03%</w:t>
      </w:r>
      <w:r>
        <w:rPr>
          <w:rFonts w:hint="eastAsia"/>
        </w:rPr>
        <w:t>,</w:t>
      </w:r>
      <w:r>
        <w:t>比上年</w:t>
      </w:r>
      <w:r>
        <w:rPr>
          <w:rFonts w:hint="eastAsia"/>
        </w:rPr>
        <w:t>减少1.00</w:t>
      </w:r>
      <w:r>
        <w:t>万元，</w:t>
      </w:r>
      <w:r>
        <w:rPr>
          <w:rFonts w:hint="eastAsia"/>
        </w:rPr>
        <w:t>减少6.93%</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工会经费减少1万元</w:t>
      </w:r>
      <w:r>
        <w:rPr>
          <w:rFonts w:hint="eastAsia"/>
          <w:highlight w:val="none"/>
          <w:lang w:val="en-US" w:eastAsia="zh-CN"/>
        </w:rPr>
        <w:t>。</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3)对个人和家庭的补助</w:t>
      </w:r>
      <w:r>
        <w:rPr>
          <w:rFonts w:hint="eastAsia" w:ascii="宋体" w:hAnsi="宋体" w:eastAsia="宋体" w:cs="宋体"/>
          <w:sz w:val="28"/>
          <w:szCs w:val="28"/>
          <w:lang w:val="en-US" w:eastAsia="zh-CN"/>
        </w:rPr>
        <w:t>2.23</w:t>
      </w:r>
      <w:r>
        <w:rPr>
          <w:rFonts w:hint="eastAsia" w:ascii="宋体" w:hAnsi="宋体" w:eastAsia="宋体" w:cs="宋体"/>
          <w:sz w:val="28"/>
          <w:szCs w:val="28"/>
        </w:rPr>
        <w:t>万</w:t>
      </w:r>
      <w:r>
        <w:rPr>
          <w:rFonts w:ascii="宋体" w:hAnsi="宋体" w:eastAsia="宋体" w:cs="宋体"/>
          <w:sz w:val="28"/>
          <w:szCs w:val="28"/>
        </w:rPr>
        <w:t>元，占基本支出总预算</w:t>
      </w:r>
      <w:r>
        <w:rPr>
          <w:rFonts w:hint="eastAsia" w:ascii="宋体" w:hAnsi="宋体" w:eastAsia="宋体" w:cs="宋体"/>
          <w:sz w:val="28"/>
          <w:szCs w:val="28"/>
          <w:lang w:val="en-US" w:eastAsia="zh-CN"/>
        </w:rPr>
        <w:t>1.00%</w:t>
      </w:r>
      <w:r>
        <w:rPr>
          <w:rFonts w:hint="eastAsia"/>
        </w:rPr>
        <w:t>,</w:t>
      </w:r>
      <w:r>
        <w:t>比上年</w:t>
      </w:r>
      <w:r>
        <w:rPr>
          <w:rFonts w:hint="eastAsia"/>
        </w:rPr>
        <w:t>增长0.78</w:t>
      </w:r>
      <w:r>
        <w:t>万元，</w:t>
      </w:r>
      <w:r>
        <w:rPr>
          <w:rFonts w:hint="eastAsia"/>
        </w:rPr>
        <w:t>增长53.79%</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增加一个退休人员生活补助支出</w:t>
      </w:r>
      <w:r>
        <w:rPr>
          <w:rFonts w:hint="eastAsia"/>
          <w:highlight w:val="none"/>
          <w:lang w:val="en-US" w:eastAsia="zh-CN"/>
        </w:rPr>
        <w:t>。</w:t>
      </w:r>
    </w:p>
    <w:p>
      <w:pPr>
        <w:pStyle w:val="18"/>
        <w:numPr>
          <w:ilvl w:val="0"/>
          <w:numId w:val="1"/>
        </w:numPr>
        <w:spacing w:line="614" w:lineRule="exact"/>
        <w:ind w:firstLine="600"/>
        <w:jc w:val="left"/>
      </w:pPr>
      <w:r>
        <w:t>项目支出预算。</w:t>
      </w:r>
    </w:p>
    <w:p>
      <w:pPr>
        <w:pStyle w:val="18"/>
        <w:spacing w:line="619" w:lineRule="exact"/>
        <w:ind w:firstLine="600"/>
        <w:jc w:val="left"/>
        <w:rPr>
          <w:rFonts w:hint="eastAsia"/>
          <w:lang w:val="en-US" w:eastAsia="zh-CN"/>
        </w:rPr>
      </w:pPr>
      <w:r>
        <w:rPr>
          <w:rFonts w:hint="eastAsia"/>
        </w:rPr>
        <w:t>项目支出预算</w:t>
      </w:r>
      <w:r>
        <w:rPr>
          <w:rFonts w:hint="eastAsia"/>
          <w:lang w:val="en-US" w:eastAsia="zh-CN"/>
        </w:rPr>
        <w:t>81.62</w:t>
      </w:r>
      <w:r>
        <w:rPr>
          <w:rFonts w:hint="eastAsia"/>
        </w:rPr>
        <w:t>万元，占支出预算</w:t>
      </w:r>
      <w:r>
        <w:rPr>
          <w:u w:color="auto"/>
        </w:rPr>
        <w:t>26.80%</w:t>
      </w:r>
      <w:r>
        <w:rPr>
          <w:rFonts w:hint="eastAsia"/>
        </w:rPr>
        <w:t>,比上年</w:t>
      </w:r>
      <w:r>
        <w:rPr>
          <w:u w:color="auto"/>
        </w:rPr>
        <w:t>减少86.01</w:t>
      </w:r>
      <w:r>
        <w:rPr>
          <w:rFonts w:hint="eastAsia"/>
        </w:rPr>
        <w:t>万元，</w:t>
      </w:r>
      <w:r>
        <w:rPr>
          <w:u w:color="auto"/>
        </w:rPr>
        <w:t>减少51.31%</w:t>
      </w:r>
      <w:r>
        <w:t>。</w:t>
      </w:r>
      <w:r>
        <w:rPr>
          <w:rFonts w:hint="eastAsia"/>
          <w:lang w:val="en-US" w:eastAsia="zh-CN"/>
        </w:rPr>
        <w:t>其中：</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1)商品和服务支出</w:t>
      </w:r>
      <w:r>
        <w:rPr>
          <w:rFonts w:hint="eastAsia" w:ascii="宋体" w:hAnsi="宋体" w:eastAsia="宋体" w:cs="宋体"/>
          <w:sz w:val="28"/>
          <w:szCs w:val="28"/>
          <w:lang w:val="en-US" w:eastAsia="zh-CN"/>
        </w:rPr>
        <w:t>63.97</w:t>
      </w:r>
      <w:r>
        <w:rPr>
          <w:rFonts w:hint="eastAsia" w:ascii="宋体" w:hAnsi="宋体" w:eastAsia="宋体" w:cs="宋体"/>
          <w:sz w:val="28"/>
          <w:szCs w:val="28"/>
        </w:rPr>
        <w:t>万</w:t>
      </w:r>
      <w:r>
        <w:rPr>
          <w:rFonts w:ascii="宋体" w:hAnsi="宋体" w:eastAsia="宋体" w:cs="宋体"/>
          <w:sz w:val="28"/>
          <w:szCs w:val="28"/>
        </w:rPr>
        <w:t>元，占</w:t>
      </w:r>
      <w:r>
        <w:rPr>
          <w:rFonts w:hint="eastAsia"/>
        </w:rPr>
        <w:t>项目</w:t>
      </w:r>
      <w:r>
        <w:rPr>
          <w:rFonts w:ascii="宋体" w:hAnsi="宋体" w:eastAsia="宋体" w:cs="宋体"/>
          <w:sz w:val="28"/>
          <w:szCs w:val="28"/>
        </w:rPr>
        <w:t>支出总预算</w:t>
      </w:r>
      <w:r>
        <w:rPr>
          <w:rFonts w:hint="eastAsia" w:ascii="宋体" w:hAnsi="宋体" w:eastAsia="宋体" w:cs="宋体"/>
          <w:sz w:val="28"/>
          <w:szCs w:val="28"/>
          <w:lang w:val="en-US" w:eastAsia="zh-CN"/>
        </w:rPr>
        <w:t>78.38%</w:t>
      </w:r>
      <w:r>
        <w:t>,比上年</w:t>
      </w:r>
      <w:r>
        <w:rPr>
          <w:rFonts w:hint="eastAsia"/>
        </w:rPr>
        <w:t>减少96.16</w:t>
      </w:r>
      <w:r>
        <w:t>万元，</w:t>
      </w:r>
      <w:r>
        <w:rPr>
          <w:rFonts w:hint="eastAsia"/>
        </w:rPr>
        <w:t>减少60.05%</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减少了项目建设支出</w:t>
      </w:r>
      <w:r>
        <w:rPr>
          <w:rFonts w:hint="eastAsia"/>
          <w:highlight w:val="none"/>
          <w:lang w:val="en-US" w:eastAsia="zh-CN"/>
        </w:rPr>
        <w:t>。</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2)工资福利支出</w:t>
      </w:r>
      <w:r>
        <w:rPr>
          <w:rFonts w:hint="eastAsia" w:ascii="宋体" w:hAnsi="宋体" w:eastAsia="宋体" w:cs="宋体"/>
          <w:sz w:val="28"/>
          <w:szCs w:val="28"/>
          <w:lang w:val="en-US" w:eastAsia="zh-CN"/>
        </w:rPr>
        <w:t>1.40</w:t>
      </w:r>
      <w:r>
        <w:rPr>
          <w:rFonts w:hint="eastAsia" w:ascii="宋体" w:hAnsi="宋体" w:eastAsia="宋体" w:cs="宋体"/>
          <w:sz w:val="28"/>
          <w:szCs w:val="28"/>
        </w:rPr>
        <w:t>万</w:t>
      </w:r>
      <w:r>
        <w:rPr>
          <w:rFonts w:ascii="宋体" w:hAnsi="宋体" w:eastAsia="宋体" w:cs="宋体"/>
          <w:sz w:val="28"/>
          <w:szCs w:val="28"/>
        </w:rPr>
        <w:t>元，占</w:t>
      </w:r>
      <w:r>
        <w:rPr>
          <w:rFonts w:hint="eastAsia"/>
        </w:rPr>
        <w:t>项目</w:t>
      </w:r>
      <w:r>
        <w:rPr>
          <w:rFonts w:ascii="宋体" w:hAnsi="宋体" w:eastAsia="宋体" w:cs="宋体"/>
          <w:sz w:val="28"/>
          <w:szCs w:val="28"/>
        </w:rPr>
        <w:t>支出总预算</w:t>
      </w:r>
      <w:r>
        <w:rPr>
          <w:rFonts w:hint="eastAsia" w:ascii="宋体" w:hAnsi="宋体" w:eastAsia="宋体" w:cs="宋体"/>
          <w:sz w:val="28"/>
          <w:szCs w:val="28"/>
          <w:lang w:val="en-US" w:eastAsia="zh-CN"/>
        </w:rPr>
        <w:t>1.72%</w:t>
      </w:r>
      <w:r>
        <w:t>,比上年</w:t>
      </w:r>
      <w:r>
        <w:rPr>
          <w:rFonts w:hint="eastAsia"/>
        </w:rPr>
        <w:t>增长1.40</w:t>
      </w:r>
      <w:r>
        <w:t>万元，</w:t>
      </w:r>
      <w:r>
        <w:rPr>
          <w:rFonts w:hint="eastAsia"/>
        </w:rPr>
        <w:t>增长100%</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增加了4名非实名编制人内实聘人员住房保障支出</w:t>
      </w:r>
      <w:r>
        <w:rPr>
          <w:rFonts w:hint="eastAsia"/>
          <w:highlight w:val="none"/>
          <w:lang w:val="en-US" w:eastAsia="zh-CN"/>
        </w:rPr>
        <w:t>。</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3)资本性支出</w:t>
      </w:r>
      <w:r>
        <w:rPr>
          <w:rFonts w:hint="eastAsia" w:ascii="宋体" w:hAnsi="宋体" w:eastAsia="宋体" w:cs="宋体"/>
          <w:sz w:val="28"/>
          <w:szCs w:val="28"/>
          <w:lang w:val="en-US" w:eastAsia="zh-CN"/>
        </w:rPr>
        <w:t>15.00</w:t>
      </w:r>
      <w:r>
        <w:rPr>
          <w:rFonts w:hint="eastAsia" w:ascii="宋体" w:hAnsi="宋体" w:eastAsia="宋体" w:cs="宋体"/>
          <w:sz w:val="28"/>
          <w:szCs w:val="28"/>
        </w:rPr>
        <w:t>万</w:t>
      </w:r>
      <w:r>
        <w:rPr>
          <w:rFonts w:ascii="宋体" w:hAnsi="宋体" w:eastAsia="宋体" w:cs="宋体"/>
          <w:sz w:val="28"/>
          <w:szCs w:val="28"/>
        </w:rPr>
        <w:t>元，占</w:t>
      </w:r>
      <w:r>
        <w:rPr>
          <w:rFonts w:hint="eastAsia"/>
        </w:rPr>
        <w:t>项目</w:t>
      </w:r>
      <w:r>
        <w:rPr>
          <w:rFonts w:ascii="宋体" w:hAnsi="宋体" w:eastAsia="宋体" w:cs="宋体"/>
          <w:sz w:val="28"/>
          <w:szCs w:val="28"/>
        </w:rPr>
        <w:t>支出总预算</w:t>
      </w:r>
      <w:r>
        <w:rPr>
          <w:rFonts w:hint="eastAsia" w:ascii="宋体" w:hAnsi="宋体" w:eastAsia="宋体" w:cs="宋体"/>
          <w:sz w:val="28"/>
          <w:szCs w:val="28"/>
          <w:lang w:val="en-US" w:eastAsia="zh-CN"/>
        </w:rPr>
        <w:t>18.38%</w:t>
      </w:r>
      <w:r>
        <w:t>,比上年</w:t>
      </w:r>
      <w:r>
        <w:rPr>
          <w:rFonts w:hint="eastAsia"/>
        </w:rPr>
        <w:t>增长7.50</w:t>
      </w:r>
      <w:r>
        <w:t>万元，</w:t>
      </w:r>
      <w:r>
        <w:rPr>
          <w:rFonts w:hint="eastAsia"/>
        </w:rPr>
        <w:t>增长100.00%</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增加综合办公平台国产终端设备经费10万元；电子政务外网扩容扩建，增加设备购置费5万元</w:t>
      </w:r>
      <w:r>
        <w:rPr>
          <w:rFonts w:hint="eastAsia"/>
          <w:highlight w:val="none"/>
          <w:lang w:val="en-US" w:eastAsia="zh-CN"/>
        </w:rPr>
        <w:t>。</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4)资本性支出（基本建设）</w:t>
      </w:r>
      <w:r>
        <w:rPr>
          <w:rFonts w:hint="eastAsia" w:ascii="宋体" w:hAnsi="宋体" w:eastAsia="宋体" w:cs="宋体"/>
          <w:sz w:val="28"/>
          <w:szCs w:val="28"/>
          <w:lang w:val="en-US" w:eastAsia="zh-CN"/>
        </w:rPr>
        <w:t>1.25</w:t>
      </w:r>
      <w:r>
        <w:rPr>
          <w:rFonts w:hint="eastAsia" w:ascii="宋体" w:hAnsi="宋体" w:eastAsia="宋体" w:cs="宋体"/>
          <w:sz w:val="28"/>
          <w:szCs w:val="28"/>
        </w:rPr>
        <w:t>万</w:t>
      </w:r>
      <w:r>
        <w:rPr>
          <w:rFonts w:ascii="宋体" w:hAnsi="宋体" w:eastAsia="宋体" w:cs="宋体"/>
          <w:sz w:val="28"/>
          <w:szCs w:val="28"/>
        </w:rPr>
        <w:t>元，占</w:t>
      </w:r>
      <w:r>
        <w:rPr>
          <w:rFonts w:hint="eastAsia"/>
        </w:rPr>
        <w:t>项目</w:t>
      </w:r>
      <w:r>
        <w:rPr>
          <w:rFonts w:ascii="宋体" w:hAnsi="宋体" w:eastAsia="宋体" w:cs="宋体"/>
          <w:sz w:val="28"/>
          <w:szCs w:val="28"/>
        </w:rPr>
        <w:t>支出总预算</w:t>
      </w:r>
      <w:r>
        <w:rPr>
          <w:rFonts w:hint="eastAsia" w:ascii="宋体" w:hAnsi="宋体" w:eastAsia="宋体" w:cs="宋体"/>
          <w:sz w:val="28"/>
          <w:szCs w:val="28"/>
          <w:lang w:val="en-US" w:eastAsia="zh-CN"/>
        </w:rPr>
        <w:t>1.53%</w:t>
      </w:r>
      <w:r>
        <w:t>,比上年</w:t>
      </w:r>
      <w:r>
        <w:rPr>
          <w:rFonts w:hint="eastAsia"/>
        </w:rPr>
        <w:t>增长1.25</w:t>
      </w:r>
      <w:r>
        <w:t>万元，</w:t>
      </w:r>
      <w:r>
        <w:rPr>
          <w:rFonts w:hint="eastAsia"/>
        </w:rPr>
        <w:t>增长100%</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预算指标部门经济分类有误，应为资本性支出</w:t>
      </w:r>
      <w:r>
        <w:rPr>
          <w:rFonts w:hint="eastAsia"/>
          <w:highlight w:val="none"/>
          <w:lang w:val="en-US" w:eastAsia="zh-CN"/>
        </w:rPr>
        <w:t>。</w:t>
      </w:r>
    </w:p>
    <w:p>
      <w:pPr>
        <w:pStyle w:val="16"/>
        <w:numPr>
          <w:ilvl w:val="0"/>
          <w:numId w:val="0"/>
        </w:numPr>
        <w:tabs>
          <w:tab w:val="left" w:pos="1238"/>
        </w:tabs>
        <w:spacing w:after="0" w:line="625" w:lineRule="exact"/>
        <w:jc w:val="left"/>
        <w:rPr>
          <w:b/>
          <w:bCs/>
        </w:rPr>
      </w:pPr>
    </w:p>
    <w:p>
      <w:pPr>
        <w:pStyle w:val="16"/>
        <w:tabs>
          <w:tab w:val="left" w:pos="1235"/>
        </w:tabs>
        <w:spacing w:after="0" w:line="624" w:lineRule="exact"/>
        <w:ind w:firstLine="580"/>
        <w:jc w:val="left"/>
        <w:rPr>
          <w:b/>
          <w:bCs/>
        </w:rPr>
      </w:pPr>
      <w:r>
        <w:rPr>
          <w:rFonts w:hint="eastAsia"/>
          <w:b/>
          <w:bCs/>
          <w:lang w:val="en-US" w:eastAsia="zh-CN"/>
        </w:rPr>
        <w:t>四、</w:t>
      </w:r>
      <w:r>
        <w:rPr>
          <w:b/>
          <w:bCs/>
        </w:rPr>
        <w:t>财政拨款收支总体情况说明</w:t>
      </w:r>
    </w:p>
    <w:p>
      <w:pPr>
        <w:pStyle w:val="18"/>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20955" b="14605"/>
            <wp:docPr id="727"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18"/>
        <w:spacing w:line="624" w:lineRule="exact"/>
        <w:ind w:firstLine="600"/>
        <w:jc w:val="left"/>
        <w:rPr>
          <w:rFonts w:hint="eastAsia" w:ascii="宋体" w:hAnsi="宋体" w:eastAsia="宋体" w:cs="宋体"/>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u w:color="auto"/>
        </w:rPr>
        <w:t>年</w:t>
      </w:r>
      <w:r>
        <w:rPr>
          <w:rFonts w:hint="eastAsia" w:ascii="宋体" w:hAnsi="宋体" w:eastAsia="宋体" w:cs="宋体"/>
          <w:sz w:val="28"/>
          <w:szCs w:val="28"/>
        </w:rPr>
        <w:t>财政拨款收入我部门财政拨款总收入</w:t>
      </w:r>
      <w:r>
        <w:rPr>
          <w:rFonts w:hint="eastAsia" w:ascii="宋体" w:hAnsi="宋体" w:eastAsia="宋体" w:cs="宋体"/>
          <w:sz w:val="28"/>
          <w:szCs w:val="28"/>
          <w:lang w:val="en-US" w:eastAsia="zh-CN" w:bidi="en-US"/>
        </w:rPr>
        <w:t>304.58</w:t>
      </w:r>
      <w:r>
        <w:rPr>
          <w:rFonts w:hint="eastAsia" w:ascii="宋体" w:hAnsi="宋体" w:eastAsia="宋体" w:cs="宋体"/>
          <w:sz w:val="28"/>
          <w:szCs w:val="28"/>
        </w:rPr>
        <w:t>万元，总支出</w:t>
      </w:r>
      <w:r>
        <w:rPr>
          <w:rFonts w:hint="eastAsia" w:ascii="宋体" w:hAnsi="宋体" w:eastAsia="宋体" w:cs="宋体"/>
          <w:sz w:val="28"/>
          <w:szCs w:val="28"/>
          <w:lang w:val="en-US" w:eastAsia="zh-CN" w:bidi="en-US"/>
        </w:rPr>
        <w:t>304.58</w:t>
      </w:r>
      <w:r>
        <w:rPr>
          <w:rFonts w:hint="eastAsia" w:ascii="宋体" w:hAnsi="宋体" w:eastAsia="宋体" w:cs="宋体"/>
          <w:sz w:val="28"/>
          <w:szCs w:val="28"/>
        </w:rPr>
        <w:t>万元。财政拨款总收入较2023年度预算数</w:t>
      </w:r>
      <w:r>
        <w:rPr>
          <w:rFonts w:hint="eastAsia" w:ascii="宋体" w:hAnsi="宋体" w:eastAsia="宋体" w:cs="宋体"/>
          <w:sz w:val="28"/>
          <w:szCs w:val="28"/>
          <w:lang w:val="en-US" w:eastAsia="zh-CN" w:bidi="en-US"/>
        </w:rPr>
        <w:t>378.47</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减少73.89</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下降19.52%</w:t>
      </w:r>
      <w:r>
        <w:rPr>
          <w:rFonts w:hint="eastAsia" w:ascii="宋体" w:hAnsi="宋体" w:eastAsia="宋体" w:cs="宋体"/>
          <w:sz w:val="28"/>
          <w:szCs w:val="28"/>
        </w:rPr>
        <w:t>，主要原因是</w:t>
      </w:r>
      <w:r>
        <w:rPr>
          <w:rFonts w:hint="eastAsia"/>
          <w:highlight w:val="none"/>
          <w:lang w:val="en-US" w:eastAsia="zh-CN"/>
        </w:rPr>
        <w:t>2024年部门预算项目支出数量和资金均减少，社保缴费基数下降，社保缴费支出减少</w:t>
      </w:r>
      <w:r>
        <w:rPr>
          <w:rFonts w:hint="eastAsia" w:ascii="宋体" w:hAnsi="宋体" w:eastAsia="宋体" w:cs="宋体"/>
          <w:sz w:val="28"/>
          <w:szCs w:val="28"/>
        </w:rPr>
        <w:t>。财政拨款总支出较2023年度预算数</w:t>
      </w:r>
      <w:r>
        <w:rPr>
          <w:rFonts w:hint="eastAsia" w:ascii="宋体" w:hAnsi="宋体" w:eastAsia="宋体" w:cs="宋体"/>
          <w:sz w:val="28"/>
          <w:szCs w:val="28"/>
          <w:lang w:val="en-US" w:eastAsia="zh-CN" w:bidi="en-US"/>
        </w:rPr>
        <w:t>378.47</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减少73.89</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下降19.52%</w:t>
      </w:r>
      <w:r>
        <w:rPr>
          <w:rFonts w:hint="eastAsia" w:ascii="宋体" w:hAnsi="宋体" w:eastAsia="宋体" w:cs="宋体"/>
          <w:sz w:val="28"/>
          <w:szCs w:val="28"/>
        </w:rPr>
        <w:t>，主要原因是</w:t>
      </w:r>
      <w:r>
        <w:rPr>
          <w:rFonts w:hint="eastAsia"/>
          <w:highlight w:val="none"/>
          <w:lang w:val="en-US" w:eastAsia="zh-CN"/>
        </w:rPr>
        <w:t>2024年部门预算项目支出数量和资金均减少，社保缴费基数下降，社保缴费支出减少</w:t>
      </w:r>
      <w:r>
        <w:rPr>
          <w:rFonts w:hint="eastAsia" w:ascii="宋体" w:hAnsi="宋体" w:eastAsia="宋体" w:cs="宋体"/>
          <w:sz w:val="28"/>
          <w:szCs w:val="28"/>
        </w:rPr>
        <w:t>。</w:t>
      </w:r>
    </w:p>
    <w:p>
      <w:pPr>
        <w:pStyle w:val="16"/>
        <w:numPr>
          <w:ilvl w:val="0"/>
          <w:numId w:val="0"/>
        </w:numPr>
        <w:tabs>
          <w:tab w:val="left" w:pos="1238"/>
        </w:tabs>
        <w:spacing w:after="0" w:line="625" w:lineRule="exact"/>
        <w:ind w:firstLine="560" w:firstLineChars="200"/>
        <w:jc w:val="left"/>
        <w:rPr>
          <w:rFonts w:hint="eastAsia"/>
          <w:sz w:val="28"/>
          <w:szCs w:val="28"/>
        </w:rPr>
      </w:pPr>
    </w:p>
    <w:p>
      <w:pPr>
        <w:pStyle w:val="16"/>
        <w:tabs>
          <w:tab w:val="left" w:pos="1235"/>
        </w:tabs>
        <w:spacing w:after="0" w:line="624" w:lineRule="exact"/>
        <w:ind w:firstLine="580"/>
        <w:jc w:val="left"/>
        <w:rPr>
          <w:b/>
          <w:bCs/>
        </w:rPr>
      </w:pPr>
      <w:r>
        <w:rPr>
          <w:rFonts w:hint="eastAsia"/>
          <w:b/>
          <w:bCs/>
          <w:lang w:val="en-US" w:eastAsia="zh-CN"/>
        </w:rPr>
        <w:t>五、</w:t>
      </w:r>
      <w:r>
        <w:rPr>
          <w:b/>
          <w:bCs/>
        </w:rPr>
        <w:t>一般公共预算支出情况说明</w:t>
      </w:r>
    </w:p>
    <w:p>
      <w:pPr>
        <w:pStyle w:val="18"/>
        <w:spacing w:line="240" w:lineRule="auto"/>
        <w:ind w:firstLine="0"/>
        <w:jc w:val="left"/>
        <w:rPr>
          <w:lang w:eastAsia="zh-CN"/>
        </w:rPr>
      </w:pPr>
      <w:r>
        <w:rPr>
          <w:lang w:eastAsia="zh-CN"/>
        </w:rPr>
        <w:drawing>
          <wp:inline distT="0" distB="0" distL="114300" distR="114300">
            <wp:extent cx="5080000" cy="3810000"/>
            <wp:effectExtent l="4445" t="4445" r="20955" b="14605"/>
            <wp:docPr id="728"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lang w:val="en-US" w:eastAsia="zh-CN"/>
        </w:rPr>
        <w:t>年</w:t>
      </w:r>
      <w:r>
        <w:rPr>
          <w:rFonts w:hint="eastAsia" w:ascii="宋体" w:hAnsi="宋体" w:eastAsia="宋体" w:cs="宋体"/>
          <w:sz w:val="28"/>
          <w:szCs w:val="28"/>
        </w:rPr>
        <w:t>一般公共预算支出共</w:t>
      </w:r>
      <w:r>
        <w:rPr>
          <w:rFonts w:hint="eastAsia" w:ascii="宋体" w:hAnsi="宋体" w:eastAsia="宋体" w:cs="宋体"/>
          <w:sz w:val="28"/>
          <w:szCs w:val="28"/>
          <w:lang w:val="en-US" w:eastAsia="zh-CN"/>
        </w:rPr>
        <w:t>304.58</w:t>
      </w:r>
      <w:r>
        <w:rPr>
          <w:rFonts w:hint="eastAsia" w:ascii="宋体" w:hAnsi="宋体" w:eastAsia="宋体" w:cs="宋体"/>
          <w:sz w:val="28"/>
          <w:szCs w:val="28"/>
        </w:rPr>
        <w:t>万元，较2023年度预算数</w:t>
      </w:r>
      <w:r>
        <w:rPr>
          <w:rFonts w:hint="eastAsia" w:ascii="宋体" w:hAnsi="宋体" w:eastAsia="宋体" w:cs="宋体"/>
          <w:sz w:val="28"/>
          <w:szCs w:val="28"/>
          <w:lang w:val="en-US" w:eastAsia="zh-CN"/>
        </w:rPr>
        <w:t>378.47</w:t>
      </w:r>
      <w:r>
        <w:rPr>
          <w:rFonts w:hint="eastAsia" w:ascii="宋体" w:hAnsi="宋体" w:eastAsia="宋体" w:cs="宋体"/>
          <w:sz w:val="28"/>
          <w:szCs w:val="28"/>
        </w:rPr>
        <w:t>万元，</w:t>
      </w:r>
      <w:r>
        <w:rPr>
          <w:rFonts w:hint="eastAsia" w:ascii="宋体" w:hAnsi="宋体" w:eastAsia="宋体" w:cs="宋体"/>
          <w:sz w:val="28"/>
          <w:szCs w:val="28"/>
          <w:lang w:val="en-US" w:eastAsia="zh-CN"/>
        </w:rPr>
        <w:t>减少73.89</w:t>
      </w:r>
      <w:r>
        <w:rPr>
          <w:rFonts w:hint="eastAsia" w:ascii="宋体" w:hAnsi="宋体" w:eastAsia="宋体" w:cs="宋体"/>
          <w:sz w:val="28"/>
          <w:szCs w:val="28"/>
        </w:rPr>
        <w:t>万元，</w:t>
      </w:r>
      <w:r>
        <w:rPr>
          <w:rFonts w:hint="eastAsia" w:ascii="宋体" w:hAnsi="宋体" w:eastAsia="宋体" w:cs="宋体"/>
          <w:sz w:val="28"/>
          <w:szCs w:val="28"/>
          <w:lang w:val="en-US" w:eastAsia="zh-CN"/>
        </w:rPr>
        <w:t>下降19.52%</w:t>
      </w:r>
      <w:r>
        <w:rPr>
          <w:rFonts w:hint="eastAsia" w:ascii="宋体" w:hAnsi="宋体" w:eastAsia="宋体" w:cs="宋体"/>
          <w:sz w:val="28"/>
          <w:szCs w:val="28"/>
        </w:rPr>
        <w:t>，主要原因是</w:t>
      </w:r>
      <w:r>
        <w:rPr>
          <w:rFonts w:hint="eastAsia"/>
          <w:highlight w:val="none"/>
          <w:lang w:val="en-US" w:eastAsia="zh-CN"/>
        </w:rPr>
        <w:t>2024年部门预算项目支出数量和资金均减少，社保缴费基数下降，社保缴费支出减少</w:t>
      </w:r>
      <w:r>
        <w:rPr>
          <w:rFonts w:hint="eastAsia" w:ascii="宋体" w:hAnsi="宋体" w:eastAsia="宋体" w:cs="宋体"/>
          <w:sz w:val="28"/>
          <w:szCs w:val="28"/>
        </w:rPr>
        <w:t>。中央提前下达2024年一般公共预算转移支付资金安排的支出</w:t>
      </w:r>
      <w:r>
        <w:rPr>
          <w:rFonts w:hint="eastAsia" w:ascii="宋体" w:hAnsi="宋体" w:eastAsia="宋体" w:cs="宋体"/>
          <w:sz w:val="28"/>
          <w:szCs w:val="28"/>
          <w:lang w:val="en-US" w:eastAsia="zh-CN"/>
        </w:rPr>
        <w:t>0.00</w:t>
      </w:r>
      <w:r>
        <w:rPr>
          <w:rFonts w:hint="eastAsia" w:ascii="宋体" w:hAnsi="宋体" w:eastAsia="宋体" w:cs="宋体"/>
          <w:sz w:val="28"/>
          <w:szCs w:val="28"/>
        </w:rPr>
        <w:t>万元。具体情况为：</w:t>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一般公共服务支出（类）支出</w:t>
      </w:r>
      <w:r>
        <w:rPr>
          <w:rFonts w:ascii="宋体" w:hAnsi="宋体" w:eastAsia="宋体" w:cs="宋体"/>
          <w:sz w:val="28"/>
          <w:u w:color="auto"/>
        </w:rPr>
        <w:t>261.28</w:t>
      </w:r>
      <w:r>
        <w:rPr>
          <w:rFonts w:hint="eastAsia" w:ascii="宋体" w:hAnsi="宋体" w:eastAsia="宋体" w:cs="宋体"/>
          <w:sz w:val="28"/>
          <w:szCs w:val="28"/>
        </w:rPr>
        <w:t>万元，占支出总预算的</w:t>
      </w:r>
      <w:r>
        <w:rPr>
          <w:rFonts w:ascii="宋体" w:hAnsi="宋体" w:eastAsia="宋体" w:cs="宋体"/>
          <w:sz w:val="28"/>
          <w:u w:color="auto"/>
        </w:rPr>
        <w:t>85.78%</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208.49</w:t>
      </w:r>
      <w:r>
        <w:rPr>
          <w:rFonts w:hint="eastAsia" w:ascii="宋体" w:hAnsi="宋体" w:eastAsia="宋体" w:cs="宋体"/>
          <w:sz w:val="28"/>
          <w:szCs w:val="28"/>
        </w:rPr>
        <w:t>万元，</w:t>
      </w:r>
      <w:r>
        <w:rPr>
          <w:rFonts w:ascii="宋体" w:hAnsi="宋体" w:eastAsia="宋体" w:cs="宋体"/>
          <w:sz w:val="28"/>
          <w:u w:color="auto"/>
        </w:rPr>
        <w:t>增长52.79</w:t>
      </w:r>
      <w:r>
        <w:rPr>
          <w:rFonts w:hint="eastAsia" w:ascii="宋体" w:hAnsi="宋体" w:eastAsia="宋体" w:cs="宋体"/>
          <w:sz w:val="28"/>
          <w:szCs w:val="28"/>
        </w:rPr>
        <w:t>万元，</w:t>
      </w:r>
      <w:r>
        <w:rPr>
          <w:rFonts w:ascii="宋体" w:hAnsi="宋体" w:eastAsia="宋体" w:cs="宋体"/>
          <w:sz w:val="28"/>
          <w:u w:color="auto"/>
        </w:rPr>
        <w:t>增长25.32%</w:t>
      </w:r>
      <w:r>
        <w:rPr>
          <w:rFonts w:hint="eastAsia" w:ascii="宋体" w:hAnsi="宋体" w:eastAsia="宋体" w:cs="宋体"/>
          <w:sz w:val="28"/>
          <w:szCs w:val="28"/>
        </w:rPr>
        <w:t>，主要原因是：</w:t>
      </w:r>
      <w:r>
        <w:rPr>
          <w:rFonts w:hint="eastAsia"/>
          <w:highlight w:val="none"/>
        </w:rPr>
        <w:t>2024年度部门预算包含公务员基础性绩效奖励、事业人员基础性绩效工资增量，工资总量增加；人员职务、职级晋升，工资较上年增加，住房保障基数提高，缴费支出增加；增加一名退休人员，退休生活补助增加</w:t>
      </w:r>
      <w:r>
        <w:rPr>
          <w:rFonts w:hint="eastAsia" w:ascii="宋体" w:hAnsi="宋体" w:eastAsia="宋体" w:cs="宋体"/>
          <w:sz w:val="28"/>
          <w:szCs w:val="28"/>
        </w:rPr>
        <w:t>。</w:t>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住房保障支出（类）支出</w:t>
      </w:r>
      <w:r>
        <w:rPr>
          <w:rFonts w:ascii="宋体" w:hAnsi="宋体" w:eastAsia="宋体" w:cs="宋体"/>
          <w:sz w:val="28"/>
          <w:u w:color="auto"/>
        </w:rPr>
        <w:t>20.03</w:t>
      </w:r>
      <w:r>
        <w:rPr>
          <w:rFonts w:hint="eastAsia" w:ascii="宋体" w:hAnsi="宋体" w:eastAsia="宋体" w:cs="宋体"/>
          <w:sz w:val="28"/>
          <w:szCs w:val="28"/>
        </w:rPr>
        <w:t>万元，占支出总预算的</w:t>
      </w:r>
      <w:r>
        <w:rPr>
          <w:rFonts w:ascii="宋体" w:hAnsi="宋体" w:eastAsia="宋体" w:cs="宋体"/>
          <w:sz w:val="28"/>
          <w:u w:color="auto"/>
        </w:rPr>
        <w:t>6.58%</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17.99</w:t>
      </w:r>
      <w:r>
        <w:rPr>
          <w:rFonts w:hint="eastAsia" w:ascii="宋体" w:hAnsi="宋体" w:eastAsia="宋体" w:cs="宋体"/>
          <w:sz w:val="28"/>
          <w:szCs w:val="28"/>
        </w:rPr>
        <w:t>万元，</w:t>
      </w:r>
      <w:r>
        <w:rPr>
          <w:rFonts w:ascii="宋体" w:hAnsi="宋体" w:eastAsia="宋体" w:cs="宋体"/>
          <w:sz w:val="28"/>
          <w:u w:color="auto"/>
        </w:rPr>
        <w:t>增长2.04</w:t>
      </w:r>
      <w:r>
        <w:rPr>
          <w:rFonts w:hint="eastAsia" w:ascii="宋体" w:hAnsi="宋体" w:eastAsia="宋体" w:cs="宋体"/>
          <w:sz w:val="28"/>
          <w:szCs w:val="28"/>
        </w:rPr>
        <w:t>万元，</w:t>
      </w:r>
      <w:r>
        <w:rPr>
          <w:rFonts w:ascii="宋体" w:hAnsi="宋体" w:eastAsia="宋体" w:cs="宋体"/>
          <w:sz w:val="28"/>
          <w:u w:color="auto"/>
        </w:rPr>
        <w:t>增长11.34%</w:t>
      </w:r>
      <w:r>
        <w:rPr>
          <w:rFonts w:hint="eastAsia" w:ascii="宋体" w:hAnsi="宋体" w:eastAsia="宋体" w:cs="宋体"/>
          <w:sz w:val="28"/>
          <w:szCs w:val="28"/>
        </w:rPr>
        <w:t>，主要原因是：</w:t>
      </w:r>
      <w:r>
        <w:rPr>
          <w:rFonts w:hint="eastAsia"/>
          <w:highlight w:val="none"/>
        </w:rPr>
        <w:t>2024年度部门预算包含公务员基础性绩效奖励、事业人员基础性绩效工资增量，工资总量增加；人员职务、职级晋升，工资较上年增加，住房保障基数提高，缴费支出增加</w:t>
      </w:r>
      <w:r>
        <w:rPr>
          <w:rFonts w:hint="eastAsia" w:ascii="宋体" w:hAnsi="宋体" w:eastAsia="宋体" w:cs="宋体"/>
          <w:sz w:val="28"/>
          <w:szCs w:val="28"/>
        </w:rPr>
        <w:t>。</w:t>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社会保障和就业支出（类）支出</w:t>
      </w:r>
      <w:r>
        <w:rPr>
          <w:rFonts w:ascii="宋体" w:hAnsi="宋体" w:eastAsia="宋体" w:cs="宋体"/>
          <w:sz w:val="28"/>
          <w:u w:color="auto"/>
        </w:rPr>
        <w:t>23.27</w:t>
      </w:r>
      <w:r>
        <w:rPr>
          <w:rFonts w:hint="eastAsia" w:ascii="宋体" w:hAnsi="宋体" w:eastAsia="宋体" w:cs="宋体"/>
          <w:sz w:val="28"/>
          <w:szCs w:val="28"/>
        </w:rPr>
        <w:t>万元，占支出总预算的</w:t>
      </w:r>
      <w:r>
        <w:rPr>
          <w:rFonts w:ascii="宋体" w:hAnsi="宋体" w:eastAsia="宋体" w:cs="宋体"/>
          <w:sz w:val="28"/>
          <w:u w:color="auto"/>
        </w:rPr>
        <w:t>7.64%</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23.99</w:t>
      </w:r>
      <w:r>
        <w:rPr>
          <w:rFonts w:hint="eastAsia" w:ascii="宋体" w:hAnsi="宋体" w:eastAsia="宋体" w:cs="宋体"/>
          <w:sz w:val="28"/>
          <w:szCs w:val="28"/>
        </w:rPr>
        <w:t>万元，</w:t>
      </w:r>
      <w:r>
        <w:rPr>
          <w:rFonts w:ascii="宋体" w:hAnsi="宋体" w:eastAsia="宋体" w:cs="宋体"/>
          <w:sz w:val="28"/>
          <w:u w:color="auto"/>
        </w:rPr>
        <w:t>减少0.72</w:t>
      </w:r>
      <w:r>
        <w:rPr>
          <w:rFonts w:hint="eastAsia" w:ascii="宋体" w:hAnsi="宋体" w:eastAsia="宋体" w:cs="宋体"/>
          <w:sz w:val="28"/>
          <w:szCs w:val="28"/>
        </w:rPr>
        <w:t>万元，</w:t>
      </w:r>
      <w:r>
        <w:rPr>
          <w:rFonts w:ascii="宋体" w:hAnsi="宋体" w:eastAsia="宋体" w:cs="宋体"/>
          <w:sz w:val="28"/>
          <w:u w:color="auto"/>
        </w:rPr>
        <w:t>减少3.00%</w:t>
      </w:r>
      <w:r>
        <w:rPr>
          <w:rFonts w:hint="eastAsia" w:ascii="宋体" w:hAnsi="宋体" w:eastAsia="宋体" w:cs="宋体"/>
          <w:sz w:val="28"/>
          <w:szCs w:val="28"/>
        </w:rPr>
        <w:t>，主要原因是：</w:t>
      </w:r>
      <w:r>
        <w:rPr>
          <w:rFonts w:hint="eastAsia"/>
          <w:highlight w:val="none"/>
        </w:rPr>
        <w:t>社保缴费基数下降，社保缴费支出减少</w:t>
      </w:r>
      <w:r>
        <w:rPr>
          <w:rFonts w:hint="eastAsia" w:ascii="宋体" w:hAnsi="宋体" w:eastAsia="宋体" w:cs="宋体"/>
          <w:sz w:val="28"/>
          <w:szCs w:val="28"/>
        </w:rPr>
        <w:t>。</w:t>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科学技术支出（类）支出</w:t>
      </w:r>
      <w:r>
        <w:rPr>
          <w:rFonts w:ascii="宋体" w:hAnsi="宋体" w:eastAsia="宋体" w:cs="宋体"/>
          <w:sz w:val="28"/>
          <w:u w:color="auto"/>
        </w:rPr>
        <w:t>0.00</w:t>
      </w:r>
      <w:r>
        <w:rPr>
          <w:rFonts w:hint="eastAsia" w:ascii="宋体" w:hAnsi="宋体" w:eastAsia="宋体" w:cs="宋体"/>
          <w:sz w:val="28"/>
          <w:szCs w:val="28"/>
        </w:rPr>
        <w:t>万元，占支出总预算的</w:t>
      </w:r>
      <w:r>
        <w:rPr>
          <w:rFonts w:ascii="宋体" w:hAnsi="宋体" w:eastAsia="宋体" w:cs="宋体"/>
          <w:sz w:val="28"/>
          <w:u w:color="auto"/>
        </w:rPr>
        <w:t>0.00%</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128.00</w:t>
      </w:r>
      <w:r>
        <w:rPr>
          <w:rFonts w:hint="eastAsia" w:ascii="宋体" w:hAnsi="宋体" w:eastAsia="宋体" w:cs="宋体"/>
          <w:sz w:val="28"/>
          <w:szCs w:val="28"/>
        </w:rPr>
        <w:t>万元，</w:t>
      </w:r>
      <w:r>
        <w:rPr>
          <w:rFonts w:ascii="宋体" w:hAnsi="宋体" w:eastAsia="宋体" w:cs="宋体"/>
          <w:sz w:val="28"/>
          <w:u w:color="auto"/>
        </w:rPr>
        <w:t>减少128.00</w:t>
      </w:r>
      <w:r>
        <w:rPr>
          <w:rFonts w:hint="eastAsia" w:ascii="宋体" w:hAnsi="宋体" w:eastAsia="宋体" w:cs="宋体"/>
          <w:sz w:val="28"/>
          <w:szCs w:val="28"/>
        </w:rPr>
        <w:t>万元，</w:t>
      </w:r>
      <w:r>
        <w:rPr>
          <w:rFonts w:ascii="宋体" w:hAnsi="宋体" w:eastAsia="宋体" w:cs="宋体"/>
          <w:sz w:val="28"/>
          <w:u w:color="auto"/>
        </w:rPr>
        <w:t>减少100.00%</w:t>
      </w:r>
      <w:r>
        <w:rPr>
          <w:rFonts w:hint="eastAsia" w:ascii="宋体" w:hAnsi="宋体" w:eastAsia="宋体" w:cs="宋体"/>
          <w:sz w:val="28"/>
          <w:szCs w:val="28"/>
        </w:rPr>
        <w:t>，主要原因是：</w:t>
      </w:r>
      <w:r>
        <w:rPr>
          <w:rFonts w:hint="eastAsia"/>
          <w:highlight w:val="none"/>
        </w:rPr>
        <w:t>减少了项目建设支出</w:t>
      </w:r>
      <w:r>
        <w:rPr>
          <w:rFonts w:hint="eastAsia" w:ascii="宋体" w:hAnsi="宋体" w:eastAsia="宋体" w:cs="宋体"/>
          <w:sz w:val="28"/>
          <w:szCs w:val="28"/>
        </w:rPr>
        <w:t>。</w:t>
      </w:r>
    </w:p>
    <w:p>
      <w:pPr>
        <w:pStyle w:val="16"/>
        <w:tabs>
          <w:tab w:val="left" w:pos="1235"/>
        </w:tabs>
        <w:spacing w:after="0" w:line="624" w:lineRule="exact"/>
        <w:ind w:firstLine="580"/>
        <w:jc w:val="left"/>
        <w:rPr>
          <w:b/>
          <w:bCs/>
        </w:rPr>
      </w:pPr>
      <w:r>
        <w:rPr>
          <w:rFonts w:hint="eastAsia"/>
          <w:b/>
          <w:bCs/>
          <w:lang w:val="en-US" w:eastAsia="zh-CN"/>
        </w:rPr>
        <w:t>六、</w:t>
      </w:r>
      <w:r>
        <w:rPr>
          <w:b/>
          <w:bCs/>
        </w:rPr>
        <w:t>一般公共预算基本支出情况说明</w:t>
      </w:r>
    </w:p>
    <w:p>
      <w:pPr>
        <w:pStyle w:val="16"/>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729"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18"/>
        <w:spacing w:line="623" w:lineRule="exact"/>
        <w:ind w:left="0" w:leftChars="0" w:firstLine="560" w:firstLineChars="200"/>
        <w:jc w:val="left"/>
        <w:rPr>
          <w:rFonts w:hint="eastAsia"/>
          <w:lang w:val="en-US" w:eastAsia="zh-CN"/>
        </w:rPr>
      </w:pPr>
      <w:r>
        <w:rPr>
          <w:rFonts w:hint="eastAsia"/>
          <w:lang w:val="en-US" w:eastAsia="zh-CN"/>
        </w:rPr>
        <w:t>2024</w:t>
      </w:r>
      <w:r>
        <w:rPr>
          <w:u w:color="auto"/>
        </w:rPr>
        <w:t>年</w:t>
      </w:r>
      <w:r>
        <w:rPr>
          <w:rFonts w:hint="eastAsia"/>
        </w:rPr>
        <w:t>一般公共预算基本支出共</w:t>
      </w:r>
      <w:r>
        <w:rPr>
          <w:rFonts w:hint="eastAsia"/>
          <w:lang w:val="en-US" w:eastAsia="zh-CN"/>
        </w:rPr>
        <w:t>222.96</w:t>
      </w:r>
      <w:r>
        <w:rPr>
          <w:rFonts w:hint="eastAsia"/>
        </w:rPr>
        <w:t>万元，较2023年度预算数</w:t>
      </w:r>
      <w:r>
        <w:rPr>
          <w:rFonts w:hint="eastAsia"/>
          <w:lang w:val="en-US" w:eastAsia="zh-CN"/>
        </w:rPr>
        <w:t>210.84</w:t>
      </w:r>
      <w:r>
        <w:rPr>
          <w:rFonts w:hint="eastAsia"/>
        </w:rPr>
        <w:t>万元</w:t>
      </w:r>
      <w:r>
        <w:rPr>
          <w:rFonts w:hint="eastAsia"/>
          <w:lang w:val="en-US" w:eastAsia="zh-CN"/>
        </w:rPr>
        <w:t>,</w:t>
      </w:r>
      <w:r>
        <w:rPr>
          <w:u w:color="auto"/>
        </w:rPr>
        <w:t>增加12.12</w:t>
      </w:r>
      <w:r>
        <w:rPr>
          <w:rFonts w:hint="eastAsia"/>
        </w:rPr>
        <w:t>万元，</w:t>
      </w:r>
      <w:r>
        <w:rPr>
          <w:rFonts w:hint="eastAsia"/>
          <w:lang w:val="en-US" w:eastAsia="zh-CN"/>
        </w:rPr>
        <w:t>增长5.75%</w:t>
      </w:r>
      <w:r>
        <w:rPr>
          <w:rFonts w:hint="eastAsia"/>
        </w:rPr>
        <w:t>，主要原因是</w:t>
      </w:r>
      <w:r>
        <w:rPr>
          <w:rFonts w:hint="eastAsia"/>
          <w:highlight w:val="none"/>
          <w:lang w:val="en-US" w:eastAsia="zh-CN"/>
        </w:rPr>
        <w:t>2024年度部门预算包含公务员基础性绩效奖励、事业人员基础性绩效工资增量，工资总量增加</w:t>
      </w:r>
      <w:r>
        <w:rPr>
          <w:rFonts w:hint="eastAsia"/>
        </w:rPr>
        <w:t>。具体情况为：</w:t>
      </w:r>
    </w:p>
    <w:p>
      <w:pPr>
        <w:pStyle w:val="18"/>
        <w:spacing w:line="626" w:lineRule="exact"/>
        <w:ind w:firstLine="600"/>
        <w:jc w:val="left"/>
        <w:rPr>
          <w:rFonts w:hint="default"/>
          <w:lang w:val="en-US" w:eastAsia="zh-CN"/>
        </w:rPr>
      </w:pPr>
      <w:r>
        <w:rPr>
          <w:rFonts w:hint="eastAsia"/>
          <w:lang w:val="en-US" w:eastAsia="zh-CN"/>
        </w:rPr>
        <w:t>工资福利支出</w:t>
      </w:r>
      <w:r>
        <w:rPr>
          <w:rFonts w:hint="eastAsia"/>
        </w:rPr>
        <w:t>支出预算</w:t>
      </w:r>
      <w:r>
        <w:rPr>
          <w:rFonts w:hint="eastAsia"/>
          <w:lang w:val="en-US" w:eastAsia="zh-CN"/>
        </w:rPr>
        <w:t>207.29</w:t>
      </w:r>
      <w:r>
        <w:t>万元</w:t>
      </w:r>
      <w:r>
        <w:rPr>
          <w:rFonts w:hint="eastAsia"/>
          <w:lang w:eastAsia="zh-CN"/>
        </w:rPr>
        <w:t>，</w:t>
      </w:r>
      <w:r>
        <w:rPr>
          <w:rFonts w:hint="eastAsia"/>
        </w:rPr>
        <w:t>占基本支出预算的</w:t>
      </w:r>
      <w:r>
        <w:rPr>
          <w:rFonts w:hint="eastAsia"/>
          <w:lang w:val="en-US" w:eastAsia="zh-CN"/>
        </w:rPr>
        <w:t>92.97%</w:t>
      </w:r>
      <w:r>
        <w:rPr>
          <w:rFonts w:hint="eastAsia"/>
        </w:rPr>
        <w:t>，较2023年度预算数</w:t>
      </w:r>
      <w:r>
        <w:rPr>
          <w:rFonts w:hint="eastAsia"/>
          <w:lang w:val="en-US" w:eastAsia="zh-CN"/>
        </w:rPr>
        <w:t>194.95</w:t>
      </w:r>
      <w:r>
        <w:rPr>
          <w:rFonts w:hint="eastAsia"/>
        </w:rPr>
        <w:t>万元，</w:t>
      </w:r>
      <w:r>
        <w:rPr>
          <w:rFonts w:hint="eastAsia"/>
          <w:lang w:val="en-US" w:eastAsia="zh-CN"/>
        </w:rPr>
        <w:t>增长12.34</w:t>
      </w:r>
      <w:r>
        <w:rPr>
          <w:rFonts w:hint="eastAsia"/>
        </w:rPr>
        <w:t>万元，</w:t>
      </w:r>
      <w:r>
        <w:rPr>
          <w:rFonts w:hint="eastAsia"/>
          <w:lang w:val="en-US" w:eastAsia="zh-CN"/>
        </w:rPr>
        <w:t>增长6.33%</w:t>
      </w:r>
      <w:r>
        <w:rPr>
          <w:rFonts w:hint="eastAsia"/>
        </w:rPr>
        <w:t>，主要原因是：</w:t>
      </w:r>
      <w:r>
        <w:rPr>
          <w:rFonts w:hint="eastAsia"/>
          <w:highlight w:val="none"/>
        </w:rPr>
        <w:t>2024年度部门预算包含公务员基础性绩效奖励、事业人员基础性绩效工资增量，工资总量增加</w:t>
      </w:r>
      <w:r>
        <w:rPr>
          <w:rFonts w:hint="eastAsia"/>
          <w:highlight w:val="none"/>
          <w:lang w:val="en-US" w:eastAsia="zh-CN"/>
        </w:rPr>
        <w:t>。</w:t>
      </w:r>
    </w:p>
    <w:p>
      <w:pPr>
        <w:pStyle w:val="18"/>
        <w:spacing w:line="626" w:lineRule="exact"/>
        <w:ind w:firstLine="600"/>
        <w:jc w:val="left"/>
        <w:rPr>
          <w:rFonts w:hint="default"/>
          <w:lang w:val="en-US" w:eastAsia="zh-CN"/>
        </w:rPr>
      </w:pPr>
      <w:r>
        <w:rPr>
          <w:rFonts w:hint="eastAsia"/>
          <w:lang w:val="en-US" w:eastAsia="zh-CN"/>
        </w:rPr>
        <w:t>商品和服务支出</w:t>
      </w:r>
      <w:r>
        <w:rPr>
          <w:rFonts w:hint="eastAsia"/>
        </w:rPr>
        <w:t>支出预算</w:t>
      </w:r>
      <w:r>
        <w:rPr>
          <w:rFonts w:hint="eastAsia"/>
          <w:lang w:val="en-US" w:eastAsia="zh-CN"/>
        </w:rPr>
        <w:t>13.44</w:t>
      </w:r>
      <w:r>
        <w:t>万元</w:t>
      </w:r>
      <w:r>
        <w:rPr>
          <w:rFonts w:hint="eastAsia"/>
          <w:lang w:eastAsia="zh-CN"/>
        </w:rPr>
        <w:t>，</w:t>
      </w:r>
      <w:r>
        <w:rPr>
          <w:rFonts w:hint="eastAsia"/>
        </w:rPr>
        <w:t>占基本支出预算的</w:t>
      </w:r>
      <w:r>
        <w:rPr>
          <w:rFonts w:hint="eastAsia"/>
          <w:lang w:val="en-US" w:eastAsia="zh-CN"/>
        </w:rPr>
        <w:t>6.03%</w:t>
      </w:r>
      <w:r>
        <w:rPr>
          <w:rFonts w:hint="eastAsia"/>
        </w:rPr>
        <w:t>，较2023年度预算数</w:t>
      </w:r>
      <w:r>
        <w:rPr>
          <w:rFonts w:hint="eastAsia"/>
          <w:lang w:val="en-US" w:eastAsia="zh-CN"/>
        </w:rPr>
        <w:t>14.44</w:t>
      </w:r>
      <w:r>
        <w:rPr>
          <w:rFonts w:hint="eastAsia"/>
        </w:rPr>
        <w:t>万元，</w:t>
      </w:r>
      <w:r>
        <w:rPr>
          <w:rFonts w:hint="eastAsia"/>
          <w:lang w:val="en-US" w:eastAsia="zh-CN"/>
        </w:rPr>
        <w:t>减少1.00</w:t>
      </w:r>
      <w:r>
        <w:rPr>
          <w:rFonts w:hint="eastAsia"/>
        </w:rPr>
        <w:t>万元，</w:t>
      </w:r>
      <w:r>
        <w:rPr>
          <w:rFonts w:hint="eastAsia"/>
          <w:lang w:val="en-US" w:eastAsia="zh-CN"/>
        </w:rPr>
        <w:t>减少6.93%</w:t>
      </w:r>
      <w:r>
        <w:rPr>
          <w:rFonts w:hint="eastAsia"/>
        </w:rPr>
        <w:t>，主要原因是：</w:t>
      </w:r>
      <w:r>
        <w:rPr>
          <w:rFonts w:hint="eastAsia"/>
          <w:highlight w:val="none"/>
        </w:rPr>
        <w:t>工会经费减少1万元</w:t>
      </w:r>
      <w:r>
        <w:rPr>
          <w:rFonts w:hint="eastAsia"/>
          <w:highlight w:val="none"/>
          <w:lang w:val="en-US" w:eastAsia="zh-CN"/>
        </w:rPr>
        <w:t>。</w:t>
      </w:r>
    </w:p>
    <w:p>
      <w:pPr>
        <w:pStyle w:val="18"/>
        <w:spacing w:line="626" w:lineRule="exact"/>
        <w:ind w:firstLine="600"/>
        <w:jc w:val="left"/>
        <w:rPr>
          <w:rFonts w:hint="default"/>
          <w:lang w:val="en-US" w:eastAsia="zh-CN"/>
        </w:rPr>
      </w:pPr>
      <w:r>
        <w:rPr>
          <w:rFonts w:hint="eastAsia"/>
          <w:lang w:val="en-US" w:eastAsia="zh-CN"/>
        </w:rPr>
        <w:t>对个人和家庭的补助</w:t>
      </w:r>
      <w:r>
        <w:rPr>
          <w:rFonts w:hint="eastAsia"/>
        </w:rPr>
        <w:t>支出预算</w:t>
      </w:r>
      <w:r>
        <w:rPr>
          <w:rFonts w:hint="eastAsia"/>
          <w:lang w:val="en-US" w:eastAsia="zh-CN"/>
        </w:rPr>
        <w:t>2.23</w:t>
      </w:r>
      <w:r>
        <w:t>万元</w:t>
      </w:r>
      <w:r>
        <w:rPr>
          <w:rFonts w:hint="eastAsia"/>
          <w:lang w:eastAsia="zh-CN"/>
        </w:rPr>
        <w:t>，</w:t>
      </w:r>
      <w:r>
        <w:rPr>
          <w:rFonts w:hint="eastAsia"/>
        </w:rPr>
        <w:t>占基本支出预算的</w:t>
      </w:r>
      <w:r>
        <w:rPr>
          <w:rFonts w:hint="eastAsia"/>
          <w:lang w:val="en-US" w:eastAsia="zh-CN"/>
        </w:rPr>
        <w:t>1.00%</w:t>
      </w:r>
      <w:r>
        <w:rPr>
          <w:rFonts w:hint="eastAsia"/>
        </w:rPr>
        <w:t>，较2023年度预算数</w:t>
      </w:r>
      <w:r>
        <w:rPr>
          <w:rFonts w:hint="eastAsia"/>
          <w:lang w:val="en-US" w:eastAsia="zh-CN"/>
        </w:rPr>
        <w:t>1.45</w:t>
      </w:r>
      <w:r>
        <w:rPr>
          <w:rFonts w:hint="eastAsia"/>
        </w:rPr>
        <w:t>万元，</w:t>
      </w:r>
      <w:r>
        <w:rPr>
          <w:rFonts w:hint="eastAsia"/>
          <w:lang w:val="en-US" w:eastAsia="zh-CN"/>
        </w:rPr>
        <w:t>增长0.78</w:t>
      </w:r>
      <w:r>
        <w:rPr>
          <w:rFonts w:hint="eastAsia"/>
        </w:rPr>
        <w:t>万元，</w:t>
      </w:r>
      <w:r>
        <w:rPr>
          <w:rFonts w:hint="eastAsia"/>
          <w:lang w:val="en-US" w:eastAsia="zh-CN"/>
        </w:rPr>
        <w:t>增长53.79%</w:t>
      </w:r>
      <w:r>
        <w:rPr>
          <w:rFonts w:hint="eastAsia"/>
        </w:rPr>
        <w:t>，主要原因是：</w:t>
      </w:r>
      <w:r>
        <w:rPr>
          <w:rFonts w:hint="eastAsia"/>
          <w:highlight w:val="none"/>
        </w:rPr>
        <w:t>增加一名退休人员生活补助支出</w:t>
      </w:r>
      <w:r>
        <w:rPr>
          <w:rFonts w:hint="eastAsia"/>
          <w:highlight w:val="none"/>
          <w:lang w:val="en-US" w:eastAsia="zh-CN"/>
        </w:rPr>
        <w:t>。</w:t>
      </w:r>
    </w:p>
    <w:p>
      <w:pPr>
        <w:pStyle w:val="16"/>
        <w:tabs>
          <w:tab w:val="left" w:pos="1235"/>
        </w:tabs>
        <w:spacing w:after="0" w:line="624" w:lineRule="exact"/>
        <w:ind w:firstLine="580"/>
        <w:jc w:val="left"/>
        <w:rPr>
          <w:rFonts w:hint="eastAsia"/>
          <w:b/>
          <w:bCs/>
        </w:rPr>
      </w:pPr>
      <w:r>
        <w:rPr>
          <w:rFonts w:hint="eastAsia"/>
          <w:b/>
          <w:bCs/>
          <w:lang w:val="en-US" w:eastAsia="zh-CN"/>
        </w:rPr>
        <w:t>七、</w:t>
      </w:r>
      <w:r>
        <w:rPr>
          <w:b/>
          <w:bCs/>
        </w:rPr>
        <w:t>一般公共预算</w:t>
      </w:r>
      <w:r>
        <w:rPr>
          <w:b/>
          <w:bCs/>
          <w:lang w:val="zh-CN" w:eastAsia="zh-CN" w:bidi="zh-CN"/>
        </w:rPr>
        <w:t>“三</w:t>
      </w:r>
      <w:r>
        <w:rPr>
          <w:b/>
          <w:bCs/>
        </w:rPr>
        <w:t>公”</w:t>
      </w:r>
      <w:r>
        <w:rPr>
          <w:rFonts w:hint="eastAsia"/>
          <w:b/>
          <w:bCs/>
        </w:rPr>
        <w:t>经费支出情况说明</w:t>
      </w:r>
    </w:p>
    <w:p>
      <w:pPr>
        <w:pStyle w:val="16"/>
        <w:numPr>
          <w:ilvl w:val="0"/>
          <w:numId w:val="0"/>
        </w:numPr>
        <w:spacing w:after="0"/>
        <w:jc w:val="left"/>
        <w:rPr>
          <w:rFonts w:hint="eastAsia"/>
          <w:b/>
          <w:bCs/>
        </w:rPr>
      </w:pPr>
    </w:p>
    <w:p>
      <w:pPr>
        <w:pStyle w:val="16"/>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730"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16"/>
        <w:tabs>
          <w:tab w:val="left" w:pos="1253"/>
        </w:tabs>
        <w:spacing w:after="0" w:line="629" w:lineRule="exact"/>
        <w:ind w:firstLine="600"/>
        <w:jc w:val="left"/>
        <w:rPr>
          <w:rFonts w:hint="eastAsia"/>
          <w:b w:val="0"/>
          <w:bCs w:val="0"/>
          <w:sz w:val="28"/>
          <w:szCs w:val="28"/>
          <w:lang w:eastAsia="zh-CN"/>
        </w:rPr>
      </w:pPr>
      <w:bookmarkStart w:id="14" w:name="bookmark90"/>
      <w:r>
        <w:rPr>
          <w:rFonts w:hint="eastAsia"/>
          <w:b w:val="0"/>
          <w:bCs w:val="0"/>
          <w:sz w:val="28"/>
          <w:szCs w:val="28"/>
          <w:lang w:eastAsia="zh-CN"/>
        </w:rPr>
        <w:t>（</w:t>
      </w:r>
      <w:r>
        <w:rPr>
          <w:rFonts w:hint="eastAsia"/>
          <w:b w:val="0"/>
          <w:bCs w:val="0"/>
          <w:sz w:val="28"/>
          <w:szCs w:val="28"/>
          <w:lang w:val="en-US" w:eastAsia="zh-CN"/>
        </w:rPr>
        <w:t>一</w:t>
      </w:r>
      <w:r>
        <w:rPr>
          <w:rFonts w:hint="eastAsia"/>
          <w:b w:val="0"/>
          <w:bCs w:val="0"/>
          <w:sz w:val="28"/>
          <w:szCs w:val="28"/>
          <w:lang w:eastAsia="zh-CN"/>
        </w:rPr>
        <w:t>）</w:t>
      </w:r>
      <w:r>
        <w:rPr>
          <w:sz w:val="28"/>
          <w:u w:color="auto"/>
        </w:rPr>
        <w:t>2024年部门预算共安排</w:t>
      </w:r>
      <w:r>
        <w:rPr>
          <w:rFonts w:hint="eastAsia"/>
          <w:b w:val="0"/>
          <w:bCs w:val="0"/>
          <w:sz w:val="28"/>
          <w:szCs w:val="28"/>
          <w:lang w:val="zh-CN" w:eastAsia="zh-CN"/>
        </w:rPr>
        <w:t>“三公</w:t>
      </w:r>
      <w:r>
        <w:rPr>
          <w:rFonts w:hint="eastAsia"/>
          <w:b w:val="0"/>
          <w:bCs w:val="0"/>
          <w:sz w:val="28"/>
          <w:szCs w:val="28"/>
          <w:lang w:val="en-US" w:eastAsia="zh-CN"/>
        </w:rPr>
        <w:t>"</w:t>
      </w:r>
      <w:r>
        <w:rPr>
          <w:rFonts w:hint="eastAsia"/>
          <w:b w:val="0"/>
          <w:bCs w:val="0"/>
          <w:sz w:val="28"/>
          <w:szCs w:val="28"/>
          <w:lang w:eastAsia="zh-CN"/>
        </w:rPr>
        <w:t>经费支出预算</w:t>
      </w:r>
      <w:r>
        <w:rPr>
          <w:rFonts w:hint="eastAsia"/>
          <w:b w:val="0"/>
          <w:bCs w:val="0"/>
          <w:sz w:val="28"/>
          <w:szCs w:val="28"/>
          <w:lang w:val="en-US" w:eastAsia="zh-CN"/>
        </w:rPr>
        <w:t>1.00</w:t>
      </w:r>
      <w:r>
        <w:rPr>
          <w:rFonts w:hint="eastAsia"/>
          <w:b w:val="0"/>
          <w:bCs w:val="0"/>
          <w:sz w:val="28"/>
          <w:szCs w:val="28"/>
          <w:lang w:eastAsia="zh-CN"/>
        </w:rPr>
        <w:t>万元（全口径），其中：因公出国（境）经费支出预算</w:t>
      </w:r>
      <w:r>
        <w:rPr>
          <w:rFonts w:hint="eastAsia"/>
          <w:b w:val="0"/>
          <w:bCs w:val="0"/>
          <w:sz w:val="28"/>
          <w:szCs w:val="28"/>
          <w:lang w:val="en-US" w:eastAsia="zh-CN"/>
        </w:rPr>
        <w:t>0.00</w:t>
      </w:r>
      <w:r>
        <w:rPr>
          <w:rFonts w:hint="eastAsia"/>
          <w:b w:val="0"/>
          <w:bCs w:val="0"/>
          <w:sz w:val="28"/>
          <w:szCs w:val="28"/>
          <w:lang w:eastAsia="zh-CN"/>
        </w:rPr>
        <w:t>万元，公务接待费支出预算</w:t>
      </w:r>
      <w:r>
        <w:rPr>
          <w:rFonts w:hint="eastAsia"/>
          <w:b w:val="0"/>
          <w:bCs w:val="0"/>
          <w:sz w:val="28"/>
          <w:szCs w:val="28"/>
          <w:lang w:val="en-US" w:eastAsia="zh-CN"/>
        </w:rPr>
        <w:t>1.00</w:t>
      </w:r>
      <w:r>
        <w:rPr>
          <w:rFonts w:hint="eastAsia"/>
          <w:b w:val="0"/>
          <w:bCs w:val="0"/>
          <w:sz w:val="28"/>
          <w:szCs w:val="28"/>
          <w:lang w:eastAsia="zh-CN"/>
        </w:rPr>
        <w:t>万元，公务用车购置及运行费支出预算</w:t>
      </w:r>
      <w:r>
        <w:rPr>
          <w:rFonts w:hint="eastAsia"/>
          <w:b w:val="0"/>
          <w:bCs w:val="0"/>
          <w:sz w:val="28"/>
          <w:szCs w:val="28"/>
          <w:lang w:val="en-US" w:eastAsia="zh-CN"/>
        </w:rPr>
        <w:t>0.00</w:t>
      </w:r>
      <w:r>
        <w:rPr>
          <w:rFonts w:hint="eastAsia"/>
          <w:b w:val="0"/>
          <w:bCs w:val="0"/>
          <w:sz w:val="28"/>
          <w:szCs w:val="28"/>
          <w:lang w:eastAsia="zh-CN"/>
        </w:rPr>
        <w:t>万元（公务用车购置费</w:t>
      </w:r>
      <w:r>
        <w:rPr>
          <w:rFonts w:hint="eastAsia"/>
          <w:b w:val="0"/>
          <w:bCs w:val="0"/>
          <w:sz w:val="28"/>
          <w:szCs w:val="28"/>
          <w:lang w:val="en-US" w:eastAsia="zh-CN"/>
        </w:rPr>
        <w:t>0.00</w:t>
      </w:r>
      <w:r>
        <w:rPr>
          <w:rFonts w:hint="eastAsia"/>
          <w:b w:val="0"/>
          <w:bCs w:val="0"/>
          <w:sz w:val="28"/>
          <w:szCs w:val="28"/>
          <w:lang w:eastAsia="zh-CN"/>
        </w:rPr>
        <w:t>万元,公务用车运行维护费</w:t>
      </w:r>
      <w:r>
        <w:rPr>
          <w:rFonts w:hint="eastAsia"/>
          <w:b w:val="0"/>
          <w:bCs w:val="0"/>
          <w:sz w:val="28"/>
          <w:szCs w:val="28"/>
          <w:lang w:val="en-US" w:eastAsia="zh-CN"/>
        </w:rPr>
        <w:t>0.00</w:t>
      </w:r>
      <w:r>
        <w:rPr>
          <w:rFonts w:hint="eastAsia"/>
          <w:b w:val="0"/>
          <w:bCs w:val="0"/>
          <w:sz w:val="28"/>
          <w:szCs w:val="28"/>
          <w:lang w:eastAsia="zh-CN"/>
        </w:rPr>
        <w:t>万元）。</w:t>
      </w:r>
    </w:p>
    <w:p>
      <w:pPr>
        <w:pStyle w:val="16"/>
        <w:tabs>
          <w:tab w:val="left" w:pos="1253"/>
        </w:tabs>
        <w:spacing w:after="0" w:line="629" w:lineRule="exact"/>
        <w:ind w:firstLine="600"/>
        <w:jc w:val="left"/>
        <w:rPr>
          <w:rFonts w:hint="eastAsia"/>
          <w:b w:val="0"/>
          <w:bCs w:val="0"/>
          <w:sz w:val="28"/>
          <w:szCs w:val="28"/>
        </w:rPr>
      </w:pPr>
      <w:r>
        <w:rPr>
          <w:rFonts w:hint="eastAsia"/>
          <w:b w:val="0"/>
          <w:bCs w:val="0"/>
          <w:sz w:val="28"/>
          <w:szCs w:val="28"/>
          <w:lang w:eastAsia="zh-CN"/>
        </w:rPr>
        <w:t>（</w:t>
      </w:r>
      <w:r>
        <w:rPr>
          <w:rFonts w:hint="eastAsia"/>
          <w:b w:val="0"/>
          <w:bCs w:val="0"/>
          <w:sz w:val="28"/>
          <w:szCs w:val="28"/>
          <w:lang w:val="en-US" w:eastAsia="zh-CN"/>
        </w:rPr>
        <w:t>二</w:t>
      </w:r>
      <w:r>
        <w:rPr>
          <w:rFonts w:hint="eastAsia"/>
          <w:b w:val="0"/>
          <w:bCs w:val="0"/>
          <w:sz w:val="28"/>
          <w:szCs w:val="28"/>
          <w:lang w:eastAsia="zh-CN"/>
        </w:rPr>
        <w:t>）</w:t>
      </w:r>
      <w:r>
        <w:rPr>
          <w:sz w:val="28"/>
          <w:u w:color="auto"/>
        </w:rPr>
        <w:t>2024</w:t>
      </w:r>
      <w:r>
        <w:rPr>
          <w:rFonts w:hint="eastAsia"/>
          <w:b w:val="0"/>
          <w:bCs w:val="0"/>
          <w:sz w:val="28"/>
          <w:szCs w:val="28"/>
        </w:rPr>
        <w:t>年一般公共预算安排的“三公”经费支出预算</w:t>
      </w:r>
      <w:r>
        <w:rPr>
          <w:rFonts w:hint="eastAsia"/>
          <w:b w:val="0"/>
          <w:bCs w:val="0"/>
          <w:sz w:val="28"/>
          <w:szCs w:val="28"/>
          <w:lang w:val="en-US" w:eastAsia="zh-CN"/>
        </w:rPr>
        <w:t>1.00</w:t>
      </w:r>
      <w:r>
        <w:rPr>
          <w:rFonts w:hint="eastAsia"/>
          <w:b w:val="0"/>
          <w:bCs w:val="0"/>
          <w:sz w:val="28"/>
          <w:szCs w:val="28"/>
        </w:rPr>
        <w:t>万元，同口径较2023年度预算数</w:t>
      </w:r>
      <w:r>
        <w:rPr>
          <w:rFonts w:hint="eastAsia"/>
          <w:b w:val="0"/>
          <w:bCs w:val="0"/>
          <w:sz w:val="28"/>
          <w:szCs w:val="28"/>
          <w:lang w:val="en-US" w:eastAsia="zh-CN"/>
        </w:rPr>
        <w:t>1.00</w:t>
      </w:r>
      <w:r>
        <w:rPr>
          <w:rFonts w:hint="eastAsia"/>
          <w:b w:val="0"/>
          <w:bCs w:val="0"/>
          <w:sz w:val="28"/>
          <w:szCs w:val="28"/>
        </w:rPr>
        <w:t>万元，</w:t>
      </w:r>
      <w:r>
        <w:rPr>
          <w:rFonts w:hint="eastAsia"/>
          <w:b w:val="0"/>
          <w:bCs w:val="0"/>
          <w:sz w:val="28"/>
          <w:szCs w:val="28"/>
          <w:lang w:val="en-US" w:eastAsia="zh-CN"/>
        </w:rPr>
        <w:t>增长0.00</w:t>
      </w:r>
      <w:r>
        <w:rPr>
          <w:rFonts w:hint="eastAsia"/>
          <w:b w:val="0"/>
          <w:bCs w:val="0"/>
          <w:sz w:val="28"/>
          <w:szCs w:val="28"/>
        </w:rPr>
        <w:t>万元，</w:t>
      </w:r>
      <w:r>
        <w:rPr>
          <w:rFonts w:hint="eastAsia"/>
          <w:b w:val="0"/>
          <w:bCs w:val="0"/>
          <w:sz w:val="28"/>
          <w:szCs w:val="28"/>
          <w:lang w:val="en-US" w:eastAsia="zh-CN"/>
        </w:rPr>
        <w:t>增长0.00%</w:t>
      </w:r>
      <w:r>
        <w:rPr>
          <w:rFonts w:hint="eastAsia"/>
          <w:b w:val="0"/>
          <w:bCs w:val="0"/>
          <w:sz w:val="28"/>
          <w:szCs w:val="28"/>
        </w:rPr>
        <w:t>，具体如下：</w:t>
      </w:r>
    </w:p>
    <w:p>
      <w:pPr>
        <w:pStyle w:val="16"/>
        <w:tabs>
          <w:tab w:val="left" w:pos="1253"/>
        </w:tabs>
        <w:spacing w:after="0" w:line="629" w:lineRule="exact"/>
        <w:ind w:firstLine="600"/>
        <w:jc w:val="left"/>
        <w:rPr>
          <w:rFonts w:hint="eastAsia" w:eastAsia="宋体"/>
          <w:b w:val="0"/>
          <w:bCs w:val="0"/>
          <w:sz w:val="28"/>
          <w:szCs w:val="28"/>
          <w:lang w:eastAsia="zh-CN"/>
        </w:rPr>
      </w:pPr>
      <w:r>
        <w:rPr>
          <w:rFonts w:hint="eastAsia"/>
          <w:b w:val="0"/>
          <w:bCs w:val="0"/>
          <w:sz w:val="28"/>
          <w:szCs w:val="28"/>
        </w:rPr>
        <w:t>1.因公出国（境）费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highlight w:val="none"/>
          <w:lang w:val="en-US" w:eastAsia="zh-CN"/>
        </w:rPr>
        <w:t>本年度和上年度均无因公出国（境）费</w:t>
      </w:r>
      <w:r>
        <w:rPr>
          <w:rFonts w:hint="eastAsia"/>
          <w:b w:val="0"/>
          <w:bCs w:val="0"/>
          <w:sz w:val="28"/>
          <w:szCs w:val="28"/>
        </w:rPr>
        <w:t>。</w:t>
      </w:r>
    </w:p>
    <w:p>
      <w:pPr>
        <w:pStyle w:val="16"/>
        <w:tabs>
          <w:tab w:val="left" w:pos="1253"/>
        </w:tabs>
        <w:spacing w:after="0" w:line="629" w:lineRule="exact"/>
        <w:ind w:firstLine="600"/>
        <w:jc w:val="left"/>
        <w:rPr>
          <w:rFonts w:hint="eastAsia" w:eastAsia="宋体"/>
          <w:b w:val="0"/>
          <w:bCs w:val="0"/>
          <w:sz w:val="28"/>
          <w:szCs w:val="28"/>
          <w:lang w:eastAsia="zh-CN"/>
        </w:rPr>
      </w:pPr>
      <w:r>
        <w:rPr>
          <w:rFonts w:hint="eastAsia"/>
          <w:b w:val="0"/>
          <w:bCs w:val="0"/>
          <w:sz w:val="28"/>
          <w:szCs w:val="28"/>
        </w:rPr>
        <w:t>2.公务接待费</w:t>
      </w:r>
      <w:r>
        <w:rPr>
          <w:rFonts w:hint="eastAsia"/>
          <w:b w:val="0"/>
          <w:bCs w:val="0"/>
          <w:sz w:val="28"/>
          <w:szCs w:val="28"/>
          <w:lang w:eastAsia="zh-CN"/>
        </w:rPr>
        <w:t>2024</w:t>
      </w:r>
      <w:r>
        <w:rPr>
          <w:rFonts w:hint="eastAsia"/>
          <w:b w:val="0"/>
          <w:bCs w:val="0"/>
          <w:sz w:val="28"/>
          <w:szCs w:val="28"/>
        </w:rPr>
        <w:t>年预算安排</w:t>
      </w:r>
      <w:r>
        <w:rPr>
          <w:sz w:val="28"/>
          <w:u w:color="auto"/>
        </w:rPr>
        <w:t>1.00</w:t>
      </w:r>
      <w:r>
        <w:rPr>
          <w:rFonts w:hint="eastAsia"/>
          <w:b w:val="0"/>
          <w:bCs w:val="0"/>
          <w:sz w:val="28"/>
          <w:szCs w:val="28"/>
        </w:rPr>
        <w:t>万元，较2023年度预算数</w:t>
      </w:r>
      <w:r>
        <w:rPr>
          <w:sz w:val="28"/>
          <w:u w:color="auto"/>
        </w:rPr>
        <w:t>1.00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增长0.00%</w:t>
      </w:r>
      <w:r>
        <w:rPr>
          <w:rFonts w:hint="eastAsia"/>
          <w:b w:val="0"/>
          <w:bCs w:val="0"/>
          <w:sz w:val="28"/>
          <w:szCs w:val="28"/>
        </w:rPr>
        <w:t>，主要原因是</w:t>
      </w:r>
      <w:r>
        <w:rPr>
          <w:rFonts w:hint="eastAsia"/>
          <w:highlight w:val="none"/>
          <w:lang w:val="en-US" w:eastAsia="zh-CN"/>
        </w:rPr>
        <w:t>公务接待费本年度和上年度一样</w:t>
      </w:r>
      <w:r>
        <w:rPr>
          <w:rFonts w:hint="eastAsia"/>
          <w:b w:val="0"/>
          <w:bCs w:val="0"/>
          <w:sz w:val="28"/>
          <w:szCs w:val="28"/>
        </w:rPr>
        <w:t>。</w:t>
      </w:r>
    </w:p>
    <w:p>
      <w:pPr>
        <w:pStyle w:val="16"/>
        <w:tabs>
          <w:tab w:val="left" w:pos="1253"/>
        </w:tabs>
        <w:spacing w:after="0" w:line="629" w:lineRule="exact"/>
        <w:ind w:firstLine="600"/>
        <w:jc w:val="left"/>
        <w:rPr>
          <w:rFonts w:hint="eastAsia"/>
          <w:b w:val="0"/>
          <w:bCs w:val="0"/>
          <w:sz w:val="28"/>
          <w:szCs w:val="28"/>
        </w:rPr>
      </w:pPr>
      <w:r>
        <w:rPr>
          <w:rFonts w:hint="eastAsia"/>
          <w:b w:val="0"/>
          <w:bCs w:val="0"/>
          <w:sz w:val="28"/>
          <w:szCs w:val="28"/>
        </w:rPr>
        <w:t>3.公务用车购置及运行费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，其中：</w:t>
      </w:r>
    </w:p>
    <w:p>
      <w:pPr>
        <w:pStyle w:val="16"/>
        <w:tabs>
          <w:tab w:val="left" w:pos="1253"/>
        </w:tabs>
        <w:spacing w:after="0" w:line="629" w:lineRule="exact"/>
        <w:ind w:firstLine="600"/>
        <w:jc w:val="left"/>
        <w:rPr>
          <w:rFonts w:hint="eastAsia" w:eastAsia="宋体"/>
          <w:b w:val="0"/>
          <w:bCs w:val="0"/>
          <w:sz w:val="28"/>
          <w:szCs w:val="28"/>
          <w:lang w:eastAsia="zh-CN"/>
        </w:rPr>
      </w:pPr>
      <w:r>
        <w:rPr>
          <w:rFonts w:hint="eastAsia"/>
          <w:b w:val="0"/>
          <w:bCs w:val="0"/>
          <w:sz w:val="28"/>
          <w:szCs w:val="28"/>
        </w:rPr>
        <w:t>公务用车购置费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highlight w:val="none"/>
          <w:lang w:val="en-US" w:eastAsia="zh-CN"/>
        </w:rPr>
        <w:t>本年度和上年度均无公务用车购置费</w:t>
      </w:r>
      <w:r>
        <w:rPr>
          <w:rFonts w:hint="eastAsia"/>
          <w:b w:val="0"/>
          <w:bCs w:val="0"/>
          <w:sz w:val="28"/>
          <w:szCs w:val="28"/>
        </w:rPr>
        <w:t>。</w:t>
      </w:r>
    </w:p>
    <w:p>
      <w:pPr>
        <w:pStyle w:val="16"/>
        <w:tabs>
          <w:tab w:val="left" w:pos="1253"/>
        </w:tabs>
        <w:spacing w:after="0" w:line="629" w:lineRule="exact"/>
        <w:ind w:firstLine="600"/>
        <w:jc w:val="left"/>
        <w:rPr>
          <w:rFonts w:hint="eastAsia"/>
          <w:b w:val="0"/>
          <w:bCs w:val="0"/>
          <w:sz w:val="28"/>
          <w:szCs w:val="28"/>
        </w:rPr>
      </w:pPr>
      <w:r>
        <w:rPr>
          <w:rFonts w:hint="eastAsia"/>
          <w:b w:val="0"/>
          <w:bCs w:val="0"/>
          <w:sz w:val="28"/>
          <w:szCs w:val="28"/>
        </w:rPr>
        <w:t>公务用车运行维护费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highlight w:val="none"/>
          <w:lang w:val="en-US" w:eastAsia="zh-CN"/>
        </w:rPr>
        <w:t>本年度和上年度均无公务用车运行维护费</w:t>
      </w:r>
      <w:r>
        <w:rPr>
          <w:rFonts w:hint="eastAsia"/>
          <w:b w:val="0"/>
          <w:bCs w:val="0"/>
          <w:sz w:val="28"/>
          <w:szCs w:val="28"/>
        </w:rPr>
        <w:t>。</w:t>
      </w:r>
    </w:p>
    <w:p>
      <w:pPr>
        <w:pStyle w:val="16"/>
        <w:tabs>
          <w:tab w:val="left" w:pos="1235"/>
        </w:tabs>
        <w:spacing w:after="0" w:line="624" w:lineRule="exact"/>
        <w:ind w:firstLine="580"/>
        <w:jc w:val="left"/>
        <w:rPr>
          <w:b/>
          <w:bCs/>
        </w:rPr>
      </w:pPr>
      <w:r>
        <w:rPr>
          <w:b/>
          <w:bCs/>
        </w:rPr>
        <w:t>八</w:t>
      </w:r>
      <w:bookmarkEnd w:id="14"/>
      <w:r>
        <w:rPr>
          <w:b/>
          <w:bCs/>
        </w:rPr>
        <w:t>、</w:t>
      </w:r>
      <w:r>
        <w:rPr>
          <w:b/>
          <w:bCs/>
        </w:rPr>
        <w:tab/>
      </w:r>
      <w:r>
        <w:rPr>
          <w:b/>
          <w:bCs/>
        </w:rPr>
        <w:t>政府性基金预算支出情况说明</w:t>
      </w:r>
    </w:p>
    <w:p>
      <w:pPr>
        <w:pStyle w:val="18"/>
        <w:spacing w:line="629" w:lineRule="exact"/>
        <w:ind w:firstLine="600"/>
        <w:jc w:val="left"/>
        <w:rPr>
          <w:rFonts w:hint="eastAsia" w:eastAsia="宋体"/>
          <w:lang w:eastAsia="zh-CN"/>
        </w:rPr>
      </w:pPr>
      <w:r>
        <w:rPr>
          <w:rFonts w:hint="eastAsia"/>
        </w:rPr>
        <w:t>我部门</w:t>
      </w:r>
      <w:r>
        <w:rPr>
          <w:rFonts w:hint="eastAsia"/>
          <w:b w:val="0"/>
          <w:bCs w:val="0"/>
          <w:sz w:val="28"/>
          <w:szCs w:val="28"/>
          <w:lang w:eastAsia="zh-CN"/>
        </w:rPr>
        <w:t>2024</w:t>
      </w:r>
      <w:r>
        <w:rPr>
          <w:rFonts w:hint="eastAsia"/>
        </w:rPr>
        <w:t>年政府性基金预算支出共</w:t>
      </w:r>
      <w:r>
        <w:rPr>
          <w:rFonts w:hint="eastAsia"/>
          <w:b w:val="0"/>
          <w:bCs w:val="0"/>
          <w:sz w:val="28"/>
          <w:szCs w:val="28"/>
          <w:lang w:eastAsia="zh-CN"/>
        </w:rPr>
        <w:t>0.00</w:t>
      </w:r>
      <w:r>
        <w:rPr>
          <w:rFonts w:hint="eastAsia"/>
        </w:rPr>
        <w:t>万元，较2023年度预算数</w:t>
      </w:r>
      <w:r>
        <w:rPr>
          <w:rFonts w:hint="eastAsia"/>
          <w:b w:val="0"/>
          <w:bCs w:val="0"/>
          <w:sz w:val="28"/>
          <w:szCs w:val="28"/>
          <w:lang w:eastAsia="zh-CN"/>
        </w:rPr>
        <w:t>0.00</w:t>
      </w:r>
      <w:r>
        <w:rPr>
          <w:rFonts w:hint="eastAsia"/>
        </w:rPr>
        <w:t>万元，</w:t>
      </w:r>
      <w:r>
        <w:rPr>
          <w:rFonts w:hint="eastAsia"/>
          <w:b w:val="0"/>
          <w:bCs w:val="0"/>
          <w:sz w:val="28"/>
          <w:szCs w:val="28"/>
          <w:lang w:eastAsia="zh-CN"/>
        </w:rPr>
        <w:t>增加0.00</w:t>
      </w:r>
      <w:r>
        <w:rPr>
          <w:rFonts w:hint="eastAsia"/>
        </w:rPr>
        <w:t>万元，</w:t>
      </w:r>
      <w:r>
        <w:rPr>
          <w:rFonts w:hint="eastAsia"/>
          <w:b w:val="0"/>
          <w:bCs w:val="0"/>
          <w:sz w:val="28"/>
          <w:szCs w:val="28"/>
          <w:lang w:eastAsia="zh-CN"/>
        </w:rPr>
        <w:t>增长0%</w:t>
      </w:r>
      <w:r>
        <w:rPr>
          <w:rFonts w:hint="eastAsia"/>
        </w:rPr>
        <w:t>，主要原因是</w:t>
      </w:r>
      <w:r>
        <w:rPr>
          <w:rFonts w:hint="eastAsia"/>
          <w:highlight w:val="none"/>
          <w:lang w:val="en-US" w:eastAsia="zh-CN"/>
        </w:rPr>
        <w:t>本年度和上年度均无政府性基金预算支出</w:t>
      </w:r>
      <w:r>
        <w:rPr>
          <w:rFonts w:hint="eastAsia"/>
        </w:rPr>
        <w:t>。</w:t>
      </w:r>
    </w:p>
    <w:p>
      <w:pPr>
        <w:pStyle w:val="16"/>
        <w:tabs>
          <w:tab w:val="left" w:pos="1235"/>
        </w:tabs>
        <w:spacing w:after="0" w:line="624" w:lineRule="exact"/>
        <w:ind w:firstLine="580"/>
        <w:jc w:val="left"/>
        <w:rPr>
          <w:b/>
          <w:bCs/>
        </w:rPr>
      </w:pPr>
      <w:bookmarkStart w:id="15" w:name="bookmark91"/>
      <w:r>
        <w:rPr>
          <w:b/>
          <w:bCs/>
        </w:rPr>
        <w:t>九</w:t>
      </w:r>
      <w:bookmarkEnd w:id="15"/>
      <w:r>
        <w:rPr>
          <w:b/>
          <w:bCs/>
        </w:rPr>
        <w:t>、</w:t>
      </w:r>
      <w:r>
        <w:rPr>
          <w:b/>
          <w:bCs/>
        </w:rPr>
        <w:tab/>
      </w:r>
      <w:r>
        <w:rPr>
          <w:b/>
          <w:bCs/>
        </w:rPr>
        <w:t>国有资本经营预算支出情况说明</w:t>
      </w:r>
    </w:p>
    <w:p>
      <w:pPr>
        <w:pStyle w:val="18"/>
        <w:spacing w:line="437" w:lineRule="auto"/>
        <w:ind w:firstLine="600"/>
        <w:jc w:val="left"/>
        <w:rPr>
          <w:rFonts w:hint="eastAsia" w:eastAsia="宋体"/>
          <w:lang w:eastAsia="zh-CN"/>
        </w:rPr>
      </w:pPr>
      <w:r>
        <w:rPr>
          <w:rFonts w:hint="eastAsia"/>
        </w:rPr>
        <w:t>我部门</w:t>
      </w:r>
      <w:r>
        <w:rPr>
          <w:rFonts w:hint="eastAsia"/>
          <w:lang w:eastAsia="zh-CN"/>
        </w:rPr>
        <w:t>2024</w:t>
      </w:r>
      <w:r>
        <w:rPr>
          <w:rFonts w:hint="eastAsia"/>
        </w:rPr>
        <w:t>年国有资本经营预算支出共</w:t>
      </w:r>
      <w:r>
        <w:rPr>
          <w:rFonts w:hint="eastAsia"/>
          <w:lang w:eastAsia="zh-CN"/>
        </w:rPr>
        <w:t>0.00</w:t>
      </w:r>
      <w:r>
        <w:rPr>
          <w:rFonts w:hint="eastAsia"/>
        </w:rPr>
        <w:t>万元，较2023年度预算数</w:t>
      </w:r>
      <w:r>
        <w:rPr>
          <w:rFonts w:hint="eastAsia"/>
          <w:lang w:eastAsia="zh-CN"/>
        </w:rPr>
        <w:t>0.00</w:t>
      </w:r>
      <w:r>
        <w:rPr>
          <w:rFonts w:hint="eastAsia"/>
        </w:rPr>
        <w:t>万元，</w:t>
      </w:r>
      <w:r>
        <w:rPr>
          <w:rFonts w:hint="eastAsia"/>
          <w:lang w:eastAsia="zh-CN"/>
        </w:rPr>
        <w:t>增加0.00</w:t>
      </w:r>
      <w:r>
        <w:rPr>
          <w:rFonts w:hint="eastAsia"/>
        </w:rPr>
        <w:t>万元，</w:t>
      </w:r>
      <w:r>
        <w:rPr>
          <w:rFonts w:hint="eastAsia"/>
          <w:lang w:eastAsia="zh-CN"/>
        </w:rPr>
        <w:t>增长0%</w:t>
      </w:r>
      <w:r>
        <w:rPr>
          <w:rFonts w:hint="eastAsia"/>
        </w:rPr>
        <w:t>，主要原因是</w:t>
      </w:r>
      <w:r>
        <w:rPr>
          <w:rFonts w:hint="eastAsia"/>
          <w:lang w:val="en-US" w:eastAsia="zh-CN"/>
        </w:rPr>
        <w:t>本年度和上年度均无国有资本经营预算支出</w:t>
      </w:r>
      <w:r>
        <w:rPr>
          <w:rFonts w:hint="eastAsia"/>
        </w:rPr>
        <w:t>。</w:t>
      </w:r>
    </w:p>
    <w:p>
      <w:pPr>
        <w:pStyle w:val="16"/>
        <w:tabs>
          <w:tab w:val="left" w:pos="1235"/>
        </w:tabs>
        <w:spacing w:after="0" w:line="624" w:lineRule="exact"/>
        <w:ind w:firstLine="580"/>
        <w:jc w:val="left"/>
        <w:rPr>
          <w:b/>
          <w:bCs/>
        </w:rPr>
      </w:pPr>
      <w:r>
        <w:rPr>
          <w:b/>
          <w:bCs/>
        </w:rPr>
        <w:t>十、其他重要事项</w:t>
      </w:r>
      <w:r>
        <w:rPr>
          <w:rFonts w:hint="eastAsia"/>
          <w:b/>
          <w:bCs/>
          <w:lang w:val="en-US" w:eastAsia="zh-CN"/>
        </w:rPr>
        <w:t>情况</w:t>
      </w:r>
      <w:r>
        <w:rPr>
          <w:b/>
          <w:bCs/>
        </w:rPr>
        <w:t>说明</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（一）机关运行经费安排情况说明</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b w:val="0"/>
          <w:bCs w:val="0"/>
          <w:sz w:val="28"/>
          <w:szCs w:val="28"/>
          <w:lang w:eastAsia="zh-CN"/>
        </w:rPr>
        <w:t>2024</w:t>
      </w:r>
      <w:r>
        <w:rPr>
          <w:rFonts w:hint="eastAsia" w:ascii="宋体" w:hAnsi="宋体" w:eastAsia="宋体" w:cs="宋体"/>
          <w:sz w:val="28"/>
          <w:szCs w:val="28"/>
          <w:lang w:eastAsia="zh-CN"/>
        </w:rPr>
        <w:t>年本部门机关运行经费预算</w:t>
      </w:r>
      <w:r>
        <w:rPr>
          <w:rFonts w:hint="eastAsia" w:ascii="宋体" w:hAnsi="宋体" w:eastAsia="宋体" w:cs="宋体"/>
          <w:sz w:val="28"/>
          <w:szCs w:val="28"/>
          <w:lang w:val="en-US" w:eastAsia="zh-CN"/>
        </w:rPr>
        <w:t>13.44</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14.44</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减少1.00</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下降6.93%</w:t>
      </w:r>
      <w:r>
        <w:rPr>
          <w:rFonts w:hint="eastAsia" w:ascii="宋体" w:hAnsi="宋体" w:eastAsia="宋体" w:cs="宋体"/>
          <w:sz w:val="28"/>
          <w:szCs w:val="28"/>
          <w:lang w:eastAsia="zh-CN"/>
        </w:rPr>
        <w:t>，主要原因是：</w:t>
      </w:r>
      <w:r>
        <w:rPr>
          <w:rFonts w:hint="eastAsia"/>
          <w:highlight w:val="none"/>
          <w:lang w:val="en-US" w:eastAsia="zh-CN"/>
        </w:rPr>
        <w:t>工会经费减少1万元</w:t>
      </w:r>
      <w:r>
        <w:rPr>
          <w:rFonts w:hint="eastAsia" w:ascii="宋体" w:hAnsi="宋体" w:eastAsia="宋体" w:cs="宋体"/>
          <w:sz w:val="28"/>
          <w:szCs w:val="28"/>
          <w:lang w:eastAsia="zh-CN"/>
        </w:rPr>
        <w:t>。</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（二）政府采购预算安排情况说明</w:t>
      </w:r>
    </w:p>
    <w:p>
      <w:pPr>
        <w:pStyle w:val="18"/>
        <w:spacing w:line="624" w:lineRule="exact"/>
        <w:ind w:firstLine="600"/>
        <w:jc w:val="left"/>
        <w:rPr>
          <w:rFonts w:hint="default" w:ascii="宋体" w:hAnsi="宋体" w:eastAsia="宋体" w:cs="宋体"/>
          <w:sz w:val="28"/>
          <w:szCs w:val="28"/>
          <w:lang w:val="en-US" w:eastAsia="zh-CN"/>
        </w:rPr>
      </w:pPr>
      <w:r>
        <w:rPr>
          <w:rFonts w:hint="eastAsia" w:ascii="宋体" w:hAnsi="宋体" w:eastAsia="宋体" w:cs="宋体"/>
          <w:sz w:val="28"/>
          <w:szCs w:val="28"/>
          <w:lang w:eastAsia="zh-CN"/>
        </w:rPr>
        <w:t>我部门2024年政府采购预算总金额</w:t>
      </w:r>
      <w:r>
        <w:rPr>
          <w:rFonts w:hint="eastAsia"/>
          <w:highlight w:val="none"/>
          <w:lang w:val="en-US" w:eastAsia="zh-CN"/>
        </w:rPr>
        <w:t>15</w:t>
      </w:r>
      <w:r>
        <w:rPr>
          <w:rFonts w:hint="eastAsia" w:ascii="宋体" w:hAnsi="宋体" w:eastAsia="宋体" w:cs="宋体"/>
          <w:sz w:val="28"/>
          <w:szCs w:val="28"/>
          <w:lang w:eastAsia="zh-CN"/>
        </w:rPr>
        <w:t>万元。其中：货物类采购</w:t>
      </w:r>
      <w:r>
        <w:rPr>
          <w:rFonts w:hint="eastAsia"/>
          <w:highlight w:val="none"/>
          <w:lang w:val="en-US" w:eastAsia="zh-CN"/>
        </w:rPr>
        <w:t>15</w:t>
      </w:r>
      <w:r>
        <w:rPr>
          <w:rFonts w:hint="eastAsia" w:ascii="宋体" w:hAnsi="宋体" w:eastAsia="宋体" w:cs="宋体"/>
          <w:sz w:val="28"/>
          <w:szCs w:val="28"/>
          <w:lang w:eastAsia="zh-CN"/>
        </w:rPr>
        <w:t>万元、工程类采购</w:t>
      </w:r>
      <w:r>
        <w:rPr>
          <w:rFonts w:hint="eastAsia"/>
          <w:highlight w:val="none"/>
          <w:lang w:val="en-US" w:eastAsia="zh-CN"/>
        </w:rPr>
        <w:t>0</w:t>
      </w:r>
      <w:r>
        <w:rPr>
          <w:rFonts w:hint="eastAsia" w:ascii="宋体" w:hAnsi="宋体" w:eastAsia="宋体" w:cs="宋体"/>
          <w:sz w:val="28"/>
          <w:szCs w:val="28"/>
          <w:lang w:eastAsia="zh-CN"/>
        </w:rPr>
        <w:t>万元、服务类采购</w:t>
      </w:r>
      <w:r>
        <w:rPr>
          <w:rFonts w:hint="eastAsia"/>
          <w:highlight w:val="none"/>
          <w:lang w:val="en-US" w:eastAsia="zh-CN"/>
        </w:rPr>
        <w:t>0</w:t>
      </w:r>
      <w:r>
        <w:rPr>
          <w:rFonts w:hint="eastAsia" w:ascii="宋体" w:hAnsi="宋体" w:eastAsia="宋体" w:cs="宋体"/>
          <w:sz w:val="28"/>
          <w:szCs w:val="28"/>
          <w:lang w:eastAsia="zh-CN"/>
        </w:rPr>
        <w:t>万元。</w:t>
      </w:r>
      <w:r>
        <w:rPr>
          <w:rFonts w:hint="eastAsia" w:cs="宋体"/>
          <w:sz w:val="28"/>
          <w:szCs w:val="28"/>
          <w:lang w:val="en-US" w:eastAsia="zh-CN"/>
        </w:rPr>
        <w:t>主要用于：</w:t>
      </w:r>
      <w:r>
        <w:rPr>
          <w:rFonts w:hint="eastAsia"/>
          <w:highlight w:val="none"/>
          <w:lang w:val="en-US" w:eastAsia="zh-CN"/>
        </w:rPr>
        <w:t>采购综合办公平台国产终端设备、电子政务外网设备、办公设备。</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（三）国有资产占用情况说明</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截至2023年12月31日，本部门共有车辆</w:t>
      </w:r>
      <w:r>
        <w:rPr>
          <w:rFonts w:hint="eastAsia"/>
          <w:highlight w:val="none"/>
          <w:lang w:val="en-US" w:eastAsia="zh-CN"/>
        </w:rPr>
        <w:t>0</w:t>
      </w:r>
      <w:r>
        <w:rPr>
          <w:rFonts w:hint="eastAsia" w:ascii="宋体" w:hAnsi="宋体" w:eastAsia="宋体" w:cs="宋体"/>
          <w:sz w:val="28"/>
          <w:szCs w:val="28"/>
          <w:lang w:eastAsia="zh-CN"/>
        </w:rPr>
        <w:t>辆，其中，应急机要通信用车</w:t>
      </w:r>
      <w:r>
        <w:rPr>
          <w:rFonts w:hint="eastAsia"/>
          <w:highlight w:val="none"/>
          <w:lang w:val="en-US" w:eastAsia="zh-CN"/>
        </w:rPr>
        <w:t>0</w:t>
      </w:r>
      <w:r>
        <w:rPr>
          <w:rFonts w:hint="eastAsia" w:ascii="宋体" w:hAnsi="宋体" w:eastAsia="宋体" w:cs="宋体"/>
          <w:sz w:val="28"/>
          <w:szCs w:val="28"/>
          <w:lang w:eastAsia="zh-CN"/>
        </w:rPr>
        <w:t>辆、一般执法执勤用车</w:t>
      </w:r>
      <w:r>
        <w:rPr>
          <w:rFonts w:hint="eastAsia"/>
          <w:highlight w:val="none"/>
          <w:lang w:val="en-US" w:eastAsia="zh-CN"/>
        </w:rPr>
        <w:t>0</w:t>
      </w:r>
      <w:r>
        <w:rPr>
          <w:rFonts w:hint="eastAsia" w:ascii="宋体" w:hAnsi="宋体" w:eastAsia="宋体" w:cs="宋体"/>
          <w:sz w:val="28"/>
          <w:szCs w:val="28"/>
          <w:lang w:eastAsia="zh-CN"/>
        </w:rPr>
        <w:t>辆、特种专业技术用车</w:t>
      </w:r>
      <w:r>
        <w:rPr>
          <w:rFonts w:hint="eastAsia"/>
          <w:highlight w:val="none"/>
          <w:lang w:val="en-US" w:eastAsia="zh-CN"/>
        </w:rPr>
        <w:t>0</w:t>
      </w:r>
      <w:r>
        <w:rPr>
          <w:rFonts w:hint="eastAsia" w:ascii="宋体" w:hAnsi="宋体" w:eastAsia="宋体" w:cs="宋体"/>
          <w:sz w:val="28"/>
          <w:szCs w:val="28"/>
          <w:lang w:eastAsia="zh-CN"/>
        </w:rPr>
        <w:t>辆、其他用车</w:t>
      </w:r>
      <w:r>
        <w:rPr>
          <w:rFonts w:hint="eastAsia"/>
          <w:highlight w:val="none"/>
          <w:lang w:val="en-US" w:eastAsia="zh-CN"/>
        </w:rPr>
        <w:t>0</w:t>
      </w:r>
      <w:r>
        <w:rPr>
          <w:rFonts w:hint="eastAsia" w:ascii="宋体" w:hAnsi="宋体" w:eastAsia="宋体" w:cs="宋体"/>
          <w:sz w:val="28"/>
          <w:szCs w:val="28"/>
          <w:lang w:eastAsia="zh-CN"/>
        </w:rPr>
        <w:t>辆，单位价值200万元以上大型设备</w:t>
      </w:r>
      <w:r>
        <w:rPr>
          <w:rFonts w:hint="eastAsia"/>
          <w:highlight w:val="none"/>
          <w:lang w:val="en-US" w:eastAsia="zh-CN"/>
        </w:rPr>
        <w:t>0</w:t>
      </w:r>
      <w:r>
        <w:rPr>
          <w:rFonts w:hint="eastAsia" w:ascii="宋体" w:hAnsi="宋体" w:eastAsia="宋体" w:cs="宋体"/>
          <w:sz w:val="28"/>
          <w:szCs w:val="28"/>
          <w:lang w:eastAsia="zh-CN"/>
        </w:rPr>
        <w:t>台（套）。</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（四）预算绩效目标情况说明</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1.我部门2024年所有项目支出全面实施绩效目标管理，涉及项目</w:t>
      </w:r>
      <w:r>
        <w:rPr>
          <w:rFonts w:hint="eastAsia"/>
          <w:highlight w:val="none"/>
          <w:lang w:val="en-US" w:eastAsia="zh-CN"/>
        </w:rPr>
        <w:t>5</w:t>
      </w:r>
      <w:r>
        <w:rPr>
          <w:rFonts w:hint="eastAsia" w:ascii="宋体" w:hAnsi="宋体" w:eastAsia="宋体" w:cs="宋体"/>
          <w:sz w:val="28"/>
          <w:szCs w:val="28"/>
          <w:lang w:eastAsia="zh-CN"/>
        </w:rPr>
        <w:t>个，预算资金</w:t>
      </w:r>
      <w:r>
        <w:rPr>
          <w:rFonts w:hint="eastAsia"/>
          <w:highlight w:val="none"/>
          <w:lang w:val="en-US" w:eastAsia="zh-CN"/>
        </w:rPr>
        <w:t>81.62</w:t>
      </w:r>
      <w:r>
        <w:rPr>
          <w:rFonts w:hint="eastAsia" w:ascii="宋体" w:hAnsi="宋体" w:eastAsia="宋体" w:cs="宋体"/>
          <w:sz w:val="28"/>
          <w:szCs w:val="28"/>
          <w:lang w:eastAsia="zh-CN"/>
        </w:rPr>
        <w:t>万元。绩效目标情况详见报表（日常运转类项目、工资类人员经费项目和涉密项目等除外）。</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2.重点项目预算绩效目标说明。</w:t>
      </w:r>
    </w:p>
    <w:p>
      <w:pPr>
        <w:pStyle w:val="18"/>
        <w:spacing w:line="624" w:lineRule="exact"/>
        <w:ind w:firstLine="600"/>
        <w:jc w:val="left"/>
        <w:rPr>
          <w:rFonts w:hint="eastAsia"/>
          <w:highlight w:val="none"/>
          <w:lang w:val="en-US" w:eastAsia="zh-CN"/>
        </w:rPr>
      </w:pPr>
      <w:r>
        <w:rPr>
          <w:rFonts w:hint="eastAsia"/>
          <w:highlight w:val="none"/>
          <w:lang w:val="en-US" w:eastAsia="zh-CN"/>
        </w:rPr>
        <w:t>重点项目一:项目名称:日常办公费，预算资金35.09万元，2024年度绩效目标为:保障全县电子政务外网和本单位日常工作正常运行，提高办公效率和群众满意度。设1条数量指标:保障各类办公设备正常运行数量=490台（套）;设1条质量指标:日常运行保障率≥98%;设1条时效指标:经费支出合规性为定性，按照规定支付;设1条成本指标:项目总成本≤35.09万元；设1条社会效益指标:对保障单位日常业务工作正常开展的影响或改善程度，定性，改善程度明显;设1条生态效益指标:可持续影响指标对提高或改善公共服务水平的持续影响程度，定性，影响程度明显；设1条满意度指标:服务对象满意度≥98%。</w:t>
      </w:r>
    </w:p>
    <w:p>
      <w:pPr>
        <w:pStyle w:val="18"/>
        <w:spacing w:line="624" w:lineRule="exact"/>
        <w:ind w:firstLine="600"/>
        <w:jc w:val="left"/>
        <w:rPr>
          <w:rFonts w:hint="eastAsia"/>
          <w:highlight w:val="none"/>
          <w:lang w:val="en-US" w:eastAsia="zh-CN"/>
        </w:rPr>
      </w:pPr>
    </w:p>
    <w:p>
      <w:pPr>
        <w:pStyle w:val="18"/>
        <w:spacing w:line="624" w:lineRule="exact"/>
        <w:ind w:firstLine="600"/>
        <w:jc w:val="left"/>
        <w:rPr>
          <w:rFonts w:hint="default"/>
          <w:highlight w:val="none"/>
          <w:lang w:val="en-US" w:eastAsia="zh-CN"/>
        </w:rPr>
        <w:sectPr>
          <w:headerReference r:id="rId4" w:type="default"/>
          <w:footerReference r:id="rId5" w:type="default"/>
          <w:pgSz w:w="11900" w:h="16840"/>
          <w:pgMar w:top="1440" w:right="1800" w:bottom="1440" w:left="1800" w:header="0" w:footer="3" w:gutter="0"/>
          <w:pgBorders>
            <w:top w:val="none" w:sz="0" w:space="0"/>
            <w:left w:val="none" w:sz="0" w:space="0"/>
            <w:bottom w:val="none" w:sz="0" w:space="0"/>
            <w:right w:val="none" w:sz="0" w:space="0"/>
          </w:pgBorders>
          <w:cols w:space="720" w:num="1"/>
          <w:docGrid w:linePitch="360" w:charSpace="0"/>
        </w:sectPr>
      </w:pPr>
    </w:p>
    <w:bookmarkEnd w:id="10"/>
    <w:bookmarkEnd w:id="11"/>
    <w:bookmarkEnd w:id="12"/>
    <w:p>
      <w:pPr>
        <w:pStyle w:val="12"/>
        <w:keepNext/>
        <w:keepLines/>
        <w:spacing w:after="980"/>
        <w:jc w:val="center"/>
      </w:pPr>
      <w:r>
        <w:t>第</w:t>
      </w:r>
      <w:r>
        <w:rPr>
          <w:rFonts w:hint="eastAsia"/>
          <w:lang w:val="en-US" w:eastAsia="zh-CN"/>
        </w:rPr>
        <w:t>三</w:t>
      </w:r>
      <w:r>
        <w:t>部分</w:t>
      </w:r>
      <w:r>
        <w:rPr>
          <w:rFonts w:hint="eastAsia"/>
          <w:lang w:eastAsia="zh-CN"/>
        </w:rPr>
        <w:t>环江毛南族自治县大数据发展局</w:t>
      </w:r>
      <w:r>
        <w:rPr>
          <w:rFonts w:hint="eastAsia" w:ascii="Times New Roman" w:hAnsi="Times New Roman" w:cs="Times New Roman"/>
          <w:sz w:val="42"/>
          <w:szCs w:val="42"/>
          <w:lang w:eastAsia="zh-CN"/>
        </w:rPr>
        <w:t>2024</w:t>
      </w:r>
      <w:r>
        <w:rPr>
          <w:rFonts w:ascii="Times New Roman" w:hAnsi="Times New Roman" w:cs="Times New Roman"/>
          <w:sz w:val="42"/>
          <w:u w:color="auto"/>
        </w:rPr>
        <w:t>年</w:t>
      </w:r>
      <w:r>
        <w:t>部门预算表</w:t>
      </w:r>
    </w:p>
    <w:p>
      <w:pPr>
        <w:pStyle w:val="22"/>
        <w:keepNext/>
        <w:keepLines/>
        <w:spacing w:after="240"/>
        <w:jc w:val="center"/>
      </w:pPr>
      <w:bookmarkStart w:id="16" w:name="bookmark31"/>
      <w:bookmarkStart w:id="17" w:name="bookmark30"/>
      <w:bookmarkStart w:id="18" w:name="bookmark29"/>
      <w:r>
        <w:t>收支总体情况表</w:t>
      </w:r>
      <w:bookmarkEnd w:id="16"/>
      <w:bookmarkEnd w:id="17"/>
      <w:bookmarkEnd w:id="18"/>
    </w:p>
    <w:tbl>
      <w:tblPr>
        <w:tblStyle w:val="4"/>
        <w:tblW w:w="0" w:type="auto"/>
        <w:tblInd w:w="0" w:type="dxa"/>
        <w:tblLayout w:type="fixed"/>
        <w:tblCellMar>
          <w:top w:w="0" w:type="dxa"/>
          <w:left w:w="10" w:type="dxa"/>
          <w:bottom w:w="0" w:type="dxa"/>
          <w:right w:w="10" w:type="dxa"/>
        </w:tblCellMar>
      </w:tblPr>
      <w:tblGrid>
        <w:gridCol w:w="3339"/>
        <w:gridCol w:w="3760"/>
        <w:gridCol w:w="3542"/>
        <w:gridCol w:w="3571"/>
      </w:tblGrid>
      <w:tr>
        <w:tblPrEx>
          <w:tblCellMar>
            <w:top w:w="0" w:type="dxa"/>
            <w:left w:w="10" w:type="dxa"/>
            <w:bottom w:w="0" w:type="dxa"/>
            <w:right w:w="10" w:type="dxa"/>
          </w:tblCellMar>
        </w:tblPrEx>
        <w:trPr>
          <w:trHeight w:val="331" w:hRule="exact"/>
        </w:trPr>
        <w:tc>
          <w:tcPr>
            <w:tcW w:w="10641" w:type="dxa"/>
            <w:gridSpan w:val="3"/>
            <w:tcBorders>
              <w:bottom w:val="single" w:color="auto" w:sz="4" w:space="0"/>
            </w:tcBorders>
            <w:shd w:val="clear" w:color="auto" w:fill="FFFFFF"/>
          </w:tcPr>
          <w:p>
            <w:pPr>
              <w:pStyle w:val="24"/>
              <w:spacing w:line="240" w:lineRule="auto"/>
              <w:ind w:firstLine="0"/>
              <w:jc w:val="left"/>
              <w:rPr>
                <w:sz w:val="17"/>
                <w:szCs w:val="17"/>
              </w:rPr>
            </w:pPr>
            <w:r>
              <w:rPr>
                <w:sz w:val="17"/>
                <w:szCs w:val="17"/>
              </w:rPr>
              <w:t>单位名称：</w:t>
            </w:r>
            <w:r>
              <w:rPr>
                <w:rFonts w:hint="eastAsia"/>
                <w:sz w:val="17"/>
                <w:szCs w:val="17"/>
                <w:lang w:eastAsia="zh-CN"/>
              </w:rPr>
              <w:t>环江毛南族自治县大数据发展局</w:t>
            </w:r>
          </w:p>
        </w:tc>
        <w:tc>
          <w:tcPr>
            <w:tcW w:w="3571" w:type="dxa"/>
            <w:tcBorders>
              <w:bottom w:val="single" w:color="auto" w:sz="4" w:space="0"/>
            </w:tcBorders>
            <w:shd w:val="clear" w:color="auto" w:fill="FFFFFF"/>
          </w:tcPr>
          <w:p>
            <w:pPr>
              <w:pStyle w:val="24"/>
              <w:spacing w:line="240" w:lineRule="auto"/>
              <w:ind w:firstLine="2380" w:firstLineChars="1400"/>
              <w:jc w:val="left"/>
              <w:rPr>
                <w:sz w:val="17"/>
                <w:szCs w:val="17"/>
              </w:rPr>
            </w:pPr>
            <w:r>
              <w:rPr>
                <w:sz w:val="17"/>
                <w:szCs w:val="17"/>
              </w:rPr>
              <w:t>单位：万元</w:t>
            </w:r>
          </w:p>
        </w:tc>
      </w:tr>
      <w:tr>
        <w:tblPrEx>
          <w:tblCellMar>
            <w:top w:w="0" w:type="dxa"/>
            <w:left w:w="10" w:type="dxa"/>
            <w:bottom w:w="0" w:type="dxa"/>
            <w:right w:w="10" w:type="dxa"/>
          </w:tblCellMar>
        </w:tblPrEx>
        <w:trPr>
          <w:trHeight w:val="456" w:hRule="exact"/>
        </w:trPr>
        <w:tc>
          <w:tcPr>
            <w:tcW w:w="70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2890" w:firstLineChars="1700"/>
              <w:jc w:val="both"/>
              <w:rPr>
                <w:sz w:val="17"/>
                <w:szCs w:val="17"/>
              </w:rPr>
            </w:pPr>
            <w:r>
              <w:rPr>
                <w:sz w:val="17"/>
                <w:szCs w:val="17"/>
              </w:rPr>
              <w:t>收入</w:t>
            </w:r>
          </w:p>
        </w:tc>
        <w:tc>
          <w:tcPr>
            <w:tcW w:w="7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right="340" w:firstLine="2890" w:firstLineChars="1700"/>
              <w:jc w:val="both"/>
              <w:rPr>
                <w:sz w:val="17"/>
                <w:szCs w:val="17"/>
              </w:rPr>
            </w:pPr>
            <w:r>
              <w:rPr>
                <w:sz w:val="17"/>
                <w:szCs w:val="17"/>
              </w:rPr>
              <w:t>支出</w:t>
            </w:r>
          </w:p>
        </w:tc>
      </w:tr>
      <w:tr>
        <w:tblPrEx>
          <w:tblCellMar>
            <w:top w:w="0" w:type="dxa"/>
            <w:left w:w="10" w:type="dxa"/>
            <w:bottom w:w="0" w:type="dxa"/>
            <w:right w:w="10" w:type="dxa"/>
          </w:tblCellMar>
        </w:tblPrEx>
        <w:trPr>
          <w:trHeight w:val="432"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项目</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预算数</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tabs>
                <w:tab w:val="left" w:pos="894"/>
              </w:tabs>
              <w:spacing w:line="240" w:lineRule="auto"/>
              <w:jc w:val="left"/>
              <w:rPr>
                <w:sz w:val="17"/>
                <w:szCs w:val="17"/>
              </w:rPr>
            </w:pPr>
            <w:r>
              <w:rPr>
                <w:sz w:val="17"/>
                <w:szCs w:val="17"/>
              </w:rPr>
              <w:t>项</w:t>
            </w:r>
            <w:r>
              <w:rPr>
                <w:sz w:val="17"/>
                <w:szCs w:val="17"/>
              </w:rPr>
              <w:tab/>
            </w:r>
            <w:r>
              <w:rPr>
                <w:sz w:val="17"/>
                <w:szCs w:val="17"/>
              </w:rPr>
              <w:t>目（按支出功能科目分类）</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预算数</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一、一般公共预算拨款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304.58</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一、一般公共服务支出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261.28</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二、外交支出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304.58</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三、国防支出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二、政府性基金预算拨款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四、公共安全支出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五、教育支出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六、科学技术支出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三、国有资本经营预算拨款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七、文化旅游体育与传媒支出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八、社会保障和就业支出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23.27</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九、卫生健康支出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四、财政专户管理资金收入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十、节能环保支出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五、事业收入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十一、城乡社区支出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六、事业单位经营收入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十二、农林水支出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七、上级补助收入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十三、交通运输支出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八、附属单位上缴收入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十四、资源勘探工业信息等支出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九、其他收入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十五、商业服务业等支出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十六、金融支出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十七、援助其他地区支出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十八、自然资源海洋气象等支出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十九、住房保障支出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20.03</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二十、粮油物资储备支出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二十一、国有资本经营预算支出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二十二、灾害防治及应急管理支出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二十三、其他支出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二十四、债务还本支出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二十五、债务付息支出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二十六、债务发行费用支出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本年收入合计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304.58</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本年支出合计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304.58</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上年结转结余</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结转下年支出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收入总计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304.58</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支出总计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304.58</w:t>
            </w:r>
          </w:p>
        </w:tc>
      </w:tr>
    </w:tbl>
    <w:p>
      <w:pPr>
        <w:pStyle w:val="26"/>
        <w:ind w:left="101"/>
        <w:jc w:val="left"/>
      </w:pPr>
      <w:r>
        <w:t>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r:id="rId6" w:type="default"/>
          <w:footerReference r:id="rId7" w:type="default"/>
          <w:pgSz w:w="16840" w:h="11900" w:orient="landscape"/>
          <w:pgMar w:top="2397" w:right="761" w:bottom="1966" w:left="739" w:header="0" w:footer="3" w:gutter="0"/>
          <w:pgBorders>
            <w:top w:val="none" w:sz="0" w:space="0"/>
            <w:left w:val="none" w:sz="0" w:space="0"/>
            <w:bottom w:val="none" w:sz="0" w:space="0"/>
            <w:right w:val="none" w:sz="0" w:space="0"/>
          </w:pgBorders>
          <w:cols w:space="720" w:num="1"/>
          <w:docGrid w:linePitch="360" w:charSpace="0"/>
        </w:sectPr>
      </w:pPr>
    </w:p>
    <w:p>
      <w:pPr>
        <w:tabs>
          <w:tab w:val="left" w:pos="859"/>
        </w:tabs>
        <w:jc w:val="left"/>
        <w:rPr>
          <w:rFonts w:eastAsia="宋体"/>
          <w:lang w:eastAsia="zh-CN"/>
        </w:rPr>
      </w:pPr>
    </w:p>
    <w:p>
      <w:pPr>
        <w:tabs>
          <w:tab w:val="left" w:pos="859"/>
        </w:tabs>
        <w:jc w:val="center"/>
        <w:rPr>
          <w:rFonts w:hint="eastAsia" w:eastAsia="宋体"/>
          <w:lang w:val="en-US" w:eastAsia="zh-CN"/>
        </w:rPr>
      </w:pPr>
    </w:p>
    <w:p>
      <w:pPr>
        <w:tabs>
          <w:tab w:val="left" w:pos="859"/>
        </w:tabs>
        <w:jc w:val="center"/>
        <w:rPr>
          <w:rFonts w:hint="eastAsia" w:eastAsia="宋体"/>
          <w:lang w:val="en-US" w:eastAsia="zh-CN"/>
        </w:rPr>
      </w:pPr>
      <w:r>
        <w:rPr>
          <w:rFonts w:hint="eastAsia" w:eastAsia="宋体"/>
          <w:lang w:val="en-US" w:eastAsia="zh-CN"/>
        </w:rPr>
        <w:t>收入总体情况表</w:t>
      </w:r>
    </w:p>
    <w:p>
      <w:pPr>
        <w:tabs>
          <w:tab w:val="left" w:pos="859"/>
        </w:tabs>
        <w:jc w:val="center"/>
        <w:rPr>
          <w:rFonts w:hint="eastAsia" w:eastAsia="宋体"/>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481" w:type="dxa"/>
            <w:gridSpan w:val="13"/>
            <w:tcBorders>
              <w:top w:val="nil"/>
              <w:left w:val="nil"/>
              <w:right w:val="nil"/>
            </w:tcBorders>
          </w:tcPr>
          <w:p>
            <w:pPr>
              <w:pStyle w:val="26"/>
              <w:jc w:val="both"/>
              <w:rPr>
                <w:rFonts w:hint="eastAsia"/>
                <w:lang w:val="en-US" w:eastAsia="zh-CN"/>
              </w:rPr>
            </w:pPr>
            <w:r>
              <w:rPr>
                <w:sz w:val="17"/>
                <w:szCs w:val="17"/>
              </w:rPr>
              <w:t>单位名称：</w:t>
            </w:r>
            <w:r>
              <w:rPr>
                <w:rFonts w:hint="eastAsia"/>
                <w:sz w:val="17"/>
                <w:szCs w:val="17"/>
                <w:lang w:eastAsia="zh-CN"/>
              </w:rPr>
              <w:t>环江毛南族自治县大数据发展局</w:t>
            </w:r>
            <w:r>
              <w:rPr>
                <w:rFonts w:hint="eastAsia"/>
                <w:lang w:val="en-US" w:eastAsia="zh-CN"/>
              </w:rPr>
              <w:t xml:space="preserve">                                                                                  </w:t>
            </w:r>
          </w:p>
        </w:tc>
        <w:tc>
          <w:tcPr>
            <w:tcW w:w="2076" w:type="dxa"/>
            <w:gridSpan w:val="3"/>
            <w:tcBorders>
              <w:top w:val="nil"/>
              <w:left w:val="nil"/>
              <w:right w:val="nil"/>
            </w:tcBorders>
          </w:tcPr>
          <w:p>
            <w:pPr>
              <w:pStyle w:val="26"/>
              <w:ind w:firstLine="340" w:firstLineChars="200"/>
              <w:jc w:val="left"/>
              <w:rPr>
                <w:rFonts w:hint="eastAsia"/>
                <w:lang w:val="en-US" w:eastAsia="zh-CN"/>
              </w:rPr>
            </w:pPr>
            <w:r>
              <w:rPr>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Merge w:val="restart"/>
          </w:tcPr>
          <w:p>
            <w:pPr>
              <w:tabs>
                <w:tab w:val="left" w:pos="859"/>
              </w:tabs>
              <w:jc w:val="both"/>
              <w:rPr>
                <w:rFonts w:hint="eastAsia" w:eastAsia="宋体"/>
                <w:vertAlign w:val="baseline"/>
                <w:lang w:val="en-US" w:eastAsia="zh-CN"/>
              </w:rPr>
            </w:pPr>
            <w:r>
              <w:rPr>
                <w:sz w:val="17"/>
                <w:szCs w:val="17"/>
              </w:rPr>
              <w:t>部门（单位）代码</w:t>
            </w:r>
          </w:p>
        </w:tc>
        <w:tc>
          <w:tcPr>
            <w:tcW w:w="1279" w:type="dxa"/>
            <w:vMerge w:val="restart"/>
          </w:tcPr>
          <w:p>
            <w:pPr>
              <w:tabs>
                <w:tab w:val="left" w:pos="859"/>
              </w:tabs>
              <w:jc w:val="both"/>
              <w:rPr>
                <w:rFonts w:hint="eastAsia" w:eastAsia="宋体"/>
                <w:vertAlign w:val="baseline"/>
                <w:lang w:val="en-US" w:eastAsia="zh-CN"/>
              </w:rPr>
            </w:pPr>
            <w:r>
              <w:rPr>
                <w:sz w:val="17"/>
                <w:szCs w:val="17"/>
              </w:rPr>
              <w:t>部门（单位）名称</w:t>
            </w:r>
          </w:p>
        </w:tc>
        <w:tc>
          <w:tcPr>
            <w:tcW w:w="990" w:type="dxa"/>
            <w:vMerge w:val="restart"/>
          </w:tcPr>
          <w:p>
            <w:pPr>
              <w:pStyle w:val="24"/>
              <w:spacing w:line="240" w:lineRule="auto"/>
              <w:ind w:firstLine="300" w:firstLineChars="0"/>
              <w:jc w:val="left"/>
              <w:rPr>
                <w:rFonts w:hint="eastAsia" w:eastAsia="宋体"/>
                <w:vertAlign w:val="baseline"/>
                <w:lang w:val="en-US" w:eastAsia="zh-CN"/>
              </w:rPr>
            </w:pPr>
            <w:r>
              <w:rPr>
                <w:rFonts w:hint="eastAsia"/>
                <w:sz w:val="17"/>
                <w:szCs w:val="17"/>
                <w:lang w:val="en-US" w:eastAsia="zh-CN"/>
              </w:rPr>
              <w:t>合</w:t>
            </w:r>
            <w:r>
              <w:rPr>
                <w:sz w:val="17"/>
                <w:szCs w:val="17"/>
              </w:rPr>
              <w:t>计</w:t>
            </w:r>
          </w:p>
        </w:tc>
        <w:tc>
          <w:tcPr>
            <w:tcW w:w="4871" w:type="dxa"/>
            <w:gridSpan w:val="5"/>
          </w:tcPr>
          <w:p>
            <w:pPr>
              <w:tabs>
                <w:tab w:val="left" w:pos="859"/>
              </w:tabs>
              <w:jc w:val="both"/>
              <w:rPr>
                <w:rFonts w:hint="eastAsia" w:eastAsia="宋体"/>
                <w:vertAlign w:val="baseline"/>
                <w:lang w:val="en-US" w:eastAsia="zh-CN"/>
              </w:rPr>
            </w:pPr>
            <w:r>
              <w:rPr>
                <w:sz w:val="17"/>
                <w:szCs w:val="17"/>
              </w:rPr>
              <w:t>本年收入</w:t>
            </w:r>
          </w:p>
        </w:tc>
        <w:tc>
          <w:tcPr>
            <w:tcW w:w="6781" w:type="dxa"/>
            <w:gridSpan w:val="8"/>
          </w:tcPr>
          <w:p>
            <w:pPr>
              <w:tabs>
                <w:tab w:val="left" w:pos="859"/>
              </w:tabs>
              <w:jc w:val="both"/>
              <w:rPr>
                <w:rFonts w:hint="eastAsia" w:eastAsia="宋体"/>
                <w:vertAlign w:val="baseline"/>
                <w:lang w:val="en-US" w:eastAsia="zh-CN"/>
              </w:rPr>
            </w:pPr>
            <w:r>
              <w:rPr>
                <w:sz w:val="17"/>
                <w:szCs w:val="17"/>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636" w:type="dxa"/>
            <w:vMerge w:val="continue"/>
          </w:tcPr>
          <w:p>
            <w:pPr>
              <w:tabs>
                <w:tab w:val="left" w:pos="859"/>
              </w:tabs>
              <w:jc w:val="both"/>
              <w:rPr>
                <w:rFonts w:hint="eastAsia" w:eastAsia="宋体"/>
                <w:vertAlign w:val="baseline"/>
                <w:lang w:val="en-US" w:eastAsia="zh-CN"/>
              </w:rPr>
            </w:pPr>
          </w:p>
        </w:tc>
        <w:tc>
          <w:tcPr>
            <w:tcW w:w="1279" w:type="dxa"/>
            <w:vMerge w:val="continue"/>
          </w:tcPr>
          <w:p>
            <w:pPr>
              <w:tabs>
                <w:tab w:val="left" w:pos="859"/>
              </w:tabs>
              <w:jc w:val="both"/>
              <w:rPr>
                <w:rFonts w:hint="eastAsia" w:eastAsia="宋体"/>
                <w:vertAlign w:val="baseline"/>
                <w:lang w:val="en-US" w:eastAsia="zh-CN"/>
              </w:rPr>
            </w:pPr>
          </w:p>
        </w:tc>
        <w:tc>
          <w:tcPr>
            <w:tcW w:w="990" w:type="dxa"/>
            <w:vMerge w:val="continue"/>
            <w:vAlign w:val="center"/>
          </w:tcPr>
          <w:p>
            <w:pPr>
              <w:pStyle w:val="24"/>
              <w:spacing w:line="240" w:lineRule="auto"/>
              <w:ind w:firstLine="300" w:firstLineChars="0"/>
              <w:jc w:val="left"/>
              <w:rPr>
                <w:rFonts w:hint="eastAsia" w:eastAsia="宋体"/>
                <w:vertAlign w:val="baseline"/>
                <w:lang w:val="en-US" w:eastAsia="zh-CN"/>
              </w:rPr>
            </w:pPr>
          </w:p>
        </w:tc>
        <w:tc>
          <w:tcPr>
            <w:tcW w:w="926" w:type="dxa"/>
            <w:vAlign w:val="center"/>
          </w:tcPr>
          <w:p>
            <w:pPr>
              <w:pStyle w:val="24"/>
              <w:spacing w:line="240" w:lineRule="auto"/>
              <w:ind w:firstLine="300" w:firstLineChars="0"/>
              <w:jc w:val="left"/>
              <w:rPr>
                <w:rFonts w:hint="eastAsia" w:eastAsia="宋体"/>
                <w:vertAlign w:val="baseline"/>
                <w:lang w:val="en-US" w:eastAsia="zh-CN"/>
              </w:rPr>
            </w:pPr>
            <w:r>
              <w:rPr>
                <w:sz w:val="17"/>
                <w:szCs w:val="17"/>
              </w:rPr>
              <w:t>小计</w:t>
            </w:r>
          </w:p>
        </w:tc>
        <w:tc>
          <w:tcPr>
            <w:tcW w:w="909"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一般公共预算</w:t>
            </w:r>
          </w:p>
        </w:tc>
        <w:tc>
          <w:tcPr>
            <w:tcW w:w="1161"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政府性基金预算</w:t>
            </w:r>
          </w:p>
        </w:tc>
        <w:tc>
          <w:tcPr>
            <w:tcW w:w="1031"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国有资本经营预算</w:t>
            </w:r>
          </w:p>
        </w:tc>
        <w:tc>
          <w:tcPr>
            <w:tcW w:w="844" w:type="dxa"/>
          </w:tcPr>
          <w:p>
            <w:pPr>
              <w:pStyle w:val="24"/>
              <w:spacing w:line="312" w:lineRule="exact"/>
              <w:ind w:firstLine="0"/>
              <w:jc w:val="left"/>
              <w:rPr>
                <w:sz w:val="17"/>
                <w:szCs w:val="17"/>
              </w:rPr>
            </w:pPr>
            <w:r>
              <w:rPr>
                <w:sz w:val="17"/>
                <w:szCs w:val="17"/>
              </w:rPr>
              <w:t>财政专户管理资金</w:t>
            </w:r>
          </w:p>
          <w:p>
            <w:pPr>
              <w:pStyle w:val="24"/>
              <w:spacing w:line="312" w:lineRule="exact"/>
              <w:ind w:firstLine="0" w:firstLineChars="0"/>
              <w:jc w:val="left"/>
              <w:rPr>
                <w:rFonts w:hint="eastAsia" w:eastAsia="宋体"/>
                <w:vertAlign w:val="baseline"/>
                <w:lang w:val="en-US" w:eastAsia="zh-CN"/>
              </w:rPr>
            </w:pPr>
            <w:r>
              <w:rPr>
                <w:sz w:val="17"/>
                <w:szCs w:val="17"/>
              </w:rPr>
              <w:t>收入</w:t>
            </w:r>
          </w:p>
        </w:tc>
        <w:tc>
          <w:tcPr>
            <w:tcW w:w="856" w:type="dxa"/>
            <w:vAlign w:val="center"/>
          </w:tcPr>
          <w:p>
            <w:pPr>
              <w:pStyle w:val="24"/>
              <w:spacing w:line="240" w:lineRule="auto"/>
              <w:ind w:firstLine="0" w:firstLineChars="0"/>
              <w:jc w:val="left"/>
              <w:rPr>
                <w:rFonts w:hint="eastAsia" w:eastAsia="宋体"/>
                <w:vertAlign w:val="baseline"/>
                <w:lang w:val="en-US" w:eastAsia="zh-CN"/>
              </w:rPr>
            </w:pPr>
            <w:r>
              <w:rPr>
                <w:sz w:val="17"/>
                <w:szCs w:val="17"/>
              </w:rPr>
              <w:t>单位资金</w:t>
            </w:r>
          </w:p>
        </w:tc>
        <w:tc>
          <w:tcPr>
            <w:tcW w:w="1035" w:type="dxa"/>
            <w:vAlign w:val="center"/>
          </w:tcPr>
          <w:p>
            <w:pPr>
              <w:pStyle w:val="24"/>
              <w:spacing w:line="240" w:lineRule="auto"/>
              <w:ind w:firstLine="300" w:firstLineChars="0"/>
              <w:jc w:val="left"/>
              <w:rPr>
                <w:rFonts w:hint="eastAsia" w:eastAsia="宋体"/>
                <w:vertAlign w:val="baseline"/>
                <w:lang w:val="en-US" w:eastAsia="zh-CN"/>
              </w:rPr>
            </w:pPr>
            <w:r>
              <w:rPr>
                <w:sz w:val="17"/>
                <w:szCs w:val="17"/>
              </w:rPr>
              <w:t>小计</w:t>
            </w:r>
          </w:p>
        </w:tc>
        <w:tc>
          <w:tcPr>
            <w:tcW w:w="1011"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一般公共预算</w:t>
            </w:r>
          </w:p>
        </w:tc>
        <w:tc>
          <w:tcPr>
            <w:tcW w:w="859"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政府性基金预算</w:t>
            </w:r>
          </w:p>
        </w:tc>
        <w:tc>
          <w:tcPr>
            <w:tcW w:w="1094" w:type="dxa"/>
            <w:gridSpan w:val="2"/>
            <w:vAlign w:val="center"/>
          </w:tcPr>
          <w:p>
            <w:pPr>
              <w:pStyle w:val="24"/>
              <w:spacing w:line="317" w:lineRule="exact"/>
              <w:ind w:firstLine="0" w:firstLineChars="0"/>
              <w:jc w:val="left"/>
              <w:rPr>
                <w:rFonts w:hint="eastAsia" w:eastAsia="宋体"/>
                <w:vertAlign w:val="baseline"/>
                <w:lang w:val="en-US" w:eastAsia="zh-CN"/>
              </w:rPr>
            </w:pPr>
            <w:r>
              <w:rPr>
                <w:sz w:val="17"/>
                <w:szCs w:val="17"/>
              </w:rPr>
              <w:t>国有资本经营预算</w:t>
            </w:r>
          </w:p>
        </w:tc>
        <w:tc>
          <w:tcPr>
            <w:tcW w:w="872" w:type="dxa"/>
          </w:tcPr>
          <w:p>
            <w:pPr>
              <w:pStyle w:val="24"/>
              <w:spacing w:line="312" w:lineRule="exact"/>
              <w:ind w:firstLine="0"/>
              <w:jc w:val="left"/>
              <w:rPr>
                <w:sz w:val="17"/>
                <w:szCs w:val="17"/>
              </w:rPr>
            </w:pPr>
            <w:r>
              <w:rPr>
                <w:sz w:val="17"/>
                <w:szCs w:val="17"/>
              </w:rPr>
              <w:t>财政专户管理资金</w:t>
            </w:r>
          </w:p>
          <w:p>
            <w:pPr>
              <w:pStyle w:val="24"/>
              <w:spacing w:line="312" w:lineRule="exact"/>
              <w:ind w:right="280" w:rightChars="0" w:firstLine="0" w:firstLineChars="0"/>
              <w:jc w:val="left"/>
              <w:rPr>
                <w:rFonts w:hint="eastAsia" w:eastAsia="宋体"/>
                <w:vertAlign w:val="baseline"/>
                <w:lang w:val="en-US" w:eastAsia="zh-CN"/>
              </w:rPr>
            </w:pPr>
            <w:r>
              <w:rPr>
                <w:sz w:val="17"/>
                <w:szCs w:val="17"/>
              </w:rPr>
              <w:t>收入</w:t>
            </w:r>
          </w:p>
        </w:tc>
        <w:tc>
          <w:tcPr>
            <w:tcW w:w="1054" w:type="dxa"/>
            <w:vAlign w:val="center"/>
          </w:tcPr>
          <w:p>
            <w:pPr>
              <w:pStyle w:val="24"/>
              <w:spacing w:line="240" w:lineRule="auto"/>
              <w:ind w:firstLine="140" w:firstLineChars="0"/>
              <w:jc w:val="left"/>
              <w:rPr>
                <w:rFonts w:hint="eastAsia" w:eastAsia="宋体"/>
                <w:vertAlign w:val="baseline"/>
                <w:lang w:val="en-US" w:eastAsia="zh-CN"/>
              </w:rPr>
            </w:pPr>
            <w:r>
              <w:rPr>
                <w:sz w:val="17"/>
                <w:szCs w:val="17"/>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Pr>
          <w:p>
            <w:pPr>
              <w:tabs>
                <w:tab w:val="left" w:pos="859"/>
              </w:tabs>
              <w:jc w:val="both"/>
              <w:rPr>
                <w:rFonts w:hint="eastAsia" w:eastAsia="宋体"/>
                <w:vertAlign w:val="baseline"/>
                <w:lang w:val="en-US" w:eastAsia="zh-CN"/>
              </w:rPr>
            </w:pPr>
          </w:p>
        </w:tc>
        <w:tc>
          <w:tcPr>
            <w:tcW w:w="1279" w:type="dxa"/>
          </w:tcPr>
          <w:p>
            <w:pPr>
              <w:tabs>
                <w:tab w:val="left" w:pos="859"/>
              </w:tabs>
              <w:jc w:val="both"/>
              <w:rPr>
                <w:rFonts w:hint="eastAsia" w:eastAsia="宋体"/>
                <w:vertAlign w:val="baseline"/>
                <w:lang w:val="en-US" w:eastAsia="zh-CN"/>
              </w:rPr>
            </w:pPr>
          </w:p>
        </w:tc>
        <w:tc>
          <w:tcPr>
            <w:tcW w:w="990"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w:t>
            </w:r>
          </w:p>
        </w:tc>
        <w:tc>
          <w:tcPr>
            <w:tcW w:w="926"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2</w:t>
            </w:r>
          </w:p>
        </w:tc>
        <w:tc>
          <w:tcPr>
            <w:tcW w:w="909"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3</w:t>
            </w:r>
          </w:p>
        </w:tc>
        <w:tc>
          <w:tcPr>
            <w:tcW w:w="1161" w:type="dxa"/>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4</w:t>
            </w:r>
          </w:p>
        </w:tc>
        <w:tc>
          <w:tcPr>
            <w:tcW w:w="1031" w:type="dxa"/>
            <w:vAlign w:val="center"/>
          </w:tcPr>
          <w:p>
            <w:pPr>
              <w:pStyle w:val="24"/>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5</w:t>
            </w:r>
          </w:p>
        </w:tc>
        <w:tc>
          <w:tcPr>
            <w:tcW w:w="844" w:type="dxa"/>
            <w:vAlign w:val="center"/>
          </w:tcPr>
          <w:p>
            <w:pPr>
              <w:pStyle w:val="24"/>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6</w:t>
            </w:r>
          </w:p>
        </w:tc>
        <w:tc>
          <w:tcPr>
            <w:tcW w:w="856" w:type="dxa"/>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7</w:t>
            </w:r>
          </w:p>
        </w:tc>
        <w:tc>
          <w:tcPr>
            <w:tcW w:w="1035" w:type="dxa"/>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8</w:t>
            </w:r>
          </w:p>
        </w:tc>
        <w:tc>
          <w:tcPr>
            <w:tcW w:w="1011" w:type="dxa"/>
            <w:vAlign w:val="center"/>
          </w:tcPr>
          <w:p>
            <w:pPr>
              <w:pStyle w:val="24"/>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9</w:t>
            </w:r>
          </w:p>
        </w:tc>
        <w:tc>
          <w:tcPr>
            <w:tcW w:w="859" w:type="dxa"/>
            <w:vAlign w:val="center"/>
          </w:tcPr>
          <w:p>
            <w:pPr>
              <w:pStyle w:val="24"/>
              <w:spacing w:line="240" w:lineRule="auto"/>
              <w:ind w:right="36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10</w:t>
            </w:r>
          </w:p>
        </w:tc>
        <w:tc>
          <w:tcPr>
            <w:tcW w:w="1094" w:type="dxa"/>
            <w:gridSpan w:val="2"/>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11</w:t>
            </w:r>
          </w:p>
        </w:tc>
        <w:tc>
          <w:tcPr>
            <w:tcW w:w="872" w:type="dxa"/>
            <w:vAlign w:val="center"/>
          </w:tcPr>
          <w:p>
            <w:pPr>
              <w:pStyle w:val="24"/>
              <w:spacing w:line="240" w:lineRule="auto"/>
              <w:ind w:right="38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12</w:t>
            </w:r>
          </w:p>
        </w:tc>
        <w:tc>
          <w:tcPr>
            <w:tcW w:w="1054" w:type="dxa"/>
            <w:vAlign w:val="center"/>
          </w:tcPr>
          <w:p>
            <w:pPr>
              <w:pStyle w:val="24"/>
              <w:spacing w:line="240" w:lineRule="auto"/>
              <w:ind w:right="42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 xml:space="preserve"> </w:t>
            </w:r>
          </w:p>
        </w:tc>
        <w:tc>
          <w:tcPr>
            <w:tcW w:w="1279" w:type="dxa"/>
          </w:tcPr>
          <w:p>
            <w:pPr>
              <w:pStyle w:val="24"/>
              <w:spacing w:line="326" w:lineRule="exact"/>
              <w:ind w:firstLine="0" w:firstLineChars="0"/>
              <w:jc w:val="left"/>
              <w:rPr>
                <w:rFonts w:hint="eastAsia" w:eastAsia="宋体"/>
                <w:vertAlign w:val="baseline"/>
                <w:lang w:val="en-US" w:eastAsia="zh-CN"/>
              </w:rPr>
            </w:pPr>
            <w:r>
              <w:rPr>
                <w:rFonts w:hint="eastAsia"/>
                <w:sz w:val="17"/>
                <w:szCs w:val="17"/>
                <w:lang w:val="en-US" w:eastAsia="zh-CN"/>
              </w:rPr>
              <w:t>合计</w:t>
            </w:r>
          </w:p>
        </w:tc>
        <w:tc>
          <w:tcPr>
            <w:tcW w:w="990"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304.58</w:t>
            </w:r>
          </w:p>
        </w:tc>
        <w:tc>
          <w:tcPr>
            <w:tcW w:w="926" w:type="dxa"/>
            <w:vAlign w:val="center"/>
          </w:tcPr>
          <w:p>
            <w:pPr>
              <w:pStyle w:val="24"/>
              <w:spacing w:line="240" w:lineRule="auto"/>
              <w:ind w:firstLine="300" w:firstLineChars="0"/>
              <w:jc w:val="left"/>
              <w:rPr>
                <w:rFonts w:hint="eastAsia" w:eastAsia="宋体"/>
                <w:vertAlign w:val="baseline"/>
                <w:lang w:val="en-US" w:eastAsia="zh-CN"/>
              </w:rPr>
            </w:pPr>
            <w:r>
              <w:rPr>
                <w:rFonts w:hint="eastAsia"/>
                <w:sz w:val="17"/>
                <w:szCs w:val="17"/>
                <w:lang w:val="en-US" w:eastAsia="zh-CN"/>
              </w:rPr>
              <w:t>304.58</w:t>
            </w:r>
          </w:p>
        </w:tc>
        <w:tc>
          <w:tcPr>
            <w:tcW w:w="909" w:type="dxa"/>
            <w:vAlign w:val="center"/>
          </w:tcPr>
          <w:p>
            <w:pPr>
              <w:pStyle w:val="24"/>
              <w:spacing w:line="240" w:lineRule="auto"/>
              <w:ind w:firstLine="2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304.58</w:t>
            </w:r>
          </w:p>
        </w:tc>
        <w:tc>
          <w:tcPr>
            <w:tcW w:w="1161" w:type="dxa"/>
            <w:vAlign w:val="center"/>
          </w:tcPr>
          <w:p>
            <w:pPr>
              <w:pStyle w:val="24"/>
              <w:spacing w:line="240" w:lineRule="auto"/>
              <w:ind w:firstLine="520" w:firstLineChars="0"/>
              <w:jc w:val="left"/>
              <w:rPr>
                <w:rFonts w:hint="eastAsia" w:eastAsia="宋体"/>
                <w:vertAlign w:val="baseline"/>
                <w:lang w:val="en-US" w:eastAsia="zh-CN"/>
              </w:rPr>
            </w:pPr>
            <w:r>
              <w:rPr>
                <w:rFonts w:hint="eastAsia"/>
                <w:sz w:val="17"/>
                <w:szCs w:val="17"/>
                <w:lang w:val="en-US" w:eastAsia="zh-CN"/>
              </w:rPr>
              <w:t>0.00</w:t>
            </w:r>
          </w:p>
        </w:tc>
        <w:tc>
          <w:tcPr>
            <w:tcW w:w="1031"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44"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5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35" w:type="dxa"/>
            <w:vAlign w:val="center"/>
          </w:tcPr>
          <w:p>
            <w:pPr>
              <w:pStyle w:val="24"/>
              <w:spacing w:line="240" w:lineRule="auto"/>
              <w:ind w:firstLine="52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11" w:type="dxa"/>
            <w:vAlign w:val="center"/>
          </w:tcPr>
          <w:p>
            <w:pPr>
              <w:pStyle w:val="24"/>
              <w:spacing w:line="240" w:lineRule="auto"/>
              <w:ind w:firstLine="4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59"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94" w:type="dxa"/>
            <w:gridSpan w:val="2"/>
            <w:vAlign w:val="center"/>
          </w:tcPr>
          <w:p>
            <w:pPr>
              <w:pStyle w:val="24"/>
              <w:spacing w:line="240" w:lineRule="auto"/>
              <w:ind w:firstLine="5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72"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54" w:type="dxa"/>
            <w:vAlign w:val="center"/>
          </w:tcPr>
          <w:p>
            <w:pPr>
              <w:pStyle w:val="24"/>
              <w:spacing w:line="240" w:lineRule="auto"/>
              <w:ind w:firstLine="54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140001</w:t>
            </w:r>
          </w:p>
        </w:tc>
        <w:tc>
          <w:tcPr>
            <w:tcW w:w="1279" w:type="dxa"/>
          </w:tcPr>
          <w:p>
            <w:pPr>
              <w:pStyle w:val="24"/>
              <w:spacing w:line="326" w:lineRule="exact"/>
              <w:ind w:firstLine="0" w:firstLineChars="0"/>
              <w:jc w:val="left"/>
              <w:rPr>
                <w:rFonts w:hint="eastAsia" w:eastAsia="宋体"/>
                <w:vertAlign w:val="baseline"/>
                <w:lang w:val="en-US" w:eastAsia="zh-CN"/>
              </w:rPr>
            </w:pPr>
          </w:p>
        </w:tc>
        <w:tc>
          <w:tcPr>
            <w:tcW w:w="990"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304.58</w:t>
            </w:r>
          </w:p>
        </w:tc>
        <w:tc>
          <w:tcPr>
            <w:tcW w:w="926" w:type="dxa"/>
            <w:vAlign w:val="center"/>
          </w:tcPr>
          <w:p>
            <w:pPr>
              <w:pStyle w:val="24"/>
              <w:spacing w:line="240" w:lineRule="auto"/>
              <w:ind w:firstLine="300" w:firstLineChars="0"/>
              <w:jc w:val="left"/>
              <w:rPr>
                <w:rFonts w:hint="eastAsia" w:eastAsia="宋体"/>
                <w:vertAlign w:val="baseline"/>
                <w:lang w:val="en-US" w:eastAsia="zh-CN"/>
              </w:rPr>
            </w:pPr>
            <w:r>
              <w:rPr>
                <w:rFonts w:hint="eastAsia"/>
                <w:sz w:val="17"/>
                <w:szCs w:val="17"/>
                <w:lang w:val="en-US" w:eastAsia="zh-CN"/>
              </w:rPr>
              <w:t>304.58</w:t>
            </w:r>
          </w:p>
        </w:tc>
        <w:tc>
          <w:tcPr>
            <w:tcW w:w="909" w:type="dxa"/>
            <w:vAlign w:val="center"/>
          </w:tcPr>
          <w:p>
            <w:pPr>
              <w:pStyle w:val="24"/>
              <w:spacing w:line="240" w:lineRule="auto"/>
              <w:ind w:firstLine="2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304.58</w:t>
            </w:r>
          </w:p>
        </w:tc>
        <w:tc>
          <w:tcPr>
            <w:tcW w:w="1161" w:type="dxa"/>
            <w:vAlign w:val="center"/>
          </w:tcPr>
          <w:p>
            <w:pPr>
              <w:pStyle w:val="24"/>
              <w:spacing w:line="240" w:lineRule="auto"/>
              <w:ind w:firstLine="520" w:firstLineChars="0"/>
              <w:jc w:val="left"/>
              <w:rPr>
                <w:rFonts w:hint="eastAsia" w:eastAsia="宋体"/>
                <w:vertAlign w:val="baseline"/>
                <w:lang w:val="en-US" w:eastAsia="zh-CN"/>
              </w:rPr>
            </w:pPr>
            <w:r>
              <w:rPr>
                <w:rFonts w:hint="eastAsia"/>
                <w:sz w:val="17"/>
                <w:szCs w:val="17"/>
                <w:lang w:val="en-US" w:eastAsia="zh-CN"/>
              </w:rPr>
              <w:t>0.00</w:t>
            </w:r>
          </w:p>
        </w:tc>
        <w:tc>
          <w:tcPr>
            <w:tcW w:w="1031"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44"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5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35" w:type="dxa"/>
            <w:vAlign w:val="center"/>
          </w:tcPr>
          <w:p>
            <w:pPr>
              <w:pStyle w:val="24"/>
              <w:spacing w:line="240" w:lineRule="auto"/>
              <w:ind w:firstLine="52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11" w:type="dxa"/>
            <w:vAlign w:val="center"/>
          </w:tcPr>
          <w:p>
            <w:pPr>
              <w:pStyle w:val="24"/>
              <w:spacing w:line="240" w:lineRule="auto"/>
              <w:ind w:firstLine="4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59"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94" w:type="dxa"/>
            <w:gridSpan w:val="2"/>
            <w:vAlign w:val="center"/>
          </w:tcPr>
          <w:p>
            <w:pPr>
              <w:pStyle w:val="24"/>
              <w:spacing w:line="240" w:lineRule="auto"/>
              <w:ind w:firstLine="5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72"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54" w:type="dxa"/>
            <w:vAlign w:val="center"/>
          </w:tcPr>
          <w:p>
            <w:pPr>
              <w:pStyle w:val="24"/>
              <w:spacing w:line="240" w:lineRule="auto"/>
              <w:ind w:firstLine="54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16"/>
            <w:tcBorders>
              <w:left w:val="nil"/>
              <w:bottom w:val="nil"/>
              <w:right w:val="nil"/>
            </w:tcBorders>
          </w:tcPr>
          <w:p>
            <w:pPr>
              <w:pStyle w:val="26"/>
              <w:jc w:val="left"/>
              <w:rPr>
                <w:rFonts w:hint="eastAsia" w:eastAsia="宋体"/>
                <w:vertAlign w:val="baseline"/>
                <w:lang w:val="en-US" w:eastAsia="zh-CN"/>
              </w:rPr>
            </w:pPr>
            <w:r>
              <w:t>注：本报表金额单位转换时可能存在四舍五入尾数误差。</w:t>
            </w:r>
          </w:p>
        </w:tc>
      </w:tr>
    </w:tbl>
    <w:p>
      <w:pPr>
        <w:tabs>
          <w:tab w:val="left" w:pos="859"/>
        </w:tabs>
        <w:jc w:val="both"/>
        <w:rPr>
          <w:rFonts w:hint="eastAsia" w:eastAsia="宋体"/>
          <w:lang w:val="en-US" w:eastAsia="zh-CN"/>
        </w:rPr>
      </w:pPr>
    </w:p>
    <w:p>
      <w:pPr>
        <w:tabs>
          <w:tab w:val="left" w:pos="859"/>
        </w:tabs>
        <w:jc w:val="center"/>
        <w:rPr>
          <w:rFonts w:hint="eastAsia" w:eastAsia="宋体"/>
          <w:lang w:val="en-US" w:eastAsia="zh-CN"/>
        </w:rPr>
      </w:pPr>
    </w:p>
    <w:p>
      <w:pPr>
        <w:tabs>
          <w:tab w:val="left" w:pos="859"/>
        </w:tabs>
        <w:jc w:val="both"/>
        <w:rPr>
          <w:rFonts w:hint="eastAsia" w:eastAsia="宋体"/>
          <w:lang w:val="en-US" w:eastAsia="zh-CN"/>
        </w:rPr>
      </w:pPr>
    </w:p>
    <w:p>
      <w:pPr>
        <w:spacing w:line="1" w:lineRule="exact"/>
        <w:jc w:val="left"/>
        <w:rPr>
          <w:lang w:eastAsia="zh-CN"/>
        </w:rPr>
        <w:sectPr>
          <w:headerReference r:id="rId8" w:type="default"/>
          <w:footerReference r:id="rId9" w:type="default"/>
          <w:pgSz w:w="16840" w:h="11900" w:orient="landscape"/>
          <w:pgMar w:top="2709" w:right="764" w:bottom="2709" w:left="735" w:header="2281" w:footer="3" w:gutter="0"/>
          <w:pgBorders>
            <w:top w:val="none" w:sz="0" w:space="0"/>
            <w:left w:val="none" w:sz="0" w:space="0"/>
            <w:bottom w:val="none" w:sz="0" w:space="0"/>
            <w:right w:val="none" w:sz="0" w:space="0"/>
          </w:pgBorders>
          <w:cols w:space="720" w:num="1"/>
          <w:docGrid w:linePitch="360" w:charSpace="0"/>
        </w:sectPr>
      </w:pPr>
    </w:p>
    <w:p>
      <w:pPr>
        <w:pStyle w:val="22"/>
        <w:keepNext/>
        <w:keepLines/>
        <w:spacing w:after="240"/>
        <w:jc w:val="center"/>
      </w:pPr>
      <w:bookmarkStart w:id="19" w:name="bookmark42"/>
      <w:bookmarkStart w:id="20" w:name="bookmark41"/>
      <w:bookmarkStart w:id="21" w:name="bookmark43"/>
      <w:r>
        <w:t>支出总体情况表</w:t>
      </w:r>
      <w:bookmarkEnd w:id="19"/>
      <w:bookmarkEnd w:id="20"/>
      <w:bookmarkEnd w:id="21"/>
    </w:p>
    <w:tbl>
      <w:tblPr>
        <w:tblStyle w:val="4"/>
        <w:tblW w:w="0" w:type="auto"/>
        <w:tblInd w:w="0" w:type="dxa"/>
        <w:tblLayout w:type="fixed"/>
        <w:tblCellMar>
          <w:top w:w="0" w:type="dxa"/>
          <w:left w:w="10" w:type="dxa"/>
          <w:bottom w:w="0" w:type="dxa"/>
          <w:right w:w="10" w:type="dxa"/>
        </w:tblCellMar>
      </w:tblPr>
      <w:tblGrid>
        <w:gridCol w:w="1843"/>
        <w:gridCol w:w="1934"/>
        <w:gridCol w:w="2390"/>
        <w:gridCol w:w="2280"/>
        <w:gridCol w:w="2299"/>
        <w:gridCol w:w="2222"/>
        <w:gridCol w:w="2371"/>
      </w:tblGrid>
      <w:tr>
        <w:tblPrEx>
          <w:tblCellMar>
            <w:top w:w="0" w:type="dxa"/>
            <w:left w:w="10" w:type="dxa"/>
            <w:bottom w:w="0" w:type="dxa"/>
            <w:right w:w="10" w:type="dxa"/>
          </w:tblCellMar>
        </w:tblPrEx>
        <w:trPr>
          <w:trHeight w:val="346" w:hRule="exact"/>
        </w:trPr>
        <w:tc>
          <w:tcPr>
            <w:tcW w:w="12968" w:type="dxa"/>
            <w:gridSpan w:val="6"/>
            <w:shd w:val="clear" w:color="auto" w:fill="FFFFFF"/>
          </w:tcPr>
          <w:p>
            <w:pPr>
              <w:pStyle w:val="24"/>
              <w:spacing w:line="240" w:lineRule="auto"/>
              <w:ind w:firstLine="0"/>
              <w:jc w:val="left"/>
              <w:rPr>
                <w:sz w:val="17"/>
                <w:szCs w:val="17"/>
              </w:rPr>
            </w:pPr>
            <w:r>
              <w:rPr>
                <w:sz w:val="17"/>
                <w:szCs w:val="17"/>
              </w:rPr>
              <w:t>单位名称：</w:t>
            </w:r>
            <w:r>
              <w:rPr>
                <w:rFonts w:hint="eastAsia"/>
                <w:sz w:val="17"/>
                <w:szCs w:val="17"/>
                <w:lang w:eastAsia="zh-CN"/>
              </w:rPr>
              <w:t>环江毛南族自治县大数据发展局</w:t>
            </w:r>
          </w:p>
        </w:tc>
        <w:tc>
          <w:tcPr>
            <w:tcW w:w="2371" w:type="dxa"/>
            <w:shd w:val="clear" w:color="auto" w:fill="FFFFFF"/>
          </w:tcPr>
          <w:p>
            <w:pPr>
              <w:pStyle w:val="24"/>
              <w:spacing w:line="240" w:lineRule="auto"/>
              <w:ind w:firstLine="1190" w:firstLineChars="700"/>
              <w:jc w:val="left"/>
              <w:rPr>
                <w:sz w:val="17"/>
                <w:szCs w:val="17"/>
              </w:rPr>
            </w:pPr>
            <w:r>
              <w:rPr>
                <w:sz w:val="17"/>
                <w:szCs w:val="17"/>
              </w:rPr>
              <w:t>单位：万元</w:t>
            </w:r>
          </w:p>
        </w:tc>
      </w:tr>
      <w:tr>
        <w:tblPrEx>
          <w:tblCellMar>
            <w:top w:w="0" w:type="dxa"/>
            <w:left w:w="10" w:type="dxa"/>
            <w:bottom w:w="0" w:type="dxa"/>
            <w:right w:w="10" w:type="dxa"/>
          </w:tblCellMar>
        </w:tblPrEx>
        <w:trPr>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科目编码</w:t>
            </w:r>
          </w:p>
        </w:tc>
        <w:tc>
          <w:tcPr>
            <w:tcW w:w="1934"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40"/>
              <w:jc w:val="left"/>
              <w:rPr>
                <w:sz w:val="17"/>
                <w:szCs w:val="17"/>
              </w:rPr>
            </w:pPr>
            <w:r>
              <w:rPr>
                <w:sz w:val="17"/>
                <w:szCs w:val="17"/>
              </w:rPr>
              <w:t>部门（单位）代码</w:t>
            </w:r>
          </w:p>
        </w:tc>
        <w:tc>
          <w:tcPr>
            <w:tcW w:w="2390" w:type="dxa"/>
            <w:tcBorders>
              <w:top w:val="single" w:color="auto" w:sz="4" w:space="0"/>
              <w:left w:val="single" w:color="auto" w:sz="4" w:space="0"/>
              <w:bottom w:val="single" w:color="auto" w:sz="4" w:space="0"/>
            </w:tcBorders>
            <w:shd w:val="clear" w:color="auto" w:fill="FFFFFF"/>
            <w:vAlign w:val="center"/>
          </w:tcPr>
          <w:p>
            <w:pPr>
              <w:pStyle w:val="24"/>
              <w:spacing w:after="120" w:line="240" w:lineRule="auto"/>
              <w:ind w:firstLine="0"/>
              <w:jc w:val="left"/>
              <w:rPr>
                <w:sz w:val="17"/>
                <w:szCs w:val="17"/>
              </w:rPr>
            </w:pPr>
            <w:r>
              <w:rPr>
                <w:sz w:val="17"/>
                <w:szCs w:val="17"/>
              </w:rPr>
              <w:t>部门（单位）名称</w:t>
            </w:r>
          </w:p>
          <w:p>
            <w:pPr>
              <w:pStyle w:val="24"/>
              <w:spacing w:line="240" w:lineRule="auto"/>
              <w:ind w:firstLine="0"/>
              <w:jc w:val="left"/>
              <w:rPr>
                <w:sz w:val="17"/>
                <w:szCs w:val="17"/>
              </w:rPr>
            </w:pPr>
            <w:r>
              <w:rPr>
                <w:sz w:val="17"/>
                <w:szCs w:val="17"/>
              </w:rPr>
              <w:t>（功能分类科目名称）</w:t>
            </w:r>
          </w:p>
        </w:tc>
        <w:tc>
          <w:tcPr>
            <w:tcW w:w="228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合计</w:t>
            </w:r>
          </w:p>
        </w:tc>
        <w:tc>
          <w:tcPr>
            <w:tcW w:w="2299"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基本支出</w:t>
            </w:r>
          </w:p>
        </w:tc>
        <w:tc>
          <w:tcPr>
            <w:tcW w:w="222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项目支出</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sz w:val="17"/>
                <w:szCs w:val="17"/>
              </w:rPr>
            </w:pPr>
            <w:r>
              <w:rPr>
                <w:sz w:val="17"/>
                <w:szCs w:val="17"/>
              </w:rPr>
              <w:t>结转下年支出</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 xml:space="preserve"> </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 xml:space="preserve"> </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合计</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304.58</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222.96</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81.62</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140001</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304.58</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222.96</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81.62</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2010301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行政运行</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259.28</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177.66</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81.62</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2012999</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其他群众团体事务支出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1.99</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1.99</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2080505</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机关事业单位基本养老保险缴费支出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23.27</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23.27</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2210201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住房公积金</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20.03</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20.03</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bl>
    <w:p>
      <w:pPr>
        <w:pStyle w:val="26"/>
        <w:ind w:left="672"/>
        <w:jc w:val="left"/>
      </w:pPr>
      <w:r>
        <w:t>注：本报表金额单位转换时可能存在四舍五入尾数误差。</w:t>
      </w:r>
      <w:r>
        <w:br w:type="page"/>
      </w:r>
    </w:p>
    <w:p>
      <w:pPr>
        <w:pStyle w:val="22"/>
        <w:keepNext/>
        <w:keepLines/>
        <w:spacing w:after="240"/>
        <w:jc w:val="center"/>
      </w:pPr>
      <w:bookmarkStart w:id="22" w:name="bookmark46"/>
      <w:bookmarkStart w:id="23" w:name="bookmark45"/>
      <w:bookmarkStart w:id="24" w:name="bookmark44"/>
      <w:r>
        <w:t>财政拨款收支总体情况表</w:t>
      </w:r>
      <w:bookmarkEnd w:id="22"/>
      <w:bookmarkEnd w:id="23"/>
      <w:bookmarkEnd w:id="24"/>
    </w:p>
    <w:tbl>
      <w:tblPr>
        <w:tblStyle w:val="4"/>
        <w:tblW w:w="0" w:type="auto"/>
        <w:tblInd w:w="0" w:type="dxa"/>
        <w:tblLayout w:type="fixed"/>
        <w:tblCellMar>
          <w:top w:w="0" w:type="dxa"/>
          <w:left w:w="10" w:type="dxa"/>
          <w:bottom w:w="0" w:type="dxa"/>
          <w:right w:w="10" w:type="dxa"/>
        </w:tblCellMar>
      </w:tblPr>
      <w:tblGrid>
        <w:gridCol w:w="2885"/>
        <w:gridCol w:w="955"/>
        <w:gridCol w:w="3830"/>
        <w:gridCol w:w="3826"/>
        <w:gridCol w:w="3845"/>
        <w:gridCol w:w="1"/>
      </w:tblGrid>
      <w:tr>
        <w:tblPrEx>
          <w:tblCellMar>
            <w:top w:w="0" w:type="dxa"/>
            <w:left w:w="10" w:type="dxa"/>
            <w:bottom w:w="0" w:type="dxa"/>
            <w:right w:w="10" w:type="dxa"/>
          </w:tblCellMar>
        </w:tblPrEx>
        <w:trPr>
          <w:gridAfter w:val="1"/>
          <w:wAfter w:w="1" w:type="dxa"/>
          <w:trHeight w:val="346" w:hRule="exact"/>
        </w:trPr>
        <w:tc>
          <w:tcPr>
            <w:tcW w:w="11496" w:type="dxa"/>
            <w:gridSpan w:val="4"/>
            <w:shd w:val="clear" w:color="auto" w:fill="FFFFFF"/>
          </w:tcPr>
          <w:p>
            <w:pPr>
              <w:pStyle w:val="24"/>
              <w:spacing w:line="240" w:lineRule="auto"/>
              <w:ind w:firstLine="0"/>
              <w:jc w:val="left"/>
              <w:rPr>
                <w:rFonts w:hint="default"/>
                <w:sz w:val="17"/>
                <w:szCs w:val="17"/>
                <w:lang w:val="en-US"/>
              </w:rPr>
            </w:pPr>
            <w:r>
              <w:rPr>
                <w:sz w:val="17"/>
                <w:szCs w:val="17"/>
              </w:rPr>
              <w:t>单位名称：</w:t>
            </w:r>
            <w:r>
              <w:rPr>
                <w:rFonts w:hint="eastAsia"/>
                <w:sz w:val="17"/>
                <w:szCs w:val="17"/>
                <w:lang w:eastAsia="zh-CN"/>
              </w:rPr>
              <w:t>环江毛南族自治县大数据发展局</w:t>
            </w:r>
            <w:r>
              <w:rPr>
                <w:rFonts w:hint="eastAsia"/>
                <w:sz w:val="17"/>
                <w:szCs w:val="17"/>
                <w:lang w:val="en-US" w:eastAsia="zh-CN"/>
              </w:rPr>
              <w:t xml:space="preserve">                         </w:t>
            </w:r>
          </w:p>
        </w:tc>
        <w:tc>
          <w:tcPr>
            <w:tcW w:w="3845" w:type="dxa"/>
            <w:shd w:val="clear" w:color="auto" w:fill="FFFFFF"/>
          </w:tcPr>
          <w:p>
            <w:pPr>
              <w:pStyle w:val="24"/>
              <w:spacing w:line="240" w:lineRule="auto"/>
              <w:jc w:val="left"/>
              <w:rPr>
                <w:sz w:val="17"/>
                <w:szCs w:val="17"/>
              </w:rPr>
            </w:pPr>
            <w:r>
              <w:rPr>
                <w:sz w:val="17"/>
                <w:szCs w:val="17"/>
              </w:rPr>
              <w:t>单位：万元</w:t>
            </w:r>
          </w:p>
        </w:tc>
      </w:tr>
      <w:tr>
        <w:tblPrEx>
          <w:tblCellMar>
            <w:top w:w="0" w:type="dxa"/>
            <w:left w:w="10" w:type="dxa"/>
            <w:bottom w:w="0" w:type="dxa"/>
            <w:right w:w="10" w:type="dxa"/>
          </w:tblCellMar>
        </w:tblPrEx>
        <w:trPr>
          <w:gridAfter w:val="1"/>
          <w:wAfter w:w="1" w:type="dxa"/>
          <w:trHeight w:val="437" w:hRule="exact"/>
        </w:trPr>
        <w:tc>
          <w:tcPr>
            <w:tcW w:w="2885" w:type="dxa"/>
            <w:tcBorders>
              <w:top w:val="single" w:color="auto" w:sz="4" w:space="0"/>
              <w:left w:val="single" w:color="auto" w:sz="4" w:space="0"/>
            </w:tcBorders>
            <w:shd w:val="clear" w:color="auto" w:fill="FFFFFF"/>
          </w:tcPr>
          <w:p>
            <w:pPr>
              <w:jc w:val="left"/>
              <w:rPr>
                <w:sz w:val="10"/>
                <w:szCs w:val="10"/>
              </w:rPr>
            </w:pPr>
          </w:p>
        </w:tc>
        <w:tc>
          <w:tcPr>
            <w:tcW w:w="955" w:type="dxa"/>
            <w:tcBorders>
              <w:top w:val="single" w:color="auto" w:sz="4" w:space="0"/>
            </w:tcBorders>
            <w:shd w:val="clear" w:color="auto" w:fill="FFFFFF"/>
            <w:vAlign w:val="center"/>
          </w:tcPr>
          <w:p>
            <w:pPr>
              <w:pStyle w:val="24"/>
              <w:spacing w:line="240" w:lineRule="auto"/>
              <w:ind w:firstLine="0"/>
              <w:jc w:val="left"/>
              <w:rPr>
                <w:sz w:val="17"/>
                <w:szCs w:val="17"/>
              </w:rPr>
            </w:pPr>
            <w:r>
              <w:rPr>
                <w:sz w:val="17"/>
                <w:szCs w:val="17"/>
              </w:rPr>
              <w:t>收</w:t>
            </w:r>
          </w:p>
        </w:tc>
        <w:tc>
          <w:tcPr>
            <w:tcW w:w="3830" w:type="dxa"/>
            <w:tcBorders>
              <w:top w:val="single" w:color="auto" w:sz="4" w:space="0"/>
            </w:tcBorders>
            <w:shd w:val="clear" w:color="auto" w:fill="FFFFFF"/>
            <w:vAlign w:val="center"/>
          </w:tcPr>
          <w:p>
            <w:pPr>
              <w:pStyle w:val="24"/>
              <w:spacing w:line="240" w:lineRule="auto"/>
              <w:ind w:firstLine="340"/>
              <w:jc w:val="left"/>
              <w:rPr>
                <w:sz w:val="17"/>
                <w:szCs w:val="17"/>
              </w:rPr>
            </w:pPr>
            <w:r>
              <w:rPr>
                <w:sz w:val="17"/>
                <w:szCs w:val="17"/>
              </w:rPr>
              <w:t>入</w:t>
            </w:r>
          </w:p>
        </w:tc>
        <w:tc>
          <w:tcPr>
            <w:tcW w:w="3826" w:type="dxa"/>
            <w:tcBorders>
              <w:top w:val="single" w:color="auto" w:sz="4" w:space="0"/>
              <w:left w:val="single" w:color="auto" w:sz="4" w:space="0"/>
            </w:tcBorders>
            <w:shd w:val="clear" w:color="auto" w:fill="FFFFFF"/>
            <w:vAlign w:val="center"/>
          </w:tcPr>
          <w:p>
            <w:pPr>
              <w:pStyle w:val="24"/>
              <w:spacing w:line="240" w:lineRule="auto"/>
              <w:ind w:right="340" w:firstLine="2720" w:firstLineChars="1600"/>
              <w:jc w:val="left"/>
              <w:rPr>
                <w:sz w:val="17"/>
                <w:szCs w:val="17"/>
              </w:rPr>
            </w:pPr>
            <w:r>
              <w:rPr>
                <w:sz w:val="17"/>
                <w:szCs w:val="17"/>
              </w:rPr>
              <w:t>支</w:t>
            </w:r>
          </w:p>
        </w:tc>
        <w:tc>
          <w:tcPr>
            <w:tcW w:w="3845" w:type="dxa"/>
            <w:tcBorders>
              <w:top w:val="single" w:color="auto" w:sz="4" w:space="0"/>
              <w:right w:val="single" w:color="auto" w:sz="4" w:space="0"/>
            </w:tcBorders>
            <w:shd w:val="clear" w:color="auto" w:fill="FFFFFF"/>
            <w:vAlign w:val="center"/>
          </w:tcPr>
          <w:p>
            <w:pPr>
              <w:pStyle w:val="24"/>
              <w:spacing w:line="240" w:lineRule="auto"/>
              <w:ind w:firstLine="935" w:firstLineChars="550"/>
              <w:jc w:val="left"/>
              <w:rPr>
                <w:sz w:val="17"/>
                <w:szCs w:val="17"/>
              </w:rPr>
            </w:pPr>
            <w:r>
              <w:rPr>
                <w:sz w:val="17"/>
                <w:szCs w:val="17"/>
              </w:rPr>
              <w:t>出</w:t>
            </w:r>
          </w:p>
        </w:tc>
      </w:tr>
      <w:tr>
        <w:tblPrEx>
          <w:tblCellMar>
            <w:top w:w="0" w:type="dxa"/>
            <w:left w:w="10" w:type="dxa"/>
            <w:bottom w:w="0" w:type="dxa"/>
            <w:right w:w="10" w:type="dxa"/>
          </w:tblCellMar>
        </w:tblPrEx>
        <w:trPr>
          <w:gridAfter w:val="1"/>
          <w:wAfter w:w="1" w:type="dxa"/>
          <w:trHeight w:val="451" w:hRule="exact"/>
        </w:trPr>
        <w:tc>
          <w:tcPr>
            <w:tcW w:w="3840" w:type="dxa"/>
            <w:gridSpan w:val="2"/>
            <w:tcBorders>
              <w:top w:val="single" w:color="auto" w:sz="4" w:space="0"/>
              <w:left w:val="single" w:color="auto" w:sz="4" w:space="0"/>
            </w:tcBorders>
            <w:shd w:val="clear" w:color="auto" w:fill="FFFFFF"/>
            <w:vAlign w:val="center"/>
          </w:tcPr>
          <w:p>
            <w:pPr>
              <w:pStyle w:val="24"/>
              <w:spacing w:line="240" w:lineRule="auto"/>
              <w:ind w:firstLine="0"/>
              <w:jc w:val="center"/>
              <w:rPr>
                <w:sz w:val="17"/>
                <w:szCs w:val="17"/>
              </w:rPr>
            </w:pPr>
            <w:r>
              <w:rPr>
                <w:sz w:val="17"/>
                <w:szCs w:val="17"/>
              </w:rPr>
              <w:t>项目</w:t>
            </w:r>
          </w:p>
        </w:tc>
        <w:tc>
          <w:tcPr>
            <w:tcW w:w="3830" w:type="dxa"/>
            <w:tcBorders>
              <w:top w:val="single" w:color="auto" w:sz="4" w:space="0"/>
              <w:left w:val="single" w:color="auto" w:sz="4" w:space="0"/>
            </w:tcBorders>
            <w:shd w:val="clear" w:color="auto" w:fill="FFFFFF"/>
            <w:vAlign w:val="center"/>
          </w:tcPr>
          <w:p>
            <w:pPr>
              <w:pStyle w:val="24"/>
              <w:spacing w:line="240" w:lineRule="auto"/>
              <w:ind w:firstLine="0"/>
              <w:jc w:val="center"/>
              <w:rPr>
                <w:sz w:val="17"/>
                <w:szCs w:val="17"/>
              </w:rPr>
            </w:pPr>
            <w:r>
              <w:rPr>
                <w:sz w:val="17"/>
                <w:szCs w:val="17"/>
              </w:rPr>
              <w:t>预算数</w:t>
            </w:r>
          </w:p>
        </w:tc>
        <w:tc>
          <w:tcPr>
            <w:tcW w:w="3826" w:type="dxa"/>
            <w:tcBorders>
              <w:top w:val="single" w:color="auto" w:sz="4" w:space="0"/>
              <w:left w:val="single" w:color="auto" w:sz="4" w:space="0"/>
            </w:tcBorders>
            <w:shd w:val="clear" w:color="auto" w:fill="FFFFFF"/>
            <w:vAlign w:val="center"/>
          </w:tcPr>
          <w:p>
            <w:pPr>
              <w:pStyle w:val="24"/>
              <w:tabs>
                <w:tab w:val="left" w:pos="1034"/>
              </w:tabs>
              <w:spacing w:line="240" w:lineRule="auto"/>
              <w:ind w:firstLine="540"/>
              <w:jc w:val="center"/>
              <w:rPr>
                <w:sz w:val="17"/>
                <w:szCs w:val="17"/>
              </w:rPr>
            </w:pPr>
            <w:r>
              <w:rPr>
                <w:sz w:val="17"/>
                <w:szCs w:val="17"/>
              </w:rPr>
              <w:t>项</w:t>
            </w:r>
            <w:r>
              <w:rPr>
                <w:sz w:val="17"/>
                <w:szCs w:val="17"/>
              </w:rPr>
              <w:tab/>
            </w:r>
            <w:r>
              <w:rPr>
                <w:sz w:val="17"/>
                <w:szCs w:val="17"/>
              </w:rPr>
              <w:t>目（按支出功能科目分类）</w:t>
            </w:r>
          </w:p>
        </w:tc>
        <w:tc>
          <w:tcPr>
            <w:tcW w:w="3845"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sz w:val="17"/>
                <w:szCs w:val="17"/>
              </w:rPr>
            </w:pPr>
            <w:r>
              <w:rPr>
                <w:sz w:val="17"/>
                <w:szCs w:val="17"/>
              </w:rPr>
              <w:t>预算数</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一、一般公共预算拨款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304.58</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一、一般公共服务支出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261.28</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二、外交支出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304.58</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三、国防支出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二、政府性基金预算拨款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四、公共安全支出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五、教育支出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六、科学技术支出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三、国有资本经营预算拨款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七、文化旅游体育与传媒支出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八、社会保障和就业支出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23.27</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九、卫生健康支出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十、节能环保支出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十一、城乡社区支出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十二、农林水支出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十三、交通运输支出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十四、资源勘探工业信息等支出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十五、商业服务业等支出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十六、金融支出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十七、援助其他地区支出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十八、自然资源海洋气象等支出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十九、住房保障支出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20.03</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二十、粮油物资储备支出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二十一、国有资本经营预算支出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二十二、灾害防治及应急管理支出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二十三、其他支出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二十四、债务还本支出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二十五、债务付息支出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二十六、债务发行费用支出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本年收入合计</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304.58</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本年支出合计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304.58</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上年结转结余</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结转下年支出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收入总计</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304.58</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支出总计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304.58</w:t>
            </w:r>
          </w:p>
        </w:tc>
      </w:tr>
      <w:tr>
        <w:tblPrEx>
          <w:tblCellMar>
            <w:top w:w="0" w:type="dxa"/>
            <w:left w:w="10" w:type="dxa"/>
            <w:bottom w:w="0" w:type="dxa"/>
            <w:right w:w="10" w:type="dxa"/>
          </w:tblCellMar>
        </w:tblPrEx>
        <w:trPr>
          <w:trHeight w:val="352" w:hRule="exact"/>
        </w:trPr>
        <w:tc>
          <w:tcPr>
            <w:tcW w:w="15342" w:type="dxa"/>
            <w:gridSpan w:val="6"/>
            <w:tcBorders>
              <w:top w:val="single" w:color="auto" w:sz="4" w:space="0"/>
            </w:tcBorders>
            <w:shd w:val="clear" w:color="auto" w:fill="FFFFFF"/>
          </w:tcPr>
          <w:p>
            <w:pPr>
              <w:jc w:val="left"/>
              <w:rPr>
                <w:sz w:val="10"/>
                <w:szCs w:val="10"/>
                <w:lang w:eastAsia="zh-CN"/>
              </w:rPr>
            </w:pPr>
            <w:r>
              <w:rPr>
                <w:sz w:val="17"/>
                <w:szCs w:val="17"/>
              </w:rPr>
              <w:t>注：表中功能分类科目，根据各部门实际预算编制情况编列。</w:t>
            </w:r>
          </w:p>
        </w:tc>
      </w:tr>
      <w:tr>
        <w:tblPrEx>
          <w:tblCellMar>
            <w:top w:w="0" w:type="dxa"/>
            <w:left w:w="10" w:type="dxa"/>
            <w:bottom w:w="0" w:type="dxa"/>
            <w:right w:w="10" w:type="dxa"/>
          </w:tblCellMar>
        </w:tblPrEx>
        <w:trPr>
          <w:trHeight w:val="274" w:hRule="exact"/>
        </w:trPr>
        <w:tc>
          <w:tcPr>
            <w:tcW w:w="15342" w:type="dxa"/>
            <w:gridSpan w:val="6"/>
            <w:shd w:val="clear" w:color="auto" w:fill="FFFFFF"/>
            <w:vAlign w:val="bottom"/>
          </w:tcPr>
          <w:p>
            <w:pPr>
              <w:jc w:val="left"/>
              <w:rPr>
                <w:sz w:val="10"/>
                <w:szCs w:val="10"/>
                <w:lang w:eastAsia="zh-CN"/>
              </w:rPr>
            </w:pPr>
            <w:r>
              <w:rPr>
                <w:sz w:val="17"/>
                <w:szCs w:val="17"/>
              </w:rPr>
              <w:t>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一般公共预算支出情况表</w:t>
      </w:r>
    </w:p>
    <w:p>
      <w:pPr>
        <w:jc w:val="center"/>
        <w:rPr>
          <w:rFonts w:hint="eastAsia"/>
          <w:lang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1600"/>
        <w:gridCol w:w="1574"/>
        <w:gridCol w:w="1744"/>
        <w:gridCol w:w="2050"/>
        <w:gridCol w:w="1804"/>
        <w:gridCol w:w="1712"/>
        <w:gridCol w:w="71"/>
        <w:gridCol w:w="1679"/>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6" w:type="dxa"/>
            <w:gridSpan w:val="7"/>
            <w:tcBorders>
              <w:top w:val="nil"/>
              <w:left w:val="nil"/>
              <w:right w:val="nil"/>
            </w:tcBorders>
          </w:tcPr>
          <w:p>
            <w:pPr>
              <w:jc w:val="left"/>
              <w:rPr>
                <w:rFonts w:hint="eastAsia"/>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环江毛南族自治县大数据发展局                                                            </w:t>
            </w: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hint="eastAsia" w:ascii="宋体" w:hAnsi="宋体" w:eastAsia="宋体" w:cs="宋体"/>
                <w:sz w:val="16"/>
                <w:szCs w:val="16"/>
                <w:vertAlign w:val="baseline"/>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restart"/>
          </w:tcPr>
          <w:p>
            <w:pPr>
              <w:jc w:val="center"/>
              <w:rPr>
                <w:rFonts w:hint="eastAsia"/>
                <w:vertAlign w:val="baseline"/>
                <w:lang w:eastAsia="zh-CN"/>
              </w:rPr>
            </w:pPr>
            <w:r>
              <w:rPr>
                <w:sz w:val="17"/>
                <w:szCs w:val="17"/>
              </w:rPr>
              <w:t>科目编码</w:t>
            </w:r>
          </w:p>
        </w:tc>
        <w:tc>
          <w:tcPr>
            <w:tcW w:w="1676" w:type="dxa"/>
            <w:vMerge w:val="restart"/>
          </w:tcPr>
          <w:p>
            <w:pPr>
              <w:jc w:val="center"/>
              <w:rPr>
                <w:rFonts w:hint="eastAsia"/>
                <w:vertAlign w:val="baseline"/>
                <w:lang w:eastAsia="zh-CN"/>
              </w:rPr>
            </w:pPr>
            <w:r>
              <w:rPr>
                <w:sz w:val="17"/>
                <w:szCs w:val="17"/>
              </w:rPr>
              <w:t>部门（单位）代码</w:t>
            </w:r>
          </w:p>
        </w:tc>
        <w:tc>
          <w:tcPr>
            <w:tcW w:w="1662" w:type="dxa"/>
            <w:vMerge w:val="restart"/>
          </w:tcPr>
          <w:p>
            <w:pPr>
              <w:pStyle w:val="24"/>
              <w:spacing w:after="120" w:line="240" w:lineRule="auto"/>
              <w:ind w:firstLine="0"/>
              <w:jc w:val="center"/>
              <w:rPr>
                <w:sz w:val="17"/>
                <w:szCs w:val="17"/>
              </w:rPr>
            </w:pPr>
            <w:r>
              <w:rPr>
                <w:sz w:val="17"/>
                <w:szCs w:val="17"/>
              </w:rPr>
              <w:t>部门（单位）名称</w:t>
            </w:r>
          </w:p>
          <w:p>
            <w:pPr>
              <w:jc w:val="center"/>
              <w:rPr>
                <w:rFonts w:hint="eastAsia"/>
                <w:vertAlign w:val="baseline"/>
                <w:lang w:eastAsia="zh-CN"/>
              </w:rPr>
            </w:pPr>
            <w:r>
              <w:rPr>
                <w:sz w:val="17"/>
                <w:szCs w:val="17"/>
              </w:rPr>
              <w:t>（功能分类科目名称）</w:t>
            </w:r>
          </w:p>
        </w:tc>
        <w:tc>
          <w:tcPr>
            <w:tcW w:w="1717" w:type="dxa"/>
            <w:vMerge w:val="restart"/>
          </w:tcPr>
          <w:p>
            <w:pPr>
              <w:jc w:val="center"/>
              <w:rPr>
                <w:rFonts w:hint="eastAsia"/>
                <w:vertAlign w:val="baseline"/>
                <w:lang w:eastAsia="zh-CN"/>
              </w:rPr>
            </w:pPr>
            <w:r>
              <w:rPr>
                <w:sz w:val="17"/>
                <w:szCs w:val="17"/>
              </w:rPr>
              <w:t>合计</w:t>
            </w:r>
          </w:p>
        </w:tc>
        <w:tc>
          <w:tcPr>
            <w:tcW w:w="5398" w:type="dxa"/>
            <w:gridSpan w:val="4"/>
          </w:tcPr>
          <w:p>
            <w:pPr>
              <w:jc w:val="center"/>
              <w:rPr>
                <w:rFonts w:hint="eastAsia"/>
                <w:vertAlign w:val="baseline"/>
                <w:lang w:eastAsia="zh-CN"/>
              </w:rPr>
            </w:pPr>
            <w:r>
              <w:rPr>
                <w:sz w:val="17"/>
                <w:szCs w:val="17"/>
              </w:rPr>
              <w:t>基本支出</w:t>
            </w:r>
          </w:p>
        </w:tc>
        <w:tc>
          <w:tcPr>
            <w:tcW w:w="1694" w:type="dxa"/>
            <w:vMerge w:val="restart"/>
          </w:tcPr>
          <w:p>
            <w:pPr>
              <w:jc w:val="center"/>
              <w:rPr>
                <w:rFonts w:hint="eastAsia"/>
                <w:vertAlign w:val="baseline"/>
                <w:lang w:eastAsia="zh-CN"/>
              </w:rPr>
            </w:pPr>
            <w:r>
              <w:rPr>
                <w:sz w:val="17"/>
                <w:szCs w:val="17"/>
              </w:rPr>
              <w:t>项目支出</w:t>
            </w:r>
          </w:p>
        </w:tc>
        <w:tc>
          <w:tcPr>
            <w:tcW w:w="1695" w:type="dxa"/>
            <w:vMerge w:val="restart"/>
          </w:tcPr>
          <w:p>
            <w:pPr>
              <w:jc w:val="center"/>
              <w:rPr>
                <w:rFonts w:hint="eastAsia"/>
                <w:vertAlign w:val="baseline"/>
                <w:lang w:eastAsia="zh-CN"/>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continue"/>
          </w:tcPr>
          <w:p>
            <w:pPr>
              <w:jc w:val="center"/>
              <w:rPr>
                <w:rFonts w:hint="eastAsia"/>
                <w:vertAlign w:val="baseline"/>
                <w:lang w:eastAsia="zh-CN"/>
              </w:rPr>
            </w:pPr>
          </w:p>
        </w:tc>
        <w:tc>
          <w:tcPr>
            <w:tcW w:w="1676" w:type="dxa"/>
            <w:vMerge w:val="continue"/>
          </w:tcPr>
          <w:p>
            <w:pPr>
              <w:jc w:val="center"/>
              <w:rPr>
                <w:rFonts w:hint="eastAsia"/>
                <w:vertAlign w:val="baseline"/>
                <w:lang w:eastAsia="zh-CN"/>
              </w:rPr>
            </w:pPr>
          </w:p>
        </w:tc>
        <w:tc>
          <w:tcPr>
            <w:tcW w:w="1662" w:type="dxa"/>
            <w:vMerge w:val="continue"/>
          </w:tcPr>
          <w:p>
            <w:pPr>
              <w:jc w:val="center"/>
              <w:rPr>
                <w:rFonts w:hint="eastAsia"/>
                <w:vertAlign w:val="baseline"/>
                <w:lang w:eastAsia="zh-CN"/>
              </w:rPr>
            </w:pPr>
          </w:p>
        </w:tc>
        <w:tc>
          <w:tcPr>
            <w:tcW w:w="1717" w:type="dxa"/>
            <w:vMerge w:val="continue"/>
          </w:tcPr>
          <w:p>
            <w:pPr>
              <w:jc w:val="center"/>
              <w:rPr>
                <w:rFonts w:hint="eastAsia"/>
                <w:vertAlign w:val="baseline"/>
                <w:lang w:eastAsia="zh-CN"/>
              </w:rPr>
            </w:pPr>
          </w:p>
        </w:tc>
        <w:tc>
          <w:tcPr>
            <w:tcW w:w="1879" w:type="dxa"/>
            <w:vAlign w:val="center"/>
          </w:tcPr>
          <w:p>
            <w:pPr>
              <w:pStyle w:val="24"/>
              <w:spacing w:line="240" w:lineRule="auto"/>
              <w:ind w:firstLine="0" w:firstLineChars="0"/>
              <w:jc w:val="center"/>
              <w:rPr>
                <w:rFonts w:hint="eastAsia"/>
                <w:vertAlign w:val="baseline"/>
                <w:lang w:eastAsia="zh-CN"/>
              </w:rPr>
            </w:pPr>
            <w:r>
              <w:rPr>
                <w:sz w:val="17"/>
                <w:szCs w:val="17"/>
              </w:rPr>
              <w:t>小计</w:t>
            </w:r>
          </w:p>
        </w:tc>
        <w:tc>
          <w:tcPr>
            <w:tcW w:w="1729" w:type="dxa"/>
            <w:vAlign w:val="center"/>
          </w:tcPr>
          <w:p>
            <w:pPr>
              <w:pStyle w:val="24"/>
              <w:spacing w:line="240" w:lineRule="auto"/>
              <w:ind w:firstLine="0" w:firstLineChars="0"/>
              <w:jc w:val="center"/>
              <w:rPr>
                <w:rFonts w:hint="eastAsia"/>
                <w:vertAlign w:val="baseline"/>
                <w:lang w:eastAsia="zh-CN"/>
              </w:rPr>
            </w:pPr>
            <w:r>
              <w:rPr>
                <w:sz w:val="17"/>
                <w:szCs w:val="17"/>
              </w:rPr>
              <w:t>人员经费</w:t>
            </w:r>
          </w:p>
        </w:tc>
        <w:tc>
          <w:tcPr>
            <w:tcW w:w="1790" w:type="dxa"/>
            <w:gridSpan w:val="2"/>
            <w:vAlign w:val="center"/>
          </w:tcPr>
          <w:p>
            <w:pPr>
              <w:pStyle w:val="24"/>
              <w:spacing w:line="240" w:lineRule="auto"/>
              <w:ind w:firstLine="440" w:firstLineChars="0"/>
              <w:jc w:val="center"/>
              <w:rPr>
                <w:rFonts w:hint="eastAsia"/>
                <w:vertAlign w:val="baseline"/>
                <w:lang w:eastAsia="zh-CN"/>
              </w:rPr>
            </w:pPr>
            <w:r>
              <w:rPr>
                <w:sz w:val="17"/>
                <w:szCs w:val="17"/>
              </w:rPr>
              <w:t>公用经费</w:t>
            </w:r>
          </w:p>
        </w:tc>
        <w:tc>
          <w:tcPr>
            <w:tcW w:w="1694" w:type="dxa"/>
            <w:vMerge w:val="continue"/>
          </w:tcPr>
          <w:p>
            <w:pPr>
              <w:jc w:val="center"/>
              <w:rPr>
                <w:rFonts w:hint="eastAsia"/>
                <w:vertAlign w:val="baseline"/>
                <w:lang w:eastAsia="zh-CN"/>
              </w:rPr>
            </w:pPr>
          </w:p>
        </w:tc>
        <w:tc>
          <w:tcPr>
            <w:tcW w:w="1695" w:type="dxa"/>
            <w:vMerge w:val="continue"/>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1</w:t>
            </w:r>
          </w:p>
        </w:tc>
        <w:tc>
          <w:tcPr>
            <w:tcW w:w="1879"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2</w:t>
            </w:r>
          </w:p>
        </w:tc>
        <w:tc>
          <w:tcPr>
            <w:tcW w:w="1729"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3</w:t>
            </w:r>
          </w:p>
        </w:tc>
        <w:tc>
          <w:tcPr>
            <w:tcW w:w="1790" w:type="dxa"/>
            <w:gridSpan w:val="2"/>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4</w:t>
            </w:r>
          </w:p>
        </w:tc>
        <w:tc>
          <w:tcPr>
            <w:tcW w:w="1694" w:type="dxa"/>
            <w:vAlign w:val="center"/>
          </w:tcPr>
          <w:p>
            <w:pPr>
              <w:pStyle w:val="24"/>
              <w:spacing w:line="240" w:lineRule="auto"/>
              <w:ind w:firstLine="660" w:firstLineChars="0"/>
              <w:jc w:val="center"/>
              <w:rPr>
                <w:rFonts w:hint="eastAsia"/>
                <w:vertAlign w:val="baseline"/>
                <w:lang w:eastAsia="zh-CN"/>
              </w:rPr>
            </w:pPr>
            <w:r>
              <w:rPr>
                <w:rFonts w:ascii="Times New Roman" w:hAnsi="Times New Roman" w:eastAsia="Times New Roman" w:cs="Times New Roman"/>
                <w:b/>
                <w:bCs/>
                <w:sz w:val="17"/>
                <w:szCs w:val="17"/>
              </w:rPr>
              <w:t>5</w:t>
            </w:r>
          </w:p>
        </w:tc>
        <w:tc>
          <w:tcPr>
            <w:tcW w:w="1695" w:type="dxa"/>
            <w:vAlign w:val="center"/>
          </w:tcPr>
          <w:p>
            <w:pPr>
              <w:pStyle w:val="24"/>
              <w:spacing w:line="240" w:lineRule="auto"/>
              <w:ind w:right="700" w:rightChars="0" w:firstLine="0" w:firstLineChars="0"/>
              <w:jc w:val="center"/>
              <w:rPr>
                <w:rFonts w:hint="eastAsia"/>
                <w:vertAlign w:val="baseline"/>
                <w:lang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p>
        </w:tc>
        <w:tc>
          <w:tcPr>
            <w:tcW w:w="1676"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140001</w:t>
            </w:r>
          </w:p>
        </w:tc>
        <w:tc>
          <w:tcPr>
            <w:tcW w:w="1662" w:type="dxa"/>
            <w:vAlign w:val="center"/>
          </w:tcPr>
          <w:p>
            <w:pPr>
              <w:pStyle w:val="24"/>
              <w:spacing w:line="240" w:lineRule="auto"/>
              <w:ind w:firstLine="0" w:firstLineChars="0"/>
              <w:jc w:val="center"/>
              <w:rPr>
                <w:rFonts w:hint="eastAsia"/>
                <w:vertAlign w:val="baseline"/>
                <w:lang w:eastAsia="zh-CN"/>
              </w:rPr>
            </w:pP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304.58</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222.96</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209.52</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13.44</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81.62</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2010301</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行政运行</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259.28</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177.66</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166.22</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11.44</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81.62</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2012999</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其他群众团体事务支出</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1.99</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1.99</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1.99</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2080505</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机关事业单位基本养老保险缴费支出</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23.27</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23.27</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23.27</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2210201</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住房公积金</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20.03</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20.03</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20.03</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10"/>
            <w:tcBorders>
              <w:left w:val="nil"/>
              <w:bottom w:val="nil"/>
              <w:right w:val="nil"/>
            </w:tcBorders>
          </w:tcPr>
          <w:p>
            <w:pPr>
              <w:jc w:val="left"/>
              <w:rPr>
                <w:rFonts w:hint="eastAsia"/>
                <w:vertAlign w:val="baseline"/>
                <w:lang w:eastAsia="zh-CN"/>
              </w:rPr>
            </w:pPr>
            <w:r>
              <w:rPr>
                <w:sz w:val="16"/>
                <w:szCs w:val="16"/>
              </w:rPr>
              <w:t>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22"/>
        <w:keepNext/>
        <w:keepLines/>
        <w:spacing w:after="240"/>
        <w:jc w:val="center"/>
      </w:pPr>
      <w:bookmarkStart w:id="25" w:name="bookmark57"/>
      <w:bookmarkStart w:id="26" w:name="bookmark56"/>
      <w:bookmarkStart w:id="27" w:name="bookmark58"/>
      <w:r>
        <w:t>一般公共预算基本支出情况表</w:t>
      </w:r>
      <w:bookmarkEnd w:id="25"/>
      <w:bookmarkEnd w:id="26"/>
      <w:bookmarkEnd w:id="27"/>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0"/>
        <w:gridCol w:w="3111"/>
        <w:gridCol w:w="3111"/>
        <w:gridCol w:w="3112"/>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4" w:type="dxa"/>
            <w:gridSpan w:val="4"/>
            <w:tcBorders>
              <w:top w:val="nil"/>
              <w:left w:val="nil"/>
              <w:right w:val="nil"/>
            </w:tcBorders>
          </w:tcPr>
          <w:p>
            <w:pPr>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环江毛南族自治县大数据发展局                                                          </w:t>
            </w: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221" w:type="dxa"/>
            <w:gridSpan w:val="2"/>
          </w:tcPr>
          <w:p>
            <w:pPr>
              <w:jc w:val="left"/>
              <w:rPr>
                <w:vertAlign w:val="baseline"/>
                <w:lang w:eastAsia="zh-CN"/>
              </w:rPr>
            </w:pPr>
            <w:r>
              <w:rPr>
                <w:sz w:val="17"/>
                <w:szCs w:val="17"/>
              </w:rPr>
              <w:t>部门预算支出经济分类科目</w:t>
            </w:r>
          </w:p>
        </w:tc>
        <w:tc>
          <w:tcPr>
            <w:tcW w:w="9336" w:type="dxa"/>
            <w:gridSpan w:val="3"/>
          </w:tcPr>
          <w:p>
            <w:pPr>
              <w:jc w:val="left"/>
              <w:rPr>
                <w:vertAlign w:val="baseline"/>
                <w:lang w:eastAsia="zh-CN"/>
              </w:rPr>
            </w:pPr>
            <w:r>
              <w:rPr>
                <w:sz w:val="17"/>
                <w:szCs w:val="17"/>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10" w:type="dxa"/>
            <w:vAlign w:val="center"/>
          </w:tcPr>
          <w:p>
            <w:pPr>
              <w:pStyle w:val="24"/>
              <w:spacing w:line="240" w:lineRule="auto"/>
              <w:ind w:firstLine="0" w:firstLineChars="0"/>
              <w:jc w:val="center"/>
              <w:rPr>
                <w:vertAlign w:val="baseline"/>
                <w:lang w:eastAsia="zh-CN"/>
              </w:rPr>
            </w:pPr>
            <w:r>
              <w:rPr>
                <w:sz w:val="17"/>
                <w:szCs w:val="17"/>
              </w:rPr>
              <w:t>科目编码</w:t>
            </w:r>
          </w:p>
        </w:tc>
        <w:tc>
          <w:tcPr>
            <w:tcW w:w="3111" w:type="dxa"/>
            <w:vAlign w:val="center"/>
          </w:tcPr>
          <w:p>
            <w:pPr>
              <w:pStyle w:val="24"/>
              <w:spacing w:line="240" w:lineRule="auto"/>
              <w:ind w:firstLine="0" w:firstLineChars="0"/>
              <w:jc w:val="center"/>
              <w:rPr>
                <w:vertAlign w:val="baseline"/>
                <w:lang w:eastAsia="zh-CN"/>
              </w:rPr>
            </w:pPr>
            <w:r>
              <w:rPr>
                <w:sz w:val="17"/>
                <w:szCs w:val="17"/>
              </w:rPr>
              <w:t>科目名称</w:t>
            </w:r>
          </w:p>
        </w:tc>
        <w:tc>
          <w:tcPr>
            <w:tcW w:w="3111" w:type="dxa"/>
            <w:vAlign w:val="center"/>
          </w:tcPr>
          <w:p>
            <w:pPr>
              <w:pStyle w:val="24"/>
              <w:spacing w:line="240" w:lineRule="auto"/>
              <w:ind w:firstLine="0" w:firstLineChars="0"/>
              <w:jc w:val="center"/>
              <w:rPr>
                <w:vertAlign w:val="baseline"/>
                <w:lang w:eastAsia="zh-CN"/>
              </w:rPr>
            </w:pPr>
            <w:r>
              <w:rPr>
                <w:sz w:val="17"/>
                <w:szCs w:val="17"/>
              </w:rPr>
              <w:t>合计</w:t>
            </w:r>
          </w:p>
        </w:tc>
        <w:tc>
          <w:tcPr>
            <w:tcW w:w="3112" w:type="dxa"/>
            <w:vAlign w:val="center"/>
          </w:tcPr>
          <w:p>
            <w:pPr>
              <w:pStyle w:val="24"/>
              <w:spacing w:line="240" w:lineRule="auto"/>
              <w:ind w:firstLine="0" w:firstLineChars="0"/>
              <w:jc w:val="center"/>
              <w:rPr>
                <w:vertAlign w:val="baseline"/>
                <w:lang w:eastAsia="zh-CN"/>
              </w:rPr>
            </w:pPr>
            <w:r>
              <w:rPr>
                <w:sz w:val="17"/>
                <w:szCs w:val="17"/>
              </w:rPr>
              <w:t>人员经费</w:t>
            </w:r>
          </w:p>
        </w:tc>
        <w:tc>
          <w:tcPr>
            <w:tcW w:w="3113" w:type="dxa"/>
            <w:vAlign w:val="center"/>
          </w:tcPr>
          <w:p>
            <w:pPr>
              <w:pStyle w:val="24"/>
              <w:spacing w:line="240" w:lineRule="auto"/>
              <w:ind w:firstLine="0" w:firstLineChars="0"/>
              <w:jc w:val="center"/>
              <w:rPr>
                <w:vertAlign w:val="baseline"/>
                <w:lang w:eastAsia="zh-CN"/>
              </w:rPr>
            </w:pPr>
            <w:r>
              <w:rPr>
                <w:sz w:val="17"/>
                <w:szCs w:val="17"/>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 xml:space="preserve"> </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合计</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222.96</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209.52</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工资福利支出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207.29</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207.29</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基本工资</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62.00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62.00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津贴补贴</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20.63</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20.63</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30103</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奖金</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41.61</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41.61</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30107</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绩效工资</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14.32</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14.32</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30108</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机关事业单位基本养老保险缴费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23.27</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23.27</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30110</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职工基本医疗保险缴费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9.31</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9.31</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其他社会保障缴费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0.56</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0.56</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30113</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住房公积金</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20.03</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20.03</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30199</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其他工资福利支出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15.56</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15.56</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商品和服务支出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13.44</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办公费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2.20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30205</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0.05</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30206</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电费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1.80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30207</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邮电费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1.09</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30209</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物业管理费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差旅费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30213</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维修（护）费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30215</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会议费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30216</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培训费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30217</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公务接待费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30225</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专用燃料费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30226</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劳务费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30227</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委托业务费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30228</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工会经费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1.99</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30239</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其他交通费用</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6.30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30299</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其他商品和服务支出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对个人和家庭的补助</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2.23</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2.23</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退休费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2.22</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2.22</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30399</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其他对个人和家庭的补助</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0.01</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0.01</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309</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资本性支出（基本建设）</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30907</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信息网络及软件购置更新</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310</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资本性支出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31002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办公设备购置</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22"/>
        <w:keepNext/>
        <w:keepLines/>
        <w:spacing w:after="240"/>
        <w:jc w:val="center"/>
        <w:rPr>
          <w:rFonts w:hint="default"/>
          <w:sz w:val="28"/>
          <w:szCs w:val="28"/>
          <w:lang w:val="en-US" w:eastAsia="zh-CN"/>
        </w:rPr>
      </w:pPr>
      <w:bookmarkStart w:id="28" w:name="bookmark66"/>
      <w:bookmarkStart w:id="29" w:name="bookmark67"/>
      <w:bookmarkStart w:id="30" w:name="bookmark65"/>
      <w:r>
        <w:rPr>
          <w:rFonts w:hint="default"/>
          <w:sz w:val="28"/>
          <w:szCs w:val="28"/>
          <w:lang w:val="en-US" w:eastAsia="zh-CN"/>
        </w:rPr>
        <w:t>一般公共预算“三公”经费预算表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6"/>
        <w:gridCol w:w="1918"/>
        <w:gridCol w:w="1884"/>
        <w:gridCol w:w="1895"/>
        <w:gridCol w:w="1888"/>
        <w:gridCol w:w="1890"/>
        <w:gridCol w:w="1895"/>
        <w:gridCol w:w="2"/>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6" w:type="dxa"/>
            <w:gridSpan w:val="7"/>
            <w:tcBorders>
              <w:top w:val="nil"/>
              <w:left w:val="nil"/>
              <w:right w:val="nil"/>
            </w:tcBorders>
          </w:tcPr>
          <w:p>
            <w:pPr>
              <w:pStyle w:val="26"/>
              <w:bidi w:val="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环江毛南族自治县大数据发展局                                           </w:t>
            </w:r>
            <w:r>
              <w:rPr>
                <w:rFonts w:hint="eastAsia"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1891" w:type="dxa"/>
            <w:gridSpan w:val="2"/>
            <w:tcBorders>
              <w:top w:val="nil"/>
              <w:left w:val="nil"/>
              <w:right w:val="nil"/>
            </w:tcBorders>
          </w:tcPr>
          <w:p>
            <w:pPr>
              <w:pStyle w:val="26"/>
              <w:bidi w:val="0"/>
              <w:ind w:firstLine="480" w:firstLineChars="30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restart"/>
          </w:tcPr>
          <w:p>
            <w:pPr>
              <w:pStyle w:val="26"/>
              <w:bidi w:val="0"/>
              <w:jc w:val="center"/>
              <w:rPr>
                <w:rFonts w:hint="eastAsia"/>
                <w:vertAlign w:val="baseline"/>
                <w:lang w:val="en-US" w:eastAsia="zh-CN"/>
              </w:rPr>
            </w:pPr>
            <w:r>
              <w:rPr>
                <w:sz w:val="17"/>
                <w:szCs w:val="17"/>
              </w:rPr>
              <w:t>门（单位）代码</w:t>
            </w:r>
          </w:p>
        </w:tc>
        <w:tc>
          <w:tcPr>
            <w:tcW w:w="1918" w:type="dxa"/>
            <w:vMerge w:val="restart"/>
          </w:tcPr>
          <w:p>
            <w:pPr>
              <w:pStyle w:val="26"/>
              <w:bidi w:val="0"/>
              <w:jc w:val="center"/>
              <w:rPr>
                <w:rFonts w:hint="eastAsia"/>
                <w:vertAlign w:val="baseline"/>
                <w:lang w:val="en-US" w:eastAsia="zh-CN"/>
              </w:rPr>
            </w:pPr>
            <w:r>
              <w:rPr>
                <w:sz w:val="17"/>
                <w:szCs w:val="17"/>
              </w:rPr>
              <w:t>部门（单位）名称</w:t>
            </w:r>
          </w:p>
        </w:tc>
        <w:tc>
          <w:tcPr>
            <w:tcW w:w="11343" w:type="dxa"/>
            <w:gridSpan w:val="7"/>
          </w:tcPr>
          <w:p>
            <w:pPr>
              <w:pStyle w:val="26"/>
              <w:bidi w:val="0"/>
              <w:jc w:val="center"/>
              <w:rPr>
                <w:rFonts w:hint="eastAsia"/>
                <w:vertAlign w:val="baseline"/>
                <w:lang w:val="en-US" w:eastAsia="zh-CN"/>
              </w:rPr>
            </w:pPr>
            <w:r>
              <w:rPr>
                <w:sz w:val="17"/>
                <w:szCs w:val="17"/>
                <w:lang w:val="zh-CN" w:eastAsia="zh-CN" w:bidi="zh-CN"/>
              </w:rPr>
              <w:t>“三</w:t>
            </w:r>
            <w:r>
              <w:rPr>
                <w:sz w:val="17"/>
                <w:szCs w:val="17"/>
              </w:rPr>
              <w:t>公”经费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continue"/>
          </w:tcPr>
          <w:p>
            <w:pPr>
              <w:pStyle w:val="26"/>
              <w:bidi w:val="0"/>
              <w:jc w:val="center"/>
              <w:rPr>
                <w:rFonts w:hint="eastAsia"/>
                <w:vertAlign w:val="baseline"/>
                <w:lang w:val="en-US" w:eastAsia="zh-CN"/>
              </w:rPr>
            </w:pPr>
          </w:p>
        </w:tc>
        <w:tc>
          <w:tcPr>
            <w:tcW w:w="1918" w:type="dxa"/>
            <w:vMerge w:val="continue"/>
          </w:tcPr>
          <w:p>
            <w:pPr>
              <w:pStyle w:val="26"/>
              <w:bidi w:val="0"/>
              <w:jc w:val="center"/>
              <w:rPr>
                <w:rFonts w:hint="eastAsia"/>
                <w:vertAlign w:val="baseline"/>
                <w:lang w:val="en-US" w:eastAsia="zh-CN"/>
              </w:rPr>
            </w:pPr>
          </w:p>
        </w:tc>
        <w:tc>
          <w:tcPr>
            <w:tcW w:w="1884" w:type="dxa"/>
            <w:vMerge w:val="restart"/>
          </w:tcPr>
          <w:p>
            <w:pPr>
              <w:pStyle w:val="26"/>
              <w:bidi w:val="0"/>
              <w:jc w:val="center"/>
              <w:rPr>
                <w:rFonts w:hint="eastAsia"/>
                <w:vertAlign w:val="baseline"/>
                <w:lang w:val="en-US" w:eastAsia="zh-CN"/>
              </w:rPr>
            </w:pPr>
            <w:r>
              <w:rPr>
                <w:sz w:val="17"/>
                <w:szCs w:val="17"/>
              </w:rPr>
              <w:t>合计</w:t>
            </w:r>
          </w:p>
        </w:tc>
        <w:tc>
          <w:tcPr>
            <w:tcW w:w="1895" w:type="dxa"/>
            <w:vMerge w:val="restart"/>
          </w:tcPr>
          <w:p>
            <w:pPr>
              <w:pStyle w:val="26"/>
              <w:bidi w:val="0"/>
              <w:jc w:val="center"/>
              <w:rPr>
                <w:rFonts w:hint="eastAsia"/>
                <w:vertAlign w:val="baseline"/>
                <w:lang w:val="en-US" w:eastAsia="zh-CN"/>
              </w:rPr>
            </w:pPr>
            <w:r>
              <w:rPr>
                <w:sz w:val="17"/>
                <w:szCs w:val="17"/>
              </w:rPr>
              <w:t>因公出国（境）费</w:t>
            </w:r>
          </w:p>
        </w:tc>
        <w:tc>
          <w:tcPr>
            <w:tcW w:w="5675" w:type="dxa"/>
            <w:gridSpan w:val="4"/>
          </w:tcPr>
          <w:p>
            <w:pPr>
              <w:pStyle w:val="26"/>
              <w:bidi w:val="0"/>
              <w:jc w:val="center"/>
              <w:rPr>
                <w:rFonts w:hint="eastAsia"/>
                <w:vertAlign w:val="baseline"/>
                <w:lang w:val="en-US" w:eastAsia="zh-CN"/>
              </w:rPr>
            </w:pPr>
            <w:r>
              <w:rPr>
                <w:sz w:val="17"/>
                <w:szCs w:val="17"/>
              </w:rPr>
              <w:t>公务用车购置及运行维护费</w:t>
            </w:r>
          </w:p>
        </w:tc>
        <w:tc>
          <w:tcPr>
            <w:tcW w:w="1889" w:type="dxa"/>
            <w:vMerge w:val="restart"/>
          </w:tcPr>
          <w:p>
            <w:pPr>
              <w:pStyle w:val="26"/>
              <w:bidi w:val="0"/>
              <w:jc w:val="center"/>
              <w:rPr>
                <w:rFonts w:hint="eastAsia"/>
                <w:vertAlign w:val="baseline"/>
                <w:lang w:val="en-US" w:eastAsia="zh-CN"/>
              </w:rPr>
            </w:pPr>
            <w:r>
              <w:rPr>
                <w:sz w:val="17"/>
                <w:szCs w:val="17"/>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continue"/>
          </w:tcPr>
          <w:p>
            <w:pPr>
              <w:pStyle w:val="26"/>
              <w:bidi w:val="0"/>
              <w:jc w:val="center"/>
              <w:rPr>
                <w:rFonts w:hint="eastAsia"/>
                <w:vertAlign w:val="baseline"/>
                <w:lang w:val="en-US" w:eastAsia="zh-CN"/>
              </w:rPr>
            </w:pPr>
          </w:p>
        </w:tc>
        <w:tc>
          <w:tcPr>
            <w:tcW w:w="1918" w:type="dxa"/>
            <w:vMerge w:val="continue"/>
          </w:tcPr>
          <w:p>
            <w:pPr>
              <w:pStyle w:val="26"/>
              <w:bidi w:val="0"/>
              <w:jc w:val="center"/>
              <w:rPr>
                <w:rFonts w:hint="eastAsia"/>
                <w:vertAlign w:val="baseline"/>
                <w:lang w:val="en-US" w:eastAsia="zh-CN"/>
              </w:rPr>
            </w:pPr>
          </w:p>
        </w:tc>
        <w:tc>
          <w:tcPr>
            <w:tcW w:w="1884" w:type="dxa"/>
            <w:vMerge w:val="continue"/>
          </w:tcPr>
          <w:p>
            <w:pPr>
              <w:pStyle w:val="26"/>
              <w:bidi w:val="0"/>
              <w:jc w:val="center"/>
              <w:rPr>
                <w:rFonts w:hint="eastAsia"/>
                <w:vertAlign w:val="baseline"/>
                <w:lang w:val="en-US" w:eastAsia="zh-CN"/>
              </w:rPr>
            </w:pPr>
          </w:p>
        </w:tc>
        <w:tc>
          <w:tcPr>
            <w:tcW w:w="1895" w:type="dxa"/>
            <w:vMerge w:val="continue"/>
          </w:tcPr>
          <w:p>
            <w:pPr>
              <w:pStyle w:val="26"/>
              <w:bidi w:val="0"/>
              <w:jc w:val="center"/>
              <w:rPr>
                <w:rFonts w:hint="eastAsia"/>
                <w:vertAlign w:val="baseline"/>
                <w:lang w:val="en-US" w:eastAsia="zh-CN"/>
              </w:rPr>
            </w:pPr>
          </w:p>
        </w:tc>
        <w:tc>
          <w:tcPr>
            <w:tcW w:w="1888" w:type="dxa"/>
            <w:vAlign w:val="center"/>
          </w:tcPr>
          <w:p>
            <w:pPr>
              <w:pStyle w:val="24"/>
              <w:spacing w:line="240" w:lineRule="auto"/>
              <w:ind w:firstLine="0" w:firstLineChars="0"/>
              <w:jc w:val="center"/>
              <w:rPr>
                <w:rFonts w:hint="eastAsia"/>
                <w:vertAlign w:val="baseline"/>
                <w:lang w:val="en-US" w:eastAsia="zh-CN"/>
              </w:rPr>
            </w:pPr>
            <w:r>
              <w:rPr>
                <w:sz w:val="17"/>
                <w:szCs w:val="17"/>
              </w:rPr>
              <w:t>小计</w:t>
            </w:r>
          </w:p>
        </w:tc>
        <w:tc>
          <w:tcPr>
            <w:tcW w:w="1890" w:type="dxa"/>
            <w:vAlign w:val="center"/>
          </w:tcPr>
          <w:p>
            <w:pPr>
              <w:pStyle w:val="24"/>
              <w:spacing w:line="240" w:lineRule="auto"/>
              <w:ind w:firstLine="220" w:firstLineChars="0"/>
              <w:jc w:val="center"/>
              <w:rPr>
                <w:rFonts w:hint="eastAsia"/>
                <w:vertAlign w:val="baseline"/>
                <w:lang w:val="en-US" w:eastAsia="zh-CN"/>
              </w:rPr>
            </w:pPr>
            <w:r>
              <w:rPr>
                <w:sz w:val="17"/>
                <w:szCs w:val="17"/>
              </w:rPr>
              <w:t>公务用车运行维护费</w:t>
            </w:r>
          </w:p>
        </w:tc>
        <w:tc>
          <w:tcPr>
            <w:tcW w:w="1897" w:type="dxa"/>
            <w:gridSpan w:val="2"/>
            <w:vAlign w:val="center"/>
          </w:tcPr>
          <w:p>
            <w:pPr>
              <w:pStyle w:val="24"/>
              <w:spacing w:line="240" w:lineRule="auto"/>
              <w:ind w:firstLine="400" w:firstLineChars="0"/>
              <w:jc w:val="center"/>
              <w:rPr>
                <w:rFonts w:hint="eastAsia"/>
                <w:vertAlign w:val="baseline"/>
                <w:lang w:val="en-US" w:eastAsia="zh-CN"/>
              </w:rPr>
            </w:pPr>
            <w:r>
              <w:rPr>
                <w:sz w:val="17"/>
                <w:szCs w:val="17"/>
              </w:rPr>
              <w:t>公务用车购置费</w:t>
            </w:r>
          </w:p>
        </w:tc>
        <w:tc>
          <w:tcPr>
            <w:tcW w:w="1889" w:type="dxa"/>
            <w:vMerge w:val="continue"/>
          </w:tcPr>
          <w:p>
            <w:pPr>
              <w:pStyle w:val="26"/>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1</w:t>
            </w:r>
          </w:p>
        </w:tc>
        <w:tc>
          <w:tcPr>
            <w:tcW w:w="1895"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2</w:t>
            </w:r>
          </w:p>
        </w:tc>
        <w:tc>
          <w:tcPr>
            <w:tcW w:w="1888"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3</w:t>
            </w:r>
          </w:p>
        </w:tc>
        <w:tc>
          <w:tcPr>
            <w:tcW w:w="1890"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4</w:t>
            </w:r>
          </w:p>
        </w:tc>
        <w:tc>
          <w:tcPr>
            <w:tcW w:w="1897" w:type="dxa"/>
            <w:gridSpan w:val="2"/>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5</w:t>
            </w:r>
          </w:p>
        </w:tc>
        <w:tc>
          <w:tcPr>
            <w:tcW w:w="1889"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pStyle w:val="24"/>
              <w:spacing w:line="240" w:lineRule="auto"/>
              <w:ind w:firstLine="0" w:firstLineChars="0"/>
              <w:jc w:val="left"/>
              <w:rPr>
                <w:rFonts w:hint="eastAsia"/>
                <w:vertAlign w:val="baseline"/>
                <w:lang w:val="en-US" w:eastAsia="zh-CN"/>
              </w:rPr>
            </w:pPr>
            <w:r>
              <w:rPr>
                <w:rFonts w:hint="eastAsia" w:ascii="Times New Roman" w:hAnsi="Times New Roman" w:eastAsia="Times New Roman" w:cs="Times New Roman"/>
                <w:b/>
                <w:bCs/>
                <w:sz w:val="17"/>
                <w:szCs w:val="17"/>
                <w:lang w:val="en-US" w:eastAsia="zh-CN"/>
              </w:rPr>
              <w:t>140001</w:t>
            </w:r>
          </w:p>
        </w:tc>
        <w:tc>
          <w:tcPr>
            <w:tcW w:w="1918" w:type="dxa"/>
            <w:vAlign w:val="center"/>
          </w:tcPr>
          <w:p>
            <w:pPr>
              <w:pStyle w:val="24"/>
              <w:spacing w:line="240" w:lineRule="auto"/>
              <w:ind w:firstLine="0" w:firstLineChars="0"/>
              <w:jc w:val="left"/>
              <w:rPr>
                <w:rFonts w:hint="eastAsia"/>
                <w:vertAlign w:val="baseline"/>
                <w:lang w:val="en-US" w:eastAsia="zh-CN"/>
              </w:rPr>
            </w:pPr>
          </w:p>
        </w:tc>
        <w:tc>
          <w:tcPr>
            <w:tcW w:w="1884"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1.00</w:t>
            </w:r>
          </w:p>
        </w:tc>
        <w:tc>
          <w:tcPr>
            <w:tcW w:w="1895"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8"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90"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97" w:type="dxa"/>
            <w:gridSpan w:val="2"/>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9"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557" w:type="dxa"/>
            <w:gridSpan w:val="9"/>
            <w:tcBorders>
              <w:left w:val="nil"/>
              <w:bottom w:val="nil"/>
              <w:right w:val="nil"/>
            </w:tcBorders>
          </w:tcPr>
          <w:p>
            <w:pPr>
              <w:pStyle w:val="26"/>
              <w:bidi w:val="0"/>
              <w:jc w:val="both"/>
              <w:rPr>
                <w:rFonts w:hint="eastAsia"/>
                <w:vertAlign w:val="baseline"/>
                <w:lang w:val="en-US" w:eastAsia="zh-CN"/>
              </w:rPr>
            </w:pPr>
            <w:r>
              <w:rPr>
                <w:rFonts w:hint="eastAsia" w:ascii="宋体" w:hAnsi="宋体" w:eastAsia="宋体" w:cs="宋体"/>
                <w:sz w:val="16"/>
                <w:szCs w:val="16"/>
              </w:rPr>
              <w:t>注：本报表金额单位转换时可能存在四舍五入尾数误差</w:t>
            </w:r>
          </w:p>
        </w:tc>
      </w:tr>
    </w:tbl>
    <w:p>
      <w:pPr>
        <w:pStyle w:val="26"/>
        <w:bidi w:val="0"/>
        <w:rPr>
          <w:rFonts w:hint="eastAsia"/>
          <w:lang w:val="en-US" w:eastAsia="zh-CN"/>
        </w:rPr>
      </w:pPr>
    </w:p>
    <w:p>
      <w:pPr>
        <w:pStyle w:val="22"/>
        <w:keepNext/>
        <w:keepLines/>
        <w:spacing w:after="240"/>
        <w:jc w:val="center"/>
      </w:pPr>
    </w:p>
    <w:p>
      <w:pPr>
        <w:pStyle w:val="22"/>
        <w:keepNext/>
        <w:keepLines/>
        <w:spacing w:after="240"/>
        <w:jc w:val="center"/>
      </w:pPr>
    </w:p>
    <w:p>
      <w:pPr>
        <w:pStyle w:val="22"/>
        <w:keepNext/>
        <w:keepLines/>
        <w:spacing w:after="240"/>
        <w:jc w:val="center"/>
      </w:pPr>
    </w:p>
    <w:p>
      <w:pPr>
        <w:pStyle w:val="22"/>
        <w:keepNext/>
        <w:keepLines/>
        <w:spacing w:after="240"/>
        <w:jc w:val="center"/>
      </w:pPr>
    </w:p>
    <w:p>
      <w:pPr>
        <w:pStyle w:val="22"/>
        <w:keepNext/>
        <w:keepLines/>
        <w:spacing w:after="240"/>
        <w:jc w:val="center"/>
      </w:pPr>
    </w:p>
    <w:p>
      <w:pPr>
        <w:pStyle w:val="26"/>
        <w:bidi w:val="0"/>
      </w:pPr>
    </w:p>
    <w:p>
      <w:pPr>
        <w:pStyle w:val="22"/>
        <w:keepNext/>
        <w:keepLines/>
        <w:spacing w:after="240"/>
        <w:jc w:val="center"/>
      </w:pPr>
      <w:r>
        <w:t>政府性基金预算支出情况表</w:t>
      </w:r>
      <w:bookmarkEnd w:id="28"/>
      <w:bookmarkEnd w:id="29"/>
      <w:bookmarkEnd w:id="3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394" w:type="dxa"/>
            <w:gridSpan w:val="6"/>
            <w:tcBorders>
              <w:top w:val="nil"/>
              <w:left w:val="nil"/>
              <w:right w:val="nil"/>
            </w:tcBorders>
          </w:tcPr>
          <w:p>
            <w:pPr>
              <w:pStyle w:val="26"/>
              <w:tabs>
                <w:tab w:val="left" w:pos="14213"/>
              </w:tabs>
              <w:ind w:left="101"/>
              <w:jc w:val="left"/>
            </w:pPr>
            <w:r>
              <w:t>单位名称：</w:t>
            </w:r>
            <w:r>
              <w:rPr>
                <w:rFonts w:hint="eastAsia"/>
                <w:lang w:eastAsia="zh-CN"/>
              </w:rPr>
              <w:t>环江毛南族自治县大数据发展局</w:t>
            </w:r>
            <w:r>
              <w:tab/>
            </w:r>
            <w:r>
              <w:t>单位：万元</w:t>
            </w:r>
          </w:p>
        </w:tc>
        <w:tc>
          <w:tcPr>
            <w:tcW w:w="2163" w:type="dxa"/>
            <w:tcBorders>
              <w:top w:val="nil"/>
              <w:left w:val="nil"/>
              <w:right w:val="nil"/>
            </w:tcBorders>
          </w:tcPr>
          <w:p>
            <w:pPr>
              <w:pStyle w:val="26"/>
              <w:tabs>
                <w:tab w:val="left" w:pos="14213"/>
              </w:tabs>
              <w:ind w:left="101" w:firstLine="680" w:firstLineChars="400"/>
              <w:jc w:val="left"/>
            </w:pPr>
            <w:r>
              <w:rPr>
                <w:rFonts w:hint="eastAsia"/>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tcPr>
          <w:p>
            <w:pPr>
              <w:pStyle w:val="26"/>
              <w:bidi w:val="0"/>
              <w:jc w:val="center"/>
              <w:rPr>
                <w:vertAlign w:val="baseline"/>
              </w:rPr>
            </w:pPr>
            <w:r>
              <w:rPr>
                <w:sz w:val="17"/>
                <w:szCs w:val="17"/>
              </w:rPr>
              <w:t>科目编码</w:t>
            </w:r>
          </w:p>
        </w:tc>
        <w:tc>
          <w:tcPr>
            <w:tcW w:w="2161" w:type="dxa"/>
          </w:tcPr>
          <w:p>
            <w:pPr>
              <w:pStyle w:val="26"/>
              <w:bidi w:val="0"/>
              <w:jc w:val="center"/>
              <w:rPr>
                <w:vertAlign w:val="baseline"/>
              </w:rPr>
            </w:pPr>
            <w:r>
              <w:rPr>
                <w:sz w:val="17"/>
                <w:szCs w:val="17"/>
              </w:rPr>
              <w:t>部门（单位）代码</w:t>
            </w:r>
          </w:p>
        </w:tc>
        <w:tc>
          <w:tcPr>
            <w:tcW w:w="2162" w:type="dxa"/>
          </w:tcPr>
          <w:p>
            <w:pPr>
              <w:pStyle w:val="26"/>
              <w:bidi w:val="0"/>
              <w:jc w:val="center"/>
              <w:rPr>
                <w:vertAlign w:val="baseline"/>
              </w:rPr>
            </w:pPr>
            <w:r>
              <w:rPr>
                <w:sz w:val="17"/>
                <w:szCs w:val="17"/>
              </w:rPr>
              <w:t>部门（单位）名称（功能分类科目名称）</w:t>
            </w:r>
          </w:p>
        </w:tc>
        <w:tc>
          <w:tcPr>
            <w:tcW w:w="2222" w:type="dxa"/>
            <w:vAlign w:val="center"/>
          </w:tcPr>
          <w:p>
            <w:pPr>
              <w:pStyle w:val="24"/>
              <w:spacing w:line="240" w:lineRule="auto"/>
              <w:ind w:firstLine="0" w:firstLineChars="0"/>
              <w:jc w:val="center"/>
              <w:rPr>
                <w:vertAlign w:val="baseline"/>
              </w:rPr>
            </w:pPr>
            <w:r>
              <w:rPr>
                <w:sz w:val="17"/>
                <w:szCs w:val="17"/>
              </w:rPr>
              <w:t>合计</w:t>
            </w:r>
          </w:p>
        </w:tc>
        <w:tc>
          <w:tcPr>
            <w:tcW w:w="2161" w:type="dxa"/>
            <w:vAlign w:val="center"/>
          </w:tcPr>
          <w:p>
            <w:pPr>
              <w:pStyle w:val="24"/>
              <w:spacing w:line="240" w:lineRule="auto"/>
              <w:ind w:firstLine="0" w:firstLineChars="0"/>
              <w:jc w:val="center"/>
              <w:rPr>
                <w:vertAlign w:val="baseline"/>
              </w:rPr>
            </w:pPr>
            <w:r>
              <w:rPr>
                <w:sz w:val="17"/>
                <w:szCs w:val="17"/>
              </w:rPr>
              <w:t>基本支出</w:t>
            </w:r>
          </w:p>
        </w:tc>
        <w:tc>
          <w:tcPr>
            <w:tcW w:w="2161" w:type="dxa"/>
            <w:vAlign w:val="center"/>
          </w:tcPr>
          <w:p>
            <w:pPr>
              <w:pStyle w:val="24"/>
              <w:spacing w:line="240" w:lineRule="auto"/>
              <w:ind w:firstLine="0" w:firstLineChars="0"/>
              <w:jc w:val="center"/>
              <w:rPr>
                <w:vertAlign w:val="baseline"/>
              </w:rPr>
            </w:pPr>
            <w:r>
              <w:rPr>
                <w:sz w:val="17"/>
                <w:szCs w:val="17"/>
              </w:rPr>
              <w:t>项目支出</w:t>
            </w:r>
          </w:p>
        </w:tc>
        <w:tc>
          <w:tcPr>
            <w:tcW w:w="2163" w:type="dxa"/>
            <w:vAlign w:val="center"/>
          </w:tcPr>
          <w:p>
            <w:pPr>
              <w:pStyle w:val="24"/>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7"/>
            <w:tcBorders>
              <w:left w:val="nil"/>
              <w:bottom w:val="nil"/>
              <w:right w:val="nil"/>
            </w:tcBorders>
          </w:tcPr>
          <w:p>
            <w:pPr>
              <w:pStyle w:val="26"/>
              <w:bidi w:val="0"/>
              <w:jc w:val="both"/>
              <w:rPr>
                <w:vertAlign w:val="baseline"/>
              </w:rPr>
            </w:pPr>
            <w:r>
              <w:t>注：本报表金额单位转换时可能存在四舍五入尾数误差</w:t>
            </w:r>
          </w:p>
        </w:tc>
      </w:tr>
    </w:tbl>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jc w:val="center"/>
        <w:rPr>
          <w:sz w:val="28"/>
          <w:szCs w:val="28"/>
        </w:rPr>
      </w:pPr>
      <w:r>
        <w:rPr>
          <w:sz w:val="28"/>
          <w:szCs w:val="28"/>
        </w:rPr>
        <w:t>国有资本经营预算支出情况表</w:t>
      </w:r>
    </w:p>
    <w:p>
      <w:pPr>
        <w:pStyle w:val="26"/>
        <w:bidi w:val="0"/>
        <w:jc w:val="center"/>
        <w:rPr>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4" w:type="dxa"/>
            <w:gridSpan w:val="6"/>
            <w:tcBorders>
              <w:top w:val="nil"/>
              <w:left w:val="nil"/>
              <w:right w:val="nil"/>
            </w:tcBorders>
          </w:tcPr>
          <w:p>
            <w:pPr>
              <w:pStyle w:val="26"/>
              <w:tabs>
                <w:tab w:val="left" w:pos="14213"/>
              </w:tabs>
              <w:ind w:left="101"/>
              <w:jc w:val="left"/>
            </w:pPr>
            <w:r>
              <w:t>单位名称：</w:t>
            </w:r>
            <w:r>
              <w:rPr>
                <w:rFonts w:hint="eastAsia"/>
                <w:lang w:eastAsia="zh-CN"/>
              </w:rPr>
              <w:t>环江毛南族自治县大数据发展局</w:t>
            </w:r>
            <w:r>
              <w:tab/>
            </w:r>
            <w:r>
              <w:t>单位：万元</w:t>
            </w:r>
          </w:p>
        </w:tc>
        <w:tc>
          <w:tcPr>
            <w:tcW w:w="2163" w:type="dxa"/>
            <w:tcBorders>
              <w:top w:val="nil"/>
              <w:left w:val="nil"/>
              <w:right w:val="nil"/>
            </w:tcBorders>
          </w:tcPr>
          <w:p>
            <w:pPr>
              <w:pStyle w:val="26"/>
              <w:tabs>
                <w:tab w:val="left" w:pos="14213"/>
              </w:tabs>
              <w:ind w:left="101"/>
              <w:jc w:val="left"/>
            </w:pPr>
            <w:r>
              <w:rPr>
                <w:rFonts w:hint="eastAsia" w:ascii="宋体" w:hAnsi="宋体" w:eastAsia="宋体" w:cs="宋体"/>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vMerge w:val="restart"/>
          </w:tcPr>
          <w:p>
            <w:pPr>
              <w:pStyle w:val="26"/>
              <w:bidi w:val="0"/>
              <w:jc w:val="center"/>
              <w:rPr>
                <w:vertAlign w:val="baseline"/>
              </w:rPr>
            </w:pPr>
            <w:r>
              <w:rPr>
                <w:sz w:val="17"/>
                <w:szCs w:val="17"/>
              </w:rPr>
              <w:t>科目编码</w:t>
            </w:r>
          </w:p>
        </w:tc>
        <w:tc>
          <w:tcPr>
            <w:tcW w:w="2161" w:type="dxa"/>
            <w:vMerge w:val="restart"/>
          </w:tcPr>
          <w:p>
            <w:pPr>
              <w:pStyle w:val="26"/>
              <w:bidi w:val="0"/>
              <w:jc w:val="center"/>
              <w:rPr>
                <w:vertAlign w:val="baseline"/>
              </w:rPr>
            </w:pPr>
            <w:r>
              <w:rPr>
                <w:sz w:val="17"/>
                <w:szCs w:val="17"/>
              </w:rPr>
              <w:t>部门（单位）代码</w:t>
            </w:r>
          </w:p>
        </w:tc>
        <w:tc>
          <w:tcPr>
            <w:tcW w:w="2162" w:type="dxa"/>
            <w:vMerge w:val="restart"/>
          </w:tcPr>
          <w:p>
            <w:pPr>
              <w:pStyle w:val="26"/>
              <w:bidi w:val="0"/>
              <w:jc w:val="center"/>
              <w:rPr>
                <w:vertAlign w:val="baseline"/>
              </w:rPr>
            </w:pPr>
            <w:r>
              <w:rPr>
                <w:sz w:val="17"/>
                <w:szCs w:val="17"/>
              </w:rPr>
              <w:t>部门（单位）名称（功能分类科目名称）</w:t>
            </w:r>
          </w:p>
        </w:tc>
        <w:tc>
          <w:tcPr>
            <w:tcW w:w="2222" w:type="dxa"/>
            <w:vAlign w:val="center"/>
          </w:tcPr>
          <w:p>
            <w:pPr>
              <w:pStyle w:val="24"/>
              <w:spacing w:line="240" w:lineRule="auto"/>
              <w:ind w:firstLine="0" w:firstLineChars="0"/>
              <w:jc w:val="center"/>
              <w:rPr>
                <w:vertAlign w:val="baseline"/>
              </w:rPr>
            </w:pPr>
            <w:r>
              <w:rPr>
                <w:sz w:val="17"/>
                <w:szCs w:val="17"/>
              </w:rPr>
              <w:t>合计</w:t>
            </w:r>
          </w:p>
        </w:tc>
        <w:tc>
          <w:tcPr>
            <w:tcW w:w="2161" w:type="dxa"/>
            <w:vAlign w:val="center"/>
          </w:tcPr>
          <w:p>
            <w:pPr>
              <w:pStyle w:val="24"/>
              <w:spacing w:line="240" w:lineRule="auto"/>
              <w:ind w:firstLine="0" w:firstLineChars="0"/>
              <w:jc w:val="center"/>
              <w:rPr>
                <w:vertAlign w:val="baseline"/>
              </w:rPr>
            </w:pPr>
            <w:r>
              <w:rPr>
                <w:sz w:val="17"/>
                <w:szCs w:val="17"/>
              </w:rPr>
              <w:t>基本支出</w:t>
            </w:r>
          </w:p>
        </w:tc>
        <w:tc>
          <w:tcPr>
            <w:tcW w:w="2161" w:type="dxa"/>
            <w:vAlign w:val="center"/>
          </w:tcPr>
          <w:p>
            <w:pPr>
              <w:pStyle w:val="24"/>
              <w:spacing w:line="240" w:lineRule="auto"/>
              <w:ind w:firstLine="0" w:firstLineChars="0"/>
              <w:jc w:val="center"/>
              <w:rPr>
                <w:vertAlign w:val="baseline"/>
              </w:rPr>
            </w:pPr>
            <w:r>
              <w:rPr>
                <w:sz w:val="17"/>
                <w:szCs w:val="17"/>
              </w:rPr>
              <w:t>项目支出</w:t>
            </w:r>
          </w:p>
        </w:tc>
        <w:tc>
          <w:tcPr>
            <w:tcW w:w="2163" w:type="dxa"/>
            <w:vAlign w:val="center"/>
          </w:tcPr>
          <w:p>
            <w:pPr>
              <w:pStyle w:val="24"/>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vMerge w:val="continue"/>
          </w:tcPr>
          <w:p>
            <w:pPr>
              <w:pStyle w:val="26"/>
              <w:bidi w:val="0"/>
              <w:jc w:val="both"/>
              <w:rPr>
                <w:vertAlign w:val="baseline"/>
              </w:rPr>
            </w:pPr>
          </w:p>
        </w:tc>
        <w:tc>
          <w:tcPr>
            <w:tcW w:w="2161" w:type="dxa"/>
            <w:vMerge w:val="continue"/>
          </w:tcPr>
          <w:p>
            <w:pPr>
              <w:pStyle w:val="26"/>
              <w:bidi w:val="0"/>
              <w:jc w:val="both"/>
              <w:rPr>
                <w:vertAlign w:val="baseline"/>
              </w:rPr>
            </w:pPr>
          </w:p>
        </w:tc>
        <w:tc>
          <w:tcPr>
            <w:tcW w:w="2162" w:type="dxa"/>
            <w:vMerge w:val="continue"/>
          </w:tcPr>
          <w:p>
            <w:pPr>
              <w:pStyle w:val="26"/>
              <w:bidi w:val="0"/>
              <w:jc w:val="both"/>
              <w:rPr>
                <w:vertAlign w:val="baseline"/>
              </w:rPr>
            </w:pPr>
          </w:p>
        </w:tc>
        <w:tc>
          <w:tcPr>
            <w:tcW w:w="2222"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1</w:t>
            </w:r>
          </w:p>
        </w:tc>
        <w:tc>
          <w:tcPr>
            <w:tcW w:w="2161"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2</w:t>
            </w:r>
          </w:p>
        </w:tc>
        <w:tc>
          <w:tcPr>
            <w:tcW w:w="2161"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3</w:t>
            </w:r>
          </w:p>
        </w:tc>
        <w:tc>
          <w:tcPr>
            <w:tcW w:w="2163"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24"/>
              <w:spacing w:line="240" w:lineRule="auto"/>
              <w:ind w:firstLine="0" w:firstLineChars="0"/>
              <w:jc w:val="left"/>
              <w:rPr>
                <w:vertAlign w:val="baseline"/>
              </w:rPr>
            </w:pPr>
            <w:r>
              <w:rPr>
                <w:sz w:val="17"/>
                <w:szCs w:val="17"/>
              </w:rPr>
              <w:t>合计</w:t>
            </w:r>
          </w:p>
        </w:tc>
        <w:tc>
          <w:tcPr>
            <w:tcW w:w="2222" w:type="dxa"/>
            <w:vAlign w:val="center"/>
          </w:tcPr>
          <w:p>
            <w:pPr>
              <w:pStyle w:val="24"/>
              <w:spacing w:line="240" w:lineRule="auto"/>
              <w:ind w:left="1700" w:leftChars="0"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24"/>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24"/>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3" w:type="dxa"/>
            <w:vAlign w:val="center"/>
          </w:tcPr>
          <w:p>
            <w:pPr>
              <w:pStyle w:val="24"/>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7"/>
            <w:tcBorders>
              <w:left w:val="nil"/>
              <w:bottom w:val="nil"/>
              <w:right w:val="nil"/>
            </w:tcBorders>
          </w:tcPr>
          <w:p>
            <w:pPr>
              <w:pStyle w:val="26"/>
              <w:spacing w:line="302" w:lineRule="exact"/>
              <w:ind w:left="672"/>
              <w:jc w:val="left"/>
            </w:pPr>
            <w:r>
              <w:t>注：本报表金额单位转换时可能存在四舍五入尾数误差。本部门</w:t>
            </w:r>
            <w:r>
              <w:rPr>
                <w:rFonts w:hint="eastAsia" w:ascii="Times New Roman" w:hAnsi="Times New Roman" w:cs="Times New Roman"/>
                <w:b/>
                <w:bCs/>
                <w:lang w:eastAsia="zh-CN"/>
              </w:rPr>
              <w:t>2024</w:t>
            </w:r>
            <w:r>
              <w:rPr>
                <w:rFonts w:ascii="Times New Roman" w:hAnsi="Times New Roman" w:cs="Times New Roman"/>
                <w:b/>
                <w:u w:color="auto"/>
              </w:rPr>
              <w:t>年</w:t>
            </w:r>
            <w:r>
              <w:t>度没有国有资本经营预算支出，故本表无数据</w:t>
            </w:r>
          </w:p>
          <w:p>
            <w:pPr>
              <w:pStyle w:val="26"/>
              <w:bidi w:val="0"/>
              <w:jc w:val="both"/>
              <w:rPr>
                <w:vertAlign w:val="baseline"/>
              </w:rPr>
            </w:pPr>
          </w:p>
        </w:tc>
      </w:tr>
    </w:tbl>
    <w:p>
      <w:pPr>
        <w:pStyle w:val="26"/>
        <w:bidi w:val="0"/>
      </w:pPr>
    </w:p>
    <w:p>
      <w:r>
        <w:br w:type="page"/>
      </w:r>
    </w:p>
    <w:p>
      <w:pPr>
        <w:pStyle w:val="22"/>
        <w:keepNext/>
        <w:keepLines/>
        <w:spacing w:after="240"/>
        <w:jc w:val="center"/>
        <w:rPr>
          <w:rFonts w:hint="default" w:eastAsia="宋体"/>
          <w:lang w:val="en-US" w:eastAsia="zh-CN"/>
        </w:rPr>
      </w:pPr>
      <w:r>
        <w:rPr>
          <w:rFonts w:hint="eastAsia"/>
          <w:lang w:val="en-US" w:eastAsia="zh-CN"/>
        </w:rPr>
        <w:t>2024年度预算项目绩效目标公开表</w:t>
      </w:r>
    </w:p>
    <w:tbl>
      <w:tblPr>
        <w:tblStyle w:val="4"/>
        <w:tblW w:w="0" w:type="auto"/>
        <w:tblInd w:w="0" w:type="dxa"/>
        <w:tblLayout w:type="fixed"/>
        <w:tblCellMar>
          <w:top w:w="0" w:type="dxa"/>
          <w:left w:w="10" w:type="dxa"/>
          <w:bottom w:w="0" w:type="dxa"/>
          <w:right w:w="10" w:type="dxa"/>
        </w:tblCellMar>
      </w:tblPr>
      <w:tblGrid>
        <w:gridCol w:w="1843"/>
        <w:gridCol w:w="2559"/>
        <w:gridCol w:w="3350"/>
        <w:gridCol w:w="1511"/>
        <w:gridCol w:w="6076"/>
      </w:tblGrid>
      <w:tr>
        <w:tblPrEx>
          <w:tblCellMar>
            <w:top w:w="0" w:type="dxa"/>
            <w:left w:w="10" w:type="dxa"/>
            <w:bottom w:w="0" w:type="dxa"/>
            <w:right w:w="10" w:type="dxa"/>
          </w:tblCellMar>
        </w:tblPrEx>
        <w:trPr>
          <w:trHeight w:val="346" w:hRule="exact"/>
        </w:trPr>
        <w:tc>
          <w:tcPr>
            <w:tcW w:w="9263" w:type="dxa"/>
            <w:gridSpan w:val="4"/>
            <w:shd w:val="clear" w:color="auto" w:fill="FFFFFF"/>
          </w:tcPr>
          <w:p>
            <w:pPr>
              <w:pStyle w:val="24"/>
              <w:spacing w:line="240" w:lineRule="auto"/>
              <w:ind w:firstLine="0"/>
              <w:jc w:val="left"/>
              <w:rPr>
                <w:rFonts w:hint="default" w:ascii="宋体" w:hAnsi="宋体" w:eastAsia="宋体" w:cs="宋体"/>
                <w:sz w:val="17"/>
                <w:szCs w:val="17"/>
                <w:lang w:val="en-US"/>
              </w:rPr>
            </w:pPr>
            <w:r>
              <w:rPr>
                <w:rFonts w:hint="eastAsia" w:ascii="宋体" w:hAnsi="宋体" w:eastAsia="宋体" w:cs="宋体"/>
                <w:sz w:val="17"/>
                <w:szCs w:val="17"/>
              </w:rPr>
              <w:t>单位名称：</w:t>
            </w:r>
            <w:r>
              <w:rPr>
                <w:rFonts w:hint="eastAsia" w:ascii="宋体" w:hAnsi="宋体" w:eastAsia="宋体" w:cs="宋体"/>
                <w:sz w:val="17"/>
                <w:szCs w:val="17"/>
                <w:lang w:eastAsia="zh-CN"/>
              </w:rPr>
              <w:t>环江毛南族自治县大数据发展局</w:t>
            </w:r>
            <w:r>
              <w:rPr>
                <w:rFonts w:hint="eastAsia" w:cs="宋体"/>
                <w:sz w:val="17"/>
                <w:szCs w:val="17"/>
                <w:lang w:val="en-US" w:eastAsia="zh-CN"/>
              </w:rPr>
              <w:t xml:space="preserve">            </w:t>
            </w:r>
          </w:p>
        </w:tc>
        <w:tc>
          <w:tcPr>
            <w:tcW w:w="6076" w:type="dxa"/>
            <w:shd w:val="clear" w:color="auto" w:fill="FFFFFF"/>
          </w:tcPr>
          <w:p>
            <w:pPr>
              <w:pStyle w:val="24"/>
              <w:spacing w:line="240" w:lineRule="auto"/>
              <w:ind w:firstLine="4760" w:firstLineChars="2800"/>
              <w:jc w:val="left"/>
              <w:rPr>
                <w:rFonts w:hint="eastAsia" w:ascii="宋体" w:hAnsi="宋体" w:eastAsia="宋体" w:cs="宋体"/>
                <w:sz w:val="17"/>
                <w:szCs w:val="17"/>
              </w:rPr>
            </w:pPr>
            <w:r>
              <w:rPr>
                <w:rFonts w:hint="eastAsia" w:ascii="宋体" w:hAnsi="宋体" w:eastAsia="宋体" w:cs="宋体"/>
                <w:sz w:val="17"/>
                <w:szCs w:val="17"/>
              </w:rPr>
              <w:t>单位：万元</w:t>
            </w:r>
          </w:p>
        </w:tc>
      </w:tr>
      <w:tr>
        <w:tblPrEx>
          <w:tblCellMar>
            <w:top w:w="0" w:type="dxa"/>
            <w:left w:w="10" w:type="dxa"/>
            <w:bottom w:w="0" w:type="dxa"/>
            <w:right w:w="10" w:type="dxa"/>
          </w:tblCellMar>
        </w:tblPrEx>
        <w:trPr>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ascii="宋体" w:hAnsi="宋体" w:eastAsia="宋体" w:cs="宋体"/>
                <w:sz w:val="17"/>
                <w:u w:color="auto"/>
              </w:rPr>
              <w:t>单位代码</w:t>
            </w:r>
          </w:p>
        </w:tc>
        <w:tc>
          <w:tcPr>
            <w:tcW w:w="2559"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4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单位名称</w:t>
            </w:r>
          </w:p>
        </w:tc>
        <w:tc>
          <w:tcPr>
            <w:tcW w:w="335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项目名称</w:t>
            </w:r>
          </w:p>
        </w:tc>
        <w:tc>
          <w:tcPr>
            <w:tcW w:w="1511"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预算金额</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年度绩效目标</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140001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环江毛南族自治县大数据发展局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党支部组织生活费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0.12</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局党支部共有12个党员，100元／人，共1200元。每年开展党员民主生活会3次，开展党的政治生日活动1次。</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140001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环江毛南族自治县大数据发展局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综合办公平台国产终端设备经费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10.00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信创工作：全面加强广西党政机关综合办公平台推广应用，购置综合办公平台国产台式（非涉密）计算机终端设备405台（8500元／台）；购置综合办公平台国产台式（涉密）计算机终端设备17台（15000元／台）。</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140001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环江毛南族自治县大数据发展局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编外长聘人员支出</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11.76</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保安保洁电工共5人，全年需要发放工资及社会保障缴费支出10.36万元，其他福利支出1.4万元。</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140001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环江毛南族自治县大数据发展局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日常办公费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35.09</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保运转经费35.09万元，其中：一、1至3楼办证服务大厅全年共需要缴纳电费 10.7万元；二、1至3楼服务大厅全年共需要缴纳水费0.75元；三、村级143个便民服务中心网络通讯费及本局办公电话费，  全年共需缴纳邮电费10.64万元；四、帮扶干部按照扶贫工作有关要求，每个月下乡开展帮扶工作3-6天，根据工作需要干部职工外出出差培训、参加会议、报送材料等工作，全年共需要差旅费13万元。</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140001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环江毛南族自治县大数据发展局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业务经费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24.65</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日常业务经费24.65万元，其中：一、1至3楼政务大厅及本局全年需要办公费8.25万元；二、全年需要征订各类报刊杂志共1.2万元；三、每年需要制作公开展板、宣传栏、横幅、标语、工作引导牌等其他商品和服务支出费用3017元；四、每年开展30多次政务服务业务、大数据建设技术业务培训会（班），全年需要会议费1500元、培训费2000元；五、物业管理费，全年需要3000元；六、检查组到我局检查指导各项工作不少于15次，全年需要公务接待费1万元。七、2023年全县电子政务外网进行升级改造、扩容扩建，全县各党政机关、事业单位、13个乡镇（街道办事处）及其二层机构实现了电子政务网外网网络全覆盖；全年运维费、办公设备采购、设备维修维护费、机房电费、发电机油费、线路维修维护费、差旅费、培训费、会议费等各种费用共7.45万元。八、根据自治区电子招投标全覆盖要求，对电子招投标平台进行升级改造，每年开展招投标活动300多场次，开标厅、4个评标室、监控室、交易服务厅、机房等全年运维费、办公费、办公设备采购、设备维修维护费、系统维修维护费、差旅费、培训费、会议费等各种费用共7万元。</w:t>
            </w:r>
          </w:p>
        </w:tc>
      </w:tr>
    </w:tbl>
    <w:p>
      <w:pPr>
        <w:jc w:val="left"/>
        <w:rPr>
          <w:rFonts w:hint="eastAsia"/>
        </w:rPr>
      </w:pPr>
      <w:r>
        <w:t>注：本报表金额单位转换时可能存在四舍五入尾数误差。</w:t>
      </w:r>
    </w:p>
    <w:p>
      <w:pPr>
        <w:jc w:val="left"/>
        <w:rPr>
          <w:rFonts w:hint="eastAsia"/>
          <w:lang w:eastAsia="zh-CN"/>
        </w:rPr>
        <w:sectPr>
          <w:headerReference r:id="rId10" w:type="default"/>
          <w:footerReference r:id="rId11" w:type="default"/>
          <w:pgSz w:w="16840" w:h="11900" w:orient="landscape"/>
          <w:pgMar w:top="2714" w:right="764" w:bottom="2714" w:left="735" w:header="2286" w:footer="3" w:gutter="0"/>
          <w:pgBorders>
            <w:top w:val="none" w:sz="0" w:space="0"/>
            <w:left w:val="none" w:sz="0" w:space="0"/>
            <w:bottom w:val="none" w:sz="0" w:space="0"/>
            <w:right w:val="none" w:sz="0" w:space="0"/>
          </w:pgBorders>
          <w:cols w:space="720" w:num="1"/>
          <w:docGrid w:linePitch="360" w:charSpace="0"/>
        </w:sectPr>
      </w:pPr>
    </w:p>
    <w:p>
      <w:pPr>
        <w:pStyle w:val="12"/>
        <w:keepNext/>
        <w:keepLines/>
        <w:spacing w:before="200" w:after="0"/>
        <w:jc w:val="center"/>
      </w:pPr>
      <w:bookmarkStart w:id="31" w:name="bookmark96"/>
      <w:bookmarkStart w:id="32" w:name="bookmark94"/>
      <w:bookmarkStart w:id="33" w:name="bookmark95"/>
      <w:r>
        <w:t>第四部分名词解释</w:t>
      </w:r>
      <w:bookmarkEnd w:id="31"/>
      <w:bookmarkEnd w:id="32"/>
      <w:bookmarkEnd w:id="33"/>
    </w:p>
    <w:p>
      <w:pPr>
        <w:pStyle w:val="18"/>
        <w:tabs>
          <w:tab w:val="left" w:pos="1270"/>
        </w:tabs>
        <w:spacing w:line="626" w:lineRule="exact"/>
        <w:ind w:firstLine="640"/>
        <w:jc w:val="left"/>
      </w:pPr>
      <w:bookmarkStart w:id="34" w:name="bookmark97"/>
      <w:r>
        <w:t>一</w:t>
      </w:r>
      <w:bookmarkEnd w:id="34"/>
      <w:r>
        <w:t>、</w:t>
      </w:r>
      <w:r>
        <w:tab/>
      </w:r>
      <w:r>
        <w:t>财政拨款收入：指预算单位从本级财政部门取得的财政预算资金收入。</w:t>
      </w:r>
    </w:p>
    <w:p>
      <w:pPr>
        <w:pStyle w:val="18"/>
        <w:tabs>
          <w:tab w:val="left" w:pos="1280"/>
        </w:tabs>
        <w:spacing w:line="626" w:lineRule="exact"/>
        <w:ind w:firstLine="640"/>
        <w:jc w:val="left"/>
      </w:pPr>
      <w:bookmarkStart w:id="35" w:name="bookmark98"/>
      <w:r>
        <w:t>二</w:t>
      </w:r>
      <w:bookmarkEnd w:id="35"/>
      <w:r>
        <w:t>、</w:t>
      </w:r>
      <w:r>
        <w:tab/>
      </w:r>
      <w:r>
        <w:t>事业收入：指事业单位开展专业业务活动及辅助活动所取得的收入。</w:t>
      </w:r>
    </w:p>
    <w:p>
      <w:pPr>
        <w:pStyle w:val="18"/>
        <w:tabs>
          <w:tab w:val="left" w:pos="1275"/>
        </w:tabs>
        <w:spacing w:line="626" w:lineRule="exact"/>
        <w:ind w:firstLine="640"/>
        <w:jc w:val="left"/>
      </w:pPr>
      <w:bookmarkStart w:id="36" w:name="bookmark99"/>
      <w:r>
        <w:t>三</w:t>
      </w:r>
      <w:bookmarkEnd w:id="36"/>
      <w:r>
        <w:t>、</w:t>
      </w:r>
      <w:r>
        <w:tab/>
      </w:r>
      <w:r>
        <w:t>经营收入：指事业单位在专业业务活动及其辅助活动之外开展非独立核算经营活动取得的收入。</w:t>
      </w:r>
    </w:p>
    <w:p>
      <w:pPr>
        <w:pStyle w:val="18"/>
        <w:tabs>
          <w:tab w:val="left" w:pos="1309"/>
        </w:tabs>
        <w:spacing w:line="626" w:lineRule="exact"/>
        <w:ind w:firstLine="640"/>
        <w:jc w:val="left"/>
      </w:pPr>
      <w:bookmarkStart w:id="37" w:name="bookmark100"/>
      <w:r>
        <w:t>四</w:t>
      </w:r>
      <w:bookmarkEnd w:id="37"/>
      <w:r>
        <w:t>、</w:t>
      </w:r>
      <w:r>
        <w:tab/>
      </w:r>
      <w:r>
        <w:t>其他收入：指除上述</w:t>
      </w:r>
      <w:r>
        <w:rPr>
          <w:lang w:val="zh-CN" w:eastAsia="zh-CN" w:bidi="zh-CN"/>
        </w:rPr>
        <w:t>“财</w:t>
      </w:r>
      <w:r>
        <w:t>政拨款收入”、</w:t>
      </w:r>
      <w:r>
        <w:rPr>
          <w:lang w:val="zh-CN" w:eastAsia="zh-CN" w:bidi="zh-CN"/>
        </w:rPr>
        <w:t>“事</w:t>
      </w:r>
      <w:r>
        <w:t>业收入"、</w:t>
      </w:r>
      <w:r>
        <w:rPr>
          <w:lang w:val="zh-CN" w:eastAsia="zh-CN" w:bidi="zh-CN"/>
        </w:rPr>
        <w:t>“经营</w:t>
      </w:r>
      <w:r>
        <w:t>收入"等以外的收入。主要是非本级财政拨款、存款利息收入、事业单位固定资产出租收入等。</w:t>
      </w:r>
    </w:p>
    <w:p>
      <w:pPr>
        <w:pStyle w:val="18"/>
        <w:tabs>
          <w:tab w:val="left" w:pos="1275"/>
        </w:tabs>
        <w:spacing w:line="626" w:lineRule="exact"/>
        <w:ind w:firstLine="640"/>
        <w:jc w:val="left"/>
      </w:pPr>
      <w:bookmarkStart w:id="38" w:name="bookmark101"/>
      <w:r>
        <w:t>五</w:t>
      </w:r>
      <w:bookmarkEnd w:id="38"/>
      <w:r>
        <w:t>、</w:t>
      </w:r>
      <w:r>
        <w:tab/>
      </w:r>
      <w:r>
        <w:t>用事业基金弥补收支差额：指事业单位在用当年的</w:t>
      </w:r>
      <w:r>
        <w:rPr>
          <w:lang w:val="zh-CN" w:eastAsia="zh-CN" w:bidi="zh-CN"/>
        </w:rPr>
        <w:t>“财</w:t>
      </w:r>
      <w:r>
        <w:t>政拨款收入"、</w:t>
      </w:r>
      <w:r>
        <w:rPr>
          <w:lang w:val="zh-CN" w:eastAsia="zh-CN" w:bidi="zh-CN"/>
        </w:rPr>
        <w:t>“事业</w:t>
      </w:r>
      <w:r>
        <w:t>收入"、</w:t>
      </w:r>
      <w:r>
        <w:rPr>
          <w:lang w:val="zh-CN" w:eastAsia="zh-CN" w:bidi="zh-CN"/>
        </w:rPr>
        <w:t>“经营</w:t>
      </w:r>
      <w:r>
        <w:t>收入"、</w:t>
      </w:r>
      <w:r>
        <w:rPr>
          <w:lang w:val="zh-CN" w:eastAsia="zh-CN" w:bidi="zh-CN"/>
        </w:rPr>
        <w:t>“其他</w:t>
      </w:r>
      <w:r>
        <w:t>收入"不足以安排当年支出的情况下，使用以前年度积累的事业基金（事业单位当年收支相抵后按国家规定提取、用于弥补以后年度收支差额的基金）弥补本年度收支缺口的资金。</w:t>
      </w:r>
    </w:p>
    <w:p>
      <w:pPr>
        <w:pStyle w:val="18"/>
        <w:tabs>
          <w:tab w:val="left" w:pos="1270"/>
        </w:tabs>
        <w:spacing w:line="626" w:lineRule="exact"/>
        <w:ind w:firstLine="640"/>
        <w:jc w:val="left"/>
      </w:pPr>
      <w:bookmarkStart w:id="39" w:name="bookmark102"/>
      <w:r>
        <w:t>六</w:t>
      </w:r>
      <w:bookmarkEnd w:id="39"/>
      <w:r>
        <w:t>、</w:t>
      </w:r>
      <w:r>
        <w:tab/>
      </w:r>
      <w:r>
        <w:t>年初结转和结余：指以前年度尚未完成、结转到本年按有关规定继续使用的资金。</w:t>
      </w:r>
    </w:p>
    <w:p>
      <w:pPr>
        <w:pStyle w:val="18"/>
        <w:tabs>
          <w:tab w:val="left" w:pos="1275"/>
        </w:tabs>
        <w:spacing w:line="626" w:lineRule="exact"/>
        <w:ind w:firstLine="640"/>
        <w:jc w:val="left"/>
      </w:pPr>
      <w:bookmarkStart w:id="40" w:name="bookmark103"/>
      <w:r>
        <w:t>七</w:t>
      </w:r>
      <w:bookmarkEnd w:id="40"/>
      <w:r>
        <w:t>、</w:t>
      </w:r>
      <w:r>
        <w:tab/>
      </w:r>
      <w:r>
        <w:t>结余分配：指事业单位按规定提取的职工福利基金、事业基金和缴纳的所得税，以及建设单位按规定应交回的基本建设竣工项目结余资金。</w:t>
      </w:r>
    </w:p>
    <w:p>
      <w:pPr>
        <w:pStyle w:val="18"/>
        <w:tabs>
          <w:tab w:val="left" w:pos="632"/>
        </w:tabs>
        <w:spacing w:line="626" w:lineRule="exact"/>
        <w:ind w:firstLine="640"/>
        <w:jc w:val="left"/>
      </w:pPr>
      <w:bookmarkStart w:id="41" w:name="bookmark104"/>
      <w:r>
        <w:t>八</w:t>
      </w:r>
      <w:bookmarkEnd w:id="41"/>
      <w:r>
        <w:t>、</w:t>
      </w:r>
      <w:r>
        <w:tab/>
      </w:r>
      <w:r>
        <w:t>年末结转和结余：指本年度或以前年度预算安排、因客观条件发生变化无法按原计划实施，需要延迟到以后年度按有关规定继续使用的资金。</w:t>
      </w:r>
    </w:p>
    <w:p>
      <w:pPr>
        <w:pStyle w:val="18"/>
        <w:spacing w:line="628" w:lineRule="exact"/>
        <w:ind w:firstLine="640"/>
        <w:jc w:val="left"/>
      </w:pPr>
      <w:bookmarkStart w:id="42" w:name="bookmark105"/>
      <w:r>
        <w:t>九</w:t>
      </w:r>
      <w:bookmarkEnd w:id="42"/>
      <w:r>
        <w:t>、基本支出：指为保障机构正常运转、完成日常工作任务而发生的人员支出和公用支出。</w:t>
      </w:r>
    </w:p>
    <w:p>
      <w:pPr>
        <w:pStyle w:val="18"/>
        <w:spacing w:line="628" w:lineRule="exact"/>
        <w:ind w:firstLine="640"/>
        <w:jc w:val="left"/>
      </w:pPr>
      <w:r>
        <w:t>十、项目支出：指在基本支出之外为完成特定行政任务和事业发展目标所发生的支出。</w:t>
      </w:r>
    </w:p>
    <w:p>
      <w:pPr>
        <w:pStyle w:val="18"/>
        <w:spacing w:line="628" w:lineRule="exact"/>
        <w:ind w:firstLine="640"/>
        <w:jc w:val="left"/>
      </w:pPr>
      <w:r>
        <w:t>十一、经营支出：指事业单位在专业业务活动及其辅助活动之外开展非独立核算经营活动所发生的支出。</w:t>
      </w:r>
    </w:p>
    <w:p>
      <w:pPr>
        <w:pStyle w:val="18"/>
        <w:spacing w:line="628" w:lineRule="exact"/>
        <w:ind w:firstLine="640"/>
        <w:jc w:val="left"/>
      </w:pPr>
      <w:r>
        <w:t>十二、</w:t>
      </w:r>
      <w:r>
        <w:rPr>
          <w:lang w:val="zh-CN" w:eastAsia="zh-CN" w:bidi="zh-CN"/>
        </w:rPr>
        <w:t>“三</w:t>
      </w:r>
      <w:r>
        <w:t>公”经费：纳入财政预决算管理的</w:t>
      </w:r>
      <w:r>
        <w:rPr>
          <w:lang w:val="zh-CN" w:eastAsia="zh-CN" w:bidi="zh-CN"/>
        </w:rPr>
        <w:t>“三公</w:t>
      </w:r>
      <w:r>
        <w:t>”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18"/>
        <w:spacing w:line="628" w:lineRule="exact"/>
        <w:ind w:firstLine="640"/>
        <w:jc w:val="left"/>
      </w:pPr>
      <w:r>
        <w:t>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12" w:type="default"/>
      <w:footerReference r:id="rId13" w:type="default"/>
      <w:type w:val="continuous"/>
      <w:pgSz w:w="11900" w:h="16840"/>
      <w:pgMar w:top="1302" w:right="1735" w:bottom="1568" w:left="1793" w:header="874" w:footer="3"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731"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20"/>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7216;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MCLEdsAAAANAQAADwAAAAAAAAABACAAAAAiAAAAZHJzL2Rvd25yZXYueG1sUEsBAhQAFAAAAAgA&#10;h07iQDdEueHpAQAA5AMAAA4AAAAAAAAAAQAgAAAAKgEAAGRycy9lMm9Eb2MueG1sUEsFBgAAAAAG&#10;AAYAWQEAAIUFAAAAAA==&#10;">
              <v:fill on="f" focussize="0,0"/>
              <v:stroke on="f"/>
              <v:imagedata o:title=""/>
              <o:lock v:ext="edit" aspectratio="f"/>
              <v:textbox inset="0mm,0mm,0mm,0mm" style="mso-fit-shape-to-text:t;">
                <w:txbxContent>
                  <w:p>
                    <w:pPr>
                      <w:pStyle w:val="20"/>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732"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20"/>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6192;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MCLEdsAAAANAQAADwAAAAAAAAABACAAAAAiAAAAZHJzL2Rvd25yZXYueG1sUEsBAhQAFAAAAAgA&#10;h07iQApa1erpAQAA5AMAAA4AAAAAAAAAAQAgAAAAKgEAAGRycy9lMm9Eb2MueG1sUEsFBgAAAAAG&#10;AAYAWQEAAIUFAAAAAA==&#10;">
              <v:fill on="f" focussize="0,0"/>
              <v:stroke on="f"/>
              <v:imagedata o:title=""/>
              <o:lock v:ext="edit" aspectratio="f"/>
              <v:textbox inset="0mm,0mm,0mm,0mm" style="mso-fit-shape-to-text:t;">
                <w:txbxContent>
                  <w:p>
                    <w:pPr>
                      <w:pStyle w:val="20"/>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dit="readOnly" w:enforcement="1" w:cryptProviderType="rsaAES" w:cryptAlgorithmClass="hash" w:cryptAlgorithmType="typeAny" w:cryptAlgorithmSid="14" w:cryptSpinCount="100000" w:hash="tDsHubWUllUQWtYa0Z6OESqRd1MFeFGRNNrtRg13RKwHT97tag9V+9gxwOYDjIKEhjvLdnc0AXLJTkPfixCY1Q==" w:salt="rDL+cBrtkXRdbZF/5mBmvQ=="/>
  <w:defaultTabStop w:val="420"/>
  <w:drawingGridHorizontalSpacing w:val="181"/>
  <w:drawingGridVerticalSpacing w:val="181"/>
  <w:noPunctuationKerning w:val="1"/>
  <w:characterSpacingControl w:val="compressPunctuation"/>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wZTIwMjA5OTI4N2MwODc2NzEzYWVkMzg3YjQ5NmMifQ=="/>
  </w:docVars>
  <w:rsids>
    <w:rsidRoot w:val="00000000"/>
    <w:rsid w:val="61B7452A"/>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Comment Text"/>
    <w:basedOn w:val="1"/>
    <w:qFormat/>
    <w:uiPriority w:val="0"/>
  </w:style>
  <w:style w:type="character" w:customStyle="1" w:styleId="8">
    <w:name w:val="Comment Reference"/>
    <w:basedOn w:val="6"/>
    <w:qFormat/>
    <w:uiPriority w:val="0"/>
    <w:rPr>
      <w:sz w:val="21"/>
      <w:szCs w:val="21"/>
    </w:rPr>
  </w:style>
  <w:style w:type="character" w:customStyle="1" w:styleId="9">
    <w:name w:val="Body text|5_"/>
    <w:basedOn w:val="6"/>
    <w:link w:val="10"/>
    <w:qFormat/>
    <w:uiPriority w:val="0"/>
    <w:rPr>
      <w:rFonts w:ascii="宋体" w:hAnsi="宋体" w:eastAsia="宋体" w:cs="宋体"/>
      <w:sz w:val="54"/>
      <w:szCs w:val="54"/>
      <w:u w:val="none"/>
      <w:shd w:val="clear" w:color="auto" w:fill="auto"/>
      <w:lang w:val="zh-TW" w:eastAsia="zh-TW" w:bidi="zh-TW"/>
    </w:rPr>
  </w:style>
  <w:style w:type="paragraph" w:customStyle="1" w:styleId="10">
    <w:name w:val="Body text|5"/>
    <w:basedOn w:val="1"/>
    <w:link w:val="9"/>
    <w:qFormat/>
    <w:uiPriority w:val="0"/>
    <w:pPr>
      <w:jc w:val="center"/>
    </w:pPr>
    <w:rPr>
      <w:rFonts w:ascii="宋体" w:hAnsi="宋体" w:eastAsia="宋体" w:cs="宋体"/>
      <w:sz w:val="54"/>
      <w:szCs w:val="54"/>
      <w:lang w:val="zh-TW" w:eastAsia="zh-TW" w:bidi="zh-TW"/>
    </w:rPr>
  </w:style>
  <w:style w:type="character" w:customStyle="1" w:styleId="11">
    <w:name w:val="Heading #1|1_"/>
    <w:basedOn w:val="6"/>
    <w:link w:val="12"/>
    <w:qFormat/>
    <w:uiPriority w:val="0"/>
    <w:rPr>
      <w:rFonts w:ascii="宋体" w:hAnsi="宋体" w:eastAsia="宋体" w:cs="宋体"/>
      <w:sz w:val="44"/>
      <w:szCs w:val="44"/>
      <w:u w:val="none"/>
      <w:shd w:val="clear" w:color="auto" w:fill="auto"/>
      <w:lang w:val="zh-TW" w:eastAsia="zh-TW" w:bidi="zh-TW"/>
    </w:rPr>
  </w:style>
  <w:style w:type="paragraph" w:customStyle="1" w:styleId="12">
    <w:name w:val="Heading #1|1"/>
    <w:basedOn w:val="1"/>
    <w:link w:val="11"/>
    <w:qFormat/>
    <w:uiPriority w:val="0"/>
    <w:pPr>
      <w:spacing w:after="400"/>
      <w:jc w:val="center"/>
      <w:outlineLvl w:val="0"/>
    </w:pPr>
    <w:rPr>
      <w:rFonts w:ascii="宋体" w:hAnsi="宋体" w:eastAsia="宋体" w:cs="宋体"/>
      <w:sz w:val="44"/>
      <w:szCs w:val="44"/>
      <w:lang w:val="zh-TW" w:eastAsia="zh-TW" w:bidi="zh-TW"/>
    </w:rPr>
  </w:style>
  <w:style w:type="character" w:customStyle="1" w:styleId="13">
    <w:name w:val="Header or footer|2_"/>
    <w:basedOn w:val="6"/>
    <w:link w:val="14"/>
    <w:qFormat/>
    <w:uiPriority w:val="0"/>
    <w:rPr>
      <w:sz w:val="20"/>
      <w:szCs w:val="20"/>
      <w:u w:val="none"/>
      <w:shd w:val="clear" w:color="auto" w:fill="auto"/>
      <w:lang w:val="zh-TW" w:eastAsia="zh-TW" w:bidi="zh-TW"/>
    </w:rPr>
  </w:style>
  <w:style w:type="paragraph" w:customStyle="1" w:styleId="14">
    <w:name w:val="Header or footer|2"/>
    <w:basedOn w:val="1"/>
    <w:link w:val="13"/>
    <w:qFormat/>
    <w:uiPriority w:val="0"/>
    <w:rPr>
      <w:sz w:val="20"/>
      <w:szCs w:val="20"/>
      <w:lang w:val="zh-TW" w:eastAsia="zh-TW" w:bidi="zh-TW"/>
    </w:rPr>
  </w:style>
  <w:style w:type="character" w:customStyle="1" w:styleId="15">
    <w:name w:val="Body text|2_"/>
    <w:basedOn w:val="6"/>
    <w:link w:val="16"/>
    <w:qFormat/>
    <w:uiPriority w:val="0"/>
    <w:rPr>
      <w:rFonts w:ascii="宋体" w:hAnsi="宋体" w:eastAsia="宋体" w:cs="宋体"/>
      <w:sz w:val="32"/>
      <w:szCs w:val="32"/>
      <w:u w:val="none"/>
      <w:shd w:val="clear" w:color="auto" w:fill="auto"/>
      <w:lang w:val="zh-TW" w:eastAsia="zh-TW" w:bidi="zh-TW"/>
    </w:rPr>
  </w:style>
  <w:style w:type="paragraph" w:customStyle="1" w:styleId="16">
    <w:name w:val="Body text|2"/>
    <w:basedOn w:val="1"/>
    <w:link w:val="15"/>
    <w:qFormat/>
    <w:uiPriority w:val="0"/>
    <w:pPr>
      <w:spacing w:after="240"/>
      <w:ind w:firstLine="560"/>
    </w:pPr>
    <w:rPr>
      <w:rFonts w:ascii="宋体" w:hAnsi="宋体" w:eastAsia="宋体" w:cs="宋体"/>
      <w:sz w:val="32"/>
      <w:szCs w:val="32"/>
      <w:lang w:val="zh-TW" w:eastAsia="zh-TW" w:bidi="zh-TW"/>
    </w:rPr>
  </w:style>
  <w:style w:type="character" w:customStyle="1" w:styleId="17">
    <w:name w:val="Body text|1_"/>
    <w:basedOn w:val="6"/>
    <w:link w:val="18"/>
    <w:qFormat/>
    <w:uiPriority w:val="0"/>
    <w:rPr>
      <w:rFonts w:ascii="宋体" w:hAnsi="宋体" w:eastAsia="宋体" w:cs="宋体"/>
      <w:sz w:val="28"/>
      <w:szCs w:val="28"/>
      <w:u w:val="none"/>
      <w:shd w:val="clear" w:color="auto" w:fill="auto"/>
      <w:lang w:val="zh-TW" w:eastAsia="zh-TW" w:bidi="zh-TW"/>
    </w:rPr>
  </w:style>
  <w:style w:type="paragraph" w:customStyle="1" w:styleId="18">
    <w:name w:val="Body text|1"/>
    <w:basedOn w:val="1"/>
    <w:link w:val="17"/>
    <w:qFormat/>
    <w:uiPriority w:val="0"/>
    <w:pPr>
      <w:spacing w:line="468" w:lineRule="auto"/>
      <w:ind w:firstLine="400"/>
    </w:pPr>
    <w:rPr>
      <w:rFonts w:ascii="宋体" w:hAnsi="宋体" w:eastAsia="宋体" w:cs="宋体"/>
      <w:sz w:val="28"/>
      <w:szCs w:val="28"/>
      <w:lang w:val="zh-TW" w:eastAsia="zh-TW" w:bidi="zh-TW"/>
    </w:rPr>
  </w:style>
  <w:style w:type="character" w:customStyle="1" w:styleId="19">
    <w:name w:val="Header or footer|1_"/>
    <w:basedOn w:val="6"/>
    <w:link w:val="20"/>
    <w:qFormat/>
    <w:uiPriority w:val="0"/>
    <w:rPr>
      <w:b/>
      <w:bCs/>
      <w:sz w:val="17"/>
      <w:szCs w:val="17"/>
      <w:u w:val="none"/>
      <w:shd w:val="clear" w:color="auto" w:fill="auto"/>
      <w:lang w:val="zh-TW" w:eastAsia="zh-TW" w:bidi="zh-TW"/>
    </w:rPr>
  </w:style>
  <w:style w:type="paragraph" w:customStyle="1" w:styleId="20">
    <w:name w:val="Header or footer|1"/>
    <w:basedOn w:val="1"/>
    <w:link w:val="19"/>
    <w:qFormat/>
    <w:uiPriority w:val="0"/>
    <w:rPr>
      <w:b/>
      <w:bCs/>
      <w:sz w:val="17"/>
      <w:szCs w:val="17"/>
      <w:lang w:val="zh-TW" w:eastAsia="zh-TW" w:bidi="zh-TW"/>
    </w:rPr>
  </w:style>
  <w:style w:type="character" w:customStyle="1" w:styleId="21">
    <w:name w:val="Heading #2|1_"/>
    <w:basedOn w:val="6"/>
    <w:link w:val="22"/>
    <w:qFormat/>
    <w:uiPriority w:val="0"/>
    <w:rPr>
      <w:rFonts w:ascii="宋体" w:hAnsi="宋体" w:eastAsia="宋体" w:cs="宋体"/>
      <w:sz w:val="26"/>
      <w:szCs w:val="26"/>
      <w:u w:val="none"/>
      <w:shd w:val="clear" w:color="auto" w:fill="auto"/>
      <w:lang w:val="zh-TW" w:eastAsia="zh-TW" w:bidi="zh-TW"/>
    </w:rPr>
  </w:style>
  <w:style w:type="paragraph" w:customStyle="1" w:styleId="22">
    <w:name w:val="Heading #2|1"/>
    <w:basedOn w:val="1"/>
    <w:link w:val="21"/>
    <w:qFormat/>
    <w:uiPriority w:val="0"/>
    <w:pPr>
      <w:spacing w:after="230"/>
      <w:jc w:val="center"/>
      <w:outlineLvl w:val="1"/>
    </w:pPr>
    <w:rPr>
      <w:rFonts w:ascii="宋体" w:hAnsi="宋体" w:eastAsia="宋体" w:cs="宋体"/>
      <w:sz w:val="26"/>
      <w:szCs w:val="26"/>
      <w:lang w:val="zh-TW" w:eastAsia="zh-TW" w:bidi="zh-TW"/>
    </w:rPr>
  </w:style>
  <w:style w:type="character" w:customStyle="1" w:styleId="23">
    <w:name w:val="Other|1_"/>
    <w:basedOn w:val="6"/>
    <w:link w:val="24"/>
    <w:qFormat/>
    <w:uiPriority w:val="0"/>
    <w:rPr>
      <w:rFonts w:ascii="宋体" w:hAnsi="宋体" w:eastAsia="宋体" w:cs="宋体"/>
      <w:sz w:val="28"/>
      <w:szCs w:val="28"/>
      <w:u w:val="none"/>
      <w:shd w:val="clear" w:color="auto" w:fill="auto"/>
      <w:lang w:val="zh-TW" w:eastAsia="zh-TW" w:bidi="zh-TW"/>
    </w:rPr>
  </w:style>
  <w:style w:type="paragraph" w:customStyle="1" w:styleId="24">
    <w:name w:val="Other|1"/>
    <w:basedOn w:val="1"/>
    <w:link w:val="23"/>
    <w:qFormat/>
    <w:uiPriority w:val="0"/>
    <w:pPr>
      <w:spacing w:line="468" w:lineRule="auto"/>
      <w:ind w:firstLine="400"/>
    </w:pPr>
    <w:rPr>
      <w:rFonts w:ascii="宋体" w:hAnsi="宋体" w:eastAsia="宋体" w:cs="宋体"/>
      <w:sz w:val="28"/>
      <w:szCs w:val="28"/>
      <w:lang w:val="zh-TW" w:eastAsia="zh-TW" w:bidi="zh-TW"/>
    </w:rPr>
  </w:style>
  <w:style w:type="character" w:customStyle="1" w:styleId="25">
    <w:name w:val="Table caption|1_"/>
    <w:basedOn w:val="6"/>
    <w:link w:val="26"/>
    <w:qFormat/>
    <w:uiPriority w:val="0"/>
    <w:rPr>
      <w:rFonts w:ascii="宋体" w:hAnsi="宋体" w:eastAsia="宋体" w:cs="宋体"/>
      <w:sz w:val="17"/>
      <w:szCs w:val="17"/>
      <w:u w:val="none"/>
      <w:shd w:val="clear" w:color="auto" w:fill="auto"/>
      <w:lang w:val="zh-TW" w:eastAsia="zh-TW" w:bidi="zh-TW"/>
    </w:rPr>
  </w:style>
  <w:style w:type="paragraph" w:customStyle="1" w:styleId="26">
    <w:name w:val="Table caption|1"/>
    <w:basedOn w:val="1"/>
    <w:link w:val="25"/>
    <w:qFormat/>
    <w:uiPriority w:val="0"/>
    <w:rPr>
      <w:rFonts w:ascii="宋体" w:hAnsi="宋体" w:eastAsia="宋体" w:cs="宋体"/>
      <w:sz w:val="17"/>
      <w:szCs w:val="17"/>
      <w:lang w:val="zh-TW" w:eastAsia="zh-TW" w:bidi="zh-TW"/>
    </w:rPr>
  </w:style>
  <w:style w:type="character" w:customStyle="1" w:styleId="27">
    <w:name w:val="Body text|4_"/>
    <w:basedOn w:val="6"/>
    <w:link w:val="28"/>
    <w:qFormat/>
    <w:uiPriority w:val="0"/>
    <w:rPr>
      <w:rFonts w:ascii="宋体" w:hAnsi="宋体" w:eastAsia="宋体" w:cs="宋体"/>
      <w:sz w:val="17"/>
      <w:szCs w:val="17"/>
      <w:u w:val="none"/>
      <w:shd w:val="clear" w:color="auto" w:fill="auto"/>
      <w:lang w:val="zh-TW" w:eastAsia="zh-TW" w:bidi="zh-TW"/>
    </w:rPr>
  </w:style>
  <w:style w:type="paragraph" w:customStyle="1" w:styleId="28">
    <w:name w:val="Body text|4"/>
    <w:basedOn w:val="1"/>
    <w:link w:val="27"/>
    <w:qFormat/>
    <w:uiPriority w:val="0"/>
    <w:pPr>
      <w:ind w:firstLine="680"/>
    </w:pPr>
    <w:rPr>
      <w:rFonts w:ascii="宋体" w:hAnsi="宋体" w:eastAsia="宋体" w:cs="宋体"/>
      <w:sz w:val="17"/>
      <w:szCs w:val="17"/>
      <w:lang w:val="zh-TW" w:eastAsia="zh-TW" w:bidi="zh-TW"/>
    </w:rPr>
  </w:style>
  <w:style w:type="character" w:customStyle="1" w:styleId="29">
    <w:name w:val="Body text|3_"/>
    <w:basedOn w:val="6"/>
    <w:link w:val="30"/>
    <w:qFormat/>
    <w:uiPriority w:val="0"/>
    <w:rPr>
      <w:sz w:val="30"/>
      <w:szCs w:val="30"/>
      <w:u w:val="none"/>
      <w:shd w:val="clear" w:color="auto" w:fill="auto"/>
      <w:lang w:val="zh-TW" w:eastAsia="zh-TW" w:bidi="zh-TW"/>
    </w:rPr>
  </w:style>
  <w:style w:type="paragraph" w:customStyle="1" w:styleId="30">
    <w:name w:val="Body text|3"/>
    <w:basedOn w:val="1"/>
    <w:link w:val="29"/>
    <w:qFormat/>
    <w:uiPriority w:val="0"/>
    <w:pPr>
      <w:spacing w:after="140" w:line="336" w:lineRule="auto"/>
      <w:ind w:firstLine="370"/>
    </w:pPr>
    <w:rPr>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4.xml"/><Relationship Id="rId24" Type="http://schemas.openxmlformats.org/officeDocument/2006/relationships/customXml" Target="../customXml/item3.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chart" Target="charts/chart6.xml"/><Relationship Id="rId2" Type="http://schemas.openxmlformats.org/officeDocument/2006/relationships/settings" Target="settings.xml"/><Relationship Id="rId19" Type="http://schemas.openxmlformats.org/officeDocument/2006/relationships/chart" Target="charts/chart5.xml"/><Relationship Id="rId18" Type="http://schemas.openxmlformats.org/officeDocument/2006/relationships/chart" Target="charts/chart4.xml"/><Relationship Id="rId17" Type="http://schemas.openxmlformats.org/officeDocument/2006/relationships/chart" Target="charts/chart3.xml"/><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formatCode>General</c:formatCode>
                <c:ptCount val="1"/>
                <c:pt idx="0">
                  <c:v>304.58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Pt>
            <c:idx val="2"/>
            <c:bubble3D val="0"/>
          </c:dPt>
          <c:dLbls>
            <c:delete val="1"/>
          </c:dLbls>
          <c:cat>
            <c:strRef>
              <c:f>Sheet1!$A$2:$A$4</c:f>
              <c:strCache>
                <c:ptCount val="3"/>
                <c:pt idx="0">
                  <c:v>一般公共服务支出</c:v>
                </c:pt>
                <c:pt idx="1">
                  <c:v>社会保障和就业支出</c:v>
                </c:pt>
                <c:pt idx="2">
                  <c:v>住房保障支出</c:v>
                </c:pt>
              </c:strCache>
            </c:strRef>
          </c:cat>
          <c:val>
            <c:numRef>
              <c:f>Sheet1!$B$2:$B$4</c:f>
              <c:numCache>
                <c:formatCode>General</c:formatCode>
                <c:ptCount val="3"/>
                <c:pt idx="0">
                  <c:v>261.28</c:v>
                </c:pt>
                <c:pt idx="1">
                  <c:v>23.27</c:v>
                </c:pt>
                <c:pt idx="2">
                  <c:v>20.03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支出</c:v>
                </c:pt>
                <c:pt idx="1">
                  <c:v>收入</c:v>
                </c:pt>
              </c:strCache>
            </c:strRef>
          </c:cat>
          <c:val>
            <c:numRef>
              <c:f>Sheet1!$B$2:$B$3</c:f>
              <c:numCache>
                <c:formatCode>General</c:formatCode>
                <c:ptCount val="2"/>
                <c:pt idx="0">
                  <c:v>378.47</c:v>
                </c:pt>
                <c:pt idx="1">
                  <c:v>378.47</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支出</c:v>
                </c:pt>
                <c:pt idx="1">
                  <c:v>收入</c:v>
                </c:pt>
              </c:strCache>
            </c:strRef>
          </c:cat>
          <c:val>
            <c:numRef>
              <c:f>Sheet1!$C$2:$C$3</c:f>
              <c:numCache>
                <c:formatCode>General</c:formatCode>
                <c:ptCount val="2"/>
                <c:pt idx="0">
                  <c:v>304.58</c:v>
                </c:pt>
                <c:pt idx="1">
                  <c:v>304.58</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一般公共预算支出情况</a:t>
            </a:r>
            <a:endParaRPr lang="en-US" sz="1100"/>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222.96</c:v>
                </c:pt>
              </c:numCache>
            </c:numRef>
          </c:val>
        </c:ser>
        <c:ser>
          <c:idx val="1"/>
          <c:order val="1"/>
          <c:tx>
            <c:strRef>
              <c:f>Sheet1!$C$1</c:f>
              <c:strCache>
                <c:ptCount val="1"/>
                <c:pt idx="0">
                  <c:v>结转下年支出</c:v>
                </c:pt>
              </c:strCache>
            </c:strRef>
          </c:tx>
          <c:invertIfNegative val="0"/>
          <c:dLbls>
            <c:delete val="1"/>
          </c:dLbls>
          <c:cat>
            <c:strRef>
              <c:f>Sheet1!$A$2</c:f>
              <c:strCache>
                <c:ptCount val="1"/>
                <c:pt idx="0">
                  <c:v>上年</c:v>
                </c:pt>
              </c:strCache>
            </c:strRef>
          </c:cat>
          <c:val>
            <c:numRef>
              <c:f>Sheet1!$C$2</c:f>
              <c:numCache>
                <c:formatCode>General</c:formatCode>
                <c:ptCount val="1"/>
                <c:pt idx="0">
                  <c:v>0</c:v>
                </c:pt>
              </c:numCache>
            </c:numRef>
          </c:val>
        </c:ser>
        <c:ser>
          <c:idx val="2"/>
          <c:order val="2"/>
          <c:tx>
            <c:strRef>
              <c:f>Sheet1!$D$1</c:f>
              <c:strCache>
                <c:ptCount val="1"/>
                <c:pt idx="0">
                  <c:v>项目支出</c:v>
                </c:pt>
              </c:strCache>
            </c:strRef>
          </c:tx>
          <c:invertIfNegative val="0"/>
          <c:dLbls>
            <c:delete val="1"/>
          </c:dLbls>
          <c:cat>
            <c:strRef>
              <c:f>Sheet1!$A$2</c:f>
              <c:strCache>
                <c:ptCount val="1"/>
                <c:pt idx="0">
                  <c:v>上年</c:v>
                </c:pt>
              </c:strCache>
            </c:strRef>
          </c:cat>
          <c:val>
            <c:numRef>
              <c:f>Sheet1!$D$2</c:f>
              <c:numCache>
                <c:formatCode>General</c:formatCode>
                <c:ptCount val="1"/>
                <c:pt idx="0">
                  <c:v>81.62</c:v>
                </c:pt>
              </c:numCache>
            </c:numRef>
          </c:val>
        </c:ser>
        <c:ser>
          <c:idx val="3"/>
          <c:order val="3"/>
          <c:tx>
            <c:strRef>
              <c:f>Sheet1!$E$1</c:f>
              <c:strCache>
                <c:ptCount val="1"/>
                <c:pt idx="0">
                  <c:v>公用经费</c:v>
                </c:pt>
              </c:strCache>
            </c:strRef>
          </c:tx>
          <c:invertIfNegative val="0"/>
          <c:dLbls>
            <c:delete val="1"/>
          </c:dLbls>
          <c:cat>
            <c:strRef>
              <c:f>Sheet1!$A$2</c:f>
              <c:strCache>
                <c:ptCount val="1"/>
                <c:pt idx="0">
                  <c:v>上年</c:v>
                </c:pt>
              </c:strCache>
            </c:strRef>
          </c:cat>
          <c:val>
            <c:numRef>
              <c:f>Sheet1!$E$2</c:f>
              <c:numCache>
                <c:formatCode>General</c:formatCode>
                <c:ptCount val="1"/>
                <c:pt idx="0">
                  <c:v>13.44</c:v>
                </c:pt>
              </c:numCache>
            </c:numRef>
          </c:val>
        </c:ser>
        <c:ser>
          <c:idx val="4"/>
          <c:order val="4"/>
          <c:tx>
            <c:strRef>
              <c:f>Sheet1!$F$1</c:f>
              <c:strCache>
                <c:ptCount val="1"/>
                <c:pt idx="0">
                  <c:v>人员经费</c:v>
                </c:pt>
              </c:strCache>
            </c:strRef>
          </c:tx>
          <c:invertIfNegative val="0"/>
          <c:dLbls>
            <c:delete val="1"/>
          </c:dLbls>
          <c:cat>
            <c:strRef>
              <c:f>Sheet1!$A$2</c:f>
              <c:strCache>
                <c:ptCount val="1"/>
                <c:pt idx="0">
                  <c:v>上年</c:v>
                </c:pt>
              </c:strCache>
            </c:strRef>
          </c:cat>
          <c:val>
            <c:numRef>
              <c:f>Sheet1!$F$2</c:f>
              <c:numCache>
                <c:formatCode>General</c:formatCode>
                <c:ptCount val="1"/>
                <c:pt idx="0">
                  <c:v>209.52</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一般公共预算基本支出情况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Pt>
            <c:idx val="2"/>
            <c:bubble3D val="0"/>
          </c:dPt>
          <c:dLbls>
            <c:delete val="1"/>
          </c:dLbls>
          <c:cat>
            <c:strRef>
              <c:f>Sheet1!$A$2:$A$4</c:f>
              <c:strCache>
                <c:ptCount val="3"/>
                <c:pt idx="0">
                  <c:v>AGENCY_CODE</c:v>
                </c:pt>
                <c:pt idx="1">
                  <c:v>人员经费</c:v>
                </c:pt>
                <c:pt idx="2">
                  <c:v>公用经费</c:v>
                </c:pt>
              </c:strCache>
            </c:strRef>
          </c:cat>
          <c:val>
            <c:numRef>
              <c:f>Sheet1!$B$2:$B$4</c:f>
              <c:numCache>
                <c:formatCode>General</c:formatCode>
                <c:ptCount val="3"/>
                <c:pt idx="0">
                  <c:v>140001</c:v>
                </c:pt>
                <c:pt idx="1">
                  <c:v>209.52</c:v>
                </c:pt>
                <c:pt idx="2">
                  <c:v>13.44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c:v>
                </c:pt>
                <c:pt idx="1">
                  <c:v>1</c:v>
                </c:pt>
                <c:pt idx="2">
                  <c:v>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c:v>
                </c:pt>
                <c:pt idx="1">
                  <c:v>1</c:v>
                </c:pt>
                <c:pt idx="2">
                  <c:v>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FE193AB58C2A4C168D34CB3A6F7CE640_13</vt:lpwstr>
  </property>
</Properties>
</file>

<file path=customXml/item3.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10</TotalTime>
  <ScaleCrop>false</ScaleCrop>
  <LinksUpToDate>false</LinksUpToDate>
  <CharactersWithSpaces>11333</CharactersWithSpaces>
  <Application>WPS Office_12.1.0.16388_F1E327BC-269C-435d-A152-05C5408002CA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向左走</cp:lastModifiedBy>
  <dcterms:modified xsi:type="dcterms:W3CDTF">2024-02-26T10:01:48Z</dcterms:modified>
  <cp:revision>3</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b6c2f6-9c5e-4303-9047-e115ff1f53a3}">
  <ds:schemaRefs/>
</ds:datastoreItem>
</file>

<file path=customXml/itemProps3.xml><?xml version="1.0" encoding="utf-8"?>
<ds:datastoreItem xmlns:ds="http://schemas.openxmlformats.org/officeDocument/2006/customXml" ds:itemID="{f8bb2427-e105-423d-9763-feeb0a0a965c}">
  <ds:schemaRefs/>
</ds:datastoreItem>
</file>

<file path=customXml/itemProps4.xml><?xml version="1.0" encoding="utf-8"?>
<ds:datastoreItem xmlns:ds="http://schemas.openxmlformats.org/officeDocument/2006/customXml" ds:itemID="{1fd68c43-e441-415b-85a1-ce03cc867b12}">
  <ds:schemaRefs/>
</ds:datastoreItem>
</file>

<file path=docProps/app.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11</TotalTime>
  <ScaleCrop>false</ScaleCrop>
  <LinksUpToDate>false</LinksUpToDate>
  <CharactersWithSpaces>11333</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2023-02-07T06:11:00Z</dcterms:created>
  <dc:creator>蔡冬冬</dc:creator>
  <cp:lastModifiedBy>鹅鹅鹅</cp:lastModifiedBy>
  <dcterms:modified xsi:type="dcterms:W3CDTF">2024-02-28T09:53:40Z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82C09F6A0BDD44EFAE415759A5099617</vt:lpwstr>
  </property>
</Properties>
</file>