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lang w:eastAsia="zh-CN"/>
        </w:rPr>
      </w:pPr>
      <w:bookmarkStart w:id="43" w:name="_GoBack"/>
      <w:bookmarkEnd w:id="43"/>
      <w:r>
        <w:rPr>
          <w:rFonts w:hint="eastAsia"/>
          <w:lang w:eastAsia="zh-CN"/>
        </w:rPr>
        <w:t>环江毛南族自治县投资促进局</w:t>
      </w:r>
    </w:p>
    <w:p>
      <w:pPr>
        <w:pStyle w:val="10"/>
        <w:jc w:val="center"/>
        <w:sectPr>
          <w:pgSz w:w="11900" w:h="16840"/>
          <w:pgMar w:top="4713" w:right="1913" w:bottom="4713" w:left="2020" w:header="4285" w:footer="4285" w:gutter="0"/>
          <w:pgBorders>
            <w:top w:val="none" w:sz="0" w:space="0"/>
            <w:left w:val="none" w:sz="0" w:space="0"/>
            <w:bottom w:val="none" w:sz="0" w:space="0"/>
            <w:right w:val="none" w:sz="0" w:space="0"/>
          </w:pgBorders>
          <w:pgNumType w:start="1"/>
          <w:cols w:space="720" w:num="1"/>
          <w:docGrid w:linePitch="360" w:charSpace="0"/>
        </w:sectPr>
      </w:pPr>
      <w:r>
        <w:rPr>
          <w:rFonts w:hint="eastAsia"/>
          <w:lang w:eastAsia="zh-CN"/>
        </w:rPr>
        <w:t>2024</w:t>
      </w:r>
      <w:r>
        <w:rPr>
          <w:rFonts w:ascii="Times New Roman" w:hAnsi="Times New Roman" w:eastAsia="Times New Roman" w:cs="Times New Roman"/>
          <w:sz w:val="56"/>
          <w:u w:color="auto"/>
        </w:rPr>
        <w:t>年</w:t>
      </w:r>
      <w:r>
        <w:t>度部门预算</w:t>
      </w:r>
    </w:p>
    <w:p>
      <w:pPr>
        <w:pStyle w:val="12"/>
        <w:keepNext/>
        <w:keepLines/>
        <w:spacing w:after="240"/>
        <w:jc w:val="center"/>
      </w:pPr>
      <w:bookmarkStart w:id="0" w:name="bookmark0"/>
      <w:bookmarkStart w:id="1" w:name="bookmark1"/>
      <w:bookmarkStart w:id="2" w:name="bookmark2"/>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环江毛南族自治县投资促进局单位</w:t>
      </w:r>
      <w:r>
        <w:t>概况</w:t>
      </w:r>
    </w:p>
    <w:p>
      <w:pPr>
        <w:pStyle w:val="16"/>
        <w:jc w:val="left"/>
      </w:pPr>
      <w:r>
        <w:rPr>
          <w:lang w:val="en-US" w:eastAsia="zh-CN" w:bidi="en-US"/>
        </w:rPr>
        <w:t>—</w:t>
      </w:r>
      <w:r>
        <w:t>、主要职责</w:t>
      </w:r>
    </w:p>
    <w:p>
      <w:pPr>
        <w:pStyle w:val="16"/>
        <w:jc w:val="left"/>
        <w:rPr>
          <w:rFonts w:hint="eastAsia"/>
        </w:rPr>
      </w:pPr>
      <w:r>
        <w:rPr>
          <w:rFonts w:hint="eastAsia"/>
          <w:lang w:val="en-US" w:eastAsia="zh-CN"/>
        </w:rPr>
        <w:t>二、</w:t>
      </w:r>
      <w:r>
        <w:rPr>
          <w:rFonts w:hint="eastAsia"/>
        </w:rPr>
        <w:t>机构设置情况</w:t>
      </w:r>
    </w:p>
    <w:p>
      <w:pPr>
        <w:pStyle w:val="16"/>
        <w:ind w:left="0" w:leftChars="0" w:firstLine="320" w:firstLineChars="100"/>
        <w:jc w:val="left"/>
      </w:pPr>
      <w:r>
        <w:t>第二部分</w:t>
      </w:r>
      <w:r>
        <w:rPr>
          <w:rFonts w:hint="eastAsia"/>
          <w:lang w:eastAsia="zh-CN"/>
        </w:rPr>
        <w:t>：</w:t>
      </w:r>
      <w:r>
        <w:rPr>
          <w:u w:color="auto"/>
        </w:rPr>
        <w:t>环江毛南族自治县投资促进局2024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环江毛南族自治县投资促进局2024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七、一般公开预算“三公”经费支出情况表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3" w:type="default"/>
          <w:pgSz w:w="11900" w:h="16840"/>
          <w:pgMar w:top="1508" w:right="1674" w:bottom="1508" w:left="1851" w:header="1080" w:footer="3" w:gutter="0"/>
          <w:pgBorders>
            <w:top w:val="none" w:sz="0" w:space="0"/>
            <w:left w:val="none" w:sz="0" w:space="0"/>
            <w:bottom w:val="none" w:sz="0" w:space="0"/>
            <w:right w:val="none" w:sz="0" w:space="0"/>
          </w:pgBorders>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spacing w:after="560"/>
        <w:jc w:val="both"/>
      </w:pPr>
      <w:bookmarkStart w:id="3" w:name="bookmark12"/>
      <w:bookmarkStart w:id="4" w:name="bookmark13"/>
      <w:bookmarkStart w:id="5" w:name="bookmark14"/>
    </w:p>
    <w:p>
      <w:pPr>
        <w:pStyle w:val="12"/>
        <w:keepNext/>
        <w:keepLines/>
        <w:spacing w:after="560"/>
        <w:jc w:val="center"/>
        <w:rPr>
          <w:b/>
          <w:bCs/>
        </w:rPr>
      </w:pPr>
      <w:r>
        <w:rPr>
          <w:b/>
          <w:bCs/>
        </w:rPr>
        <w:t>第一部分</w:t>
      </w:r>
      <w:r>
        <w:rPr>
          <w:rFonts w:hint="eastAsia"/>
          <w:b/>
          <w:bCs/>
          <w:lang w:eastAsia="zh-CN"/>
        </w:rPr>
        <w:t>：</w:t>
      </w:r>
      <w:r>
        <w:rPr>
          <w:b/>
          <w:u w:color="auto"/>
        </w:rPr>
        <w:t>环江毛南族自治县投资促进局</w:t>
      </w:r>
      <w:r>
        <w:rPr>
          <w:b/>
          <w:bCs/>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1.贯彻执行党和国家以及地方政府有关对外开放和利用外资的方针、政策、法规；研究制订本县对外招商引资的具体办法和措施及有关规范文件草案，报自治县人民政府批准后组织实施。</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2.参与起草我县招商引资的中长期规划和发展战略，分析我县招商引资状况，提出合理化建议。</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3.贯彻执行国家和地方政府有关外来投资政策，负责组织全县利用外来资金、技术引进，人才引进、补偿贸易等“三来一补”项目的考案、论证、洽谈、签约。</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4.组织以县名义参加全国性或跨省（区）、跨市跨县的招商引资活动和项目对外合作与交流活动。</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5.负责归口联系、办理和协调全县组团赴区内外举行招商引资活动的工作。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6.负责策划、组织实施全县组团参加区内外重大的投资洽谈活动。</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7.负责管理、协调、指导全县招商引资工作，组织、牵头和协调全县重大招商引资活动。</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8.负责全县招商引资项目的收集、论证、整理和编订，建立与区内外政府招商部门的联系，传递信息和代表自治县人民政府发布我县招商项目公告。</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9.负责整合社会及民间投资项目资源，建立和管理全县招商引资项目数据库，组织开展有关项目前期工作，协调县内有关部门和各个乡（镇）有关项目立项和项目储备工作。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10.负责对外来投资企业的接洽，情况介绍，做好开办审查，登记备案以及项目的协议，合同、章程的履约跟踪督查工作，为外来投资企业协助办理各种证照；负责对外来环江投资企业和外地驻环江办事机构的协调、管理和服务工作，协调解决他们在筹建和生产经营中遇到的困难和问题，落实好自治区、河池市、自治县各种配套优惠政策。</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11.负责全县范围内招商引资的统计、上报工作。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12.积极配合宣传部门，编制对外宣传材料，搞好招商引资的宣传工作。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13.按照县人民政府的安排，做好来访经济代表团、经济能人、项目洽谈及接待工作。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14.承办县委、县府和上级业务主管部门交办的其他工作。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15.按照干部管理权限，负责对本单位的干部进行管理、教育和培训，加强对本单位队伍的政治文明建设、精神文明建设和物质文明建设，提高干部队伍整体素质。</w:t>
      </w:r>
    </w:p>
    <w:p>
      <w:pPr>
        <w:pStyle w:val="16"/>
        <w:tabs>
          <w:tab w:val="left" w:pos="1369"/>
        </w:tabs>
        <w:spacing w:after="0" w:line="623" w:lineRule="exact"/>
        <w:ind w:firstLine="620"/>
        <w:jc w:val="left"/>
        <w:rPr>
          <w:b/>
          <w:bCs/>
        </w:rPr>
      </w:pPr>
      <w:bookmarkStart w:id="6" w:name="bookmark24"/>
      <w:r>
        <w:rPr>
          <w:b/>
          <w:bCs/>
        </w:rPr>
        <w:t>二</w:t>
      </w:r>
      <w:bookmarkEnd w:id="6"/>
      <w:r>
        <w:rPr>
          <w:b/>
          <w:bCs/>
        </w:rPr>
        <w:t>、</w:t>
      </w:r>
      <w:r>
        <w:rPr>
          <w:b/>
          <w:bCs/>
        </w:rPr>
        <w:tab/>
      </w:r>
      <w:r>
        <w:rPr>
          <w:rFonts w:hint="eastAsia"/>
          <w:b/>
          <w:bCs/>
        </w:rPr>
        <w:t>机构设置情况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1.本部门无下属单位，部门预算为县本级预算。环江毛南族自治县投资促进局是自治县人民政府直属正科级财政全额拨款、公益一类事业单位，加挂环江毛南族自治县招商引资项目代办服务中心牌子。内设机构：（一）办公室；（二）综合业务股。环江办[2021]81号关于印发《环江毛南族自治县投资促进局职能配置、内设机构和人员编制规定》的通知）。2.人员构成情况：人员编制总数为6人，其中行政编制0人，事业编制6人，机关后勤服务中心聘用人员控制数0人。实有财政供养人数11人，其中行政在职人员0人，事业在职6人，离退休人员5人，非实名编制内实聘人员3人。具体情况：正科级领导1人，二级主任科员1人，三级主任科员2人，试用期人员2人，非实名编制内实聘人员3人。</w:t>
      </w: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spacing w:before="120" w:after="0" w:line="629" w:lineRule="exact"/>
        <w:jc w:val="center"/>
        <w:rPr>
          <w:b/>
          <w:bCs/>
        </w:rPr>
      </w:pPr>
      <w:bookmarkStart w:id="7" w:name="bookmark70"/>
      <w:bookmarkStart w:id="8" w:name="bookmark68"/>
      <w:bookmarkStart w:id="9" w:name="bookmark69"/>
      <w:bookmarkStart w:id="10" w:name="bookmark27"/>
      <w:bookmarkStart w:id="11" w:name="bookmark26"/>
      <w:bookmarkStart w:id="12" w:name="bookmark28"/>
      <w:r>
        <w:rPr>
          <w:b/>
          <w:bCs/>
        </w:rPr>
        <w:t>第</w:t>
      </w:r>
      <w:r>
        <w:rPr>
          <w:rFonts w:hint="eastAsia"/>
          <w:b/>
          <w:bCs/>
          <w:lang w:val="en-US" w:eastAsia="zh-CN"/>
        </w:rPr>
        <w:t>二</w:t>
      </w:r>
      <w:r>
        <w:rPr>
          <w:b/>
          <w:bCs/>
        </w:rPr>
        <w:t>部分</w:t>
      </w:r>
      <w:r>
        <w:rPr>
          <w:rFonts w:hint="eastAsia"/>
          <w:b/>
          <w:bCs/>
          <w:lang w:eastAsia="zh-CN"/>
        </w:rPr>
        <w:t>：</w:t>
      </w:r>
      <w:bookmarkEnd w:id="7"/>
      <w:bookmarkEnd w:id="8"/>
      <w:bookmarkEnd w:id="9"/>
      <w:r>
        <w:rPr>
          <w:rFonts w:hint="eastAsia"/>
          <w:b/>
          <w:bCs/>
          <w:lang w:eastAsia="zh-CN"/>
        </w:rPr>
        <w:t>环江毛南族自治县投资促进局</w:t>
      </w:r>
      <w:r>
        <w:rPr>
          <w:b/>
          <w:u w:color="auto"/>
        </w:rPr>
        <w:t>2024年部门预算情况说明</w:t>
      </w:r>
    </w:p>
    <w:p>
      <w:pPr>
        <w:pStyle w:val="16"/>
        <w:tabs>
          <w:tab w:val="left" w:pos="1235"/>
        </w:tabs>
        <w:spacing w:after="0" w:line="624" w:lineRule="exact"/>
        <w:ind w:firstLine="580"/>
        <w:jc w:val="left"/>
        <w:rPr>
          <w:b/>
          <w:bCs/>
        </w:rPr>
      </w:pPr>
      <w:bookmarkStart w:id="13" w:name="bookmark71"/>
      <w:r>
        <w:rPr>
          <w:b/>
          <w:bCs/>
        </w:rPr>
        <w:t>一</w:t>
      </w:r>
      <w:bookmarkEnd w:id="13"/>
      <w:r>
        <w:rPr>
          <w:b/>
          <w:bCs/>
        </w:rPr>
        <w:t>、</w:t>
      </w:r>
      <w:r>
        <w:rPr>
          <w:b/>
          <w:bCs/>
        </w:rPr>
        <w:tab/>
      </w:r>
      <w:r>
        <w:rPr>
          <w:b/>
          <w:bCs/>
        </w:rPr>
        <w:t>部门预算收支总体情况说明</w:t>
      </w:r>
    </w:p>
    <w:p>
      <w:pPr>
        <w:pStyle w:val="18"/>
        <w:spacing w:line="623" w:lineRule="exact"/>
        <w:ind w:left="0" w:leftChars="0" w:firstLine="560" w:firstLineChars="200"/>
        <w:jc w:val="left"/>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144.40</w:t>
      </w:r>
      <w:r>
        <w:rPr>
          <w:rFonts w:hint="eastAsia"/>
          <w:b w:val="0"/>
          <w:bCs w:val="0"/>
          <w:sz w:val="28"/>
          <w:szCs w:val="28"/>
        </w:rPr>
        <w:t>万元，总支出</w:t>
      </w:r>
      <w:r>
        <w:rPr>
          <w:rFonts w:hint="eastAsia"/>
          <w:sz w:val="28"/>
          <w:szCs w:val="28"/>
          <w:lang w:val="en-US" w:eastAsia="zh-CN"/>
        </w:rPr>
        <w:t>144.40</w:t>
      </w:r>
      <w:r>
        <w:rPr>
          <w:rFonts w:hint="eastAsia"/>
          <w:b w:val="0"/>
          <w:bCs w:val="0"/>
          <w:sz w:val="28"/>
          <w:szCs w:val="28"/>
        </w:rPr>
        <w:t>万元。总收入较2023年度预算数</w:t>
      </w:r>
      <w:r>
        <w:rPr>
          <w:rFonts w:hint="eastAsia"/>
          <w:sz w:val="28"/>
          <w:szCs w:val="28"/>
          <w:lang w:val="en-US" w:eastAsia="zh-CN"/>
        </w:rPr>
        <w:t>104.42</w:t>
      </w:r>
      <w:r>
        <w:rPr>
          <w:rFonts w:hint="eastAsia"/>
          <w:b w:val="0"/>
          <w:bCs w:val="0"/>
          <w:sz w:val="28"/>
          <w:szCs w:val="28"/>
        </w:rPr>
        <w:t>万元，</w:t>
      </w:r>
      <w:r>
        <w:rPr>
          <w:rFonts w:hint="eastAsia"/>
          <w:sz w:val="28"/>
          <w:szCs w:val="28"/>
        </w:rPr>
        <w:t>增加39.98</w:t>
      </w:r>
      <w:r>
        <w:rPr>
          <w:rFonts w:hint="eastAsia"/>
          <w:b w:val="0"/>
          <w:bCs w:val="0"/>
          <w:sz w:val="28"/>
          <w:szCs w:val="28"/>
        </w:rPr>
        <w:t>万元，</w:t>
      </w:r>
      <w:r>
        <w:rPr>
          <w:rFonts w:hint="eastAsia"/>
          <w:sz w:val="28"/>
          <w:szCs w:val="28"/>
        </w:rPr>
        <w:t>增长38.29%</w:t>
      </w:r>
      <w:r>
        <w:rPr>
          <w:rFonts w:hint="eastAsia"/>
          <w:b w:val="0"/>
          <w:bCs w:val="0"/>
          <w:sz w:val="28"/>
          <w:szCs w:val="28"/>
        </w:rPr>
        <w:t>，主要原因是</w:t>
      </w:r>
      <w:r>
        <w:rPr>
          <w:rFonts w:hint="eastAsia"/>
          <w:highlight w:val="none"/>
          <w:lang w:val="en-US" w:eastAsia="zh-CN"/>
        </w:rPr>
        <w:t>事业在职人员增加3人</w:t>
      </w:r>
      <w:r>
        <w:rPr>
          <w:rFonts w:hint="eastAsia"/>
          <w:b w:val="0"/>
          <w:bCs w:val="0"/>
          <w:sz w:val="28"/>
          <w:szCs w:val="28"/>
        </w:rPr>
        <w:t>。总支出较2023年度预算数</w:t>
      </w:r>
      <w:r>
        <w:rPr>
          <w:rFonts w:hint="eastAsia"/>
          <w:sz w:val="28"/>
          <w:szCs w:val="28"/>
          <w:lang w:val="en-US" w:eastAsia="zh-CN"/>
        </w:rPr>
        <w:t>104.42</w:t>
      </w:r>
      <w:r>
        <w:rPr>
          <w:rFonts w:hint="eastAsia"/>
          <w:b w:val="0"/>
          <w:bCs w:val="0"/>
          <w:sz w:val="28"/>
          <w:szCs w:val="28"/>
        </w:rPr>
        <w:t>万元，</w:t>
      </w:r>
      <w:r>
        <w:rPr>
          <w:rFonts w:hint="eastAsia"/>
          <w:sz w:val="28"/>
          <w:szCs w:val="28"/>
        </w:rPr>
        <w:t>增加39.98</w:t>
      </w:r>
      <w:r>
        <w:rPr>
          <w:rFonts w:hint="eastAsia"/>
          <w:b w:val="0"/>
          <w:bCs w:val="0"/>
          <w:sz w:val="28"/>
          <w:szCs w:val="28"/>
        </w:rPr>
        <w:t>万元，</w:t>
      </w:r>
      <w:r>
        <w:rPr>
          <w:rFonts w:hint="eastAsia"/>
          <w:sz w:val="28"/>
          <w:szCs w:val="28"/>
        </w:rPr>
        <w:t>增长38.29%</w:t>
      </w:r>
      <w:r>
        <w:rPr>
          <w:rFonts w:hint="eastAsia"/>
          <w:b w:val="0"/>
          <w:bCs w:val="0"/>
          <w:sz w:val="28"/>
          <w:szCs w:val="28"/>
        </w:rPr>
        <w:t>，主要原因是</w:t>
      </w:r>
      <w:r>
        <w:rPr>
          <w:rFonts w:hint="eastAsia"/>
          <w:highlight w:val="none"/>
          <w:lang w:val="en-US" w:eastAsia="zh-CN"/>
        </w:rPr>
        <w:t>事业在职人员增加3人</w:t>
      </w:r>
      <w:r>
        <w:rPr>
          <w:rFonts w:hint="eastAsia"/>
          <w:b w:val="0"/>
          <w:bCs w:val="0"/>
          <w:sz w:val="28"/>
          <w:szCs w:val="28"/>
        </w:rPr>
        <w:t>。</w:t>
      </w:r>
    </w:p>
    <w:p>
      <w:pPr>
        <w:pStyle w:val="16"/>
        <w:tabs>
          <w:tab w:val="left" w:pos="1235"/>
        </w:tabs>
        <w:spacing w:after="0" w:line="624" w:lineRule="exact"/>
        <w:ind w:firstLine="580"/>
        <w:jc w:val="left"/>
        <w:rPr>
          <w:b/>
          <w:bCs/>
          <w:lang w:val="en-US" w:eastAsia="zh-CN"/>
        </w:rPr>
      </w:pPr>
      <w:r>
        <w:rPr>
          <w:rFonts w:hint="eastAsia"/>
          <w:b/>
          <w:bCs/>
          <w:lang w:val="en-US" w:eastAsia="zh-CN"/>
        </w:rPr>
        <w:t>二、</w:t>
      </w:r>
      <w:r>
        <w:rPr>
          <w:b/>
          <w:bCs/>
        </w:rPr>
        <w:t>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778" name="图表 6" title="{{img_rs_table}}"/>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144.40</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104.42</w:t>
      </w:r>
      <w:r>
        <w:rPr>
          <w:rFonts w:hint="eastAsia" w:ascii="宋体" w:hAnsi="宋体" w:eastAsia="宋体" w:cs="宋体"/>
          <w:sz w:val="28"/>
          <w:szCs w:val="28"/>
          <w:u w:color="auto"/>
        </w:rPr>
        <w:t>万元，</w:t>
      </w:r>
      <w:r>
        <w:rPr>
          <w:rFonts w:hint="eastAsia" w:ascii="宋体" w:hAnsi="宋体" w:eastAsia="宋体" w:cs="宋体"/>
          <w:sz w:val="28"/>
          <w:szCs w:val="28"/>
        </w:rPr>
        <w:t>增加39.98</w:t>
      </w:r>
      <w:r>
        <w:rPr>
          <w:rFonts w:hint="eastAsia" w:ascii="宋体" w:hAnsi="宋体" w:eastAsia="宋体" w:cs="宋体"/>
          <w:sz w:val="28"/>
          <w:szCs w:val="28"/>
          <w:u w:color="auto"/>
        </w:rPr>
        <w:t>万元，</w:t>
      </w:r>
      <w:r>
        <w:rPr>
          <w:rFonts w:hint="eastAsia" w:ascii="宋体" w:hAnsi="宋体" w:eastAsia="宋体" w:cs="宋体"/>
          <w:sz w:val="28"/>
          <w:szCs w:val="28"/>
        </w:rPr>
        <w:t>增长38.29%</w:t>
      </w:r>
      <w:r>
        <w:rPr>
          <w:rFonts w:hint="eastAsia" w:ascii="宋体" w:hAnsi="宋体" w:eastAsia="宋体" w:cs="宋体"/>
          <w:sz w:val="28"/>
          <w:szCs w:val="28"/>
          <w:u w:color="auto"/>
        </w:rPr>
        <w:t>，主要原因是</w:t>
      </w:r>
      <w:r>
        <w:rPr>
          <w:rFonts w:hint="eastAsia"/>
          <w:highlight w:val="none"/>
          <w:lang w:val="en-US" w:eastAsia="zh-CN"/>
        </w:rPr>
        <w:t>事业在职人员增加3人</w:t>
      </w:r>
      <w:r>
        <w:rPr>
          <w:rFonts w:hint="eastAsia" w:ascii="宋体" w:hAnsi="宋体" w:eastAsia="宋体" w:cs="宋体"/>
          <w:sz w:val="28"/>
          <w:szCs w:val="28"/>
          <w:u w:color="auto"/>
        </w:rPr>
        <w:t>。</w:t>
      </w:r>
    </w:p>
    <w:p>
      <w:pPr>
        <w:pStyle w:val="16"/>
        <w:tabs>
          <w:tab w:val="left" w:pos="1235"/>
        </w:tabs>
        <w:spacing w:after="0" w:line="624" w:lineRule="exact"/>
        <w:ind w:firstLine="580"/>
        <w:jc w:val="left"/>
        <w:rPr>
          <w:b/>
          <w:bCs/>
        </w:rPr>
      </w:pPr>
      <w:r>
        <w:rPr>
          <w:rFonts w:hint="eastAsia"/>
          <w:b/>
          <w:bCs/>
          <w:lang w:val="en-US" w:eastAsia="zh-CN"/>
        </w:rPr>
        <w:t>三、</w:t>
      </w:r>
      <w:r>
        <w:rPr>
          <w:b/>
          <w:bCs/>
        </w:rPr>
        <w:t>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779" name="图表 14" title="{{img_gnkm_zc_data}}"/>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8"/>
        <w:spacing w:line="623" w:lineRule="exact"/>
        <w:ind w:left="0" w:leftChars="0" w:firstLine="560" w:firstLineChars="200"/>
        <w:jc w:val="left"/>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144.40</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104.42</w:t>
      </w:r>
      <w:r>
        <w:rPr>
          <w:rFonts w:hint="eastAsia" w:ascii="宋体" w:hAnsi="宋体" w:eastAsia="宋体" w:cs="宋体"/>
          <w:sz w:val="28"/>
          <w:szCs w:val="28"/>
          <w:lang w:eastAsia="zh-CN"/>
        </w:rPr>
        <w:t>万元，</w:t>
      </w:r>
      <w:r>
        <w:rPr>
          <w:rFonts w:hint="eastAsia" w:ascii="宋体" w:hAnsi="宋体" w:eastAsia="宋体" w:cs="宋体"/>
          <w:sz w:val="28"/>
          <w:szCs w:val="28"/>
        </w:rPr>
        <w:t>增加39.98</w:t>
      </w:r>
      <w:r>
        <w:rPr>
          <w:rFonts w:hint="eastAsia" w:ascii="宋体" w:hAnsi="宋体" w:eastAsia="宋体" w:cs="宋体"/>
          <w:sz w:val="28"/>
          <w:szCs w:val="28"/>
          <w:lang w:eastAsia="zh-CN"/>
        </w:rPr>
        <w:t>万元，</w:t>
      </w:r>
      <w:r>
        <w:rPr>
          <w:rFonts w:hint="eastAsia" w:ascii="宋体" w:hAnsi="宋体" w:eastAsia="宋体" w:cs="宋体"/>
          <w:sz w:val="28"/>
          <w:szCs w:val="28"/>
        </w:rPr>
        <w:t>增长38.29%</w:t>
      </w:r>
      <w:r>
        <w:rPr>
          <w:rFonts w:hint="eastAsia" w:ascii="宋体" w:hAnsi="宋体" w:eastAsia="宋体" w:cs="宋体"/>
          <w:sz w:val="28"/>
          <w:szCs w:val="28"/>
          <w:lang w:eastAsia="zh-CN"/>
        </w:rPr>
        <w:t>，主要原因是</w:t>
      </w:r>
      <w:r>
        <w:rPr>
          <w:rFonts w:hint="eastAsia"/>
          <w:highlight w:val="none"/>
          <w:lang w:val="en-US" w:eastAsia="zh-CN"/>
        </w:rPr>
        <w:t>事业在职人员增加3人</w:t>
      </w:r>
      <w:r>
        <w:rPr>
          <w:rFonts w:hint="eastAsia" w:ascii="Times New Roman" w:hAnsi="Times New Roman" w:cs="Times New Roman"/>
          <w:sz w:val="30"/>
          <w:szCs w:val="30"/>
          <w:lang w:eastAsia="zh-CN"/>
        </w:rPr>
        <w:t>。主要包括：</w:t>
      </w:r>
      <w:r>
        <w:rPr>
          <w:rFonts w:hint="eastAsia"/>
          <w:highlight w:val="none"/>
          <w:lang w:val="en-US" w:eastAsia="zh-CN"/>
        </w:rPr>
        <w:t>部门所属单位人员工资、日常运转方面的支出</w:t>
      </w:r>
      <w:r>
        <w:rPr>
          <w:rFonts w:hint="eastAsia" w:ascii="Times New Roman" w:hAnsi="Times New Roman" w:cs="Times New Roman"/>
          <w:sz w:val="30"/>
          <w:szCs w:val="30"/>
          <w:lang w:eastAsia="zh-CN"/>
        </w:rPr>
        <w:t>。</w:t>
      </w:r>
    </w:p>
    <w:p>
      <w:pPr>
        <w:pStyle w:val="18"/>
        <w:spacing w:after="140" w:line="240" w:lineRule="auto"/>
        <w:ind w:firstLine="0"/>
        <w:jc w:val="left"/>
      </w:pPr>
      <w:r>
        <w:t>（一）按支出功能分类科目划分，共分为</w:t>
      </w:r>
      <w:r>
        <w:rPr>
          <w:rFonts w:hint="eastAsia"/>
          <w:lang w:val="en-US" w:eastAsia="zh-CN"/>
        </w:rPr>
        <w:t>3</w:t>
      </w:r>
      <w:r>
        <w:t>类，其中:</w:t>
      </w:r>
    </w:p>
    <w:p>
      <w:pPr>
        <w:pStyle w:val="18"/>
        <w:spacing w:line="623" w:lineRule="exact"/>
        <w:ind w:left="0" w:leftChars="0" w:firstLine="560" w:firstLineChars="200"/>
        <w:jc w:val="left"/>
        <w:rPr>
          <w:rFonts w:hint="eastAsia"/>
        </w:rPr>
      </w:pPr>
      <w:r>
        <w:rPr>
          <w:rFonts w:hint="eastAsia"/>
        </w:rPr>
        <w:t>(</w:t>
      </w:r>
      <w:r>
        <w:rPr>
          <w:u w:color="auto"/>
        </w:rPr>
        <w:t>1)一般公共服务支出</w:t>
      </w:r>
      <w:r>
        <w:rPr>
          <w:rFonts w:hint="eastAsia"/>
          <w:lang w:val="en-US" w:eastAsia="zh-CN"/>
        </w:rPr>
        <w:t>127.17</w:t>
      </w:r>
      <w:r>
        <w:rPr>
          <w:rFonts w:hint="eastAsia"/>
        </w:rPr>
        <w:t>万元，占支出总预算</w:t>
      </w:r>
      <w:r>
        <w:rPr>
          <w:rFonts w:hint="eastAsia"/>
          <w:lang w:val="en-US" w:eastAsia="zh-CN"/>
        </w:rPr>
        <w:t>88.07%</w:t>
      </w:r>
      <w:r>
        <w:rPr>
          <w:rFonts w:hint="eastAsia"/>
        </w:rPr>
        <w:t>,比上年</w:t>
      </w:r>
      <w:r>
        <w:rPr>
          <w:rFonts w:hint="eastAsia"/>
          <w:lang w:val="en-US" w:eastAsia="zh-CN"/>
        </w:rPr>
        <w:t>增长32.11</w:t>
      </w:r>
      <w:r>
        <w:rPr>
          <w:rFonts w:hint="eastAsia"/>
        </w:rPr>
        <w:t>万元，</w:t>
      </w:r>
      <w:r>
        <w:rPr>
          <w:rFonts w:hint="eastAsia"/>
          <w:lang w:val="en-US" w:eastAsia="zh-CN"/>
        </w:rPr>
        <w:t>增长33.78%</w:t>
      </w:r>
      <w:r>
        <w:rPr>
          <w:rFonts w:hint="eastAsia"/>
        </w:rPr>
        <w:t>,</w:t>
      </w:r>
      <w:r>
        <w:rPr>
          <w:rFonts w:hint="eastAsia"/>
          <w:highlight w:val="none"/>
        </w:rPr>
        <w:t>主要原因是：</w:t>
      </w:r>
      <w:r>
        <w:rPr>
          <w:rFonts w:hint="eastAsia"/>
          <w:highlight w:val="none"/>
          <w:lang w:val="en-US" w:eastAsia="zh-CN"/>
        </w:rPr>
        <w:t>事业在职人员增加3人</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2)住房保障支出</w:t>
      </w:r>
      <w:r>
        <w:rPr>
          <w:rFonts w:hint="eastAsia"/>
          <w:lang w:val="en-US" w:eastAsia="zh-CN"/>
        </w:rPr>
        <w:t>7.98</w:t>
      </w:r>
      <w:r>
        <w:rPr>
          <w:rFonts w:hint="eastAsia"/>
        </w:rPr>
        <w:t>万元，占支出总预算</w:t>
      </w:r>
      <w:r>
        <w:rPr>
          <w:rFonts w:hint="eastAsia"/>
          <w:lang w:val="en-US" w:eastAsia="zh-CN"/>
        </w:rPr>
        <w:t>5.53%</w:t>
      </w:r>
      <w:r>
        <w:rPr>
          <w:rFonts w:hint="eastAsia"/>
        </w:rPr>
        <w:t>,比上年</w:t>
      </w:r>
      <w:r>
        <w:rPr>
          <w:rFonts w:hint="eastAsia"/>
          <w:lang w:val="en-US" w:eastAsia="zh-CN"/>
        </w:rPr>
        <w:t>增长3.97</w:t>
      </w:r>
      <w:r>
        <w:rPr>
          <w:rFonts w:hint="eastAsia"/>
        </w:rPr>
        <w:t>万元，</w:t>
      </w:r>
      <w:r>
        <w:rPr>
          <w:rFonts w:hint="eastAsia"/>
          <w:lang w:val="en-US" w:eastAsia="zh-CN"/>
        </w:rPr>
        <w:t>增长99.00%</w:t>
      </w:r>
      <w:r>
        <w:rPr>
          <w:rFonts w:hint="eastAsia"/>
        </w:rPr>
        <w:t>,</w:t>
      </w:r>
      <w:r>
        <w:rPr>
          <w:rFonts w:hint="eastAsia"/>
          <w:highlight w:val="none"/>
        </w:rPr>
        <w:t>主要原因是：</w:t>
      </w:r>
      <w:r>
        <w:rPr>
          <w:rFonts w:hint="eastAsia"/>
          <w:highlight w:val="none"/>
          <w:lang w:val="en-US" w:eastAsia="zh-CN"/>
        </w:rPr>
        <w:t>事业在职人员增加3人</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3)社会保障和就业支出</w:t>
      </w:r>
      <w:r>
        <w:rPr>
          <w:rFonts w:hint="eastAsia"/>
          <w:lang w:val="en-US" w:eastAsia="zh-CN"/>
        </w:rPr>
        <w:t>9.25</w:t>
      </w:r>
      <w:r>
        <w:rPr>
          <w:rFonts w:hint="eastAsia"/>
        </w:rPr>
        <w:t>万元，占支出总预算</w:t>
      </w:r>
      <w:r>
        <w:rPr>
          <w:rFonts w:hint="eastAsia"/>
          <w:lang w:val="en-US" w:eastAsia="zh-CN"/>
        </w:rPr>
        <w:t>6.41%</w:t>
      </w:r>
      <w:r>
        <w:rPr>
          <w:rFonts w:hint="eastAsia"/>
        </w:rPr>
        <w:t>,比上年</w:t>
      </w:r>
      <w:r>
        <w:rPr>
          <w:rFonts w:hint="eastAsia"/>
          <w:lang w:val="en-US" w:eastAsia="zh-CN"/>
        </w:rPr>
        <w:t>增长3.90</w:t>
      </w:r>
      <w:r>
        <w:rPr>
          <w:rFonts w:hint="eastAsia"/>
        </w:rPr>
        <w:t>万元，</w:t>
      </w:r>
      <w:r>
        <w:rPr>
          <w:rFonts w:hint="eastAsia"/>
          <w:lang w:val="en-US" w:eastAsia="zh-CN"/>
        </w:rPr>
        <w:t>增长72.90%</w:t>
      </w:r>
      <w:r>
        <w:rPr>
          <w:rFonts w:hint="eastAsia"/>
        </w:rPr>
        <w:t>,</w:t>
      </w:r>
      <w:r>
        <w:rPr>
          <w:rFonts w:hint="eastAsia"/>
          <w:highlight w:val="none"/>
        </w:rPr>
        <w:t>主要原因是：</w:t>
      </w:r>
      <w:r>
        <w:rPr>
          <w:rFonts w:hint="eastAsia"/>
          <w:highlight w:val="none"/>
          <w:lang w:val="en-US" w:eastAsia="zh-CN"/>
        </w:rPr>
        <w:t>事业在职人员增加3人</w:t>
      </w:r>
      <w:r>
        <w:rPr>
          <w:rFonts w:hint="eastAsia"/>
          <w:highlight w:val="none"/>
        </w:rPr>
        <w:t>。</w:t>
      </w:r>
    </w:p>
    <w:p>
      <w:pPr>
        <w:pStyle w:val="18"/>
        <w:spacing w:line="635" w:lineRule="exact"/>
        <w:ind w:firstLine="740"/>
        <w:jc w:val="left"/>
      </w:pPr>
      <w:r>
        <w:t>(二)按支出结构分类划分，分为基本支出预算和项目支出预算。</w:t>
      </w:r>
    </w:p>
    <w:p>
      <w:pPr>
        <w:pStyle w:val="18"/>
        <w:spacing w:line="635" w:lineRule="exact"/>
        <w:ind w:firstLine="600"/>
        <w:jc w:val="left"/>
      </w:pPr>
      <w:r>
        <w:rPr>
          <w:rFonts w:ascii="Times New Roman" w:hAnsi="Times New Roman" w:eastAsia="Times New Roman" w:cs="Times New Roman"/>
          <w:sz w:val="30"/>
          <w:szCs w:val="30"/>
        </w:rPr>
        <w:t>1</w:t>
      </w:r>
      <w:r>
        <w:t>.基本支出预算。</w:t>
      </w:r>
    </w:p>
    <w:p>
      <w:pPr>
        <w:pStyle w:val="18"/>
        <w:spacing w:line="619" w:lineRule="exact"/>
        <w:ind w:firstLine="600"/>
        <w:jc w:val="left"/>
        <w:rPr>
          <w:rFonts w:hint="eastAsia"/>
          <w:lang w:val="en-US" w:eastAsia="zh-CN"/>
        </w:rPr>
      </w:pPr>
      <w:r>
        <w:rPr>
          <w:rFonts w:hint="eastAsia"/>
        </w:rPr>
        <w:t>基本支出预算</w:t>
      </w:r>
      <w:r>
        <w:rPr>
          <w:rFonts w:hint="eastAsia"/>
          <w:lang w:val="en-US" w:eastAsia="zh-CN"/>
        </w:rPr>
        <w:t>104.40</w:t>
      </w:r>
      <w:r>
        <w:rPr>
          <w:rFonts w:hint="eastAsia"/>
        </w:rPr>
        <w:t>万元，占支出预算</w:t>
      </w:r>
      <w:r>
        <w:rPr>
          <w:u w:color="auto"/>
        </w:rPr>
        <w:t>72.30%,比上年增长44.98万元，增长75.70%</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89.90</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86.11%</w:t>
      </w:r>
      <w:r>
        <w:rPr>
          <w:rFonts w:hint="eastAsia"/>
        </w:rPr>
        <w:t>,</w:t>
      </w:r>
      <w:r>
        <w:t>比上年</w:t>
      </w:r>
      <w:r>
        <w:rPr>
          <w:rFonts w:hint="eastAsia"/>
        </w:rPr>
        <w:t>增长39.21</w:t>
      </w:r>
      <w:r>
        <w:t>万元，</w:t>
      </w:r>
      <w:r>
        <w:rPr>
          <w:rFonts w:hint="eastAsia"/>
        </w:rPr>
        <w:t>增长77.35%</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事业在职人员增加3人</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8.39</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8.04%</w:t>
      </w:r>
      <w:r>
        <w:rPr>
          <w:rFonts w:hint="eastAsia"/>
        </w:rPr>
        <w:t>,</w:t>
      </w:r>
      <w:r>
        <w:t>比上年</w:t>
      </w:r>
      <w:r>
        <w:rPr>
          <w:rFonts w:hint="eastAsia"/>
        </w:rPr>
        <w:t>增长3.74</w:t>
      </w:r>
      <w:r>
        <w:t>万元，</w:t>
      </w:r>
      <w:r>
        <w:rPr>
          <w:rFonts w:hint="eastAsia"/>
        </w:rPr>
        <w:t>增长80.43%</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事业在职人员增加3人</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3)对个人和家庭的补助</w:t>
      </w:r>
      <w:r>
        <w:rPr>
          <w:rFonts w:hint="eastAsia" w:ascii="宋体" w:hAnsi="宋体" w:eastAsia="宋体" w:cs="宋体"/>
          <w:sz w:val="28"/>
          <w:szCs w:val="28"/>
          <w:lang w:val="en-US" w:eastAsia="zh-CN"/>
        </w:rPr>
        <w:t>6.11</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5.85%</w:t>
      </w:r>
      <w:r>
        <w:rPr>
          <w:rFonts w:hint="eastAsia"/>
        </w:rPr>
        <w:t>,</w:t>
      </w:r>
      <w:r>
        <w:t>比上年</w:t>
      </w:r>
      <w:r>
        <w:rPr>
          <w:rFonts w:hint="eastAsia"/>
        </w:rPr>
        <w:t>增长2.03</w:t>
      </w:r>
      <w:r>
        <w:t>万元，</w:t>
      </w:r>
      <w:r>
        <w:rPr>
          <w:rFonts w:hint="eastAsia"/>
        </w:rPr>
        <w:t>增长49.75%</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离退休生活补助提高</w:t>
      </w:r>
      <w:r>
        <w:rPr>
          <w:rFonts w:hint="eastAsia"/>
          <w:highlight w:val="none"/>
          <w:lang w:val="en-US" w:eastAsia="zh-CN"/>
        </w:rPr>
        <w:t>。</w:t>
      </w:r>
    </w:p>
    <w:p>
      <w:pPr>
        <w:pStyle w:val="18"/>
        <w:numPr>
          <w:ilvl w:val="0"/>
          <w:numId w:val="1"/>
        </w:numPr>
        <w:spacing w:line="614" w:lineRule="exact"/>
        <w:ind w:firstLine="600"/>
        <w:jc w:val="left"/>
      </w:pPr>
      <w:r>
        <w:t>项目支出预算。</w:t>
      </w:r>
    </w:p>
    <w:p>
      <w:pPr>
        <w:pStyle w:val="18"/>
        <w:spacing w:line="619" w:lineRule="exact"/>
        <w:ind w:firstLine="600"/>
        <w:jc w:val="left"/>
        <w:rPr>
          <w:rFonts w:hint="eastAsia"/>
          <w:lang w:val="en-US" w:eastAsia="zh-CN"/>
        </w:rPr>
      </w:pPr>
      <w:r>
        <w:rPr>
          <w:rFonts w:hint="eastAsia"/>
        </w:rPr>
        <w:t>项目支出预算</w:t>
      </w:r>
      <w:r>
        <w:rPr>
          <w:rFonts w:hint="eastAsia"/>
          <w:lang w:val="en-US" w:eastAsia="zh-CN"/>
        </w:rPr>
        <w:t>40.00</w:t>
      </w:r>
      <w:r>
        <w:rPr>
          <w:rFonts w:hint="eastAsia"/>
        </w:rPr>
        <w:t>万元，占支出预算</w:t>
      </w:r>
      <w:r>
        <w:rPr>
          <w:u w:color="auto"/>
        </w:rPr>
        <w:t>27.70%</w:t>
      </w:r>
      <w:r>
        <w:rPr>
          <w:rFonts w:hint="eastAsia"/>
        </w:rPr>
        <w:t>,比上年</w:t>
      </w:r>
      <w:r>
        <w:rPr>
          <w:u w:color="auto"/>
        </w:rPr>
        <w:t>减少5.01</w:t>
      </w:r>
      <w:r>
        <w:rPr>
          <w:rFonts w:hint="eastAsia"/>
        </w:rPr>
        <w:t>万元，</w:t>
      </w:r>
      <w:r>
        <w:rPr>
          <w:u w:color="auto"/>
        </w:rPr>
        <w:t>减少11.13%</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40.00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100.00%</w:t>
      </w:r>
      <w:r>
        <w:t>,比上年</w:t>
      </w:r>
      <w:r>
        <w:rPr>
          <w:rFonts w:hint="eastAsia"/>
        </w:rPr>
        <w:t>减少5.01</w:t>
      </w:r>
      <w:r>
        <w:t>万元，</w:t>
      </w:r>
      <w:r>
        <w:rPr>
          <w:rFonts w:hint="eastAsia"/>
        </w:rPr>
        <w:t>减少11.13%</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压减项目支出</w:t>
      </w:r>
      <w:r>
        <w:rPr>
          <w:rFonts w:hint="eastAsia"/>
          <w:highlight w:val="none"/>
          <w:lang w:val="en-US" w:eastAsia="zh-CN"/>
        </w:rPr>
        <w:t>。</w:t>
      </w:r>
    </w:p>
    <w:p>
      <w:pPr>
        <w:pStyle w:val="16"/>
        <w:numPr>
          <w:ilvl w:val="0"/>
          <w:numId w:val="0"/>
        </w:numPr>
        <w:tabs>
          <w:tab w:val="left" w:pos="1238"/>
        </w:tabs>
        <w:spacing w:after="0" w:line="625" w:lineRule="exact"/>
        <w:jc w:val="left"/>
        <w:rPr>
          <w:b/>
          <w:bCs/>
        </w:rPr>
      </w:pPr>
    </w:p>
    <w:p>
      <w:pPr>
        <w:pStyle w:val="16"/>
        <w:tabs>
          <w:tab w:val="left" w:pos="1235"/>
        </w:tabs>
        <w:spacing w:after="0" w:line="624" w:lineRule="exact"/>
        <w:ind w:firstLine="580"/>
        <w:jc w:val="left"/>
        <w:rPr>
          <w:b/>
          <w:bCs/>
        </w:rPr>
      </w:pPr>
      <w:r>
        <w:rPr>
          <w:rFonts w:hint="eastAsia"/>
          <w:b/>
          <w:bCs/>
          <w:lang w:val="en-US" w:eastAsia="zh-CN"/>
        </w:rPr>
        <w:t>四、</w:t>
      </w:r>
      <w:r>
        <w:rPr>
          <w:b/>
          <w:bCs/>
        </w:rPr>
        <w:t>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780" name="图表 13" title="{{img_sz_cb_data}}"/>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spacing w:line="624" w:lineRule="exact"/>
        <w:ind w:firstLine="6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144.40</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144.40</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104.42</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增加39.98</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增长38.29%</w:t>
      </w:r>
      <w:r>
        <w:rPr>
          <w:rFonts w:hint="eastAsia" w:ascii="宋体" w:hAnsi="宋体" w:eastAsia="宋体" w:cs="宋体"/>
          <w:sz w:val="28"/>
          <w:szCs w:val="28"/>
        </w:rPr>
        <w:t>，主要原因是</w:t>
      </w:r>
      <w:r>
        <w:rPr>
          <w:rFonts w:hint="eastAsia"/>
          <w:highlight w:val="none"/>
          <w:lang w:val="en-US" w:eastAsia="zh-CN"/>
        </w:rPr>
        <w:t>人员增加</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104.42</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增加39.98</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增长38.29%</w:t>
      </w:r>
      <w:r>
        <w:rPr>
          <w:rFonts w:hint="eastAsia" w:ascii="宋体" w:hAnsi="宋体" w:eastAsia="宋体" w:cs="宋体"/>
          <w:sz w:val="28"/>
          <w:szCs w:val="28"/>
        </w:rPr>
        <w:t>，主要原因是</w:t>
      </w:r>
      <w:r>
        <w:rPr>
          <w:rFonts w:hint="eastAsia"/>
          <w:highlight w:val="none"/>
          <w:lang w:val="en-US" w:eastAsia="zh-CN"/>
        </w:rPr>
        <w:t>人员增加</w:t>
      </w:r>
      <w:r>
        <w:rPr>
          <w:rFonts w:hint="eastAsia" w:ascii="宋体" w:hAnsi="宋体" w:eastAsia="宋体" w:cs="宋体"/>
          <w:sz w:val="28"/>
          <w:szCs w:val="28"/>
        </w:rPr>
        <w:t>。</w:t>
      </w:r>
    </w:p>
    <w:p>
      <w:pPr>
        <w:pStyle w:val="16"/>
        <w:numPr>
          <w:ilvl w:val="0"/>
          <w:numId w:val="0"/>
        </w:numPr>
        <w:tabs>
          <w:tab w:val="left" w:pos="1238"/>
        </w:tabs>
        <w:spacing w:after="0" w:line="625" w:lineRule="exact"/>
        <w:ind w:firstLine="560" w:firstLineChars="200"/>
        <w:jc w:val="left"/>
        <w:rPr>
          <w:rFonts w:hint="eastAsia"/>
          <w:sz w:val="28"/>
          <w:szCs w:val="28"/>
        </w:rPr>
      </w:pPr>
    </w:p>
    <w:p>
      <w:pPr>
        <w:pStyle w:val="16"/>
        <w:tabs>
          <w:tab w:val="left" w:pos="1235"/>
        </w:tabs>
        <w:spacing w:after="0" w:line="624" w:lineRule="exact"/>
        <w:ind w:firstLine="580"/>
        <w:jc w:val="left"/>
        <w:rPr>
          <w:b/>
          <w:bCs/>
        </w:rPr>
      </w:pPr>
      <w:r>
        <w:rPr>
          <w:rFonts w:hint="eastAsia"/>
          <w:b/>
          <w:bCs/>
          <w:lang w:val="en-US" w:eastAsia="zh-CN"/>
        </w:rPr>
        <w:t>五、</w:t>
      </w:r>
      <w:r>
        <w:rPr>
          <w:b/>
          <w:bCs/>
        </w:rPr>
        <w:t>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781" name="图表 10" title="{{img_zc_yb_data}}"/>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144.40</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104.42</w:t>
      </w:r>
      <w:r>
        <w:rPr>
          <w:rFonts w:hint="eastAsia" w:ascii="宋体" w:hAnsi="宋体" w:eastAsia="宋体" w:cs="宋体"/>
          <w:sz w:val="28"/>
          <w:szCs w:val="28"/>
        </w:rPr>
        <w:t>万元，</w:t>
      </w:r>
      <w:r>
        <w:rPr>
          <w:rFonts w:hint="eastAsia" w:ascii="宋体" w:hAnsi="宋体" w:eastAsia="宋体" w:cs="宋体"/>
          <w:sz w:val="28"/>
          <w:szCs w:val="28"/>
          <w:lang w:val="en-US" w:eastAsia="zh-CN"/>
        </w:rPr>
        <w:t>增加39.98</w:t>
      </w:r>
      <w:r>
        <w:rPr>
          <w:rFonts w:hint="eastAsia" w:ascii="宋体" w:hAnsi="宋体" w:eastAsia="宋体" w:cs="宋体"/>
          <w:sz w:val="28"/>
          <w:szCs w:val="28"/>
        </w:rPr>
        <w:t>万元，</w:t>
      </w:r>
      <w:r>
        <w:rPr>
          <w:rFonts w:hint="eastAsia" w:ascii="宋体" w:hAnsi="宋体" w:eastAsia="宋体" w:cs="宋体"/>
          <w:sz w:val="28"/>
          <w:szCs w:val="28"/>
          <w:lang w:val="en-US" w:eastAsia="zh-CN"/>
        </w:rPr>
        <w:t>增长38.29%</w:t>
      </w:r>
      <w:r>
        <w:rPr>
          <w:rFonts w:hint="eastAsia" w:ascii="宋体" w:hAnsi="宋体" w:eastAsia="宋体" w:cs="宋体"/>
          <w:sz w:val="28"/>
          <w:szCs w:val="28"/>
        </w:rPr>
        <w:t>，主要原因是</w:t>
      </w:r>
      <w:r>
        <w:rPr>
          <w:rFonts w:hint="eastAsia"/>
          <w:highlight w:val="none"/>
          <w:lang w:val="en-US" w:eastAsia="zh-CN"/>
        </w:rPr>
        <w:t>人员增加</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127.17</w:t>
      </w:r>
      <w:r>
        <w:rPr>
          <w:rFonts w:hint="eastAsia" w:ascii="宋体" w:hAnsi="宋体" w:eastAsia="宋体" w:cs="宋体"/>
          <w:sz w:val="28"/>
          <w:szCs w:val="28"/>
        </w:rPr>
        <w:t>万元，占支出总预算的</w:t>
      </w:r>
      <w:r>
        <w:rPr>
          <w:rFonts w:ascii="宋体" w:hAnsi="宋体" w:eastAsia="宋体" w:cs="宋体"/>
          <w:sz w:val="28"/>
          <w:u w:color="auto"/>
        </w:rPr>
        <w:t>88.07%</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95.06</w:t>
      </w:r>
      <w:r>
        <w:rPr>
          <w:rFonts w:hint="eastAsia" w:ascii="宋体" w:hAnsi="宋体" w:eastAsia="宋体" w:cs="宋体"/>
          <w:sz w:val="28"/>
          <w:szCs w:val="28"/>
        </w:rPr>
        <w:t>万元，</w:t>
      </w:r>
      <w:r>
        <w:rPr>
          <w:rFonts w:ascii="宋体" w:hAnsi="宋体" w:eastAsia="宋体" w:cs="宋体"/>
          <w:sz w:val="28"/>
          <w:u w:color="auto"/>
        </w:rPr>
        <w:t>增长32.11</w:t>
      </w:r>
      <w:r>
        <w:rPr>
          <w:rFonts w:hint="eastAsia" w:ascii="宋体" w:hAnsi="宋体" w:eastAsia="宋体" w:cs="宋体"/>
          <w:sz w:val="28"/>
          <w:szCs w:val="28"/>
        </w:rPr>
        <w:t>万元，</w:t>
      </w:r>
      <w:r>
        <w:rPr>
          <w:rFonts w:ascii="宋体" w:hAnsi="宋体" w:eastAsia="宋体" w:cs="宋体"/>
          <w:sz w:val="28"/>
          <w:u w:color="auto"/>
        </w:rPr>
        <w:t>增长33.78%</w:t>
      </w:r>
      <w:r>
        <w:rPr>
          <w:rFonts w:hint="eastAsia" w:ascii="宋体" w:hAnsi="宋体" w:eastAsia="宋体" w:cs="宋体"/>
          <w:sz w:val="28"/>
          <w:szCs w:val="28"/>
        </w:rPr>
        <w:t>，主要原因是：</w:t>
      </w:r>
      <w:r>
        <w:rPr>
          <w:rFonts w:hint="eastAsia"/>
          <w:highlight w:val="none"/>
        </w:rPr>
        <w:t>人员增加</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7.98</w:t>
      </w:r>
      <w:r>
        <w:rPr>
          <w:rFonts w:hint="eastAsia" w:ascii="宋体" w:hAnsi="宋体" w:eastAsia="宋体" w:cs="宋体"/>
          <w:sz w:val="28"/>
          <w:szCs w:val="28"/>
        </w:rPr>
        <w:t>万元，占支出总预算的</w:t>
      </w:r>
      <w:r>
        <w:rPr>
          <w:rFonts w:ascii="宋体" w:hAnsi="宋体" w:eastAsia="宋体" w:cs="宋体"/>
          <w:sz w:val="28"/>
          <w:u w:color="auto"/>
        </w:rPr>
        <w:t>5.53%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4.01</w:t>
      </w:r>
      <w:r>
        <w:rPr>
          <w:rFonts w:hint="eastAsia" w:ascii="宋体" w:hAnsi="宋体" w:eastAsia="宋体" w:cs="宋体"/>
          <w:sz w:val="28"/>
          <w:szCs w:val="28"/>
        </w:rPr>
        <w:t>万元，</w:t>
      </w:r>
      <w:r>
        <w:rPr>
          <w:rFonts w:ascii="宋体" w:hAnsi="宋体" w:eastAsia="宋体" w:cs="宋体"/>
          <w:sz w:val="28"/>
          <w:u w:color="auto"/>
        </w:rPr>
        <w:t>增长3.97</w:t>
      </w:r>
      <w:r>
        <w:rPr>
          <w:rFonts w:hint="eastAsia" w:ascii="宋体" w:hAnsi="宋体" w:eastAsia="宋体" w:cs="宋体"/>
          <w:sz w:val="28"/>
          <w:szCs w:val="28"/>
        </w:rPr>
        <w:t>万元，</w:t>
      </w:r>
      <w:r>
        <w:rPr>
          <w:rFonts w:ascii="宋体" w:hAnsi="宋体" w:eastAsia="宋体" w:cs="宋体"/>
          <w:sz w:val="28"/>
          <w:u w:color="auto"/>
        </w:rPr>
        <w:t>增长99.00%</w:t>
      </w:r>
      <w:r>
        <w:rPr>
          <w:rFonts w:hint="eastAsia" w:ascii="宋体" w:hAnsi="宋体" w:eastAsia="宋体" w:cs="宋体"/>
          <w:sz w:val="28"/>
          <w:szCs w:val="28"/>
        </w:rPr>
        <w:t>，主要原因是：</w:t>
      </w:r>
      <w:r>
        <w:rPr>
          <w:rFonts w:hint="eastAsia"/>
          <w:highlight w:val="none"/>
        </w:rPr>
        <w:t>人员增加</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9.25</w:t>
      </w:r>
      <w:r>
        <w:rPr>
          <w:rFonts w:hint="eastAsia" w:ascii="宋体" w:hAnsi="宋体" w:eastAsia="宋体" w:cs="宋体"/>
          <w:sz w:val="28"/>
          <w:szCs w:val="28"/>
        </w:rPr>
        <w:t>万元，占支出总预算的</w:t>
      </w:r>
      <w:r>
        <w:rPr>
          <w:rFonts w:ascii="宋体" w:hAnsi="宋体" w:eastAsia="宋体" w:cs="宋体"/>
          <w:sz w:val="28"/>
          <w:u w:color="auto"/>
        </w:rPr>
        <w:t>6.41%</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5.35</w:t>
      </w:r>
      <w:r>
        <w:rPr>
          <w:rFonts w:hint="eastAsia" w:ascii="宋体" w:hAnsi="宋体" w:eastAsia="宋体" w:cs="宋体"/>
          <w:sz w:val="28"/>
          <w:szCs w:val="28"/>
        </w:rPr>
        <w:t>万元，</w:t>
      </w:r>
      <w:r>
        <w:rPr>
          <w:rFonts w:ascii="宋体" w:hAnsi="宋体" w:eastAsia="宋体" w:cs="宋体"/>
          <w:sz w:val="28"/>
          <w:u w:color="auto"/>
        </w:rPr>
        <w:t>增长3.90</w:t>
      </w:r>
      <w:r>
        <w:rPr>
          <w:rFonts w:hint="eastAsia" w:ascii="宋体" w:hAnsi="宋体" w:eastAsia="宋体" w:cs="宋体"/>
          <w:sz w:val="28"/>
          <w:szCs w:val="28"/>
        </w:rPr>
        <w:t>万元，</w:t>
      </w:r>
      <w:r>
        <w:rPr>
          <w:rFonts w:ascii="宋体" w:hAnsi="宋体" w:eastAsia="宋体" w:cs="宋体"/>
          <w:sz w:val="28"/>
          <w:u w:color="auto"/>
        </w:rPr>
        <w:t>增长72.90%</w:t>
      </w:r>
      <w:r>
        <w:rPr>
          <w:rFonts w:hint="eastAsia" w:ascii="宋体" w:hAnsi="宋体" w:eastAsia="宋体" w:cs="宋体"/>
          <w:sz w:val="28"/>
          <w:szCs w:val="28"/>
        </w:rPr>
        <w:t>，主要原因是：</w:t>
      </w:r>
      <w:r>
        <w:rPr>
          <w:rFonts w:hint="eastAsia"/>
          <w:highlight w:val="none"/>
        </w:rPr>
        <w:t>人员增加</w:t>
      </w:r>
      <w:r>
        <w:rPr>
          <w:rFonts w:hint="eastAsia" w:ascii="宋体" w:hAnsi="宋体" w:eastAsia="宋体" w:cs="宋体"/>
          <w:sz w:val="28"/>
          <w:szCs w:val="28"/>
        </w:rPr>
        <w:t>。</w:t>
      </w:r>
    </w:p>
    <w:p>
      <w:pPr>
        <w:pStyle w:val="16"/>
        <w:tabs>
          <w:tab w:val="left" w:pos="1235"/>
        </w:tabs>
        <w:spacing w:after="0" w:line="624" w:lineRule="exact"/>
        <w:ind w:firstLine="580"/>
        <w:jc w:val="left"/>
        <w:rPr>
          <w:b/>
          <w:bCs/>
        </w:rPr>
      </w:pPr>
      <w:r>
        <w:rPr>
          <w:rFonts w:hint="eastAsia"/>
          <w:b/>
          <w:bCs/>
          <w:lang w:val="en-US" w:eastAsia="zh-CN"/>
        </w:rPr>
        <w:t>六、</w:t>
      </w:r>
      <w:r>
        <w:rPr>
          <w:b/>
          <w:bCs/>
        </w:rPr>
        <w:t>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782" name="图表 3" title="{{rep6_yb_data}}"/>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spacing w:line="623" w:lineRule="exact"/>
        <w:ind w:left="0" w:leftChars="0" w:firstLine="560" w:firstLineChars="200"/>
        <w:jc w:val="left"/>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104.40</w:t>
      </w:r>
      <w:r>
        <w:rPr>
          <w:rFonts w:hint="eastAsia"/>
        </w:rPr>
        <w:t>万元，较2023年度预算数</w:t>
      </w:r>
      <w:r>
        <w:rPr>
          <w:rFonts w:hint="eastAsia"/>
          <w:lang w:val="en-US" w:eastAsia="zh-CN"/>
        </w:rPr>
        <w:t>59.42</w:t>
      </w:r>
      <w:r>
        <w:rPr>
          <w:rFonts w:hint="eastAsia"/>
        </w:rPr>
        <w:t>万元</w:t>
      </w:r>
      <w:r>
        <w:rPr>
          <w:rFonts w:hint="eastAsia"/>
          <w:lang w:val="en-US" w:eastAsia="zh-CN"/>
        </w:rPr>
        <w:t>,</w:t>
      </w:r>
      <w:r>
        <w:rPr>
          <w:u w:color="auto"/>
        </w:rPr>
        <w:t>增加44.98</w:t>
      </w:r>
      <w:r>
        <w:rPr>
          <w:rFonts w:hint="eastAsia"/>
        </w:rPr>
        <w:t>万元，</w:t>
      </w:r>
      <w:r>
        <w:rPr>
          <w:rFonts w:hint="eastAsia"/>
          <w:lang w:val="en-US" w:eastAsia="zh-CN"/>
        </w:rPr>
        <w:t>增长75.70%</w:t>
      </w:r>
      <w:r>
        <w:rPr>
          <w:rFonts w:hint="eastAsia"/>
        </w:rPr>
        <w:t>，主要原因是</w:t>
      </w:r>
      <w:r>
        <w:rPr>
          <w:rFonts w:hint="eastAsia"/>
          <w:highlight w:val="none"/>
          <w:lang w:val="en-US" w:eastAsia="zh-CN"/>
        </w:rPr>
        <w:t>人员增加</w:t>
      </w:r>
      <w:r>
        <w:rPr>
          <w:rFonts w:hint="eastAsia"/>
        </w:rPr>
        <w:t>。具体情况为：</w:t>
      </w:r>
    </w:p>
    <w:p>
      <w:pPr>
        <w:pStyle w:val="18"/>
        <w:spacing w:line="626" w:lineRule="exact"/>
        <w:ind w:firstLine="600"/>
        <w:jc w:val="left"/>
        <w:rPr>
          <w:rFonts w:hint="default"/>
          <w:lang w:val="en-US" w:eastAsia="zh-CN"/>
        </w:rPr>
      </w:pPr>
      <w:r>
        <w:rPr>
          <w:rFonts w:hint="eastAsia"/>
          <w:lang w:val="en-US" w:eastAsia="zh-CN"/>
        </w:rPr>
        <w:t>工资福利支出</w:t>
      </w:r>
      <w:r>
        <w:rPr>
          <w:rFonts w:hint="eastAsia"/>
        </w:rPr>
        <w:t>支出预算</w:t>
      </w:r>
      <w:r>
        <w:rPr>
          <w:rFonts w:hint="eastAsia"/>
          <w:lang w:val="en-US" w:eastAsia="zh-CN"/>
        </w:rPr>
        <w:t>89.90</w:t>
      </w:r>
      <w:r>
        <w:t>万元</w:t>
      </w:r>
      <w:r>
        <w:rPr>
          <w:rFonts w:hint="eastAsia"/>
          <w:lang w:eastAsia="zh-CN"/>
        </w:rPr>
        <w:t>，</w:t>
      </w:r>
      <w:r>
        <w:rPr>
          <w:rFonts w:hint="eastAsia"/>
        </w:rPr>
        <w:t>占基本支出预算的</w:t>
      </w:r>
      <w:r>
        <w:rPr>
          <w:rFonts w:hint="eastAsia"/>
          <w:lang w:val="en-US" w:eastAsia="zh-CN"/>
        </w:rPr>
        <w:t>86.11%</w:t>
      </w:r>
      <w:r>
        <w:rPr>
          <w:rFonts w:hint="eastAsia"/>
        </w:rPr>
        <w:t>，较2023年度预算数</w:t>
      </w:r>
      <w:r>
        <w:rPr>
          <w:rFonts w:hint="eastAsia"/>
          <w:lang w:val="en-US" w:eastAsia="zh-CN"/>
        </w:rPr>
        <w:t>50.69</w:t>
      </w:r>
      <w:r>
        <w:rPr>
          <w:rFonts w:hint="eastAsia"/>
        </w:rPr>
        <w:t>万元，</w:t>
      </w:r>
      <w:r>
        <w:rPr>
          <w:rFonts w:hint="eastAsia"/>
          <w:lang w:val="en-US" w:eastAsia="zh-CN"/>
        </w:rPr>
        <w:t>增长39.21</w:t>
      </w:r>
      <w:r>
        <w:rPr>
          <w:rFonts w:hint="eastAsia"/>
        </w:rPr>
        <w:t>万元，</w:t>
      </w:r>
      <w:r>
        <w:rPr>
          <w:rFonts w:hint="eastAsia"/>
          <w:lang w:val="en-US" w:eastAsia="zh-CN"/>
        </w:rPr>
        <w:t>增长77.35%</w:t>
      </w:r>
      <w:r>
        <w:rPr>
          <w:rFonts w:hint="eastAsia"/>
        </w:rPr>
        <w:t>，主要原因是：</w:t>
      </w:r>
      <w:r>
        <w:rPr>
          <w:rFonts w:hint="eastAsia"/>
          <w:highlight w:val="none"/>
        </w:rPr>
        <w:t>人员增加</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8.39</w:t>
      </w:r>
      <w:r>
        <w:t>万元</w:t>
      </w:r>
      <w:r>
        <w:rPr>
          <w:rFonts w:hint="eastAsia"/>
          <w:lang w:eastAsia="zh-CN"/>
        </w:rPr>
        <w:t>，</w:t>
      </w:r>
      <w:r>
        <w:rPr>
          <w:rFonts w:hint="eastAsia"/>
        </w:rPr>
        <w:t>占基本支出预算的</w:t>
      </w:r>
      <w:r>
        <w:rPr>
          <w:rFonts w:hint="eastAsia"/>
          <w:lang w:val="en-US" w:eastAsia="zh-CN"/>
        </w:rPr>
        <w:t>8.04%</w:t>
      </w:r>
      <w:r>
        <w:rPr>
          <w:rFonts w:hint="eastAsia"/>
        </w:rPr>
        <w:t>，较2023年度预算数</w:t>
      </w:r>
      <w:r>
        <w:rPr>
          <w:rFonts w:hint="eastAsia"/>
          <w:lang w:val="en-US" w:eastAsia="zh-CN"/>
        </w:rPr>
        <w:t>4.65</w:t>
      </w:r>
      <w:r>
        <w:rPr>
          <w:rFonts w:hint="eastAsia"/>
        </w:rPr>
        <w:t>万元，</w:t>
      </w:r>
      <w:r>
        <w:rPr>
          <w:rFonts w:hint="eastAsia"/>
          <w:lang w:val="en-US" w:eastAsia="zh-CN"/>
        </w:rPr>
        <w:t>增长3.74</w:t>
      </w:r>
      <w:r>
        <w:rPr>
          <w:rFonts w:hint="eastAsia"/>
        </w:rPr>
        <w:t>万元，</w:t>
      </w:r>
      <w:r>
        <w:rPr>
          <w:rFonts w:hint="eastAsia"/>
          <w:lang w:val="en-US" w:eastAsia="zh-CN"/>
        </w:rPr>
        <w:t>增长80.43%</w:t>
      </w:r>
      <w:r>
        <w:rPr>
          <w:rFonts w:hint="eastAsia"/>
        </w:rPr>
        <w:t>，主要原因是：</w:t>
      </w:r>
      <w:r>
        <w:rPr>
          <w:rFonts w:hint="eastAsia"/>
          <w:highlight w:val="none"/>
        </w:rPr>
        <w:t>人员增加</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6.11</w:t>
      </w:r>
      <w:r>
        <w:t>万元</w:t>
      </w:r>
      <w:r>
        <w:rPr>
          <w:rFonts w:hint="eastAsia"/>
          <w:lang w:eastAsia="zh-CN"/>
        </w:rPr>
        <w:t>，</w:t>
      </w:r>
      <w:r>
        <w:rPr>
          <w:rFonts w:hint="eastAsia"/>
        </w:rPr>
        <w:t>占基本支出预算的</w:t>
      </w:r>
      <w:r>
        <w:rPr>
          <w:rFonts w:hint="eastAsia"/>
          <w:lang w:val="en-US" w:eastAsia="zh-CN"/>
        </w:rPr>
        <w:t>5.85%</w:t>
      </w:r>
      <w:r>
        <w:rPr>
          <w:rFonts w:hint="eastAsia"/>
        </w:rPr>
        <w:t>，较2023年度预算数</w:t>
      </w:r>
      <w:r>
        <w:rPr>
          <w:rFonts w:hint="eastAsia"/>
          <w:lang w:val="en-US" w:eastAsia="zh-CN"/>
        </w:rPr>
        <w:t>4.08</w:t>
      </w:r>
      <w:r>
        <w:rPr>
          <w:rFonts w:hint="eastAsia"/>
        </w:rPr>
        <w:t>万元，</w:t>
      </w:r>
      <w:r>
        <w:rPr>
          <w:rFonts w:hint="eastAsia"/>
          <w:lang w:val="en-US" w:eastAsia="zh-CN"/>
        </w:rPr>
        <w:t>增长2.03</w:t>
      </w:r>
      <w:r>
        <w:rPr>
          <w:rFonts w:hint="eastAsia"/>
        </w:rPr>
        <w:t>万元，</w:t>
      </w:r>
      <w:r>
        <w:rPr>
          <w:rFonts w:hint="eastAsia"/>
          <w:lang w:val="en-US" w:eastAsia="zh-CN"/>
        </w:rPr>
        <w:t>增长49.75%</w:t>
      </w:r>
      <w:r>
        <w:rPr>
          <w:rFonts w:hint="eastAsia"/>
        </w:rPr>
        <w:t>，主要原因是：</w:t>
      </w:r>
      <w:r>
        <w:rPr>
          <w:rFonts w:hint="eastAsia"/>
          <w:highlight w:val="none"/>
        </w:rPr>
        <w:t>离退休生活补助提高</w:t>
      </w:r>
      <w:r>
        <w:rPr>
          <w:rFonts w:hint="eastAsia"/>
          <w:highlight w:val="none"/>
          <w:lang w:val="en-US" w:eastAsia="zh-CN"/>
        </w:rPr>
        <w:t>。</w:t>
      </w:r>
    </w:p>
    <w:p>
      <w:pPr>
        <w:pStyle w:val="16"/>
        <w:tabs>
          <w:tab w:val="left" w:pos="1235"/>
        </w:tabs>
        <w:spacing w:after="0" w:line="624" w:lineRule="exact"/>
        <w:ind w:firstLine="580"/>
        <w:jc w:val="left"/>
        <w:rPr>
          <w:rFonts w:hint="eastAsia"/>
          <w:b/>
          <w:bCs/>
        </w:rPr>
      </w:pPr>
      <w:r>
        <w:rPr>
          <w:rFonts w:hint="eastAsia"/>
          <w:b/>
          <w:bCs/>
          <w:lang w:val="en-US" w:eastAsia="zh-CN"/>
        </w:rPr>
        <w:t>七、</w:t>
      </w:r>
      <w:r>
        <w:rPr>
          <w:b/>
          <w:bCs/>
        </w:rPr>
        <w:t>一般公共预算</w:t>
      </w:r>
      <w:r>
        <w:rPr>
          <w:b/>
          <w:bCs/>
          <w:lang w:val="zh-CN" w:eastAsia="zh-CN" w:bidi="zh-CN"/>
        </w:rPr>
        <w:t>“三</w:t>
      </w:r>
      <w:r>
        <w:rPr>
          <w:b/>
          <w:bCs/>
        </w:rPr>
        <w:t>公”</w:t>
      </w:r>
      <w:r>
        <w:rPr>
          <w:rFonts w:hint="eastAsia"/>
          <w:b/>
          <w:bCs/>
        </w:rPr>
        <w:t>经费支出情况说明</w:t>
      </w:r>
    </w:p>
    <w:p>
      <w:pPr>
        <w:pStyle w:val="16"/>
        <w:numPr>
          <w:ilvl w:val="0"/>
          <w:numId w:val="0"/>
        </w:numPr>
        <w:spacing w:after="0"/>
        <w:jc w:val="left"/>
        <w:rPr>
          <w:rFonts w:hint="eastAsia"/>
          <w:b/>
          <w:bCs/>
        </w:rPr>
      </w:pP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783" name="图表 23" title="{{img_sgzc_ys_data}}"/>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6"/>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6.90</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6.90</w:t>
      </w:r>
      <w:r>
        <w:rPr>
          <w:rFonts w:hint="eastAsia"/>
          <w:b w:val="0"/>
          <w:bCs w:val="0"/>
          <w:sz w:val="28"/>
          <w:szCs w:val="28"/>
          <w:lang w:eastAsia="zh-CN"/>
        </w:rPr>
        <w:t>万元，公务用车购置及运行费支出预算</w:t>
      </w:r>
      <w:r>
        <w:rPr>
          <w:rFonts w:hint="eastAsia"/>
          <w:b w:val="0"/>
          <w:bCs w:val="0"/>
          <w:sz w:val="28"/>
          <w:szCs w:val="28"/>
          <w:lang w:val="en-US" w:eastAsia="zh-CN"/>
        </w:rPr>
        <w:t>0.00</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0.00</w:t>
      </w:r>
      <w:r>
        <w:rPr>
          <w:rFonts w:hint="eastAsia"/>
          <w:b w:val="0"/>
          <w:bCs w:val="0"/>
          <w:sz w:val="28"/>
          <w:szCs w:val="28"/>
          <w:lang w:eastAsia="zh-CN"/>
        </w:rPr>
        <w:t>万元）。</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6.90</w:t>
      </w:r>
      <w:r>
        <w:rPr>
          <w:rFonts w:hint="eastAsia"/>
          <w:b w:val="0"/>
          <w:bCs w:val="0"/>
          <w:sz w:val="28"/>
          <w:szCs w:val="28"/>
        </w:rPr>
        <w:t>万元，同口径较2023年度预算数</w:t>
      </w:r>
      <w:r>
        <w:rPr>
          <w:rFonts w:hint="eastAsia"/>
          <w:b w:val="0"/>
          <w:bCs w:val="0"/>
          <w:sz w:val="28"/>
          <w:szCs w:val="28"/>
          <w:lang w:val="en-US" w:eastAsia="zh-CN"/>
        </w:rPr>
        <w:t>12.50</w:t>
      </w:r>
      <w:r>
        <w:rPr>
          <w:rFonts w:hint="eastAsia"/>
          <w:b w:val="0"/>
          <w:bCs w:val="0"/>
          <w:sz w:val="28"/>
          <w:szCs w:val="28"/>
        </w:rPr>
        <w:t>万元，</w:t>
      </w:r>
      <w:r>
        <w:rPr>
          <w:rFonts w:hint="eastAsia"/>
          <w:b w:val="0"/>
          <w:bCs w:val="0"/>
          <w:sz w:val="28"/>
          <w:szCs w:val="28"/>
          <w:lang w:val="en-US" w:eastAsia="zh-CN"/>
        </w:rPr>
        <w:t>减少5.60</w:t>
      </w:r>
      <w:r>
        <w:rPr>
          <w:rFonts w:hint="eastAsia"/>
          <w:b w:val="0"/>
          <w:bCs w:val="0"/>
          <w:sz w:val="28"/>
          <w:szCs w:val="28"/>
        </w:rPr>
        <w:t>万元，</w:t>
      </w:r>
      <w:r>
        <w:rPr>
          <w:rFonts w:hint="eastAsia"/>
          <w:b w:val="0"/>
          <w:bCs w:val="0"/>
          <w:sz w:val="28"/>
          <w:szCs w:val="28"/>
          <w:lang w:val="en-US" w:eastAsia="zh-CN"/>
        </w:rPr>
        <w:t>减少44.80%</w:t>
      </w:r>
      <w:r>
        <w:rPr>
          <w:rFonts w:hint="eastAsia"/>
          <w:b w:val="0"/>
          <w:bCs w:val="0"/>
          <w:sz w:val="28"/>
          <w:szCs w:val="28"/>
        </w:rPr>
        <w:t>，具体如下：</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无人出国（境）</w:t>
      </w:r>
      <w:r>
        <w:rPr>
          <w:rFonts w:hint="eastAsia"/>
          <w:b w:val="0"/>
          <w:bCs w:val="0"/>
          <w:sz w:val="28"/>
          <w:szCs w:val="28"/>
        </w:rPr>
        <w:t>。</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6.90</w:t>
      </w:r>
      <w:r>
        <w:rPr>
          <w:rFonts w:hint="eastAsia"/>
          <w:b w:val="0"/>
          <w:bCs w:val="0"/>
          <w:sz w:val="28"/>
          <w:szCs w:val="28"/>
        </w:rPr>
        <w:t>万元，较2023年度预算数</w:t>
      </w:r>
      <w:r>
        <w:rPr>
          <w:sz w:val="28"/>
          <w:u w:color="auto"/>
        </w:rPr>
        <w:t>11.00</w:t>
      </w:r>
      <w:r>
        <w:rPr>
          <w:rFonts w:hint="eastAsia"/>
          <w:b w:val="0"/>
          <w:bCs w:val="0"/>
          <w:sz w:val="28"/>
          <w:szCs w:val="28"/>
        </w:rPr>
        <w:t>万元，</w:t>
      </w:r>
      <w:r>
        <w:rPr>
          <w:sz w:val="28"/>
          <w:u w:color="auto"/>
        </w:rPr>
        <w:t>减少4.10</w:t>
      </w:r>
      <w:r>
        <w:rPr>
          <w:rFonts w:hint="eastAsia"/>
          <w:b w:val="0"/>
          <w:bCs w:val="0"/>
          <w:sz w:val="28"/>
          <w:szCs w:val="28"/>
        </w:rPr>
        <w:t>万元，</w:t>
      </w:r>
      <w:r>
        <w:rPr>
          <w:sz w:val="28"/>
          <w:u w:color="auto"/>
        </w:rPr>
        <w:t>减少37.27%</w:t>
      </w:r>
      <w:r>
        <w:rPr>
          <w:rFonts w:hint="eastAsia"/>
          <w:b w:val="0"/>
          <w:bCs w:val="0"/>
          <w:sz w:val="28"/>
          <w:szCs w:val="28"/>
        </w:rPr>
        <w:t>，主要原因是</w:t>
      </w:r>
      <w:r>
        <w:rPr>
          <w:rFonts w:hint="eastAsia"/>
          <w:highlight w:val="none"/>
          <w:lang w:val="en-US" w:eastAsia="zh-CN"/>
        </w:rPr>
        <w:t>本单位贯彻落实厉行节约的有关规定，控制开支</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1.50</w:t>
      </w:r>
      <w:r>
        <w:rPr>
          <w:rFonts w:hint="eastAsia"/>
          <w:b w:val="0"/>
          <w:bCs w:val="0"/>
          <w:sz w:val="28"/>
          <w:szCs w:val="28"/>
        </w:rPr>
        <w:t>万元，</w:t>
      </w:r>
      <w:r>
        <w:rPr>
          <w:sz w:val="28"/>
          <w:u w:color="auto"/>
        </w:rPr>
        <w:t>减少1.50</w:t>
      </w:r>
      <w:r>
        <w:rPr>
          <w:rFonts w:hint="eastAsia"/>
          <w:b w:val="0"/>
          <w:bCs w:val="0"/>
          <w:sz w:val="28"/>
          <w:szCs w:val="28"/>
        </w:rPr>
        <w:t>万元，</w:t>
      </w:r>
      <w:r>
        <w:rPr>
          <w:sz w:val="28"/>
          <w:u w:color="auto"/>
        </w:rPr>
        <w:t>减少100.00%</w:t>
      </w:r>
      <w:r>
        <w:rPr>
          <w:rFonts w:hint="eastAsia"/>
          <w:b w:val="0"/>
          <w:bCs w:val="0"/>
          <w:sz w:val="28"/>
          <w:szCs w:val="28"/>
        </w:rPr>
        <w:t>，其中：</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压减费用支出</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1.50</w:t>
      </w:r>
      <w:r>
        <w:rPr>
          <w:rFonts w:hint="eastAsia"/>
          <w:b w:val="0"/>
          <w:bCs w:val="0"/>
          <w:sz w:val="28"/>
          <w:szCs w:val="28"/>
        </w:rPr>
        <w:t>万元，</w:t>
      </w:r>
      <w:r>
        <w:rPr>
          <w:sz w:val="28"/>
          <w:u w:color="auto"/>
        </w:rPr>
        <w:t>减少1.50</w:t>
      </w:r>
      <w:r>
        <w:rPr>
          <w:rFonts w:hint="eastAsia"/>
          <w:b w:val="0"/>
          <w:bCs w:val="0"/>
          <w:sz w:val="28"/>
          <w:szCs w:val="28"/>
        </w:rPr>
        <w:t>万元，</w:t>
      </w:r>
      <w:r>
        <w:rPr>
          <w:sz w:val="28"/>
          <w:u w:color="auto"/>
        </w:rPr>
        <w:t>减少100.00%</w:t>
      </w:r>
      <w:r>
        <w:rPr>
          <w:rFonts w:hint="eastAsia"/>
          <w:b w:val="0"/>
          <w:bCs w:val="0"/>
          <w:sz w:val="28"/>
          <w:szCs w:val="28"/>
        </w:rPr>
        <w:t>，主要原因是</w:t>
      </w:r>
      <w:r>
        <w:rPr>
          <w:rFonts w:hint="eastAsia"/>
          <w:highlight w:val="none"/>
          <w:lang w:val="en-US" w:eastAsia="zh-CN"/>
        </w:rPr>
        <w:t>压减费用支出</w:t>
      </w:r>
      <w:r>
        <w:rPr>
          <w:rFonts w:hint="eastAsia"/>
          <w:b w:val="0"/>
          <w:bCs w:val="0"/>
          <w:sz w:val="28"/>
          <w:szCs w:val="28"/>
        </w:rPr>
        <w:t>。</w:t>
      </w:r>
    </w:p>
    <w:p>
      <w:pPr>
        <w:pStyle w:val="16"/>
        <w:tabs>
          <w:tab w:val="left" w:pos="1235"/>
        </w:tabs>
        <w:spacing w:after="0" w:line="624" w:lineRule="exact"/>
        <w:ind w:firstLine="580"/>
        <w:jc w:val="left"/>
        <w:rPr>
          <w:b/>
          <w:bCs/>
        </w:rPr>
      </w:pPr>
      <w:r>
        <w:rPr>
          <w:b/>
          <w:bCs/>
        </w:rPr>
        <w:t>八</w:t>
      </w:r>
      <w:bookmarkEnd w:id="14"/>
      <w:r>
        <w:rPr>
          <w:b/>
          <w:bCs/>
        </w:rPr>
        <w:t>、</w:t>
      </w:r>
      <w:r>
        <w:rPr>
          <w:b/>
          <w:bCs/>
        </w:rPr>
        <w:tab/>
      </w:r>
      <w:r>
        <w:rPr>
          <w:b/>
          <w:bCs/>
        </w:rPr>
        <w:t>政府性基金预算支出情况说明</w:t>
      </w:r>
    </w:p>
    <w:p>
      <w:pPr>
        <w:pStyle w:val="18"/>
        <w:spacing w:line="629" w:lineRule="exact"/>
        <w:ind w:firstLine="600"/>
        <w:jc w:val="left"/>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0.00</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增加0.00</w:t>
      </w:r>
      <w:r>
        <w:rPr>
          <w:rFonts w:hint="eastAsia"/>
        </w:rPr>
        <w:t>万元，</w:t>
      </w:r>
      <w:r>
        <w:rPr>
          <w:rFonts w:hint="eastAsia"/>
          <w:b w:val="0"/>
          <w:bCs w:val="0"/>
          <w:sz w:val="28"/>
          <w:szCs w:val="28"/>
          <w:lang w:eastAsia="zh-CN"/>
        </w:rPr>
        <w:t>增长0%</w:t>
      </w:r>
      <w:r>
        <w:rPr>
          <w:rFonts w:hint="eastAsia"/>
        </w:rPr>
        <w:t>，主要原因是</w:t>
      </w:r>
      <w:r>
        <w:rPr>
          <w:rFonts w:hint="eastAsia"/>
          <w:highlight w:val="none"/>
          <w:lang w:val="en-US" w:eastAsia="zh-CN"/>
        </w:rPr>
        <w:t>我部门2024年部门预算无政府性基金预算</w:t>
      </w:r>
      <w:r>
        <w:rPr>
          <w:rFonts w:hint="eastAsia"/>
        </w:rPr>
        <w:t>。</w:t>
      </w:r>
    </w:p>
    <w:p>
      <w:pPr>
        <w:pStyle w:val="16"/>
        <w:tabs>
          <w:tab w:val="left" w:pos="1235"/>
        </w:tabs>
        <w:spacing w:after="0" w:line="624" w:lineRule="exact"/>
        <w:ind w:firstLine="580"/>
        <w:jc w:val="left"/>
        <w:rPr>
          <w:b/>
          <w:bCs/>
        </w:rPr>
      </w:pPr>
      <w:bookmarkStart w:id="15" w:name="bookmark91"/>
      <w:r>
        <w:rPr>
          <w:b/>
          <w:bCs/>
        </w:rPr>
        <w:t>九</w:t>
      </w:r>
      <w:bookmarkEnd w:id="15"/>
      <w:r>
        <w:rPr>
          <w:b/>
          <w:bCs/>
        </w:rPr>
        <w:t>、</w:t>
      </w:r>
      <w:r>
        <w:rPr>
          <w:b/>
          <w:bCs/>
        </w:rPr>
        <w:tab/>
      </w:r>
      <w:r>
        <w:rPr>
          <w:b/>
          <w:bCs/>
        </w:rPr>
        <w:t>国有资本经营预算支出情况说明</w:t>
      </w:r>
    </w:p>
    <w:p>
      <w:pPr>
        <w:pStyle w:val="18"/>
        <w:spacing w:line="437" w:lineRule="auto"/>
        <w:ind w:firstLine="600"/>
        <w:jc w:val="left"/>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我部门2024年部门预算无国有资本经营预算</w:t>
      </w:r>
      <w:r>
        <w:rPr>
          <w:rFonts w:hint="eastAsia"/>
        </w:rPr>
        <w:t>。</w:t>
      </w:r>
    </w:p>
    <w:p>
      <w:pPr>
        <w:pStyle w:val="16"/>
        <w:tabs>
          <w:tab w:val="left" w:pos="1235"/>
        </w:tabs>
        <w:spacing w:after="0" w:line="624" w:lineRule="exact"/>
        <w:ind w:firstLine="580"/>
        <w:jc w:val="left"/>
        <w:rPr>
          <w:b/>
          <w:bCs/>
        </w:rPr>
      </w:pPr>
      <w:r>
        <w:rPr>
          <w:b/>
          <w:bCs/>
        </w:rPr>
        <w:t>十、其他重要事项</w:t>
      </w:r>
      <w:r>
        <w:rPr>
          <w:rFonts w:hint="eastAsia"/>
          <w:b/>
          <w:bCs/>
          <w:lang w:val="en-US" w:eastAsia="zh-CN"/>
        </w:rPr>
        <w:t>情况</w:t>
      </w:r>
      <w:r>
        <w:rPr>
          <w:b/>
          <w:bCs/>
        </w:rPr>
        <w:t>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（一）机关运行经费安排情况说明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2024</w:t>
      </w:r>
      <w:r>
        <w:rPr>
          <w:rFonts w:hint="eastAsia" w:ascii="宋体" w:hAnsi="宋体" w:eastAsia="宋体" w:cs="宋体"/>
          <w:sz w:val="28"/>
          <w:szCs w:val="28"/>
          <w:lang w:eastAsia="zh-CN"/>
        </w:rPr>
        <w:t>年本部门机关运行经费预算</w:t>
      </w:r>
      <w:r>
        <w:rPr>
          <w:rFonts w:hint="eastAsia" w:ascii="宋体" w:hAnsi="宋体" w:eastAsia="宋体" w:cs="宋体"/>
          <w:sz w:val="28"/>
          <w:szCs w:val="28"/>
          <w:lang w:val="en-US" w:eastAsia="zh-CN"/>
        </w:rPr>
        <w:t>8.39</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4.65</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增加3.74</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增长80.43%</w:t>
      </w:r>
      <w:r>
        <w:rPr>
          <w:rFonts w:hint="eastAsia" w:ascii="宋体" w:hAnsi="宋体" w:eastAsia="宋体" w:cs="宋体"/>
          <w:sz w:val="28"/>
          <w:szCs w:val="28"/>
          <w:lang w:eastAsia="zh-CN"/>
        </w:rPr>
        <w:t>，主要原因是：</w:t>
      </w:r>
      <w:r>
        <w:rPr>
          <w:rFonts w:hint="eastAsia"/>
          <w:highlight w:val="none"/>
          <w:lang w:val="en-US" w:eastAsia="zh-CN"/>
        </w:rPr>
        <w:t>人员增加</w:t>
      </w:r>
      <w:r>
        <w:rPr>
          <w:rFonts w:hint="eastAsia" w:ascii="宋体" w:hAnsi="宋体" w:eastAsia="宋体" w:cs="宋体"/>
          <w:sz w:val="28"/>
          <w:szCs w:val="28"/>
          <w:lang w:eastAsia="zh-CN"/>
        </w:rPr>
        <w:t>。</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spacing w:line="624" w:lineRule="exact"/>
        <w:ind w:firstLine="600"/>
        <w:jc w:val="left"/>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highlight w:val="none"/>
          <w:lang w:val="en-US" w:eastAsia="zh-CN"/>
        </w:rPr>
        <w:t>0.3</w:t>
      </w:r>
      <w:r>
        <w:rPr>
          <w:rFonts w:hint="eastAsia" w:ascii="宋体" w:hAnsi="宋体" w:eastAsia="宋体" w:cs="宋体"/>
          <w:sz w:val="28"/>
          <w:szCs w:val="28"/>
          <w:lang w:eastAsia="zh-CN"/>
        </w:rPr>
        <w:t>万元。其中：货物类采购</w:t>
      </w:r>
      <w:r>
        <w:rPr>
          <w:rFonts w:hint="eastAsia"/>
          <w:highlight w:val="none"/>
          <w:lang w:val="en-US" w:eastAsia="zh-CN"/>
        </w:rPr>
        <w:t>0.3</w:t>
      </w:r>
      <w:r>
        <w:rPr>
          <w:rFonts w:hint="eastAsia" w:ascii="宋体" w:hAnsi="宋体" w:eastAsia="宋体" w:cs="宋体"/>
          <w:sz w:val="28"/>
          <w:szCs w:val="28"/>
          <w:lang w:eastAsia="zh-CN"/>
        </w:rPr>
        <w:t>万元、工程类采购</w:t>
      </w:r>
      <w:r>
        <w:rPr>
          <w:rFonts w:hint="eastAsia"/>
          <w:highlight w:val="none"/>
          <w:lang w:val="en-US" w:eastAsia="zh-CN"/>
        </w:rPr>
        <w:t>0</w:t>
      </w:r>
      <w:r>
        <w:rPr>
          <w:rFonts w:hint="eastAsia" w:ascii="宋体" w:hAnsi="宋体" w:eastAsia="宋体" w:cs="宋体"/>
          <w:sz w:val="28"/>
          <w:szCs w:val="28"/>
          <w:lang w:eastAsia="zh-CN"/>
        </w:rPr>
        <w:t>万元、服务类采购</w:t>
      </w:r>
      <w:r>
        <w:rPr>
          <w:rFonts w:hint="eastAsia"/>
          <w:highlight w:val="none"/>
          <w:lang w:val="en-US" w:eastAsia="zh-CN"/>
        </w:rPr>
        <w:t>0</w:t>
      </w:r>
      <w:r>
        <w:rPr>
          <w:rFonts w:hint="eastAsia" w:ascii="宋体" w:hAnsi="宋体" w:eastAsia="宋体" w:cs="宋体"/>
          <w:sz w:val="28"/>
          <w:szCs w:val="28"/>
          <w:lang w:eastAsia="zh-CN"/>
        </w:rPr>
        <w:t>万元。</w:t>
      </w:r>
      <w:r>
        <w:rPr>
          <w:rFonts w:hint="eastAsia" w:cs="宋体"/>
          <w:sz w:val="28"/>
          <w:szCs w:val="28"/>
          <w:lang w:val="en-US" w:eastAsia="zh-CN"/>
        </w:rPr>
        <w:t>主要用于：</w:t>
      </w:r>
      <w:r>
        <w:rPr>
          <w:rFonts w:hint="eastAsia"/>
          <w:highlight w:val="none"/>
          <w:lang w:val="en-US" w:eastAsia="zh-CN"/>
        </w:rPr>
        <w:t>日常办公所需。</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0</w:t>
      </w:r>
      <w:r>
        <w:rPr>
          <w:rFonts w:hint="eastAsia" w:ascii="宋体" w:hAnsi="宋体" w:eastAsia="宋体" w:cs="宋体"/>
          <w:sz w:val="28"/>
          <w:szCs w:val="28"/>
          <w:lang w:eastAsia="zh-CN"/>
        </w:rPr>
        <w:t>辆，其中，应急机要通信用车</w:t>
      </w:r>
      <w:r>
        <w:rPr>
          <w:rFonts w:hint="eastAsia"/>
          <w:highlight w:val="none"/>
          <w:lang w:val="en-US" w:eastAsia="zh-CN"/>
        </w:rPr>
        <w:t>0</w:t>
      </w:r>
      <w:r>
        <w:rPr>
          <w:rFonts w:hint="eastAsia" w:ascii="宋体" w:hAnsi="宋体" w:eastAsia="宋体" w:cs="宋体"/>
          <w:sz w:val="28"/>
          <w:szCs w:val="28"/>
          <w:lang w:eastAsia="zh-CN"/>
        </w:rPr>
        <w:t>辆、一般执法执勤用车</w:t>
      </w:r>
      <w:r>
        <w:rPr>
          <w:rFonts w:hint="eastAsia"/>
          <w:highlight w:val="none"/>
          <w:lang w:val="en-US" w:eastAsia="zh-CN"/>
        </w:rPr>
        <w:t>0</w:t>
      </w:r>
      <w:r>
        <w:rPr>
          <w:rFonts w:hint="eastAsia" w:ascii="宋体" w:hAnsi="宋体" w:eastAsia="宋体" w:cs="宋体"/>
          <w:sz w:val="28"/>
          <w:szCs w:val="28"/>
          <w:lang w:eastAsia="zh-CN"/>
        </w:rPr>
        <w:t>辆、特种专业技术用车</w:t>
      </w:r>
      <w:r>
        <w:rPr>
          <w:rFonts w:hint="eastAsia"/>
          <w:highlight w:val="none"/>
          <w:lang w:val="en-US" w:eastAsia="zh-CN"/>
        </w:rPr>
        <w:t>0</w:t>
      </w:r>
      <w:r>
        <w:rPr>
          <w:rFonts w:hint="eastAsia" w:ascii="宋体" w:hAnsi="宋体" w:eastAsia="宋体" w:cs="宋体"/>
          <w:sz w:val="28"/>
          <w:szCs w:val="28"/>
          <w:lang w:eastAsia="zh-CN"/>
        </w:rPr>
        <w:t>辆、其他用车</w:t>
      </w:r>
      <w:r>
        <w:rPr>
          <w:rFonts w:hint="eastAsia"/>
          <w:highlight w:val="none"/>
          <w:lang w:val="en-US" w:eastAsia="zh-CN"/>
        </w:rPr>
        <w:t>0</w:t>
      </w:r>
      <w:r>
        <w:rPr>
          <w:rFonts w:hint="eastAsia" w:ascii="宋体" w:hAnsi="宋体" w:eastAsia="宋体" w:cs="宋体"/>
          <w:sz w:val="28"/>
          <w:szCs w:val="28"/>
          <w:lang w:eastAsia="zh-CN"/>
        </w:rPr>
        <w:t>辆，单位价值200万元以上大型设备</w:t>
      </w:r>
      <w:r>
        <w:rPr>
          <w:rFonts w:hint="eastAsia"/>
          <w:highlight w:val="none"/>
          <w:lang w:val="en-US" w:eastAsia="zh-CN"/>
        </w:rPr>
        <w:t>0</w:t>
      </w:r>
      <w:r>
        <w:rPr>
          <w:rFonts w:hint="eastAsia" w:ascii="宋体" w:hAnsi="宋体" w:eastAsia="宋体" w:cs="宋体"/>
          <w:sz w:val="28"/>
          <w:szCs w:val="28"/>
          <w:lang w:eastAsia="zh-CN"/>
        </w:rPr>
        <w:t>台（套）。</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8</w:t>
      </w:r>
      <w:r>
        <w:rPr>
          <w:rFonts w:hint="eastAsia" w:ascii="宋体" w:hAnsi="宋体" w:eastAsia="宋体" w:cs="宋体"/>
          <w:sz w:val="28"/>
          <w:szCs w:val="28"/>
          <w:lang w:eastAsia="zh-CN"/>
        </w:rPr>
        <w:t>个，预算资金</w:t>
      </w:r>
      <w:r>
        <w:rPr>
          <w:rFonts w:hint="eastAsia"/>
          <w:highlight w:val="none"/>
          <w:lang w:val="en-US" w:eastAsia="zh-CN"/>
        </w:rPr>
        <w:t>40</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spacing w:line="624" w:lineRule="exact"/>
        <w:ind w:firstLine="600"/>
        <w:jc w:val="left"/>
        <w:rPr>
          <w:rFonts w:hint="eastAsia"/>
          <w:highlight w:val="none"/>
          <w:lang w:val="en-US" w:eastAsia="zh-CN"/>
        </w:rPr>
      </w:pPr>
      <w:r>
        <w:rPr>
          <w:rFonts w:hint="eastAsia"/>
          <w:highlight w:val="none"/>
          <w:lang w:val="en-US" w:eastAsia="zh-CN"/>
        </w:rPr>
        <w:t>重点项目一：项目名称：招商工作经费，预算资金10万元，2024年度绩效目标为：全面完成年内外出招商工作、公务接待及办公耗材等目标任务。设1条数量指标：招商接待≥10次；设1条质量指标：招商接待≥90%；设1条时效指标：一年内完成；设1条成本指标：经费成本≤10万元；设1条社会效益指标：引进更多客商来环江投资；设1条满意度指标：服务对象满意度≥95%。</w:t>
      </w:r>
    </w:p>
    <w:p>
      <w:pPr>
        <w:pStyle w:val="18"/>
        <w:spacing w:line="624" w:lineRule="exact"/>
        <w:ind w:firstLine="600"/>
        <w:jc w:val="left"/>
        <w:rPr>
          <w:rFonts w:hint="eastAsia"/>
          <w:highlight w:val="none"/>
          <w:lang w:val="en-US" w:eastAsia="zh-CN"/>
        </w:rPr>
      </w:pPr>
      <w:r>
        <w:rPr>
          <w:rFonts w:hint="eastAsia"/>
          <w:highlight w:val="none"/>
          <w:lang w:val="en-US" w:eastAsia="zh-CN"/>
        </w:rPr>
        <w:t>重点项目二：项目名称：招商宣传册经费，预算资金4.3万元，2024年度绩效目标为：完成招商手册印刷及保障各项业务正常开展。设1条数量指标：招商宣传手册≥700本；设1条质量指标：完成率≥95%；设1条时效指标：一年内完成；设1条成本指标：经费成本≤5.6万元；设1条社会效益指标：保障各项业务正常开展；设1条满意度指标：服务对象满意度≥95%。</w:t>
      </w:r>
    </w:p>
    <w:p>
      <w:pPr>
        <w:pStyle w:val="18"/>
        <w:spacing w:line="624" w:lineRule="exact"/>
        <w:ind w:firstLine="600"/>
        <w:jc w:val="left"/>
        <w:rPr>
          <w:rFonts w:hint="eastAsia"/>
          <w:highlight w:val="none"/>
          <w:lang w:val="en-US" w:eastAsia="zh-CN"/>
        </w:rPr>
      </w:pPr>
    </w:p>
    <w:p>
      <w:pPr>
        <w:pStyle w:val="18"/>
        <w:spacing w:line="624" w:lineRule="exact"/>
        <w:ind w:firstLine="600"/>
        <w:jc w:val="left"/>
        <w:rPr>
          <w:rFonts w:hint="default"/>
          <w:highlight w:val="none"/>
          <w:lang w:val="en-US" w:eastAsia="zh-CN"/>
        </w:rPr>
        <w:sectPr>
          <w:headerReference r:id="rId4" w:type="default"/>
          <w:footerReference r:id="rId5" w:type="default"/>
          <w:pgSz w:w="11900" w:h="16840"/>
          <w:pgMar w:top="1440" w:right="1800" w:bottom="1440" w:left="1800" w:header="0" w:footer="3" w:gutter="0"/>
          <w:pgBorders>
            <w:top w:val="none" w:sz="0" w:space="0"/>
            <w:left w:val="none" w:sz="0" w:space="0"/>
            <w:bottom w:val="none" w:sz="0" w:space="0"/>
            <w:right w:val="none" w:sz="0" w:space="0"/>
          </w:pgBorders>
          <w:cols w:space="720" w:num="1"/>
          <w:docGrid w:linePitch="360" w:charSpace="0"/>
        </w:sectPr>
      </w:pPr>
    </w:p>
    <w:bookmarkEnd w:id="10"/>
    <w:bookmarkEnd w:id="11"/>
    <w:bookmarkEnd w:id="12"/>
    <w:p>
      <w:pPr>
        <w:pStyle w:val="12"/>
        <w:keepNext/>
        <w:keepLines/>
        <w:spacing w:after="980"/>
        <w:jc w:val="center"/>
      </w:pPr>
      <w:r>
        <w:t>第</w:t>
      </w:r>
      <w:r>
        <w:rPr>
          <w:rFonts w:hint="eastAsia"/>
          <w:lang w:val="en-US" w:eastAsia="zh-CN"/>
        </w:rPr>
        <w:t>三</w:t>
      </w:r>
      <w:r>
        <w:t>部分</w:t>
      </w:r>
      <w:r>
        <w:rPr>
          <w:rFonts w:hint="eastAsia"/>
          <w:lang w:eastAsia="zh-CN"/>
        </w:rPr>
        <w:t>环江毛南族自治县投资促进局</w:t>
      </w:r>
      <w:r>
        <w:rPr>
          <w:rFonts w:hint="eastAsia" w:ascii="Times New Roman" w:hAnsi="Times New Roman" w:cs="Times New Roman"/>
          <w:sz w:val="42"/>
          <w:szCs w:val="42"/>
          <w:lang w:eastAsia="zh-CN"/>
        </w:rPr>
        <w:t>2024</w:t>
      </w:r>
      <w:r>
        <w:rPr>
          <w:rFonts w:ascii="Times New Roman" w:hAnsi="Times New Roman" w:cs="Times New Roman"/>
          <w:sz w:val="42"/>
          <w:u w:color="auto"/>
        </w:rPr>
        <w:t>年</w:t>
      </w:r>
      <w:r>
        <w:t>部门预算表</w:t>
      </w:r>
    </w:p>
    <w:p>
      <w:pPr>
        <w:pStyle w:val="22"/>
        <w:keepNext/>
        <w:keepLines/>
        <w:spacing w:after="240"/>
        <w:jc w:val="center"/>
      </w:pPr>
      <w:bookmarkStart w:id="16" w:name="bookmark31"/>
      <w:bookmarkStart w:id="17" w:name="bookmark30"/>
      <w:bookmarkStart w:id="18" w:name="bookmark29"/>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环江毛南族自治县投资促进局</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144.40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127.17</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144.40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9.25</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7.98</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144.40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144.40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144.40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144.40</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3" w:gutter="0"/>
          <w:pgBorders>
            <w:top w:val="none" w:sz="0" w:space="0"/>
            <w:left w:val="none" w:sz="0" w:space="0"/>
            <w:bottom w:val="none" w:sz="0" w:space="0"/>
            <w:right w:val="none" w:sz="0" w:space="0"/>
          </w:pgBorders>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环江毛南族自治县投资促进局</w:t>
            </w:r>
            <w:r>
              <w:rPr>
                <w:rFonts w:hint="eastAsia"/>
                <w:lang w:val="en-US" w:eastAsia="zh-CN"/>
              </w:rPr>
              <w:t xml:space="preserve">                                                                                  </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left"/>
              <w:rPr>
                <w:rFonts w:hint="eastAsia" w:eastAsia="宋体"/>
                <w:vertAlign w:val="baseline"/>
                <w:lang w:val="en-US" w:eastAsia="zh-CN"/>
              </w:rPr>
            </w:pP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24"/>
              <w:spacing w:line="312" w:lineRule="exact"/>
              <w:ind w:firstLine="0"/>
              <w:jc w:val="left"/>
              <w:rPr>
                <w:sz w:val="17"/>
                <w:szCs w:val="17"/>
              </w:rPr>
            </w:pPr>
            <w:r>
              <w:rPr>
                <w:sz w:val="17"/>
                <w:szCs w:val="17"/>
              </w:rPr>
              <w:t>财政专户管理资金</w:t>
            </w:r>
          </w:p>
          <w:p>
            <w:pPr>
              <w:pStyle w:val="24"/>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24"/>
              <w:spacing w:line="312" w:lineRule="exact"/>
              <w:ind w:firstLine="0"/>
              <w:jc w:val="left"/>
              <w:rPr>
                <w:sz w:val="17"/>
                <w:szCs w:val="17"/>
              </w:rPr>
            </w:pPr>
            <w:r>
              <w:rPr>
                <w:sz w:val="17"/>
                <w:szCs w:val="17"/>
              </w:rPr>
              <w:t>财政专户管理资金</w:t>
            </w:r>
          </w:p>
          <w:p>
            <w:pPr>
              <w:pStyle w:val="24"/>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24"/>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24"/>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24"/>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24"/>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144.40</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144.40</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144.40</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121001</w:t>
            </w:r>
          </w:p>
        </w:tc>
        <w:tc>
          <w:tcPr>
            <w:tcW w:w="1279" w:type="dxa"/>
          </w:tcPr>
          <w:p>
            <w:pPr>
              <w:pStyle w:val="24"/>
              <w:spacing w:line="326" w:lineRule="exact"/>
              <w:ind w:firstLine="0" w:firstLineChars="0"/>
              <w:jc w:val="left"/>
              <w:rPr>
                <w:rFonts w:hint="eastAsia" w:eastAsia="宋体"/>
                <w:vertAlign w:val="baseline"/>
                <w:lang w:val="en-US" w:eastAsia="zh-CN"/>
              </w:rPr>
            </w:pP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144.40</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144.40</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144.40</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26"/>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22"/>
        <w:keepNext/>
        <w:keepLines/>
        <w:spacing w:after="240"/>
        <w:jc w:val="center"/>
      </w:pPr>
      <w:bookmarkStart w:id="19" w:name="bookmark42"/>
      <w:bookmarkStart w:id="20" w:name="bookmark41"/>
      <w:bookmarkStart w:id="21" w:name="bookmark43"/>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环江毛南族自治县投资促进局</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144.40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104.40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121001</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144.40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104.40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2010101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行政运行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0.30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0.30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行政运行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0.10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0.10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2010301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行政运行</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125.60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86.00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39.60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2011308</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招商引资</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0.37</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0.37</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0.79</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0.79</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9.25</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9.25</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7.98</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7.98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6"/>
        <w:ind w:left="672"/>
        <w:jc w:val="left"/>
      </w:pPr>
      <w:r>
        <w:t>注：本报表金额单位转换时可能存在四舍五入尾数误差。</w:t>
      </w:r>
      <w:r>
        <w:br w:type="page"/>
      </w:r>
    </w:p>
    <w:p>
      <w:pPr>
        <w:pStyle w:val="22"/>
        <w:keepNext/>
        <w:keepLines/>
        <w:spacing w:after="240"/>
        <w:jc w:val="center"/>
      </w:pPr>
      <w:bookmarkStart w:id="22" w:name="bookmark44"/>
      <w:bookmarkStart w:id="23" w:name="bookmark45"/>
      <w:bookmarkStart w:id="24" w:name="bookmark46"/>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环江毛南族自治县投资促进局</w:t>
            </w:r>
            <w:r>
              <w:rPr>
                <w:rFonts w:hint="eastAsia"/>
                <w:sz w:val="17"/>
                <w:szCs w:val="17"/>
                <w:lang w:val="en-US" w:eastAsia="zh-CN"/>
              </w:rPr>
              <w:t xml:space="preserve">                         </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144.40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127.17</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144.40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9.25</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7.98</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144.40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144.40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144.40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144.40</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9"/>
        <w:gridCol w:w="1546"/>
        <w:gridCol w:w="1471"/>
        <w:gridCol w:w="1933"/>
        <w:gridCol w:w="2050"/>
        <w:gridCol w:w="1874"/>
        <w:gridCol w:w="1692"/>
        <w:gridCol w:w="69"/>
        <w:gridCol w:w="1673"/>
        <w:gridCol w:w="1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环江毛南族自治县投资促进局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p>
        </w:tc>
        <w:tc>
          <w:tcPr>
            <w:tcW w:w="1676"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121001</w:t>
            </w:r>
          </w:p>
        </w:tc>
        <w:tc>
          <w:tcPr>
            <w:tcW w:w="1662" w:type="dxa"/>
            <w:vAlign w:val="center"/>
          </w:tcPr>
          <w:p>
            <w:pPr>
              <w:pStyle w:val="24"/>
              <w:spacing w:line="240" w:lineRule="auto"/>
              <w:ind w:firstLine="0" w:firstLineChars="0"/>
              <w:jc w:val="center"/>
              <w:rPr>
                <w:rFonts w:hint="eastAsia"/>
                <w:vertAlign w:val="baseline"/>
                <w:lang w:eastAsia="zh-CN"/>
              </w:rPr>
            </w:pP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144.40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104.40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96.01</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8.39</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2010101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行政运行</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0.30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0.30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行政运行</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0.10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0.10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2010301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行政运行</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125.60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86.01</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78.41</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7.60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39.60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2011308</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招商引资</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0.37</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0.37</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0.37</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0.79</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0.79</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0.79</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9.25</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9.25</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9.25</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7.98</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7.98</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7.98</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8"/>
      <w:bookmarkStart w:id="26" w:name="bookmark56"/>
      <w:bookmarkStart w:id="27" w:name="bookmark57"/>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环江毛南族自治县投资促进局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104.40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96.01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89.90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89.90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23.20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23.20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14.43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14.43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19.31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19.31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9.25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9.25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3.70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3.70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0.06</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7.98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7.98</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11.97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11.97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8.39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印刷费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邮电费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0.97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物业管理费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0.68</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30214</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租赁费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会议费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培训费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公务接待费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劳务费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其他交通费用</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5.16</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6.11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6.11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退休费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5.37</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5.37</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生活补助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0.73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7"/>
      <w:bookmarkStart w:id="29" w:name="bookmark66"/>
      <w:bookmarkStart w:id="30" w:name="bookmark65"/>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环江毛南族自治县投资促进局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24"/>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121001</w:t>
            </w:r>
          </w:p>
        </w:tc>
        <w:tc>
          <w:tcPr>
            <w:tcW w:w="1918" w:type="dxa"/>
            <w:vAlign w:val="center"/>
          </w:tcPr>
          <w:p>
            <w:pPr>
              <w:pStyle w:val="24"/>
              <w:spacing w:line="240" w:lineRule="auto"/>
              <w:ind w:firstLine="0" w:firstLineChars="0"/>
              <w:jc w:val="left"/>
              <w:rPr>
                <w:rFonts w:hint="eastAsia"/>
                <w:vertAlign w:val="baseline"/>
                <w:lang w:val="en-US" w:eastAsia="zh-CN"/>
              </w:rPr>
            </w:pPr>
          </w:p>
        </w:tc>
        <w:tc>
          <w:tcPr>
            <w:tcW w:w="1884"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6.90</w:t>
            </w:r>
          </w:p>
        </w:tc>
        <w:tc>
          <w:tcPr>
            <w:tcW w:w="1895"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0"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97" w:type="dxa"/>
            <w:gridSpan w:val="2"/>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6.90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环江毛南族自治县投资促进局</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26"/>
              <w:bidi w:val="0"/>
              <w:jc w:val="center"/>
              <w:rPr>
                <w:vertAlign w:val="baseline"/>
              </w:rPr>
            </w:pPr>
            <w:r>
              <w:rPr>
                <w:sz w:val="17"/>
                <w:szCs w:val="17"/>
              </w:rPr>
              <w:t>科目编码</w:t>
            </w:r>
          </w:p>
        </w:tc>
        <w:tc>
          <w:tcPr>
            <w:tcW w:w="2161" w:type="dxa"/>
          </w:tcPr>
          <w:p>
            <w:pPr>
              <w:pStyle w:val="26"/>
              <w:bidi w:val="0"/>
              <w:jc w:val="center"/>
              <w:rPr>
                <w:vertAlign w:val="baseline"/>
              </w:rPr>
            </w:pPr>
            <w:r>
              <w:rPr>
                <w:sz w:val="17"/>
                <w:szCs w:val="17"/>
              </w:rPr>
              <w:t>部门（单位）代码</w:t>
            </w:r>
          </w:p>
        </w:tc>
        <w:tc>
          <w:tcPr>
            <w:tcW w:w="2162" w:type="dxa"/>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bidi w:val="0"/>
              <w:jc w:val="both"/>
              <w:rPr>
                <w:vertAlign w:val="baseline"/>
              </w:rPr>
            </w:pPr>
            <w:r>
              <w:t>注：本报表金额单位转换时可能存在四舍五入尾数误差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2"/>
        <w:gridCol w:w="2143"/>
        <w:gridCol w:w="2144"/>
        <w:gridCol w:w="2336"/>
        <w:gridCol w:w="2143"/>
        <w:gridCol w:w="2143"/>
        <w:gridCol w:w="2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环江毛南族自治县投资促进局</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环江毛南族自治县投资促进局</w:t>
            </w:r>
            <w:r>
              <w:rPr>
                <w:rFonts w:hint="eastAsia" w:cs="宋体"/>
                <w:sz w:val="17"/>
                <w:szCs w:val="17"/>
                <w:lang w:val="en-US" w:eastAsia="zh-CN"/>
              </w:rPr>
              <w:t xml:space="preserve">            </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环江毛南族自治县投资促进局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招商工作经费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今年内完成外出招商工作，外出招商及公务接待，办公耗材等，总费用10万元。</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环江毛南族自治县投资促进局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联系村工作经费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1.60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 xml:space="preserve">  联系村工作经费1.6万元，一年内完成。</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环江毛南族自治县投资促进局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东盟博览会参会经费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东盟博览会参会经费，今年内完成。</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环江毛南族自治县投资促进局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综合业务工作经费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综合业务工作经费，邮电费1.5万元，差旅费6万元，电费1万元，水费1.5万元。</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环江毛南族自治县投资促进局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党支部生活经费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0.10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开展好党建工作，完成各项指标，今年内完成。</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环江毛南族自治县投资促进局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招商宣传册经费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4.30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招商宣传册制作经费，制作700本，每本80元，合计5.6万元，今年内完成。</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环江毛南族自治县投资促进局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驻点招商经费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确保驻点招商工作取得实实在在的成效。我县组成3人小组驻点招商，计划费用明细如下：1.住宿费6万元，2.伙食及差旅补助12万元，3.办公用品及耗材3万元，4.驻点招商车辆费用4万元；5..招商接待费5万元。争取引进一家企业入驻环江。</w:t>
            </w:r>
            <w:r>
              <w:rPr>
                <w:rFonts w:hint="eastAsia" w:ascii="宋体" w:hAnsi="宋体" w:eastAsia="宋体" w:cs="宋体"/>
                <w:b/>
                <w:bCs/>
                <w:sz w:val="17"/>
                <w:szCs w:val="17"/>
                <w:lang w:val="en-US" w:eastAsia="zh-CN"/>
              </w:rPr>
              <w:br w:type="textWrapping"/>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121001</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环江毛南族自治县投资促进局</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保安服务费用</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5.00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单位大院保卫安全工作人员2人，经费每人每月2000元，生活用品2000元，全年共50000元。</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p>
    <w:p>
      <w:pPr>
        <w:pStyle w:val="12"/>
        <w:keepNext/>
        <w:keepLines/>
        <w:spacing w:before="200" w:after="0"/>
        <w:jc w:val="center"/>
      </w:pPr>
      <w:bookmarkStart w:id="31" w:name="bookmark94"/>
      <w:bookmarkStart w:id="32" w:name="bookmark95"/>
      <w:bookmarkStart w:id="33" w:name="bookmark96"/>
      <w:r>
        <w:t>第四部分名词解释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2" w:type="default"/>
      <w:footerReference r:id="rId13" w:type="default"/>
      <w:type w:val="continuous"/>
      <w:pgSz w:w="11900" w:h="16840"/>
      <w:pgMar w:top="1302" w:right="1735" w:bottom="1568" w:left="1793" w:header="874" w:footer="3"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84"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false">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FBgAAAAAAAAAAAAAAAAAAAAAAAFBLAwQKAAAAAACHTuJAAAAAAAAAAAAAAAAABAAAAGRycy9Q&#10;SwMEFAAAAAgAh07iQJjAixHbAAAADQEAAA8AAABkcnMvZG93bnJldi54bWxNj81OwzAQhO9IvIO1&#10;SFwQtZPSn4Q4PSD1hoQaOJSbmyxxIF5HsdsUnp7tCW4zmtHst8Xm7HpxwjF0njQkMwUCqfZNR62G&#10;t9ft/RpEiIYa03tCDd8YYFNeXxUmb/xEOzxVsRU8QiE3GmyMQy5lqC06E2Z+QOLsw4/ORLZjK5vR&#10;TDzuepkqtZTOdMQXrBnwyWL9VR2dhu3LvkP6kbu7bD35zzp9r+zzoPXtTaIeQUQ8x78yXPAZHUpm&#10;OvgjNUH07B/mC2aPrLJkBeJSWaSrOYiDhlRlCmRZyP9flL9QSwMEFAAAAAgAh07iQN2v5PzRAQAA&#10;mgMAAA4AAABkcnMvZTJvRG9jLnhtbK1TUY/TMAx+R+I/RHlnbScGo1p3QpyGkE7cpDt+QJYma6Qm&#10;Dk66dvx6nKzbIeAJ8eI5tvfZn/11czfZnp0UBgOu4dWi5Ew5Ca1xx4Z/e969WXMWonCt6MGphp9V&#10;4Hfb1682o6/VEjroW4WMQFyoR9/wLkZfF0WQnbIiLMArR0kNaEWkJx6LFsVI6LYvlmX5rhgBW48g&#10;VQgUvb8k+Tbja61kfNQ6qMj6htNsMVvM9pBssd2I+ojCd0bOY4h/mMIK46jpDepeRMEGNH9AWSMR&#10;Aui4kGAL0NpIlTkQm6r8jc1TJ7zKXGg5wd/WFP4frPx62iMzbcPfr99y5oSlI+W+bJWWM/pQU82T&#10;3+P8CuQmppNGm36JA5vyQs+3haopMknB1boqlyvOJKWq8sN6lTGLlz97DPGzAsuS03Cke+U1itND&#10;iNSQSq8lqZeDnen7FE9zXSZJXpwO0zzeAdozMUK4nDp4uTOE/SBC3Auk25IKSK/xkYzuYWw4zB5n&#10;HeCPv8VTPa2cspyNpJWGh++DQMVZ/8XRMZKwrg5encPVcYP9BCS/ijPhJKE0PHI2eDTHjmC16EM6&#10;siA+H4dIDDPxROvCZWZLAsj7mMWaFPbrO1e9fFLb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JjA&#10;ixHbAAAADQEAAA8AAAAAAAAAAQAgAAAAOAAAAGRycy9kb3ducmV2LnhtbFBLAQIUABQAAAAIAIdO&#10;4kDdr+T80QEAAJoDAAAOAAAAAAAAAAEAIAAAAEABAABkcnMvZTJvRG9jLnhtbFBLBQYAAAAABgAG&#10;AFkBAACDBQ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785"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false">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FBgAAAAAAAAAAAAAAAAAAAAAAAFBLAwQKAAAAAACHTuJAAAAAAAAAAAAAAAAABAAAAGRycy9Q&#10;SwMEFAAAAAgAh07iQJjAixHbAAAADQEAAA8AAABkcnMvZG93bnJldi54bWxNj81OwzAQhO9IvIO1&#10;SFwQtZPSn4Q4PSD1hoQaOJSbmyxxIF5HsdsUnp7tCW4zmtHst8Xm7HpxwjF0njQkMwUCqfZNR62G&#10;t9ft/RpEiIYa03tCDd8YYFNeXxUmb/xEOzxVsRU8QiE3GmyMQy5lqC06E2Z+QOLsw4/ORLZjK5vR&#10;TDzuepkqtZTOdMQXrBnwyWL9VR2dhu3LvkP6kbu7bD35zzp9r+zzoPXtTaIeQUQ8x78yXPAZHUpm&#10;OvgjNUH07B/mC2aPrLJkBeJSWaSrOYiDhlRlCmRZyP9flL9QSwMEFAAAAAgAh07iQD5hOsXRAQAA&#10;mgMAAA4AAABkcnMvZTJvRG9jLnhtbK1TUY/TMAx+R+I/RHlnbScNRrXudOI0hHTiJh38gCxN1khN&#10;HJx07fj1OFm3Q8ATuhfPsb3P/uyvm7vJ9uykMBhwDa8WJWfKSWiNOzb8+7fduzVnIQrXih6cavhZ&#10;BX63fftmM/paLaGDvlXICMSFevQN72L0dVEE2SkrwgK8cpTUgFZEeuKxaFGMhG77YlmW74sRsPUI&#10;UoVA0YdLkm8zvtZKxietg4qsbzjNFrPFbA/JFtuNqI8ofGfkPIb4jymsMI6a3qAeRBRsQPMXlDUS&#10;IYCOCwm2AK2NVJkDsanKP9g8d8KrzIWWE/xtTeH1YOXX0x6ZaRv+Yb3izAlLR8p92SotZ/Shpppn&#10;v8f5FchNTCeNNv0SBzblhZ5vC1VTZJKCq3VVLglWUqoqP65XGbN4+bPHED8rsCw5DUe6V16jOD2G&#10;SA2p9FqSejnYmb5P8TTXZZLkxekwzeMdoD0TI4TLqYOXO0PYjyLEvUC6LamA9BqfyOgexobD7HHW&#10;Af78VzzV08opy9lIWml4+DEIVJz1XxwdIwnr6uDVOVwdN9hPQPKrOBNOEkrDI2eDR3PsCFaLPqQj&#10;C+JzP0RimIknWhcuM1sSQN7HLNaksN/fuerlk9r+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JjA&#10;ixHbAAAADQEAAA8AAAAAAAAAAQAgAAAAOAAAAGRycy9kb3ducmV2LnhtbFBLAQIUABQAAAAIAIdO&#10;4kA+YTrF0QEAAJoDAAAOAAAAAAAAAAEAIAAAAEABAABkcnMvZTJvRG9jLnhtbFBLBQYAAAAABgAG&#10;AFkBAACDBQ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96D775"/>
    <w:multiLevelType w:val="singleLevel"/>
    <w:tmpl w:val="7F96D775"/>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doNotTrackMoves/>
  <w:documentProtection w:edit="readOnly" w:enforcement="1" w:cryptProviderType="rsaAES" w:cryptAlgorithmClass="hash" w:cryptAlgorithmType="typeAny" w:cryptAlgorithmSid="14" w:cryptSpinCount="100000" w:hash="BqaIvA5WrCNg7H+440U03m1uNJuXrLkZNynhWfTqES6QeLjBnt3aa5Apu7GC+YrUZSBejBcBqmPxMU2FQTStPQ==" w:salt="133u2bdXJ1PgdGE6q1VrKw=="/>
  <w:defaultTabStop w:val="420"/>
  <w:drawingGridHorizontalSpacing w:val="181"/>
  <w:drawingGridVerticalSpacing w:val="181"/>
  <w:noPunctuationKerning w:val="true"/>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ZTIwMjA5OTI4N2MwODc2NzEzYWVkMzg3YjQ5NmMifQ=="/>
  </w:docVars>
  <w:rsids>
    <w:rsidRoot w:val="00000000"/>
    <w:rsid w:val="EEFEC584"/>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qFormat/>
    <w:uiPriority w:val="0"/>
  </w:style>
  <w:style w:type="character" w:customStyle="1" w:styleId="8">
    <w:name w:val="Comment Reference"/>
    <w:basedOn w:val="6"/>
    <w:qFormat/>
    <w:uiPriority w:val="0"/>
    <w:rPr>
      <w:sz w:val="21"/>
      <w:szCs w:val="21"/>
    </w:rPr>
  </w:style>
  <w:style w:type="character" w:customStyle="1" w:styleId="9">
    <w:name w:val="Body text|5_"/>
    <w:basedOn w:val="6"/>
    <w:link w:val="10"/>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qFormat/>
    <w:uiPriority w:val="0"/>
    <w:rPr>
      <w:sz w:val="20"/>
      <w:szCs w:val="20"/>
      <w:u w:val="none"/>
      <w:shd w:val="clear" w:color="auto" w:fill="auto"/>
      <w:lang w:val="zh-TW" w:eastAsia="zh-TW" w:bidi="zh-TW"/>
    </w:rPr>
  </w:style>
  <w:style w:type="paragraph" w:customStyle="1" w:styleId="14">
    <w:name w:val="Header or footer|2"/>
    <w:basedOn w:val="1"/>
    <w:link w:val="13"/>
    <w:qFormat/>
    <w:uiPriority w:val="0"/>
    <w:rPr>
      <w:sz w:val="20"/>
      <w:szCs w:val="20"/>
      <w:lang w:val="zh-TW" w:eastAsia="zh-TW" w:bidi="zh-TW"/>
    </w:rPr>
  </w:style>
  <w:style w:type="character" w:customStyle="1" w:styleId="15">
    <w:name w:val="Body text|2_"/>
    <w:basedOn w:val="6"/>
    <w:link w:val="16"/>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qFormat/>
    <w:uiPriority w:val="0"/>
    <w:rPr>
      <w:b/>
      <w:bCs/>
      <w:sz w:val="17"/>
      <w:szCs w:val="17"/>
      <w:u w:val="none"/>
      <w:shd w:val="clear" w:color="auto" w:fill="auto"/>
      <w:lang w:val="zh-TW" w:eastAsia="zh-TW" w:bidi="zh-TW"/>
    </w:rPr>
  </w:style>
  <w:style w:type="paragraph" w:customStyle="1" w:styleId="20">
    <w:name w:val="Header or footer|1"/>
    <w:basedOn w:val="1"/>
    <w:link w:val="19"/>
    <w:qFormat/>
    <w:uiPriority w:val="0"/>
    <w:rPr>
      <w:b/>
      <w:bCs/>
      <w:sz w:val="17"/>
      <w:szCs w:val="17"/>
      <w:lang w:val="zh-TW" w:eastAsia="zh-TW" w:bidi="zh-TW"/>
    </w:rPr>
  </w:style>
  <w:style w:type="character" w:customStyle="1" w:styleId="21">
    <w:name w:val="Heading #2|1_"/>
    <w:basedOn w:val="6"/>
    <w:link w:val="22"/>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qFormat/>
    <w:uiPriority w:val="0"/>
    <w:rPr>
      <w:rFonts w:ascii="宋体" w:hAnsi="宋体" w:eastAsia="宋体" w:cs="宋体"/>
      <w:sz w:val="17"/>
      <w:szCs w:val="17"/>
      <w:lang w:val="zh-TW" w:eastAsia="zh-TW" w:bidi="zh-TW"/>
    </w:rPr>
  </w:style>
  <w:style w:type="character" w:customStyle="1" w:styleId="27">
    <w:name w:val="Body text|4_"/>
    <w:basedOn w:val="6"/>
    <w:link w:val="28"/>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qFormat/>
    <w:uiPriority w:val="0"/>
    <w:rPr>
      <w:sz w:val="30"/>
      <w:szCs w:val="30"/>
      <w:u w:val="none"/>
      <w:shd w:val="clear" w:color="auto" w:fill="auto"/>
      <w:lang w:val="zh-TW" w:eastAsia="zh-TW" w:bidi="zh-TW"/>
    </w:rPr>
  </w:style>
  <w:style w:type="paragraph" w:customStyle="1" w:styleId="30">
    <w:name w:val="Body text|3"/>
    <w:basedOn w:val="1"/>
    <w:link w:val="29"/>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true"/>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false"/>
      <c:spPr>
        <a:noFill/>
        <a:ln>
          <a:noFill/>
        </a:ln>
        <a:effectLst/>
      </c:spPr>
    </c:title>
    <c:autoTitleDeleted val="false"/>
    <c:plotArea>
      <c:layout/>
      <c:pieChart>
        <c:varyColors val="true"/>
        <c:ser>
          <c:idx val="0"/>
          <c:order val="0"/>
          <c:tx>
            <c:strRef>
              <c:f>Sheet1!$B$1</c:f>
              <c:strCache>
                <c:ptCount val="1"/>
                <c:pt idx="0">
                  <c:v>countries</c:v>
                </c:pt>
              </c:strCache>
            </c:strRef>
          </c:tx>
          <c:explosion val="0"/>
          <c:dPt>
            <c:idx val="0"/>
            <c:bubble3D val="false"/>
            <c:spPr>
              <a:solidFill>
                <a:schemeClr val="accent1"/>
              </a:solidFill>
              <a:ln w="19050">
                <a:solidFill>
                  <a:schemeClr val="lt1"/>
                </a:solidFill>
              </a:ln>
              <a:effectLst/>
            </c:spPr>
          </c:dPt>
          <c:dLbls>
            <c:delete val="true"/>
          </c:dLbls>
          <c:cat>
            <c:strRef>
              <c:f>Sheet1!$A$2</c:f>
              <c:strCache>
                <c:ptCount val="1"/>
                <c:pt idx="0">
                  <c:v>一般公共预算拨款</c:v>
                </c:pt>
              </c:strCache>
            </c:strRef>
          </c:cat>
          <c:val>
            <c:numRef>
              <c:f>Sheet1!$B$2</c:f>
              <c:numCache>
                <c:formatCode>General</c:formatCode>
                <c:ptCount val="1"/>
                <c:pt idx="0">
                  <c:v>144.4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true"/>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false"/>
      <c:spPr>
        <a:noFill/>
        <a:ln>
          <a:noFill/>
        </a:ln>
        <a:effectLst/>
      </c:spPr>
    </c:title>
    <c:autoTitleDeleted val="false"/>
    <c:plotArea>
      <c:layout/>
      <c:pieChart>
        <c:varyColors val="true"/>
        <c:ser>
          <c:idx val="0"/>
          <c:order val="0"/>
          <c:tx>
            <c:strRef>
              <c:f>Sheet1!$B$1</c:f>
              <c:strCache>
                <c:ptCount val="1"/>
                <c:pt idx="0">
                  <c:v>countries</c:v>
                </c:pt>
              </c:strCache>
            </c:strRef>
          </c:tx>
          <c:explosion val="0"/>
          <c:dPt>
            <c:idx val="0"/>
            <c:bubble3D val="false"/>
            <c:spPr>
              <a:solidFill>
                <a:schemeClr val="accent1"/>
              </a:solidFill>
              <a:ln w="19050">
                <a:solidFill>
                  <a:schemeClr val="lt1"/>
                </a:solidFill>
              </a:ln>
              <a:effectLst/>
            </c:spPr>
          </c:dPt>
          <c:dPt>
            <c:idx val="1"/>
            <c:bubble3D val="false"/>
          </c:dPt>
          <c:dPt>
            <c:idx val="2"/>
            <c:bubble3D val="false"/>
          </c:dPt>
          <c:dLbls>
            <c:delete val="true"/>
          </c:dLbls>
          <c:cat>
            <c:strRef>
              <c:f>Sheet1!$A$2:$A$4</c:f>
              <c:strCache>
                <c:ptCount val="3"/>
                <c:pt idx="0">
                  <c:v>一般公共服务支出</c:v>
                </c:pt>
                <c:pt idx="1">
                  <c:v>社会保障和就业支出</c:v>
                </c:pt>
                <c:pt idx="2">
                  <c:v>住房保障支出</c:v>
                </c:pt>
              </c:strCache>
            </c:strRef>
          </c:cat>
          <c:val>
            <c:numRef>
              <c:f>Sheet1!$B$2:$B$4</c:f>
              <c:numCache>
                <c:formatCode>General</c:formatCode>
                <c:ptCount val="3"/>
                <c:pt idx="0">
                  <c:v>127.17</c:v>
                </c:pt>
                <c:pt idx="1">
                  <c:v>9.25</c:v>
                </c:pt>
                <c:pt idx="2">
                  <c:v>7.98</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true"/>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上年</c:v>
                </c:pt>
              </c:strCache>
            </c:strRef>
          </c:tx>
          <c:spPr>
            <a:solidFill>
              <a:schemeClr val="accent1"/>
            </a:solidFill>
            <a:ln>
              <a:noFill/>
            </a:ln>
            <a:effectLst/>
          </c:spPr>
          <c:invertIfNegative val="false"/>
          <c:dLbls>
            <c:delete val="true"/>
          </c:dLbls>
          <c:cat>
            <c:strRef>
              <c:f>Sheet1!$A$2:$A$3</c:f>
              <c:strCache>
                <c:ptCount val="2"/>
                <c:pt idx="0">
                  <c:v>收入</c:v>
                </c:pt>
                <c:pt idx="1">
                  <c:v>支出</c:v>
                </c:pt>
              </c:strCache>
            </c:strRef>
          </c:cat>
          <c:val>
            <c:numRef>
              <c:f>Sheet1!$B$2:$B$3</c:f>
              <c:numCache>
                <c:formatCode>General</c:formatCode>
                <c:ptCount val="2"/>
                <c:pt idx="0">
                  <c:v>104.11</c:v>
                </c:pt>
                <c:pt idx="1">
                  <c:v>104.11</c:v>
                </c:pt>
              </c:numCache>
            </c:numRef>
          </c:val>
        </c:ser>
        <c:ser>
          <c:idx val="1"/>
          <c:order val="1"/>
          <c:tx>
            <c:strRef>
              <c:f>Sheet1!$C$1</c:f>
              <c:strCache>
                <c:ptCount val="1"/>
                <c:pt idx="0">
                  <c:v>当年</c:v>
                </c:pt>
              </c:strCache>
            </c:strRef>
          </c:tx>
          <c:spPr>
            <a:solidFill>
              <a:schemeClr val="accent2"/>
            </a:solidFill>
            <a:ln>
              <a:noFill/>
            </a:ln>
            <a:effectLst/>
          </c:spPr>
          <c:invertIfNegative val="false"/>
          <c:dLbls>
            <c:delete val="true"/>
          </c:dLbls>
          <c:cat>
            <c:strRef>
              <c:f>Sheet1!$A$2:$A$3</c:f>
              <c:strCache>
                <c:ptCount val="2"/>
                <c:pt idx="0">
                  <c:v>收入</c:v>
                </c:pt>
                <c:pt idx="1">
                  <c:v>支出</c:v>
                </c:pt>
              </c:strCache>
            </c:strRef>
          </c:cat>
          <c:val>
            <c:numRef>
              <c:f>Sheet1!$C$2:$C$3</c:f>
              <c:numCache>
                <c:formatCode>General</c:formatCode>
                <c:ptCount val="2"/>
                <c:pt idx="0">
                  <c:v>144.4</c:v>
                </c:pt>
                <c:pt idx="1">
                  <c:v>144.4</c:v>
                </c:pt>
              </c:numCache>
            </c:numRef>
          </c:val>
        </c:ser>
        <c:dLbls>
          <c:showLegendKey val="false"/>
          <c:showVal val="false"/>
          <c:showCatName val="false"/>
          <c:showSerName val="false"/>
          <c:showPercent val="false"/>
          <c:showBubbleSize val="false"/>
        </c:dLbls>
        <c:gapWidth val="219"/>
        <c:overlap val="-27"/>
        <c:axId val="811850650"/>
        <c:axId val="698020238"/>
      </c:barChart>
      <c:catAx>
        <c:axId val="811850650"/>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true"/>
        <c:lblAlgn val="ctr"/>
        <c:lblOffset val="100"/>
        <c:noMultiLvlLbl val="false"/>
      </c:catAx>
      <c:valAx>
        <c:axId val="698020238"/>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true"/>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false"/>
      <c:spPr>
        <a:noFill/>
        <a:ln>
          <a:noFill/>
        </a:ln>
        <a:effectLst/>
      </c:spPr>
    </c:title>
    <c:autoTitleDeleted val="false"/>
    <c:plotArea>
      <c:layout/>
      <c:barChart>
        <c:barDir val="bar"/>
        <c:grouping val="clustered"/>
        <c:varyColors val="false"/>
        <c:ser>
          <c:idx val="0"/>
          <c:order val="0"/>
          <c:tx>
            <c:strRef>
              <c:f>Sheet1!$B$1</c:f>
              <c:strCache>
                <c:ptCount val="1"/>
                <c:pt idx="0">
                  <c:v>基本支出</c:v>
                </c:pt>
              </c:strCache>
            </c:strRef>
          </c:tx>
          <c:spPr>
            <a:solidFill>
              <a:schemeClr val="accent1"/>
            </a:solidFill>
            <a:ln>
              <a:noFill/>
            </a:ln>
            <a:effectLst/>
          </c:spPr>
          <c:invertIfNegative val="false"/>
          <c:dLbls>
            <c:delete val="true"/>
          </c:dLbls>
          <c:cat>
            <c:strRef>
              <c:f>Sheet1!$A$2</c:f>
              <c:strCache>
                <c:ptCount val="1"/>
                <c:pt idx="0">
                  <c:v>上年</c:v>
                </c:pt>
              </c:strCache>
            </c:strRef>
          </c:cat>
          <c:val>
            <c:numRef>
              <c:f>Sheet1!$B$2</c:f>
              <c:numCache>
                <c:formatCode>General</c:formatCode>
                <c:ptCount val="1"/>
                <c:pt idx="0">
                  <c:v>104.4</c:v>
                </c:pt>
              </c:numCache>
            </c:numRef>
          </c:val>
        </c:ser>
        <c:ser>
          <c:idx val="1"/>
          <c:order val="1"/>
          <c:tx>
            <c:strRef>
              <c:f>Sheet1!$C$1</c:f>
              <c:strCache>
                <c:ptCount val="1"/>
                <c:pt idx="0">
                  <c:v>结转下年支出</c:v>
                </c:pt>
              </c:strCache>
            </c:strRef>
          </c:tx>
          <c:invertIfNegative val="false"/>
          <c:dLbls>
            <c:delete val="true"/>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false"/>
          <c:dLbls>
            <c:delete val="true"/>
          </c:dLbls>
          <c:cat>
            <c:strRef>
              <c:f>Sheet1!$A$2</c:f>
              <c:strCache>
                <c:ptCount val="1"/>
                <c:pt idx="0">
                  <c:v>上年</c:v>
                </c:pt>
              </c:strCache>
            </c:strRef>
          </c:cat>
          <c:val>
            <c:numRef>
              <c:f>Sheet1!$D$2</c:f>
              <c:numCache>
                <c:formatCode>General</c:formatCode>
                <c:ptCount val="1"/>
                <c:pt idx="0">
                  <c:v>40</c:v>
                </c:pt>
              </c:numCache>
            </c:numRef>
          </c:val>
        </c:ser>
        <c:ser>
          <c:idx val="3"/>
          <c:order val="3"/>
          <c:tx>
            <c:strRef>
              <c:f>Sheet1!$E$1</c:f>
              <c:strCache>
                <c:ptCount val="1"/>
                <c:pt idx="0">
                  <c:v>公用经费</c:v>
                </c:pt>
              </c:strCache>
            </c:strRef>
          </c:tx>
          <c:invertIfNegative val="false"/>
          <c:dLbls>
            <c:delete val="true"/>
          </c:dLbls>
          <c:cat>
            <c:strRef>
              <c:f>Sheet1!$A$2</c:f>
              <c:strCache>
                <c:ptCount val="1"/>
                <c:pt idx="0">
                  <c:v>上年</c:v>
                </c:pt>
              </c:strCache>
            </c:strRef>
          </c:cat>
          <c:val>
            <c:numRef>
              <c:f>Sheet1!$E$2</c:f>
              <c:numCache>
                <c:formatCode>General</c:formatCode>
                <c:ptCount val="1"/>
                <c:pt idx="0">
                  <c:v>8.39</c:v>
                </c:pt>
              </c:numCache>
            </c:numRef>
          </c:val>
        </c:ser>
        <c:ser>
          <c:idx val="4"/>
          <c:order val="4"/>
          <c:tx>
            <c:strRef>
              <c:f>Sheet1!$F$1</c:f>
              <c:strCache>
                <c:ptCount val="1"/>
                <c:pt idx="0">
                  <c:v>人员经费</c:v>
                </c:pt>
              </c:strCache>
            </c:strRef>
          </c:tx>
          <c:invertIfNegative val="false"/>
          <c:dLbls>
            <c:delete val="true"/>
          </c:dLbls>
          <c:cat>
            <c:strRef>
              <c:f>Sheet1!$A$2</c:f>
              <c:strCache>
                <c:ptCount val="1"/>
                <c:pt idx="0">
                  <c:v>上年</c:v>
                </c:pt>
              </c:strCache>
            </c:strRef>
          </c:cat>
          <c:val>
            <c:numRef>
              <c:f>Sheet1!$F$2</c:f>
              <c:numCache>
                <c:formatCode>General</c:formatCode>
                <c:ptCount val="1"/>
                <c:pt idx="0">
                  <c:v>96.01</c:v>
                </c:pt>
              </c:numCache>
            </c:numRef>
          </c:val>
        </c:ser>
        <c:dLbls>
          <c:showLegendKey val="false"/>
          <c:showVal val="false"/>
          <c:showCatName val="false"/>
          <c:showSerName val="false"/>
          <c:showPercent val="false"/>
          <c:showBubbleSize val="false"/>
        </c:dLbls>
        <c:gapWidth val="182"/>
        <c:overlap val="0"/>
        <c:axId val="691519273"/>
        <c:axId val="850134922"/>
      </c:barChart>
      <c:catAx>
        <c:axId val="691519273"/>
        <c:scaling>
          <c:orientation val="minMax"/>
        </c:scaling>
        <c:delete val="true"/>
        <c:axPos val="l"/>
        <c:majorTickMark val="none"/>
        <c:minorTickMark val="none"/>
        <c:tickLblPos val="nextTo"/>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true"/>
        <c:lblAlgn val="ctr"/>
        <c:lblOffset val="100"/>
        <c:noMultiLvlLbl val="false"/>
      </c:catAx>
      <c:valAx>
        <c:axId val="850134922"/>
        <c:scaling>
          <c:orientation val="minMax"/>
        </c:scaling>
        <c:delete val="false"/>
        <c:axPos val="b"/>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true"/>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false"/>
      <c:spPr>
        <a:noFill/>
        <a:ln>
          <a:noFill/>
        </a:ln>
        <a:effectLst/>
      </c:spPr>
    </c:title>
    <c:autoTitleDeleted val="false"/>
    <c:plotArea>
      <c:layout/>
      <c:pieChart>
        <c:varyColors val="true"/>
        <c:ser>
          <c:idx val="0"/>
          <c:order val="0"/>
          <c:tx>
            <c:strRef>
              <c:f>Sheet1!$B$1</c:f>
              <c:strCache>
                <c:ptCount val="1"/>
                <c:pt idx="0">
                  <c:v>countries</c:v>
                </c:pt>
              </c:strCache>
            </c:strRef>
          </c:tx>
          <c:explosion val="0"/>
          <c:dPt>
            <c:idx val="0"/>
            <c:bubble3D val="false"/>
            <c:spPr>
              <a:solidFill>
                <a:schemeClr val="accent1"/>
              </a:solidFill>
              <a:ln w="19050">
                <a:solidFill>
                  <a:schemeClr val="lt1"/>
                </a:solidFill>
              </a:ln>
              <a:effectLst/>
            </c:spPr>
          </c:dPt>
          <c:dPt>
            <c:idx val="1"/>
            <c:bubble3D val="false"/>
          </c:dPt>
          <c:dLbls>
            <c:delete val="true"/>
          </c:dLbls>
          <c:cat>
            <c:strRef>
              <c:f>Sheet1!$A$2:$A$3</c:f>
              <c:strCache>
                <c:ptCount val="2"/>
                <c:pt idx="0">
                  <c:v>人员经费</c:v>
                </c:pt>
                <c:pt idx="1">
                  <c:v>公用经费</c:v>
                </c:pt>
              </c:strCache>
            </c:strRef>
          </c:cat>
          <c:val>
            <c:numRef>
              <c:f>Sheet1!$B$2:$B$3</c:f>
              <c:numCache>
                <c:formatCode>General</c:formatCode>
                <c:ptCount val="2"/>
                <c:pt idx="0">
                  <c:v>96.01</c:v>
                </c:pt>
                <c:pt idx="1">
                  <c:v>8.39</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true"/>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false"/>
      <c:spPr>
        <a:noFill/>
        <a:ln>
          <a:noFill/>
        </a:ln>
        <a:effectLst/>
      </c:spPr>
    </c:title>
    <c:autoTitleDeleted val="false"/>
    <c:plotArea>
      <c:layout/>
      <c:barChart>
        <c:barDir val="col"/>
        <c:grouping val="clustered"/>
        <c:varyColors val="false"/>
        <c:ser>
          <c:idx val="0"/>
          <c:order val="0"/>
          <c:tx>
            <c:strRef>
              <c:f>Sheet1!$B$1</c:f>
              <c:strCache>
                <c:ptCount val="1"/>
                <c:pt idx="0">
                  <c:v>上年</c:v>
                </c:pt>
              </c:strCache>
            </c:strRef>
          </c:tx>
          <c:spPr>
            <a:solidFill>
              <a:schemeClr val="accent1"/>
            </a:solidFill>
            <a:ln>
              <a:noFill/>
            </a:ln>
            <a:effectLst/>
          </c:spPr>
          <c:invertIfNegative val="false"/>
          <c:dLbls>
            <c:delete val="true"/>
          </c:dLbls>
          <c:cat>
            <c:strRef>
              <c:f>Sheet1!$A$2:$A$4</c:f>
              <c:strCache>
                <c:ptCount val="3"/>
                <c:pt idx="0">
                  <c:v>公务接待费预算</c:v>
                </c:pt>
                <c:pt idx="1">
                  <c:v>因公出国（境）经费预算</c:v>
                </c:pt>
                <c:pt idx="2">
                  <c:v>公务用车购置及运行费预算</c:v>
                </c:pt>
              </c:strCache>
            </c:strRef>
          </c:cat>
          <c:val>
            <c:numRef>
              <c:f>Sheet1!$B$2:$B$4</c:f>
              <c:numCache>
                <c:formatCode>General</c:formatCode>
                <c:ptCount val="3"/>
                <c:pt idx="0">
                  <c:v>11</c:v>
                </c:pt>
                <c:pt idx="1">
                  <c:v>0</c:v>
                </c:pt>
                <c:pt idx="2">
                  <c:v>1.5</c:v>
                </c:pt>
              </c:numCache>
            </c:numRef>
          </c:val>
        </c:ser>
        <c:ser>
          <c:idx val="1"/>
          <c:order val="1"/>
          <c:tx>
            <c:strRef>
              <c:f>Sheet1!$C$1</c:f>
              <c:strCache>
                <c:ptCount val="1"/>
                <c:pt idx="0">
                  <c:v>当年</c:v>
                </c:pt>
              </c:strCache>
            </c:strRef>
          </c:tx>
          <c:invertIfNegative val="false"/>
          <c:dLbls>
            <c:delete val="true"/>
          </c:dLbls>
          <c:cat>
            <c:strRef>
              <c:f>Sheet1!$A$2:$A$4</c:f>
              <c:strCache>
                <c:ptCount val="3"/>
                <c:pt idx="0">
                  <c:v>公务接待费预算</c:v>
                </c:pt>
                <c:pt idx="1">
                  <c:v>因公出国（境）经费预算</c:v>
                </c:pt>
                <c:pt idx="2">
                  <c:v>公务用车购置及运行费预算</c:v>
                </c:pt>
              </c:strCache>
            </c:strRef>
          </c:cat>
          <c:val>
            <c:numRef>
              <c:f>Sheet1!$C$2:$C$4</c:f>
              <c:numCache>
                <c:formatCode>General</c:formatCode>
                <c:ptCount val="3"/>
                <c:pt idx="0">
                  <c:v>6.9</c:v>
                </c:pt>
                <c:pt idx="1">
                  <c:v>0</c:v>
                </c:pt>
                <c:pt idx="2">
                  <c:v>0</c:v>
                </c:pt>
              </c:numCache>
            </c:numRef>
          </c:val>
        </c:ser>
        <c:dLbls>
          <c:showLegendKey val="false"/>
          <c:showVal val="false"/>
          <c:showCatName val="false"/>
          <c:showSerName val="false"/>
          <c:showPercent val="false"/>
          <c:showBubbleSize val="false"/>
        </c:dLbls>
        <c:gapWidth val="182"/>
        <c:overlap val="0"/>
        <c:axId val="587647791"/>
        <c:axId val="468612210"/>
      </c:barChart>
      <c:catAx>
        <c:axId val="587647791"/>
        <c:scaling>
          <c:orientation val="minMax"/>
        </c:scaling>
        <c:delete val="false"/>
        <c:axPos val="b"/>
        <c:numFmt formatCode="General" sourceLinked="false"/>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true"/>
        <c:lblAlgn val="ctr"/>
        <c:lblOffset val="100"/>
        <c:noMultiLvlLbl val="false"/>
      </c:catAx>
      <c:valAx>
        <c:axId val="468612210"/>
        <c:scaling>
          <c:orientation val="minMax"/>
        </c:scaling>
        <c:delete val="false"/>
        <c:axPos val="l"/>
        <c:majorGridlines>
          <c:spPr>
            <a:ln w="9525" cap="flat" cmpd="sng" algn="ctr">
              <a:solidFill>
                <a:schemeClr val="tx1">
                  <a:lumMod val="15000"/>
                  <a:lumOff val="85000"/>
                </a:schemeClr>
              </a:solidFill>
              <a:prstDash val="solid"/>
              <a:round/>
            </a:ln>
            <a:effectLst/>
          </c:spPr>
        </c:majorGridlines>
        <c:numFmt formatCode="General" sourceLinked="true"/>
        <c:majorTickMark val="none"/>
        <c:minorTickMark val="none"/>
        <c:tickLblPos val="nextTo"/>
        <c:spPr>
          <a:noFill/>
          <a:ln w="9525" cap="flat" cmpd="sng" algn="ctr">
            <a:noFill/>
            <a:prstDash val="solid"/>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false"/>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2023-02-07T14:11:00Z</dcterms:created>
  <dc:creator>蔡冬冬</dc:creator>
  <cp:lastModifiedBy>huawei</cp:lastModifiedBy>
  <dcterms:modified xsi:type="dcterms:W3CDTF">2024-02-29T09:58:26Z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