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中国共产党环江毛南族自治县委员会政法委员会</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中国共产党环江毛南族自治县委员会政法委员会</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中国共产党环江毛南族自治县委员会政法委员会</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中国共产党环江毛南族自治县委员会政法委员会</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4"/>
      <w:bookmarkStart w:id="4" w:name="bookmark12"/>
      <w:bookmarkStart w:id="5" w:name="bookmark13"/>
    </w:p>
    <w:p>
      <w:pPr>
        <w:pStyle w:val="Heading#1|1"/>
        <w:keepNext/>
        <w:keepLines/>
        <w:spacing w:after="560"/>
        <w:jc w:val="center"/>
        <w:rPr>
          <w:b/>
          <w:bCs/>
          <w:sz w:val="40"/>
          <w:szCs w:val="40"/>
        </w:rPr>
      </w:pPr>
      <w:r>
        <w:rPr>
          <w:b/>
          <w:bCs/>
          <w:sz w:val="40"/>
          <w:szCs w:val="40"/>
        </w:rPr>
        <w:t xml:space="preserve">第一部分</w:t>
      </w:r>
      <w:r>
        <w:rPr>
          <w:rFonts w:hint="eastAsia"/>
          <w:b/>
          <w:bCs/>
          <w:sz w:val="40"/>
          <w:szCs w:val="40"/>
          <w:lang w:eastAsia="zh-CN"/>
        </w:rPr>
        <w:t xml:space="preserve">：</w:t>
      </w:r>
      <w:r>
        <w:rPr>
          <w:b/>
          <w:sz w:val="40"/>
          <w:u w:color="auto"/>
        </w:rPr>
        <w:t xml:space="preserve">中国共产党环江毛南族自治县委员会政法委员会</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主要职责是：根据党的路线、方针、政策和部署，统一政法各部门的思想和行动；对一定时期内的政法工作作出全局性部署，并督促贯彻落实；检查政法部门执行法律法规和党的方针政策的情况，结合实际，研究制定具体措施；组织协调指导维护社会稳定的工作；支持和监督政法各部门依法行使职权，指导和协调政法各部门依法互相制约、密切配合，督促、推动大要案的查处工作，研究和协调有争议的重大、疑难案件；组织、协调社会管理综合治理工作，推动各项措施的落实；组织推动政法战线的调查研究工作，总结新经验，解决新问题；研究加强政法队伍建设和政法各部门领导班子建设的措施，协助县委及组织部门考察、管理政法部门的有关领导干部；完成县委及上级政法委交办的其他任务。</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本部门无下属单位，部门预算为委本级预算。</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sz w:val="40"/>
          <w:szCs w:val="40"/>
        </w:rPr>
      </w:pPr>
      <w:bookmarkStart w:id="7" w:name="bookmark68"/>
      <w:bookmarkStart w:id="8" w:name="bookmark69"/>
      <w:bookmarkStart w:id="9" w:name="bookmark70"/>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中国共产党环江毛南族自治县委员会政法委员会</w:t>
      </w:r>
      <w:r>
        <w:rPr>
          <w:b/>
          <w:sz w:val="40"/>
          <w:u w:color="auto"/>
        </w:rPr>
        <w:t xml:space="preserve">2024</w:t>
      </w:r>
      <w:r>
        <w:rPr>
          <w:b/>
          <w:sz w:val="40"/>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360.08</w:t>
      </w:r>
      <w:r>
        <w:rPr>
          <w:rFonts w:hint="eastAsia"/>
          <w:b w:val="0"/>
          <w:bCs w:val="0"/>
          <w:sz w:val="28"/>
          <w:szCs w:val="28"/>
        </w:rPr>
        <w:t xml:space="preserve">万元，总支出</w:t>
      </w:r>
      <w:r>
        <w:rPr>
          <w:rFonts w:hint="eastAsia"/>
          <w:sz w:val="28"/>
          <w:szCs w:val="28"/>
          <w:lang w:val="en-US" w:eastAsia="zh-CN"/>
        </w:rPr>
        <w:t xml:space="preserve">360.08</w:t>
      </w:r>
      <w:r>
        <w:rPr>
          <w:rFonts w:hint="eastAsia"/>
          <w:b w:val="0"/>
          <w:bCs w:val="0"/>
          <w:sz w:val="28"/>
          <w:szCs w:val="28"/>
        </w:rPr>
        <w:t xml:space="preserve">万元。总收入较2023年度预算数</w:t>
      </w:r>
      <w:r>
        <w:rPr>
          <w:rFonts w:hint="eastAsia"/>
          <w:sz w:val="28"/>
          <w:szCs w:val="28"/>
          <w:lang w:val="en-US" w:eastAsia="zh-CN"/>
        </w:rPr>
        <w:t xml:space="preserve">297.64</w:t>
      </w:r>
      <w:r>
        <w:rPr>
          <w:rFonts w:hint="eastAsia"/>
          <w:b w:val="0"/>
          <w:bCs w:val="0"/>
          <w:sz w:val="28"/>
          <w:szCs w:val="28"/>
        </w:rPr>
        <w:t xml:space="preserve">万元，</w:t>
      </w:r>
      <w:r>
        <w:rPr>
          <w:rFonts w:hint="eastAsia"/>
          <w:sz w:val="28"/>
          <w:szCs w:val="28"/>
        </w:rPr>
        <w:t xml:space="preserve">增加62.44</w:t>
      </w:r>
      <w:r>
        <w:rPr>
          <w:rFonts w:hint="eastAsia"/>
          <w:b w:val="0"/>
          <w:bCs w:val="0"/>
          <w:sz w:val="28"/>
          <w:szCs w:val="28"/>
        </w:rPr>
        <w:t xml:space="preserve">万元，</w:t>
      </w:r>
      <w:r>
        <w:rPr>
          <w:rFonts w:hint="eastAsia"/>
          <w:sz w:val="28"/>
          <w:szCs w:val="28"/>
        </w:rPr>
        <w:t xml:space="preserve">增长20.98%</w:t>
      </w:r>
      <w:r>
        <w:rPr>
          <w:rFonts w:hint="eastAsia"/>
          <w:b w:val="0"/>
          <w:bCs w:val="0"/>
          <w:sz w:val="28"/>
          <w:szCs w:val="28"/>
        </w:rPr>
        <w:t xml:space="preserve">，主要原因是</w:t>
      </w:r>
      <w:r>
        <w:rPr>
          <w:rFonts w:hint="eastAsia"/>
          <w:highlight w:val="none"/>
          <w:lang w:val="en-US" w:eastAsia="zh-CN"/>
        </w:rPr>
        <w:t xml:space="preserve">部门职工人数增加，人员经费支出部分增加</w:t>
      </w:r>
      <w:r>
        <w:rPr>
          <w:rFonts w:hint="eastAsia"/>
          <w:b w:val="0"/>
          <w:bCs w:val="0"/>
          <w:sz w:val="28"/>
          <w:szCs w:val="28"/>
        </w:rPr>
        <w:t xml:space="preserve">。总支出较2023年度预算数</w:t>
      </w:r>
      <w:r>
        <w:rPr>
          <w:rFonts w:hint="eastAsia"/>
          <w:sz w:val="28"/>
          <w:szCs w:val="28"/>
          <w:lang w:val="en-US" w:eastAsia="zh-CN"/>
        </w:rPr>
        <w:t xml:space="preserve">297.64</w:t>
      </w:r>
      <w:r>
        <w:rPr>
          <w:rFonts w:hint="eastAsia"/>
          <w:b w:val="0"/>
          <w:bCs w:val="0"/>
          <w:sz w:val="28"/>
          <w:szCs w:val="28"/>
        </w:rPr>
        <w:t xml:space="preserve">万元，</w:t>
      </w:r>
      <w:r>
        <w:rPr>
          <w:rFonts w:hint="eastAsia"/>
          <w:sz w:val="28"/>
          <w:szCs w:val="28"/>
        </w:rPr>
        <w:t xml:space="preserve">增加62.44</w:t>
      </w:r>
      <w:r>
        <w:rPr>
          <w:rFonts w:hint="eastAsia"/>
          <w:b w:val="0"/>
          <w:bCs w:val="0"/>
          <w:sz w:val="28"/>
          <w:szCs w:val="28"/>
        </w:rPr>
        <w:t xml:space="preserve">万元，</w:t>
      </w:r>
      <w:r>
        <w:rPr>
          <w:rFonts w:hint="eastAsia"/>
          <w:sz w:val="28"/>
          <w:szCs w:val="28"/>
        </w:rPr>
        <w:t xml:space="preserve">增长20.98%</w:t>
      </w:r>
      <w:r>
        <w:rPr>
          <w:rFonts w:hint="eastAsia"/>
          <w:b w:val="0"/>
          <w:bCs w:val="0"/>
          <w:sz w:val="28"/>
          <w:szCs w:val="28"/>
        </w:rPr>
        <w:t xml:space="preserve">，主要原因是</w:t>
      </w:r>
      <w:r>
        <w:rPr>
          <w:rFonts w:hint="eastAsia"/>
          <w:highlight w:val="none"/>
          <w:lang w:val="en-US" w:eastAsia="zh-CN"/>
        </w:rPr>
        <w:t xml:space="preserve">部门职工人数增加，人员经费支出部分增加</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78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360.08</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297.64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增加62.44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增长20.98%</w:t>
      </w:r>
      <w:r>
        <w:rPr>
          <w:rFonts w:ascii="宋体" w:eastAsia="宋体" w:hAnsi="宋体" w:cs="宋体" w:hint="eastAsia"/>
          <w:sz w:val="28"/>
          <w:szCs w:val="28"/>
          <w:u w:color="auto"/>
        </w:rPr>
        <w:t xml:space="preserve">，主要原因是</w:t>
      </w:r>
      <w:r>
        <w:rPr>
          <w:rFonts w:hint="eastAsia"/>
          <w:highlight w:val="none"/>
          <w:lang w:val="en-US" w:eastAsia="zh-CN"/>
        </w:rPr>
        <w:t xml:space="preserve">部门职工人数增加，人员经费支出部分增加。其中基本支出261.93万元，较2023年度预算数207.89万元，增加54.04万元，增长25.99%，主要原因是单位职工人数增加，人员经费支出部分增加；项目支出98.15万元，较2023年度预算数89.75万元，增加8.4万元，增长9.66%，主要原因是新增加铁路护路联防工作经费等</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78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360.08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297.64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增加62.44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增长20.98%</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部门职工人数增加，人员经费支出部分增加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基本支出261.93万元，较2023年度预算数207.89万元，增加54.04万元，增长25.99%，主要原因是单位职工人数增加，人员经费支出部分增加；项目支出98.15万元，较2023年度预算数89.75万元，增加8.4万元，增长9.66%，主要原因是新增加铁路护路联防工作经费等</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6</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一般公共服务支出</w:t>
      </w:r>
      <w:r>
        <w:rPr>
          <w:rFonts w:hint="eastAsia"/>
          <w:lang w:val="en-US" w:eastAsia="zh-CN"/>
        </w:rPr>
        <w:t xml:space="preserve">277.01</w:t>
      </w:r>
      <w:r>
        <w:rPr>
          <w:rFonts w:hint="eastAsia"/>
        </w:rPr>
        <w:t xml:space="preserve">万元，占支出总预算</w:t>
      </w:r>
      <w:r>
        <w:rPr>
          <w:rFonts w:hint="eastAsia"/>
          <w:lang w:val="en-US" w:eastAsia="zh-CN"/>
        </w:rPr>
        <w:t xml:space="preserve">76.93%</w:t>
      </w:r>
      <w:r>
        <w:rPr>
          <w:rFonts w:hint="eastAsia"/>
        </w:rPr>
        <w:t xml:space="preserve">,比上年</w:t>
      </w:r>
      <w:r>
        <w:rPr>
          <w:rFonts w:hint="eastAsia"/>
          <w:lang w:val="en-US" w:eastAsia="zh-CN"/>
        </w:rPr>
        <w:t xml:space="preserve">增长76.33</w:t>
      </w:r>
      <w:r>
        <w:rPr>
          <w:rFonts w:hint="eastAsia"/>
        </w:rPr>
        <w:t xml:space="preserve">万元，</w:t>
      </w:r>
      <w:r>
        <w:rPr>
          <w:rFonts w:hint="eastAsia"/>
          <w:lang w:val="en-US" w:eastAsia="zh-CN"/>
        </w:rPr>
        <w:t xml:space="preserve">增长38.04%</w:t>
      </w:r>
      <w:r>
        <w:rPr>
          <w:rFonts w:hint="eastAsia"/>
        </w:rPr>
        <w:t xml:space="preserve">,</w:t>
      </w:r>
      <w:r>
        <w:rPr>
          <w:rFonts w:hint="eastAsia"/>
          <w:highlight w:val="none"/>
        </w:rPr>
        <w:t xml:space="preserve">主要原因是：</w:t>
      </w:r>
      <w:r>
        <w:rPr>
          <w:rFonts w:hint="eastAsia"/>
          <w:highlight w:val="none"/>
          <w:lang w:val="en-US" w:eastAsia="zh-CN"/>
        </w:rPr>
        <w:t xml:space="preserve">部门职工人数增加，人员经费支出部分增加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其他支出</w:t>
      </w:r>
      <w:r>
        <w:rPr>
          <w:rFonts w:hint="eastAsia"/>
          <w:lang w:val="en-US" w:eastAsia="zh-CN"/>
        </w:rPr>
        <w:t xml:space="preserve">0.00</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减少18.72</w:t>
      </w:r>
      <w:r>
        <w:rPr>
          <w:rFonts w:hint="eastAsia"/>
        </w:rPr>
        <w:t xml:space="preserve">万元，</w:t>
      </w:r>
      <w:r>
        <w:rPr>
          <w:rFonts w:hint="eastAsia"/>
          <w:lang w:val="en-US" w:eastAsia="zh-CN"/>
        </w:rPr>
        <w:t xml:space="preserve">减少100.00%</w:t>
      </w:r>
      <w:r>
        <w:rPr>
          <w:rFonts w:hint="eastAsia"/>
        </w:rPr>
        <w:t xml:space="preserve">,</w:t>
      </w:r>
      <w:r>
        <w:rPr>
          <w:rFonts w:hint="eastAsia"/>
          <w:highlight w:val="none"/>
        </w:rPr>
        <w:t xml:space="preserve">主要原因是：</w:t>
      </w:r>
      <w:r>
        <w:rPr>
          <w:rFonts w:hint="eastAsia"/>
          <w:highlight w:val="none"/>
          <w:lang w:val="en-US" w:eastAsia="zh-CN"/>
        </w:rPr>
        <w:t xml:space="preserve">统计口径变化，2024年随工资发放的基础性绩效增量由一般公共服务支出科目统计</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公共安全支出</w:t>
      </w:r>
      <w:r>
        <w:rPr>
          <w:rFonts w:hint="eastAsia"/>
          <w:lang w:val="en-US" w:eastAsia="zh-CN"/>
        </w:rPr>
        <w:t xml:space="preserve">13.00</w:t>
      </w:r>
      <w:r>
        <w:rPr>
          <w:rFonts w:hint="eastAsia"/>
        </w:rPr>
        <w:t xml:space="preserve">万元，占支出总预算</w:t>
      </w:r>
      <w:r>
        <w:rPr>
          <w:rFonts w:hint="eastAsia"/>
          <w:lang w:val="en-US" w:eastAsia="zh-CN"/>
        </w:rPr>
        <w:t xml:space="preserve">3.61%</w:t>
      </w:r>
      <w:r>
        <w:rPr>
          <w:rFonts w:hint="eastAsia"/>
        </w:rPr>
        <w:t xml:space="preserve">,比上年</w:t>
      </w:r>
      <w:r>
        <w:rPr>
          <w:rFonts w:hint="eastAsia"/>
          <w:lang w:val="en-US" w:eastAsia="zh-CN"/>
        </w:rPr>
        <w:t xml:space="preserve">减少1.00</w:t>
      </w:r>
      <w:r>
        <w:rPr>
          <w:rFonts w:hint="eastAsia"/>
        </w:rPr>
        <w:t xml:space="preserve">万元，</w:t>
      </w:r>
      <w:r>
        <w:rPr>
          <w:rFonts w:hint="eastAsia"/>
          <w:lang w:val="en-US" w:eastAsia="zh-CN"/>
        </w:rPr>
        <w:t xml:space="preserve">减少7.14%</w:t>
      </w:r>
      <w:r>
        <w:rPr>
          <w:rFonts w:hint="eastAsia"/>
        </w:rPr>
        <w:t xml:space="preserve">,</w:t>
      </w:r>
      <w:r>
        <w:rPr>
          <w:rFonts w:hint="eastAsia"/>
          <w:highlight w:val="none"/>
        </w:rPr>
        <w:t xml:space="preserve">主要原因是：</w:t>
      </w:r>
      <w:r>
        <w:rPr>
          <w:rFonts w:hint="eastAsia"/>
          <w:highlight w:val="none"/>
          <w:lang w:val="en-US" w:eastAsia="zh-CN"/>
        </w:rPr>
        <w:t xml:space="preserve">公共安全类项目根据工作需要相应调整</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社会保障和就业支出</w:t>
      </w:r>
      <w:r>
        <w:rPr>
          <w:rFonts w:hint="eastAsia"/>
          <w:lang w:val="en-US" w:eastAsia="zh-CN"/>
        </w:rPr>
        <w:t xml:space="preserve">26.38</w:t>
      </w:r>
      <w:r>
        <w:rPr>
          <w:rFonts w:hint="eastAsia"/>
        </w:rPr>
        <w:t xml:space="preserve">万元，占支出总预算</w:t>
      </w:r>
      <w:r>
        <w:rPr>
          <w:rFonts w:hint="eastAsia"/>
          <w:lang w:val="en-US" w:eastAsia="zh-CN"/>
        </w:rPr>
        <w:t xml:space="preserve">7.33%</w:t>
      </w:r>
      <w:r>
        <w:rPr>
          <w:rFonts w:hint="eastAsia"/>
        </w:rPr>
        <w:t xml:space="preserve">,比上年</w:t>
      </w:r>
      <w:r>
        <w:rPr>
          <w:rFonts w:hint="eastAsia"/>
          <w:lang w:val="en-US" w:eastAsia="zh-CN"/>
        </w:rPr>
        <w:t xml:space="preserve">增长2.56</w:t>
      </w:r>
      <w:r>
        <w:rPr>
          <w:rFonts w:hint="eastAsia"/>
        </w:rPr>
        <w:t xml:space="preserve">万元，</w:t>
      </w:r>
      <w:r>
        <w:rPr>
          <w:rFonts w:hint="eastAsia"/>
          <w:lang w:val="en-US" w:eastAsia="zh-CN"/>
        </w:rPr>
        <w:t xml:space="preserve">增长10.75%</w:t>
      </w:r>
      <w:r>
        <w:rPr>
          <w:rFonts w:hint="eastAsia"/>
        </w:rPr>
        <w:t xml:space="preserve">,</w:t>
      </w:r>
      <w:r>
        <w:rPr>
          <w:rFonts w:hint="eastAsia"/>
          <w:highlight w:val="none"/>
        </w:rPr>
        <w:t xml:space="preserve">主要原因是：</w:t>
      </w:r>
      <w:r>
        <w:rPr>
          <w:rFonts w:hint="eastAsia"/>
          <w:highlight w:val="none"/>
          <w:lang w:val="en-US" w:eastAsia="zh-CN"/>
        </w:rPr>
        <w:t xml:space="preserve">部门职工人数增加，人员经费支出部分增加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5</w:t>
      </w:r>
      <w:r>
        <w:rPr>
          <w:u w:color="auto"/>
        </w:rPr>
        <w:t xml:space="preserve">)</w:t>
      </w:r>
      <w:r>
        <w:rPr>
          <w:u w:color="auto"/>
        </w:rPr>
        <w:t xml:space="preserve">住房保障支出</w:t>
      </w:r>
      <w:r>
        <w:rPr>
          <w:rFonts w:hint="eastAsia"/>
          <w:lang w:val="en-US" w:eastAsia="zh-CN"/>
        </w:rPr>
        <w:t xml:space="preserve">22.69</w:t>
      </w:r>
      <w:r>
        <w:rPr>
          <w:rFonts w:hint="eastAsia"/>
        </w:rPr>
        <w:t xml:space="preserve">万元，占支出总预算</w:t>
      </w:r>
      <w:r>
        <w:rPr>
          <w:rFonts w:hint="eastAsia"/>
          <w:lang w:val="en-US" w:eastAsia="zh-CN"/>
        </w:rPr>
        <w:t xml:space="preserve">6.30%</w:t>
      </w:r>
      <w:r>
        <w:rPr>
          <w:rFonts w:hint="eastAsia"/>
        </w:rPr>
        <w:t xml:space="preserve">,比上年</w:t>
      </w:r>
      <w:r>
        <w:rPr>
          <w:rFonts w:hint="eastAsia"/>
          <w:lang w:val="en-US" w:eastAsia="zh-CN"/>
        </w:rPr>
        <w:t xml:space="preserve">增长4.80</w:t>
      </w:r>
      <w:r>
        <w:rPr>
          <w:rFonts w:hint="eastAsia"/>
        </w:rPr>
        <w:t xml:space="preserve">万元，</w:t>
      </w:r>
      <w:r>
        <w:rPr>
          <w:rFonts w:hint="eastAsia"/>
          <w:lang w:val="en-US" w:eastAsia="zh-CN"/>
        </w:rPr>
        <w:t xml:space="preserve">增长26.83%</w:t>
      </w:r>
      <w:r>
        <w:rPr>
          <w:rFonts w:hint="eastAsia"/>
        </w:rPr>
        <w:t xml:space="preserve">,</w:t>
      </w:r>
      <w:r>
        <w:rPr>
          <w:rFonts w:hint="eastAsia"/>
          <w:highlight w:val="none"/>
        </w:rPr>
        <w:t xml:space="preserve">主要原因是：</w:t>
      </w:r>
      <w:r>
        <w:rPr>
          <w:rFonts w:hint="eastAsia"/>
          <w:highlight w:val="none"/>
          <w:lang w:val="en-US" w:eastAsia="zh-CN"/>
        </w:rPr>
        <w:t xml:space="preserve">部门职工人数增加，人员经费支出部分增加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6</w:t>
      </w:r>
      <w:r>
        <w:rPr>
          <w:u w:color="auto"/>
        </w:rPr>
        <w:t xml:space="preserve">)</w:t>
      </w:r>
      <w:r>
        <w:rPr>
          <w:u w:color="auto"/>
        </w:rPr>
        <w:t xml:space="preserve">科学技术支出</w:t>
      </w:r>
      <w:r>
        <w:rPr>
          <w:rFonts w:hint="eastAsia"/>
          <w:lang w:val="en-US" w:eastAsia="zh-CN"/>
        </w:rPr>
        <w:t xml:space="preserve">21.00</w:t>
      </w:r>
      <w:r>
        <w:rPr>
          <w:rFonts w:hint="eastAsia"/>
        </w:rPr>
        <w:t xml:space="preserve">万元，占支出总预算</w:t>
      </w:r>
      <w:r>
        <w:rPr>
          <w:rFonts w:hint="eastAsia"/>
          <w:lang w:val="en-US" w:eastAsia="zh-CN"/>
        </w:rPr>
        <w:t xml:space="preserve">5.83%</w:t>
      </w:r>
      <w:r>
        <w:rPr>
          <w:rFonts w:hint="eastAsia"/>
        </w:rPr>
        <w:t xml:space="preserve">,比上年</w:t>
      </w:r>
      <w:r>
        <w:rPr>
          <w:rFonts w:hint="eastAsia"/>
          <w:lang w:val="en-US" w:eastAsia="zh-CN"/>
        </w:rPr>
        <w:t xml:space="preserve">减少1.53</w:t>
      </w:r>
      <w:r>
        <w:rPr>
          <w:rFonts w:hint="eastAsia"/>
        </w:rPr>
        <w:t xml:space="preserve">万元，</w:t>
      </w:r>
      <w:r>
        <w:rPr>
          <w:rFonts w:hint="eastAsia"/>
          <w:lang w:val="en-US" w:eastAsia="zh-CN"/>
        </w:rPr>
        <w:t xml:space="preserve">减少6.79%</w:t>
      </w:r>
      <w:r>
        <w:rPr>
          <w:rFonts w:hint="eastAsia"/>
        </w:rPr>
        <w:t xml:space="preserve">,</w:t>
      </w:r>
      <w:r>
        <w:rPr>
          <w:rFonts w:hint="eastAsia"/>
          <w:highlight w:val="none"/>
        </w:rPr>
        <w:t xml:space="preserve">主要原因是：</w:t>
      </w:r>
      <w:r>
        <w:rPr>
          <w:rFonts w:hint="eastAsia"/>
          <w:highlight w:val="none"/>
          <w:lang w:val="en-US" w:eastAsia="zh-CN"/>
        </w:rPr>
        <w:t xml:space="preserve">科学技术类项目根据工作需要相应调整</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261.93</w:t>
      </w:r>
      <w:r>
        <w:rPr>
          <w:rFonts w:hint="eastAsia"/>
        </w:rPr>
        <w:t xml:space="preserve">万元，占支出预算</w:t>
      </w:r>
      <w:r>
        <w:rPr>
          <w:u w:color="auto"/>
        </w:rPr>
        <w:t xml:space="preserve">72.74%</w:t>
      </w:r>
      <w:r>
        <w:rPr>
          <w:u w:color="auto"/>
        </w:rPr>
        <w:t xml:space="preserve">,比上年</w:t>
      </w:r>
      <w:r>
        <w:rPr>
          <w:u w:color="auto"/>
        </w:rPr>
        <w:t xml:space="preserve">增长54.04</w:t>
      </w:r>
      <w:r>
        <w:rPr>
          <w:u w:color="auto"/>
        </w:rPr>
        <w:t xml:space="preserve">万元，</w:t>
      </w:r>
      <w:r>
        <w:rPr>
          <w:u w:color="auto"/>
        </w:rPr>
        <w:t xml:space="preserve">增长25.99%</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6.24</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2.38%</w:t>
      </w:r>
      <w:r>
        <w:rPr>
          <w:rFonts w:hint="eastAsia"/>
        </w:rPr>
        <w:t xml:space="preserve">,</w:t>
      </w:r>
      <w:r>
        <w:t xml:space="preserve">比上年</w:t>
      </w:r>
      <w:r>
        <w:rPr>
          <w:rFonts w:hint="eastAsia"/>
        </w:rPr>
        <w:t xml:space="preserve">增长2.40</w:t>
      </w:r>
      <w:r>
        <w:t xml:space="preserve">万元，</w:t>
      </w:r>
      <w:r>
        <w:rPr>
          <w:rFonts w:hint="eastAsia"/>
        </w:rPr>
        <w:t xml:space="preserve">增长62.50%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退休人员的生活补助提高</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236.74</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90.38%</w:t>
      </w:r>
      <w:r>
        <w:rPr>
          <w:rFonts w:hint="eastAsia"/>
        </w:rPr>
        <w:t xml:space="preserve">,</w:t>
      </w:r>
      <w:r>
        <w:t xml:space="preserve">比上年</w:t>
      </w:r>
      <w:r>
        <w:rPr>
          <w:rFonts w:hint="eastAsia"/>
        </w:rPr>
        <w:t xml:space="preserve">增长50.53</w:t>
      </w:r>
      <w:r>
        <w:t xml:space="preserve">万元，</w:t>
      </w:r>
      <w:r>
        <w:rPr>
          <w:rFonts w:hint="eastAsia"/>
        </w:rPr>
        <w:t xml:space="preserve">增长27.14%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部门职工人数增加，人员经费支出部分增加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18.94</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7.23%</w:t>
      </w:r>
      <w:r>
        <w:rPr>
          <w:rFonts w:hint="eastAsia"/>
        </w:rPr>
        <w:t xml:space="preserve">,</w:t>
      </w:r>
      <w:r>
        <w:t xml:space="preserve">比上年</w:t>
      </w:r>
      <w:r>
        <w:rPr>
          <w:rFonts w:hint="eastAsia"/>
        </w:rPr>
        <w:t xml:space="preserve">增长1.10</w:t>
      </w:r>
      <w:r>
        <w:t xml:space="preserve">万元，</w:t>
      </w:r>
      <w:r>
        <w:rPr>
          <w:rFonts w:hint="eastAsia"/>
        </w:rPr>
        <w:t xml:space="preserve">增长6.17%</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部门职工人数增加，商品和服务支出部分增加</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98.15</w:t>
      </w:r>
      <w:r>
        <w:rPr>
          <w:rFonts w:hint="eastAsia"/>
        </w:rPr>
        <w:t xml:space="preserve">万元，占支出预算</w:t>
      </w:r>
      <w:r>
        <w:rPr>
          <w:u w:color="auto"/>
        </w:rPr>
        <w:t xml:space="preserve">27.26%</w:t>
      </w:r>
      <w:r>
        <w:rPr>
          <w:rFonts w:hint="eastAsia"/>
        </w:rPr>
        <w:t xml:space="preserve">,比上年</w:t>
      </w:r>
      <w:r>
        <w:rPr>
          <w:u w:color="auto"/>
        </w:rPr>
        <w:t xml:space="preserve">增长8.40</w:t>
      </w:r>
      <w:r>
        <w:rPr>
          <w:rFonts w:hint="eastAsia"/>
        </w:rPr>
        <w:t xml:space="preserve">万元，</w:t>
      </w:r>
      <w:r>
        <w:rPr>
          <w:u w:color="auto"/>
        </w:rPr>
        <w:t xml:space="preserve">增长9.36%</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92.29</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94.03%</w:t>
      </w:r>
      <w:r>
        <w:t xml:space="preserve">,比上年</w:t>
      </w:r>
      <w:r>
        <w:rPr>
          <w:rFonts w:hint="eastAsia"/>
        </w:rPr>
        <w:t xml:space="preserve">增长8.40</w:t>
      </w:r>
      <w:r>
        <w:t xml:space="preserve">万元，</w:t>
      </w:r>
      <w:r>
        <w:rPr>
          <w:rFonts w:hint="eastAsia"/>
        </w:rPr>
        <w:t xml:space="preserve">增长10.01%</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新增加铁路护路联防工作经费等项目</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5.86</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5.97%</w:t>
      </w:r>
      <w:r>
        <w:t xml:space="preserve">,比上年</w:t>
      </w:r>
      <w:r>
        <w:rPr>
          <w:rFonts w:hint="eastAsia"/>
        </w:rPr>
        <w:t xml:space="preserve">增长0.00</w:t>
      </w:r>
      <w:r>
        <w:t xml:space="preserve">万元，</w:t>
      </w:r>
      <w:r>
        <w:rPr>
          <w:rFonts w:hint="eastAsia"/>
        </w:rPr>
        <w:t xml:space="preserve">增长0.00%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新增办公电脑、座椅购置</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379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360.08</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360.08</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297.64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增加62.44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增长20.98%</w:t>
      </w:r>
      <w:r>
        <w:rPr>
          <w:rFonts w:ascii="宋体" w:eastAsia="宋体" w:hAnsi="宋体" w:cs="宋体" w:hint="eastAsia"/>
          <w:sz w:val="28"/>
          <w:szCs w:val="28"/>
        </w:rPr>
        <w:t xml:space="preserve">，主要原因是</w:t>
      </w:r>
      <w:r>
        <w:rPr>
          <w:rFonts w:hint="eastAsia"/>
          <w:highlight w:val="none"/>
          <w:lang w:val="en-US" w:eastAsia="zh-CN"/>
        </w:rPr>
        <w:t xml:space="preserve">部门职工人数增加，人员经费支出部分增加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297.64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增加62.44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增长20.98%</w:t>
      </w:r>
      <w:r>
        <w:rPr>
          <w:rFonts w:ascii="宋体" w:eastAsia="宋体" w:hAnsi="宋体" w:cs="宋体" w:hint="eastAsia"/>
          <w:sz w:val="28"/>
          <w:szCs w:val="28"/>
        </w:rPr>
        <w:t xml:space="preserve">，主要原因是</w:t>
      </w:r>
      <w:r>
        <w:rPr>
          <w:rFonts w:hint="eastAsia"/>
          <w:highlight w:val="none"/>
          <w:lang w:val="en-US" w:eastAsia="zh-CN"/>
        </w:rPr>
        <w:t xml:space="preserve">部门职工人数增加，人员经费支出部分增加</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79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360.08</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297.64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增加62.44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增长20.98%</w:t>
      </w:r>
      <w:r>
        <w:rPr>
          <w:rFonts w:ascii="宋体" w:eastAsia="宋体" w:hAnsi="宋体" w:cs="宋体" w:hint="eastAsia"/>
          <w:sz w:val="28"/>
          <w:szCs w:val="28"/>
        </w:rPr>
        <w:t xml:space="preserve">，主要原因是</w:t>
      </w:r>
      <w:r>
        <w:rPr>
          <w:rFonts w:hint="eastAsia"/>
          <w:highlight w:val="none"/>
          <w:lang w:val="en-US" w:eastAsia="zh-CN"/>
        </w:rPr>
        <w:t xml:space="preserve">部门职工人数增加，人员经费支出部分增加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277.01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76.93%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200.68</w:t>
      </w:r>
      <w:r>
        <w:rPr>
          <w:rFonts w:ascii="宋体" w:eastAsia="宋体" w:hAnsi="宋体" w:cs="宋体" w:hint="eastAsia"/>
          <w:sz w:val="28"/>
          <w:szCs w:val="28"/>
        </w:rPr>
        <w:t xml:space="preserve">万元，</w:t>
      </w:r>
      <w:r>
        <w:rPr>
          <w:rFonts w:ascii="宋体" w:eastAsia="宋体" w:hAnsi="宋体" w:cs="宋体"/>
          <w:sz w:val="28"/>
          <w:u w:color="auto"/>
        </w:rPr>
        <w:t xml:space="preserve">增长76.33</w:t>
      </w:r>
      <w:r>
        <w:rPr>
          <w:rFonts w:ascii="宋体" w:eastAsia="宋体" w:hAnsi="宋体" w:cs="宋体" w:hint="eastAsia"/>
          <w:sz w:val="28"/>
          <w:szCs w:val="28"/>
        </w:rPr>
        <w:t xml:space="preserve">万元，</w:t>
      </w:r>
      <w:r>
        <w:rPr>
          <w:rFonts w:ascii="宋体" w:eastAsia="宋体" w:hAnsi="宋体" w:cs="宋体"/>
          <w:sz w:val="28"/>
          <w:u w:color="auto"/>
        </w:rPr>
        <w:t xml:space="preserve">增长38.04%</w:t>
      </w:r>
      <w:r>
        <w:rPr>
          <w:rFonts w:ascii="宋体" w:eastAsia="宋体" w:hAnsi="宋体" w:cs="宋体" w:hint="eastAsia"/>
          <w:sz w:val="28"/>
          <w:szCs w:val="28"/>
        </w:rPr>
        <w:t xml:space="preserve">，主要原因是：</w:t>
      </w:r>
      <w:r>
        <w:rPr>
          <w:rFonts w:hint="eastAsia"/>
          <w:highlight w:val="none"/>
        </w:rPr>
        <w:t xml:space="preserve">部门职工人数增加，人员经费支出部分增加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22.69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6.30%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17.89</w:t>
      </w:r>
      <w:r>
        <w:rPr>
          <w:rFonts w:ascii="宋体" w:eastAsia="宋体" w:hAnsi="宋体" w:cs="宋体" w:hint="eastAsia"/>
          <w:sz w:val="28"/>
          <w:szCs w:val="28"/>
        </w:rPr>
        <w:t xml:space="preserve">万元，</w:t>
      </w:r>
      <w:r>
        <w:rPr>
          <w:rFonts w:ascii="宋体" w:eastAsia="宋体" w:hAnsi="宋体" w:cs="宋体"/>
          <w:sz w:val="28"/>
          <w:u w:color="auto"/>
        </w:rPr>
        <w:t xml:space="preserve">增长4.80</w:t>
      </w:r>
      <w:r>
        <w:rPr>
          <w:rFonts w:ascii="宋体" w:eastAsia="宋体" w:hAnsi="宋体" w:cs="宋体" w:hint="eastAsia"/>
          <w:sz w:val="28"/>
          <w:szCs w:val="28"/>
        </w:rPr>
        <w:t xml:space="preserve">万元，</w:t>
      </w:r>
      <w:r>
        <w:rPr>
          <w:rFonts w:ascii="宋体" w:eastAsia="宋体" w:hAnsi="宋体" w:cs="宋体"/>
          <w:sz w:val="28"/>
          <w:u w:color="auto"/>
        </w:rPr>
        <w:t xml:space="preserve">增长26.83%</w:t>
      </w:r>
      <w:r>
        <w:rPr>
          <w:rFonts w:ascii="宋体" w:eastAsia="宋体" w:hAnsi="宋体" w:cs="宋体" w:hint="eastAsia"/>
          <w:sz w:val="28"/>
          <w:szCs w:val="28"/>
        </w:rPr>
        <w:t xml:space="preserve">，主要原因是：</w:t>
      </w:r>
      <w:r>
        <w:rPr>
          <w:rFonts w:hint="eastAsia"/>
          <w:highlight w:val="none"/>
        </w:rPr>
        <w:t xml:space="preserve">部门职工人数增加，人员经费支出部分增加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公共安全支出</w:t>
      </w:r>
      <w:r>
        <w:rPr>
          <w:rFonts w:ascii="宋体" w:eastAsia="宋体" w:hAnsi="宋体" w:cs="宋体" w:hint="eastAsia"/>
          <w:sz w:val="28"/>
          <w:szCs w:val="28"/>
        </w:rPr>
        <w:t xml:space="preserve">（类）支出</w:t>
      </w:r>
      <w:r>
        <w:rPr>
          <w:rFonts w:ascii="宋体" w:eastAsia="宋体" w:hAnsi="宋体" w:cs="宋体"/>
          <w:sz w:val="28"/>
          <w:u w:color="auto"/>
        </w:rPr>
        <w:t xml:space="preserve">13.00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3.61%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14.00</w:t>
      </w:r>
      <w:r>
        <w:rPr>
          <w:rFonts w:ascii="宋体" w:eastAsia="宋体" w:hAnsi="宋体" w:cs="宋体" w:hint="eastAsia"/>
          <w:sz w:val="28"/>
          <w:szCs w:val="28"/>
        </w:rPr>
        <w:t xml:space="preserve">万元，</w:t>
      </w:r>
      <w:r>
        <w:rPr>
          <w:rFonts w:ascii="宋体" w:eastAsia="宋体" w:hAnsi="宋体" w:cs="宋体"/>
          <w:sz w:val="28"/>
          <w:u w:color="auto"/>
        </w:rPr>
        <w:t xml:space="preserve">减少1.00</w:t>
      </w:r>
      <w:r>
        <w:rPr>
          <w:rFonts w:ascii="宋体" w:eastAsia="宋体" w:hAnsi="宋体" w:cs="宋体" w:hint="eastAsia"/>
          <w:sz w:val="28"/>
          <w:szCs w:val="28"/>
        </w:rPr>
        <w:t xml:space="preserve">万元，</w:t>
      </w:r>
      <w:r>
        <w:rPr>
          <w:rFonts w:ascii="宋体" w:eastAsia="宋体" w:hAnsi="宋体" w:cs="宋体"/>
          <w:sz w:val="28"/>
          <w:u w:color="auto"/>
        </w:rPr>
        <w:t xml:space="preserve">减少7.14%</w:t>
      </w:r>
      <w:r>
        <w:rPr>
          <w:rFonts w:ascii="宋体" w:eastAsia="宋体" w:hAnsi="宋体" w:cs="宋体" w:hint="eastAsia"/>
          <w:sz w:val="28"/>
          <w:szCs w:val="28"/>
        </w:rPr>
        <w:t xml:space="preserve">，主要原因是：</w:t>
      </w:r>
      <w:r>
        <w:rPr>
          <w:rFonts w:hint="eastAsia"/>
          <w:highlight w:val="none"/>
        </w:rPr>
        <w:t xml:space="preserve">公共安全类项目根据工作需要相应调整</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其他支出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18.72</w:t>
      </w:r>
      <w:r>
        <w:rPr>
          <w:rFonts w:ascii="宋体" w:eastAsia="宋体" w:hAnsi="宋体" w:cs="宋体" w:hint="eastAsia"/>
          <w:sz w:val="28"/>
          <w:szCs w:val="28"/>
        </w:rPr>
        <w:t xml:space="preserve">万元，</w:t>
      </w:r>
      <w:r>
        <w:rPr>
          <w:rFonts w:ascii="宋体" w:eastAsia="宋体" w:hAnsi="宋体" w:cs="宋体"/>
          <w:sz w:val="28"/>
          <w:u w:color="auto"/>
        </w:rPr>
        <w:t xml:space="preserve">减少18.72</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统计口径变化，2024年随工资发放的基础性绩效增量由一般公共服务支出科目统计</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26.38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7.33%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23.82</w:t>
      </w:r>
      <w:r>
        <w:rPr>
          <w:rFonts w:ascii="宋体" w:eastAsia="宋体" w:hAnsi="宋体" w:cs="宋体" w:hint="eastAsia"/>
          <w:sz w:val="28"/>
          <w:szCs w:val="28"/>
        </w:rPr>
        <w:t xml:space="preserve">万元，</w:t>
      </w:r>
      <w:r>
        <w:rPr>
          <w:rFonts w:ascii="宋体" w:eastAsia="宋体" w:hAnsi="宋体" w:cs="宋体"/>
          <w:sz w:val="28"/>
          <w:u w:color="auto"/>
        </w:rPr>
        <w:t xml:space="preserve">增长2.56</w:t>
      </w:r>
      <w:r>
        <w:rPr>
          <w:rFonts w:ascii="宋体" w:eastAsia="宋体" w:hAnsi="宋体" w:cs="宋体" w:hint="eastAsia"/>
          <w:sz w:val="28"/>
          <w:szCs w:val="28"/>
        </w:rPr>
        <w:t xml:space="preserve">万元，</w:t>
      </w:r>
      <w:r>
        <w:rPr>
          <w:rFonts w:ascii="宋体" w:eastAsia="宋体" w:hAnsi="宋体" w:cs="宋体"/>
          <w:sz w:val="28"/>
          <w:u w:color="auto"/>
        </w:rPr>
        <w:t xml:space="preserve">增长10.75%</w:t>
      </w:r>
      <w:r>
        <w:rPr>
          <w:rFonts w:ascii="宋体" w:eastAsia="宋体" w:hAnsi="宋体" w:cs="宋体" w:hint="eastAsia"/>
          <w:sz w:val="28"/>
          <w:szCs w:val="28"/>
        </w:rPr>
        <w:t xml:space="preserve">，主要原因是：</w:t>
      </w:r>
      <w:r>
        <w:rPr>
          <w:rFonts w:hint="eastAsia"/>
          <w:highlight w:val="none"/>
        </w:rPr>
        <w:t xml:space="preserve">部门职工人数增加，人员经费支出部分增加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科学技术支出</w:t>
      </w:r>
      <w:r>
        <w:rPr>
          <w:rFonts w:ascii="宋体" w:eastAsia="宋体" w:hAnsi="宋体" w:cs="宋体" w:hint="eastAsia"/>
          <w:sz w:val="28"/>
          <w:szCs w:val="28"/>
        </w:rPr>
        <w:t xml:space="preserve">（类）支出</w:t>
      </w:r>
      <w:r>
        <w:rPr>
          <w:rFonts w:ascii="宋体" w:eastAsia="宋体" w:hAnsi="宋体" w:cs="宋体"/>
          <w:sz w:val="28"/>
          <w:u w:color="auto"/>
        </w:rPr>
        <w:t xml:space="preserve">21.00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5.83%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22.53</w:t>
      </w:r>
      <w:r>
        <w:rPr>
          <w:rFonts w:ascii="宋体" w:eastAsia="宋体" w:hAnsi="宋体" w:cs="宋体" w:hint="eastAsia"/>
          <w:sz w:val="28"/>
          <w:szCs w:val="28"/>
        </w:rPr>
        <w:t xml:space="preserve">万元，</w:t>
      </w:r>
      <w:r>
        <w:rPr>
          <w:rFonts w:ascii="宋体" w:eastAsia="宋体" w:hAnsi="宋体" w:cs="宋体"/>
          <w:sz w:val="28"/>
          <w:u w:color="auto"/>
        </w:rPr>
        <w:t xml:space="preserve">减少1.53</w:t>
      </w:r>
      <w:r>
        <w:rPr>
          <w:rFonts w:ascii="宋体" w:eastAsia="宋体" w:hAnsi="宋体" w:cs="宋体" w:hint="eastAsia"/>
          <w:sz w:val="28"/>
          <w:szCs w:val="28"/>
        </w:rPr>
        <w:t xml:space="preserve">万元，</w:t>
      </w:r>
      <w:r>
        <w:rPr>
          <w:rFonts w:ascii="宋体" w:eastAsia="宋体" w:hAnsi="宋体" w:cs="宋体"/>
          <w:sz w:val="28"/>
          <w:u w:color="auto"/>
        </w:rPr>
        <w:t xml:space="preserve">减少6.79%</w:t>
      </w:r>
      <w:r>
        <w:rPr>
          <w:rFonts w:ascii="宋体" w:eastAsia="宋体" w:hAnsi="宋体" w:cs="宋体" w:hint="eastAsia"/>
          <w:sz w:val="28"/>
          <w:szCs w:val="28"/>
        </w:rPr>
        <w:t xml:space="preserve">，主要原因是：</w:t>
      </w:r>
      <w:r>
        <w:rPr>
          <w:rFonts w:hint="eastAsia"/>
          <w:highlight w:val="none"/>
        </w:rPr>
        <w:t xml:space="preserve">科学技术类项目根据工作需要相应调整</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79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261.93</w:t>
      </w:r>
      <w:r>
        <w:rPr>
          <w:rFonts w:hint="eastAsia"/>
        </w:rPr>
        <w:t xml:space="preserve">万元，较2023年度预算数</w:t>
      </w:r>
      <w:r>
        <w:rPr>
          <w:rFonts w:hint="eastAsia"/>
          <w:lang w:val="en-US" w:eastAsia="zh-CN"/>
        </w:rPr>
        <w:t xml:space="preserve">207.89</w:t>
      </w:r>
      <w:r>
        <w:rPr>
          <w:rFonts w:hint="eastAsia"/>
        </w:rPr>
        <w:t xml:space="preserve">万元</w:t>
      </w:r>
      <w:r>
        <w:rPr>
          <w:rFonts w:hint="eastAsia"/>
          <w:lang w:val="en-US" w:eastAsia="zh-CN"/>
        </w:rPr>
        <w:t xml:space="preserve">,</w:t>
      </w:r>
      <w:r>
        <w:rPr>
          <w:u w:color="auto"/>
        </w:rPr>
        <w:t xml:space="preserve">增加54.04</w:t>
      </w:r>
      <w:r>
        <w:rPr>
          <w:rFonts w:hint="eastAsia"/>
        </w:rPr>
        <w:t xml:space="preserve">万元，</w:t>
      </w:r>
      <w:r>
        <w:rPr>
          <w:rFonts w:hint="eastAsia"/>
          <w:lang w:val="en-US" w:eastAsia="zh-CN"/>
        </w:rPr>
        <w:t xml:space="preserve">增长25.99%</w:t>
      </w:r>
      <w:r>
        <w:rPr>
          <w:rFonts w:hint="eastAsia"/>
        </w:rPr>
        <w:t xml:space="preserve">，主要原因是</w:t>
      </w:r>
      <w:r>
        <w:rPr>
          <w:rFonts w:hint="eastAsia"/>
          <w:highlight w:val="none"/>
          <w:lang w:val="en-US" w:eastAsia="zh-CN"/>
        </w:rPr>
        <w:t xml:space="preserve">部门职工人数增加，基本支出部分增加</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6.24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2.38%</w:t>
      </w:r>
      <w:r>
        <w:rPr>
          <w:rFonts w:hint="eastAsia"/>
        </w:rPr>
        <w:t xml:space="preserve">，较2023年度预算数</w:t>
      </w:r>
      <w:r>
        <w:rPr>
          <w:rFonts w:hint="eastAsia"/>
          <w:lang w:val="en-US" w:eastAsia="zh-CN"/>
        </w:rPr>
        <w:t xml:space="preserve">3.84</w:t>
      </w:r>
      <w:r>
        <w:rPr>
          <w:rFonts w:hint="eastAsia"/>
        </w:rPr>
        <w:t xml:space="preserve">万元，</w:t>
      </w:r>
      <w:r>
        <w:rPr>
          <w:rFonts w:hint="eastAsia"/>
          <w:lang w:val="en-US" w:eastAsia="zh-CN"/>
        </w:rPr>
        <w:t xml:space="preserve">增长2.40</w:t>
      </w:r>
      <w:r>
        <w:rPr>
          <w:rFonts w:hint="eastAsia"/>
        </w:rPr>
        <w:t xml:space="preserve">万元，</w:t>
      </w:r>
      <w:r>
        <w:rPr>
          <w:rFonts w:hint="eastAsia"/>
          <w:lang w:val="en-US" w:eastAsia="zh-CN"/>
        </w:rPr>
        <w:t xml:space="preserve">增长62.50%</w:t>
      </w:r>
      <w:r>
        <w:rPr>
          <w:rFonts w:hint="eastAsia"/>
        </w:rPr>
        <w:t xml:space="preserve">，主要原因是：</w:t>
      </w:r>
      <w:r>
        <w:rPr>
          <w:rFonts w:hint="eastAsia"/>
          <w:highlight w:val="none"/>
        </w:rPr>
        <w:t xml:space="preserve">退休人员的生活补助提高</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236.74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90.38%</w:t>
      </w:r>
      <w:r>
        <w:rPr>
          <w:rFonts w:hint="eastAsia"/>
        </w:rPr>
        <w:t xml:space="preserve">，较2023年度预算数</w:t>
      </w:r>
      <w:r>
        <w:rPr>
          <w:rFonts w:hint="eastAsia"/>
          <w:lang w:val="en-US" w:eastAsia="zh-CN"/>
        </w:rPr>
        <w:t xml:space="preserve">186.21</w:t>
      </w:r>
      <w:r>
        <w:rPr>
          <w:rFonts w:hint="eastAsia"/>
        </w:rPr>
        <w:t xml:space="preserve">万元，</w:t>
      </w:r>
      <w:r>
        <w:rPr>
          <w:rFonts w:hint="eastAsia"/>
          <w:lang w:val="en-US" w:eastAsia="zh-CN"/>
        </w:rPr>
        <w:t xml:space="preserve">增长50.53</w:t>
      </w:r>
      <w:r>
        <w:rPr>
          <w:rFonts w:hint="eastAsia"/>
        </w:rPr>
        <w:t xml:space="preserve">万元，</w:t>
      </w:r>
      <w:r>
        <w:rPr>
          <w:rFonts w:hint="eastAsia"/>
          <w:lang w:val="en-US" w:eastAsia="zh-CN"/>
        </w:rPr>
        <w:t xml:space="preserve">增长27.14%</w:t>
      </w:r>
      <w:r>
        <w:rPr>
          <w:rFonts w:hint="eastAsia"/>
        </w:rPr>
        <w:t xml:space="preserve">，主要原因是：</w:t>
      </w:r>
      <w:r>
        <w:rPr>
          <w:rFonts w:hint="eastAsia"/>
          <w:highlight w:val="none"/>
        </w:rPr>
        <w:t xml:space="preserve">部门职工人数增加，人员经费部分增加</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18.94</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7.23%</w:t>
      </w:r>
      <w:r>
        <w:rPr>
          <w:rFonts w:hint="eastAsia"/>
        </w:rPr>
        <w:t xml:space="preserve">，较2023年度预算数</w:t>
      </w:r>
      <w:r>
        <w:rPr>
          <w:rFonts w:hint="eastAsia"/>
          <w:lang w:val="en-US" w:eastAsia="zh-CN"/>
        </w:rPr>
        <w:t xml:space="preserve">17.84</w:t>
      </w:r>
      <w:r>
        <w:rPr>
          <w:rFonts w:hint="eastAsia"/>
        </w:rPr>
        <w:t xml:space="preserve">万元，</w:t>
      </w:r>
      <w:r>
        <w:rPr>
          <w:rFonts w:hint="eastAsia"/>
          <w:lang w:val="en-US" w:eastAsia="zh-CN"/>
        </w:rPr>
        <w:t xml:space="preserve">增长1.10</w:t>
      </w:r>
      <w:r>
        <w:rPr>
          <w:rFonts w:hint="eastAsia"/>
        </w:rPr>
        <w:t xml:space="preserve">万元，</w:t>
      </w:r>
      <w:r>
        <w:rPr>
          <w:rFonts w:hint="eastAsia"/>
          <w:lang w:val="en-US" w:eastAsia="zh-CN"/>
        </w:rPr>
        <w:t xml:space="preserve">增长6.17%</w:t>
      </w:r>
      <w:r>
        <w:rPr>
          <w:rFonts w:hint="eastAsia"/>
        </w:rPr>
        <w:t xml:space="preserve">，主要原因是：</w:t>
      </w:r>
      <w:r>
        <w:rPr>
          <w:rFonts w:hint="eastAsia"/>
          <w:highlight w:val="none"/>
        </w:rPr>
        <w:t xml:space="preserve">部门职工人数增加，公用经费也相应增加</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79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2.00</w:t>
      </w:r>
      <w:r>
        <w:rPr>
          <w:rFonts w:hint="eastAsia"/>
          <w:b w:val="0"/>
          <w:bCs w:val="0"/>
          <w:sz w:val="28"/>
          <w:szCs w:val="28"/>
        </w:rPr>
        <w:t xml:space="preserve">万元，同口径较2023年度预算数</w:t>
      </w:r>
      <w:r>
        <w:rPr>
          <w:rFonts w:hint="eastAsia"/>
          <w:b w:val="0"/>
          <w:bCs w:val="0"/>
          <w:sz w:val="28"/>
          <w:szCs w:val="28"/>
          <w:lang w:val="en-US" w:eastAsia="zh-CN"/>
        </w:rPr>
        <w:t xml:space="preserve">2.00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本部门无因公出国（境）预算</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2.00</w:t>
      </w:r>
      <w:r>
        <w:rPr>
          <w:rFonts w:hint="eastAsia"/>
          <w:b w:val="0"/>
          <w:bCs w:val="0"/>
          <w:sz w:val="28"/>
          <w:szCs w:val="28"/>
        </w:rPr>
        <w:t xml:space="preserve">万元，较2023年度预算数</w:t>
      </w:r>
      <w:r>
        <w:rPr>
          <w:sz w:val="28"/>
          <w:u w:color="auto"/>
        </w:rPr>
        <w:t xml:space="preserve">2.00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highlight w:val="none"/>
          <w:lang w:val="en-US" w:eastAsia="zh-CN"/>
        </w:rPr>
        <w:t xml:space="preserve">与上年持平</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本部门无公务用车购置计划</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本部门无公务用车</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我部门2024年部门预算无政府性基金预算</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我部门2024年部门预算无国有资本经营预算</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18.94</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17.84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增加1.10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增长6.17%</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部门职工人数增加，公用经费也相应增加</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22.86</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5.86</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17</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办公设备、座椅购置，政法宣传印刷服务、综治视联网接入服务等采购</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16</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98.15</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项目名称综治视联网线路服务费，预算资金15万元，2024年度绩效目标为确保1个县级平台、13个乡镇级平台、42个村（社区）级平台综治视联网网络线路通畅，信息数据传输安全、稳定，提高综治水平。通过项目实施，实现综治各成员单位之间的互联互通，更好地促进社会管理综合治理工作的信息化、高效化，促进各综治成员单位的协同，有效达成社会管理与综合治理工作目标。同时可向其他政府职能部门覆盖，实现互联互通，提升政府工作效率，提升群众安全感和满意度。设1条数量指标：租用综治视联网络专线数量=56条；设1条质量指标：网络线路稳定连接率≥95%；设1条时效指标：及时提供专线使用和服务率≥95%；设1条成本指标：网络线路租用费≤15万元；设1条社会效益指标：促进各综治成员单位的协同，项目区社会治理水平提升，效果良好；设1条满意度指标：综合视联网使用及服务人员满意度≥90%。</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中国共产党环江毛南族自治县委员会政法委员会</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29"/>
      <w:bookmarkStart w:id="18" w:name="bookmark30"/>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中国共产党环江毛南族自治县委员会政法委员会</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360.08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277.01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350.08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21.00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26.38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22.69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360.08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360.08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360.08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360.08</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中国共产党环江毛南族自治县委员会政法委员会</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360.08</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360.08</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360.08</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109001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360.08</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360.08</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360.08</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3"/>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中国共产党环江毛南族自治县委员会政法委员会</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360.08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261.93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98.15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109001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360.08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261.93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98.15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2013601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274.13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63.65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2013699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其他共产党事务支出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0.50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0.50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2040699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其他司法支出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2049999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其他公共安全支出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2060199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其他科学技术管理事务支出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26.38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22.69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22.69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4"/>
      <w:bookmarkStart w:id="24" w:name="bookmark45"/>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中国共产党环江毛南族自治县委员会政法委员会</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360.08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277.01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350.08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21.00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26.38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22.69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360.08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360.08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360.08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360.08</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中国共产党环江毛南族自治县委员会政法委员会</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109001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360.08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261.92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242.98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18.94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98.15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2.38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2.38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2013601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274.13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210.48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193.92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16.56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63.65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2013699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其他共产党事务支出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0.50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0.50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2040699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其他司法支出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2049999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其他公共安全支出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2060199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其他科学技术管理事务支出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21.00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21.00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26.38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26.38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26.38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22.69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22.69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22.69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8"/>
      <w:bookmarkStart w:id="26" w:name="bookmark56"/>
      <w:bookmarkStart w:id="27" w:name="bookmark57"/>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中国共产党环江毛南族自治县委员会政法委员会</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261.92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242.98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18.94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236.74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236.74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63.32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63.32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44.18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44.18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48.05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27.12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27.12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10.85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10.85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23.54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23.54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10.78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10.78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18.94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18.94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3.70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物业管理费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30214</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租赁费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中国共产党环江毛南族自治县委员会政法委员会</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109001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中国共产党环江毛南族自治县委员会政法委员会</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2013601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2013699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其他共产党事务支出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2040699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其他司法支出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2049999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其他公共安全支出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2060199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其他科学技术管理事务支出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中国共产党环江毛南族自治县委员会政法委员会</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中国共产党环江毛南族自治县委员会政法委员会</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政法业务费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贯彻落实党中央、自治区党委、市委和自治县党委决定，对全县政法工作作出全局性部署，推动平安环江、法治环江建设，加强过硬政法队伍建设，深化智能化建设，坚决维护国家政治安全、确保社会大局稳定、促进社会公平正义、保障人民安居乐业</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驻京驻邕劝返维稳工作经费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敏感时期、重大活动、重要目标和要害部位不发生安全保卫工作重大事故，不发生规模进京集访事件</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司法救助经费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严格执行《广西壮族自治区国家司法救助制度实施办法》规定，符合国家司法救助条件的，及时开展救助，按规定完成国家司法救助资金的审批、核拨、发放、备案工作，确保救助及时，应救尽救。</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国家安全人民防线经费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维护国家政治安全、确保社会大局稳定，筑牢国家安全人民防线，建设“六新河池”保驾护航</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统筹国家安全观</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统筹国家安全观</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广西综治信息平台运维费用</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构建网格治理新机制，科学合理划分网格，实现网格化服务100％覆盖，做到“网中有格、格中有人、人在格上，事在格中，格事尽知”。</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见义勇为工作经费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弘扬见义勇为精神，鼓励见义勇为行为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扫黑除恶常态化工作经费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保障扫黑除恶常态化工作顺利开展，扫黑除恶斗争成效满意度达93％以上。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自治县政法系统干部能力提升专题培训经费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中国共产党政法工作条例》《河池市政法系统政治轮训办法（试行）》（河政法〔2021〕26号）关于推动完善和落实政法干部政治轮训有关要求，进一步提升政法干部思想政治素质和工作业务能力，为平安环江和法治环江，建设政治和业务过硬的政法干部队伍。</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党支部组织生活的经费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0.15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保障、丰富党支部组织活动</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法学会的经费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围绕党和国家工作大局，根据重要战略机遇期对法制保障、法律服务和法学研究提出的新任务新要求，组织好法学研究工作；开展同县内外法学团体的工作联系和学术交流；参与法律宣传，开展法律服务；完成领导机关的法律服务相关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法制宣传的经费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年度群众安全感平均达到95％，年度政法队伍执法满意度平均达到90％，自治区扫黑除恶专项斗争满意度调查年度90％以上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综治、维稳和反邪教的经费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年度群众安全感平均达到95％，年度政法队伍执法满意度平均达到90％，不发生在全国造成恶劣影响和严重后果的重大政治性事件、邪教案件、非法聚集事件、大规模群体事件等</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铁路护路联防工作经费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坚持安全第一、预防为主、依法管理、综合治理的方针，不发生群体性冲击铁路、拦阻列车等重大治安案件，不发生因治安问题导致的行车重大事故，不发生因治安问题引发的群死群伤事故，不发生涉及铁路沿线的暴力恐怖事件；压减路外相撞伤亡事故、危及铁路行车案件；有效控制闲杂人员非法入网、设置路障及大牲畜上道、人为山火等危及行车安全的隐患问题发生。</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综治中心工作经费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基层综治中心“标准化、实战化、实效化”运行进一步加强，网格员上报事件办结率80％以上。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中国共产党环江毛南族自治县委员会政法委员会</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综治视联网线路服务费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推动大数据、人工智能等新技术在政法领域应用，不断提高政法智能应用水平。</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rPr>
          <w:sz w:val="40"/>
          <w:szCs w:val="40"/>
        </w:rPr>
      </w:pPr>
      <w:bookmarkStart w:id="31" w:name="bookmark95"/>
      <w:bookmarkStart w:id="32" w:name="bookmark94"/>
      <w:bookmarkStart w:id="33" w:name="bookmark96"/>
      <w:r>
        <w:rPr>
          <w:sz w:val="40"/>
          <w:szCs w:val="40"/>
        </w:rPr>
        <w:t xml:space="preserve">第四部</w:t>
      </w:r>
      <w:r>
        <w:rPr>
          <w:rFonts w:hint="eastAsia"/>
          <w:sz w:val="40"/>
          <w:szCs w:val="40"/>
          <w:lang w:val="en-US" w:eastAsia="zh-CN"/>
        </w:rPr>
        <w:t xml:space="preserve">  </w:t>
      </w:r>
      <w:bookmarkStart w:id="34" w:name="_GoBack"/>
      <w:bookmarkEnd w:id="34"/>
      <w:r>
        <w:rPr>
          <w:sz w:val="40"/>
          <w:szCs w:val="40"/>
        </w:rPr>
        <w:t xml:space="preserve">分名词解释</w:t>
      </w:r>
      <w:bookmarkEnd w:id="31"/>
      <w:bookmarkEnd w:id="32"/>
      <w:bookmarkEnd w:id="33"/>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79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753"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795"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75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obu2J8bz1PgAXEUeXXiBOQ==" w:hash="0/OYXchK3VJ9LazBuZ2RbggLLCoOoDHVeYRnB2bj9FJXRFlHc0kigrJBPHrhGa+4ohXLa7W4P5gm3YUUxhiL5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DFiOTZkYjkwN2Q1MTBhY2U1NDI3ZmEwNzcyMDM4OG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360.08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Sheet1!$A$2:$A$6</c:f>
              <c:strCache>
                <c:ptCount val="5"/>
                <c:pt idx="0">
                  <c:v>一般公共服务支出</c:v>
                </c:pt>
                <c:pt idx="1">
                  <c:v>公共安全支出</c:v>
                </c:pt>
                <c:pt idx="2">
                  <c:v>科学技术支出</c:v>
                </c:pt>
                <c:pt idx="3">
                  <c:v>社会保障和就业支出</c:v>
                </c:pt>
                <c:pt idx="4">
                  <c:v>住房保障支出</c:v>
                </c:pt>
              </c:strCache>
            </c:strRef>
          </c:cat>
          <c:val>
            <c:numRef>
              <c:f>Sheet1!$B$2:$B$6</c:f>
              <c:numCache>
                <c:ptCount val="5"/>
                <c:pt idx="0">
                  <c:v>277.01</c:v>
                </c:pt>
                <c:pt idx="1">
                  <c:v>3.0</c:v>
                </c:pt>
                <c:pt idx="2">
                  <c:v>21.0</c:v>
                </c:pt>
                <c:pt idx="3">
                  <c:v>26.38</c:v>
                </c:pt>
                <c:pt idx="4">
                  <c:v>22.69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287.64</c:v>
                </c:pt>
                <c:pt idx="1">
                  <c:v>287.64</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350.08</c:v>
                </c:pt>
                <c:pt idx="1">
                  <c:v>350.08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261.93</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88.15</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18.94</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242.98</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242.98</c:v>
                </c:pt>
                <c:pt idx="1">
                  <c:v>18.94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2.0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2.0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2024-02-27T09:38:28Z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Office_12.1.0.16120_F1E327BC-269C-435d-A152-05C5408002CA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88404FF73E4A4D02B71DC44154D3F401_13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Office_12.1.0.16120_F1E327BC-269C-435d-A152-05C5408002CA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C D D</cp:lastModifiedBy>
  <dcterms:modified xsi:type="dcterms:W3CDTF">2024-02-28T07:46:38Z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2052-12.1.0.16120</vt:lpstr>
  </property>
  <property fmtid="{D5CDD505-2E9C-101B-9397-08002B2CF9AE}" pid="3" name="ICV">
    <vt:lpstr>88404FF73E4A4D02B71DC44154D3F401_13</vt:lpstr>
  </property>
</Properties>
</file>