
<file path=[Content_Types].xml><?xml version="1.0" encoding="utf-8"?>
<Types xmlns="http://schemas.openxmlformats.org/package/2006/content-types">
  <Default ContentType="application/vnd.openxmlformats-package.relationships+xml" Extension="rels"/>
  <Default ContentType="application/vnd.openxmlformats-officedocument.spreadsheetml.sheet" Extension="xlsx"/>
  <Default ContentType="application/xml" Extension="xml"/>
  <Override ContentType="application/xml" PartName="/customXml/item1.xml"/>
  <Override ContentType="application/xml" PartName="/customXml/item2.xml"/>
  <Override ContentType="application/xml" PartName="/customXml/item3.xml"/>
  <Override ContentType="application/xml" PartName="/customXml/item4.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drawingml.chart+xml" PartName="/word/charts/chart1.xml"/>
  <Override ContentType="application/vnd.openxmlformats-officedocument.drawingml.chart+xml" PartName="/word/charts/chart2.xml"/>
  <Override ContentType="application/vnd.openxmlformats-officedocument.drawingml.chart+xml" PartName="/word/charts/chart3.xml"/>
  <Override ContentType="application/vnd.openxmlformats-officedocument.drawingml.chart+xml" PartName="/word/charts/chart4.xml"/>
  <Override ContentType="application/vnd.openxmlformats-officedocument.drawingml.chart+xml" PartName="/word/charts/chart5.xml"/>
  <Override ContentType="application/vnd.openxmlformats-officedocument.drawingml.chart+xml" PartName="/word/charts/chart6.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header+xml" PartName="/word/header6.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 Id="rId4" Target="docProps/custom.xml" Type="http://schemas.openxmlformats.org/officeDocument/2006/relationships/custom-properties"/></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w15="http://schemas.microsoft.com/office/word/2012/wordml" mc:Ignorable="w14 w15">
  <!-- Generated by Spire.Doc -->
  <w:body>
    <w:p>
      <w:pPr>
        <w:pStyle w:val="Bodytext|5"/>
        <w:jc w:val="center"/>
        <w:rPr>
          <w:rFonts w:hint="eastAsia"/>
          <w:sz w:val="56"/>
          <w:szCs w:val="56"/>
          <w:lang w:eastAsia="zh-CN"/>
        </w:rPr>
      </w:pPr>
      <w:r>
        <w:rPr>
          <w:rFonts w:hint="eastAsia"/>
          <w:sz w:val="56"/>
          <w:szCs w:val="56"/>
          <w:lang w:eastAsia="zh-CN"/>
        </w:rPr>
        <w:t xml:space="preserve">环江毛南族自治县人民代表大会常务委员会</w:t>
      </w:r>
    </w:p>
    <w:p>
      <w:pPr>
        <w:pStyle w:val="Bodytext|5"/>
        <w:jc w:val="center"/>
        <w:rPr>
          <w:rFonts w:eastAsia="宋体" w:eastAsiaTheme="majorEastAsia" w:hint="eastAsia"/>
          <w:sz w:val="56"/>
          <w:szCs w:val="56"/>
          <w:lang w:val="en-US" w:eastAsia="zh-CN"/>
        </w:rPr>
        <w:sectPr>
          <w:headerReference w:type="default" r:id="rId5"/>
          <w:footerReference w:type="default" r:id="rId6"/>
          <w:pgSz w:w="11900" w:h="16840" w:orient="portrait"/>
          <w:pgMar w:top="4713" w:right="1913" w:bottom="4713" w:left="2020" w:header="4285" w:footer="2381" w:gutter="0"/>
          <w:pgBorders>
            <w:top w:val="none" w:sz="0" w:space="0" w:color="auto"/>
            <w:left w:val="none" w:sz="0" w:space="0" w:color="auto"/>
            <w:bottom w:val="none" w:sz="0" w:space="0" w:color="auto"/>
            <w:right w:val="none" w:sz="0" w:space="0" w:color="auto"/>
          </w:pgBorders>
          <w:pgNumType w:fmt="decimal" w:start="1"/>
          <w:cols w:num="1" w:space="720">
            <w:col w:w="7967" w:space="720"/>
          </w:cols>
          <w:docGrid w:linePitch="360" w:charSpace="0"/>
        </w:sectPr>
      </w:pPr>
      <w:r>
        <w:rPr>
          <w:rFonts w:hint="eastAsia"/>
          <w:sz w:val="56"/>
          <w:szCs w:val="56"/>
          <w:lang w:eastAsia="zh-CN"/>
        </w:rPr>
        <w:t xml:space="preserve">2024</w:t>
      </w:r>
      <w:r>
        <w:rPr>
          <w:rFonts w:ascii="宋体" w:eastAsia="宋体" w:hAnsi="宋体" w:asciiTheme="majorEastAsia" w:eastAsiaTheme="majorEastAsia" w:hAnsiTheme="majorEastAsia" w:cs="Times New Roman" w:cstheme="majorEastAsia" w:hint="eastAsia"/>
          <w:sz w:val="56"/>
          <w:szCs w:val="56"/>
          <w:u w:color="auto"/>
        </w:rPr>
        <w:t xml:space="preserve">年</w:t>
      </w:r>
      <w:r>
        <w:rPr>
          <w:rFonts w:ascii="宋体" w:eastAsia="宋体" w:hAnsi="宋体" w:asciiTheme="majorEastAsia" w:eastAsiaTheme="majorEastAsia" w:hAnsiTheme="majorEastAsia" w:cs="Times New Roman" w:cstheme="majorEastAsia" w:hint="eastAsia"/>
          <w:sz w:val="56"/>
          <w:szCs w:val="56"/>
        </w:rPr>
        <w:t xml:space="preserve">度部门预算</w:t>
      </w:r>
      <w:r>
        <w:rPr>
          <w:rFonts w:ascii="宋体" w:eastAsia="宋体" w:hAnsi="宋体" w:asciiTheme="majorEastAsia" w:eastAsiaTheme="majorEastAsia" w:hAnsiTheme="majorEastAsia" w:cs="Times New Roman" w:cstheme="majorEastAsia" w:hint="eastAsia"/>
          <w:sz w:val="56"/>
          <w:szCs w:val="56"/>
          <w:lang w:val="en-US" w:eastAsia="zh-CN"/>
        </w:rPr>
        <w:t xml:space="preserve">公开及“三公”经费预算编制说明</w:t>
      </w:r>
    </w:p>
    <w:p>
      <w:pPr>
        <w:pStyle w:val="Heading#1|1"/>
        <w:keepNext/>
        <w:keepLines/>
        <w:spacing w:after="240"/>
        <w:jc w:val="center"/>
      </w:pPr>
      <w:bookmarkStart w:id="0" w:name="bookmark1"/>
      <w:bookmarkStart w:id="1" w:name="bookmark2"/>
      <w:bookmarkStart w:id="2" w:name="bookmark0"/>
      <w:r>
        <w:t xml:space="preserve">目录</w:t>
      </w:r>
      <w:bookmarkEnd w:id="0"/>
      <w:bookmarkEnd w:id="1"/>
      <w:bookmarkEnd w:id="2"/>
    </w:p>
    <w:p>
      <w:pPr>
        <w:pStyle w:val="Bodytext|2"/>
        <w:ind w:left="0" w:firstLine="320" w:leftChars="0" w:firstLineChars="100"/>
        <w:jc w:val="left"/>
      </w:pPr>
      <w:r>
        <w:t xml:space="preserve">第一部分</w:t>
      </w:r>
      <w:r>
        <w:rPr>
          <w:rFonts w:hint="eastAsia"/>
          <w:lang w:eastAsia="zh-CN"/>
        </w:rPr>
        <w:t xml:space="preserve">：</w:t>
      </w:r>
      <w:r>
        <w:rPr>
          <w:u w:color="auto"/>
        </w:rPr>
        <w:t xml:space="preserve">环江毛南族自治县人民代表大会常务委员会</w:t>
      </w:r>
      <w:r>
        <w:rPr>
          <w:u w:color="auto"/>
        </w:rPr>
        <w:t xml:space="preserve">单位</w:t>
      </w:r>
      <w:r>
        <w:t xml:space="preserve">概况</w:t>
      </w:r>
    </w:p>
    <w:p>
      <w:pPr>
        <w:pStyle w:val="Bodytext|2"/>
        <w:jc w:val="left"/>
        <w:rPr>
          <w:rFonts w:hint="eastAsia"/>
          <w:b w:val="0"/>
          <w:bCs w:val="0"/>
          <w:lang w:val="en-US" w:eastAsia="zh-CN"/>
        </w:rPr>
      </w:pPr>
      <w:r>
        <w:rPr>
          <w:rFonts w:hint="eastAsia"/>
          <w:b w:val="0"/>
          <w:bCs w:val="0"/>
          <w:lang w:val="en-US" w:eastAsia="zh-CN"/>
        </w:rPr>
        <w:t xml:space="preserve">一、主要职责</w:t>
      </w:r>
    </w:p>
    <w:p>
      <w:pPr>
        <w:pStyle w:val="Bodytext|2"/>
        <w:jc w:val="left"/>
        <w:rPr>
          <w:rFonts w:hint="eastAsia"/>
          <w:b w:val="0"/>
          <w:bCs w:val="0"/>
        </w:rPr>
      </w:pPr>
      <w:r>
        <w:rPr>
          <w:rFonts w:hint="eastAsia"/>
          <w:b w:val="0"/>
          <w:bCs w:val="0"/>
          <w:lang w:val="en-US" w:eastAsia="zh-CN"/>
        </w:rPr>
        <w:t xml:space="preserve">二、</w:t>
      </w:r>
      <w:r>
        <w:rPr>
          <w:rFonts w:hint="eastAsia"/>
          <w:b w:val="0"/>
          <w:bCs w:val="0"/>
        </w:rPr>
        <w:t xml:space="preserve">机构设置情况</w:t>
      </w:r>
    </w:p>
    <w:p>
      <w:pPr>
        <w:pStyle w:val="Bodytext|2"/>
        <w:ind w:left="0" w:firstLine="320" w:leftChars="0" w:firstLineChars="100"/>
        <w:jc w:val="left"/>
      </w:pPr>
      <w:r>
        <w:t xml:space="preserve">第二部分</w:t>
      </w:r>
      <w:r>
        <w:rPr>
          <w:rFonts w:hint="eastAsia"/>
          <w:lang w:eastAsia="zh-CN"/>
        </w:rPr>
        <w:t xml:space="preserve">：</w:t>
      </w:r>
      <w:r>
        <w:rPr>
          <w:u w:color="auto"/>
        </w:rPr>
        <w:t xml:space="preserve">环江毛南族自治县人民代表大会常务委员会</w:t>
      </w:r>
      <w:r>
        <w:rPr>
          <w:u w:color="auto"/>
        </w:rPr>
        <w:t xml:space="preserve">2024</w:t>
      </w:r>
      <w:r>
        <w:t xml:space="preserve">部门预算情况说明</w:t>
      </w:r>
    </w:p>
    <w:p>
      <w:pPr>
        <w:pStyle w:val="Bodytext|2"/>
        <w:numPr>
          <w:ilvl w:val="0"/>
          <w:numId w:val="0"/>
        </w:numPr>
        <w:ind w:firstLine="640" w:firstLineChars="200"/>
        <w:jc w:val="left"/>
        <w:rPr>
          <w:rFonts w:hint="eastAsia"/>
        </w:rPr>
      </w:pPr>
      <w:r>
        <w:rPr>
          <w:rFonts w:hint="eastAsia"/>
        </w:rPr>
        <w:t xml:space="preserve">一、部门收支总体情况说明</w:t>
      </w:r>
    </w:p>
    <w:p>
      <w:pPr>
        <w:pStyle w:val="Bodytext|2"/>
        <w:numPr>
          <w:ilvl w:val="0"/>
          <w:numId w:val="0"/>
        </w:numPr>
        <w:ind w:firstLine="640" w:firstLineChars="200"/>
        <w:jc w:val="left"/>
        <w:rPr>
          <w:rFonts w:hint="eastAsia"/>
        </w:rPr>
      </w:pPr>
      <w:r>
        <w:rPr>
          <w:rFonts w:hint="eastAsia"/>
        </w:rPr>
        <w:t xml:space="preserve">二、部门收入总体情况说明</w:t>
      </w:r>
    </w:p>
    <w:p>
      <w:pPr>
        <w:pStyle w:val="Bodytext|2"/>
        <w:numPr>
          <w:ilvl w:val="0"/>
          <w:numId w:val="0"/>
        </w:numPr>
        <w:ind w:firstLine="640" w:firstLineChars="200"/>
        <w:jc w:val="left"/>
        <w:rPr>
          <w:rFonts w:hint="eastAsia"/>
        </w:rPr>
      </w:pPr>
      <w:r>
        <w:rPr>
          <w:rFonts w:hint="eastAsia"/>
        </w:rPr>
        <w:t xml:space="preserve">三、部门支出总体情况说明</w:t>
      </w:r>
    </w:p>
    <w:p>
      <w:pPr>
        <w:pStyle w:val="Bodytext|2"/>
        <w:numPr>
          <w:ilvl w:val="0"/>
          <w:numId w:val="0"/>
        </w:numPr>
        <w:ind w:firstLine="640" w:firstLineChars="200"/>
        <w:jc w:val="left"/>
        <w:rPr>
          <w:rFonts w:hint="eastAsia"/>
        </w:rPr>
      </w:pPr>
      <w:r>
        <w:rPr>
          <w:rFonts w:hint="eastAsia"/>
        </w:rPr>
        <w:t xml:space="preserve">四、财政拨款收支总体情况说明</w:t>
      </w:r>
    </w:p>
    <w:p>
      <w:pPr>
        <w:pStyle w:val="Bodytext|2"/>
        <w:numPr>
          <w:ilvl w:val="0"/>
          <w:numId w:val="0"/>
        </w:numPr>
        <w:ind w:firstLine="640" w:firstLineChars="200"/>
        <w:jc w:val="left"/>
        <w:rPr>
          <w:rFonts w:hint="eastAsia"/>
        </w:rPr>
      </w:pPr>
      <w:r>
        <w:rPr>
          <w:rFonts w:hint="eastAsia"/>
        </w:rPr>
        <w:t xml:space="preserve">五、一般公共预算支出情况说明</w:t>
      </w:r>
    </w:p>
    <w:p>
      <w:pPr>
        <w:pStyle w:val="Bodytext|2"/>
        <w:numPr>
          <w:ilvl w:val="0"/>
          <w:numId w:val="0"/>
        </w:numPr>
        <w:ind w:firstLine="640" w:firstLineChars="200"/>
        <w:jc w:val="left"/>
        <w:rPr>
          <w:rFonts w:hint="eastAsia"/>
        </w:rPr>
      </w:pPr>
      <w:r>
        <w:rPr>
          <w:rFonts w:hint="eastAsia"/>
        </w:rPr>
        <w:t xml:space="preserve">六、一般公共预算基本支出情况说明</w:t>
      </w:r>
    </w:p>
    <w:p>
      <w:pPr>
        <w:pStyle w:val="Bodytext|2"/>
        <w:numPr>
          <w:ilvl w:val="0"/>
          <w:numId w:val="0"/>
        </w:numPr>
        <w:ind w:firstLine="640" w:firstLineChars="200"/>
        <w:jc w:val="left"/>
        <w:rPr>
          <w:rFonts w:hint="eastAsia"/>
        </w:rPr>
      </w:pPr>
      <w:r>
        <w:rPr>
          <w:rFonts w:hint="eastAsia"/>
        </w:rPr>
        <w:t xml:space="preserve">七、一般公共预算“三公”经费支出情况说明</w:t>
      </w:r>
    </w:p>
    <w:p>
      <w:pPr>
        <w:pStyle w:val="Bodytext|2"/>
        <w:numPr>
          <w:ilvl w:val="0"/>
          <w:numId w:val="0"/>
        </w:numPr>
        <w:ind w:firstLine="640" w:firstLineChars="200"/>
        <w:jc w:val="left"/>
        <w:rPr>
          <w:rFonts w:hint="eastAsia"/>
        </w:rPr>
      </w:pPr>
      <w:r>
        <w:rPr>
          <w:rFonts w:hint="eastAsia"/>
        </w:rPr>
        <w:t xml:space="preserve">八、政府性基金预算支出情况说明</w:t>
      </w:r>
    </w:p>
    <w:p>
      <w:pPr>
        <w:pStyle w:val="Bodytext|2"/>
        <w:numPr>
          <w:ilvl w:val="0"/>
          <w:numId w:val="0"/>
        </w:numPr>
        <w:ind w:firstLine="640" w:firstLineChars="200"/>
        <w:jc w:val="left"/>
        <w:rPr>
          <w:rFonts w:hint="eastAsia"/>
        </w:rPr>
      </w:pPr>
      <w:r>
        <w:rPr>
          <w:rFonts w:hint="eastAsia"/>
        </w:rPr>
        <w:t xml:space="preserve">九、国有资本经营预算支出情况说明</w:t>
      </w:r>
    </w:p>
    <w:p>
      <w:pPr>
        <w:pStyle w:val="Bodytext|2"/>
        <w:numPr>
          <w:ilvl w:val="0"/>
          <w:numId w:val="0"/>
        </w:numPr>
        <w:ind w:firstLine="640" w:firstLineChars="200"/>
        <w:jc w:val="left"/>
      </w:pPr>
      <w:r>
        <w:rPr>
          <w:rFonts w:hint="eastAsia"/>
        </w:rPr>
        <w:t xml:space="preserve">十、其他重要事项情况说明</w:t>
      </w:r>
    </w:p>
    <w:p>
      <w:pPr>
        <w:pStyle w:val="Bodytext|2"/>
        <w:ind w:left="0" w:firstLine="320" w:leftChars="0" w:firstLineChars="100"/>
        <w:jc w:val="left"/>
      </w:pPr>
      <w:r>
        <w:t xml:space="preserve">第三部分</w:t>
      </w:r>
      <w:r>
        <w:rPr>
          <w:rFonts w:hint="eastAsia"/>
          <w:lang w:eastAsia="zh-CN"/>
        </w:rPr>
        <w:t xml:space="preserve">：</w:t>
      </w:r>
      <w:r>
        <w:rPr>
          <w:u w:color="auto"/>
        </w:rPr>
        <w:t xml:space="preserve">环江毛南族自治县人民代表大会常务委员会</w:t>
      </w:r>
      <w:r>
        <w:rPr>
          <w:u w:color="auto"/>
        </w:rPr>
        <w:t xml:space="preserve">2024</w:t>
      </w:r>
      <w:r>
        <w:rPr>
          <w:rFonts w:ascii="Times New Roman" w:hAnsi="Times New Roman" w:cs="Times New Roman"/>
          <w:u w:color="auto"/>
        </w:rPr>
        <w:t xml:space="preserve">年</w:t>
      </w:r>
      <w:r>
        <w:t xml:space="preserve">部门预算</w:t>
      </w:r>
      <w:r>
        <w:rPr>
          <w:rFonts w:hint="eastAsia"/>
          <w:lang w:val="en-US" w:eastAsia="zh-CN"/>
        </w:rPr>
        <w:t xml:space="preserve">相关报</w:t>
      </w:r>
      <w:r>
        <w:t xml:space="preserve">表</w:t>
      </w:r>
    </w:p>
    <w:p>
      <w:pPr>
        <w:pStyle w:val="Bodytext|2"/>
        <w:jc w:val="left"/>
        <w:rPr>
          <w:rFonts w:hint="eastAsia"/>
        </w:rPr>
      </w:pPr>
      <w:r>
        <w:rPr>
          <w:rFonts w:hint="eastAsia"/>
        </w:rPr>
        <w:t xml:space="preserve">一、部门收支总体情况表</w:t>
      </w:r>
    </w:p>
    <w:p>
      <w:pPr>
        <w:pStyle w:val="Bodytext|2"/>
        <w:jc w:val="left"/>
        <w:rPr>
          <w:rFonts w:hint="eastAsia"/>
        </w:rPr>
      </w:pPr>
      <w:r>
        <w:rPr>
          <w:rFonts w:hint="eastAsia"/>
        </w:rPr>
        <w:t xml:space="preserve">二、部门收入总体情况表</w:t>
      </w:r>
    </w:p>
    <w:p>
      <w:pPr>
        <w:pStyle w:val="Bodytext|2"/>
        <w:jc w:val="left"/>
        <w:rPr>
          <w:rFonts w:hint="eastAsia"/>
        </w:rPr>
      </w:pPr>
      <w:r>
        <w:rPr>
          <w:rFonts w:hint="eastAsia"/>
        </w:rPr>
        <w:t xml:space="preserve">三、部门支出总体情况表</w:t>
      </w:r>
    </w:p>
    <w:p>
      <w:pPr>
        <w:pStyle w:val="Bodytext|2"/>
        <w:jc w:val="left"/>
        <w:rPr>
          <w:rFonts w:hint="eastAsia"/>
        </w:rPr>
      </w:pPr>
      <w:r>
        <w:rPr>
          <w:rFonts w:hint="eastAsia"/>
        </w:rPr>
        <w:t xml:space="preserve">四、财政拨款收支总体情况表</w:t>
      </w:r>
    </w:p>
    <w:p>
      <w:pPr>
        <w:pStyle w:val="Bodytext|2"/>
        <w:jc w:val="left"/>
        <w:rPr>
          <w:rFonts w:hint="eastAsia"/>
        </w:rPr>
      </w:pPr>
      <w:r>
        <w:rPr>
          <w:rFonts w:hint="eastAsia"/>
        </w:rPr>
        <w:t xml:space="preserve">五、一般公共预算支出情况表</w:t>
      </w:r>
    </w:p>
    <w:p>
      <w:pPr>
        <w:pStyle w:val="Bodytext|2"/>
        <w:jc w:val="left"/>
        <w:rPr>
          <w:rFonts w:hint="eastAsia"/>
        </w:rPr>
      </w:pPr>
      <w:r>
        <w:rPr>
          <w:rFonts w:hint="eastAsia"/>
        </w:rPr>
        <w:t xml:space="preserve">六、一般公共预算基本支出情况表</w:t>
      </w:r>
    </w:p>
    <w:p>
      <w:pPr>
        <w:pStyle w:val="Bodytext|2"/>
        <w:jc w:val="left"/>
        <w:rPr>
          <w:rFonts w:hint="eastAsia"/>
        </w:rPr>
      </w:pPr>
      <w:r>
        <w:rPr>
          <w:rFonts w:hint="eastAsia"/>
        </w:rPr>
        <w:t xml:space="preserve">七、一般公共预算“三公”经费支出情况表</w:t>
      </w:r>
    </w:p>
    <w:p>
      <w:pPr>
        <w:pStyle w:val="Bodytext|2"/>
        <w:jc w:val="left"/>
        <w:rPr>
          <w:rFonts w:hint="eastAsia"/>
        </w:rPr>
      </w:pPr>
      <w:r>
        <w:rPr>
          <w:rFonts w:hint="eastAsia"/>
        </w:rPr>
        <w:t xml:space="preserve">八、政府性基金预算支出情况表</w:t>
      </w:r>
    </w:p>
    <w:p>
      <w:pPr>
        <w:pStyle w:val="Bodytext|2"/>
        <w:jc w:val="left"/>
        <w:rPr>
          <w:rFonts w:hint="eastAsia"/>
        </w:rPr>
      </w:pPr>
      <w:r>
        <w:rPr>
          <w:rFonts w:hint="eastAsia"/>
        </w:rPr>
        <w:t xml:space="preserve">九、国有资本经营预算支出情况表</w:t>
      </w:r>
    </w:p>
    <w:p>
      <w:pPr>
        <w:pStyle w:val="Bodytext|2"/>
        <w:jc w:val="left"/>
        <w:rPr>
          <w:rFonts w:eastAsia="宋体" w:hint="eastAsia"/>
          <w:lang w:eastAsia="zh-CN"/>
        </w:rPr>
      </w:pPr>
      <w:r>
        <w:rPr>
          <w:rFonts w:hint="eastAsia"/>
        </w:rPr>
        <w:t xml:space="preserve">十、2024年度预算项目绩效目标公开表</w:t>
      </w:r>
    </w:p>
    <w:p>
      <w:pPr>
        <w:pStyle w:val="Bodytext|2"/>
        <w:ind w:left="0" w:firstLine="320" w:leftChars="0" w:firstLineChars="100"/>
        <w:jc w:val="left"/>
        <w:rPr>
          <w:rFonts w:eastAsia="宋体" w:hint="eastAsia"/>
          <w:lang w:eastAsia="zh-CN"/>
        </w:rPr>
        <w:sectPr>
          <w:footerReference w:type="default" r:id="rId7"/>
          <w:pgSz w:w="11900" w:h="16840" w:orient="portrait"/>
          <w:pgMar w:top="1508" w:right="1674" w:bottom="1508" w:left="1851" w:header="0" w:footer="1077" w:gutter="0"/>
          <w:pgBorders>
            <w:top w:val="none" w:sz="0" w:space="0" w:color="auto"/>
            <w:left w:val="none" w:sz="0" w:space="0" w:color="auto"/>
            <w:bottom w:val="none" w:sz="0" w:space="0" w:color="auto"/>
            <w:right w:val="none" w:sz="0" w:space="0" w:color="auto"/>
          </w:pgBorders>
          <w:pgNumType w:fmt="decimal"/>
          <w:cols w:num="1" w:space="720">
            <w:col w:w="8375" w:space="720"/>
          </w:cols>
          <w:docGrid w:linePitch="360" w:charSpace="0"/>
        </w:sectPr>
      </w:pPr>
      <w:r>
        <w:t xml:space="preserve">第四部分</w:t>
      </w:r>
      <w:r>
        <w:rPr>
          <w:rFonts w:hint="eastAsia"/>
          <w:lang w:eastAsia="zh-CN"/>
        </w:rPr>
        <w:t xml:space="preserve">：</w:t>
      </w:r>
      <w:r>
        <w:t xml:space="preserve">名词</w:t>
      </w:r>
      <w:r>
        <w:rPr>
          <w:rFonts w:hint="eastAsia"/>
          <w:lang w:val="en-US" w:eastAsia="zh-CN"/>
        </w:rPr>
        <w:t xml:space="preserve">解释</w:t>
      </w:r>
    </w:p>
    <w:p>
      <w:pPr>
        <w:pStyle w:val="Heading#1|1"/>
        <w:keepNext/>
        <w:keepLines/>
        <w:pageBreakBefore w:val="0"/>
        <w:widowControl w:val="0"/>
        <w:kinsoku/>
        <w:wordWrap/>
        <w:overflowPunct/>
        <w:topLinePunct w:val="0"/>
        <w:autoSpaceDE/>
        <w:autoSpaceDN/>
        <w:bidi w:val="0"/>
        <w:adjustRightInd/>
        <w:snapToGrid/>
        <w:spacing w:before="120" w:after="0" w:line="600" w:lineRule="exact"/>
        <w:jc w:val="both"/>
        <w:textAlignment w:val="auto"/>
        <w:rPr>
          <w:b/>
          <w:bCs/>
          <w:sz w:val="40"/>
          <w:szCs w:val="40"/>
        </w:rPr>
      </w:pPr>
      <w:bookmarkStart w:id="3" w:name="bookmark12"/>
      <w:bookmarkStart w:id="4" w:name="bookmark14"/>
      <w:bookmarkStart w:id="5" w:name="bookmark13"/>
      <w:r>
        <w:rPr>
          <w:b/>
          <w:bCs/>
          <w:sz w:val="40"/>
          <w:szCs w:val="40"/>
        </w:rPr>
        <w:t xml:space="preserve">第一部分</w:t>
      </w:r>
      <w:r>
        <w:rPr>
          <w:rFonts w:hint="eastAsia"/>
          <w:b/>
          <w:bCs/>
          <w:sz w:val="40"/>
          <w:szCs w:val="40"/>
          <w:lang w:eastAsia="zh-CN"/>
        </w:rPr>
        <w:t xml:space="preserve">：</w:t>
      </w:r>
      <w:r>
        <w:rPr>
          <w:b/>
          <w:sz w:val="40"/>
          <w:u w:color="auto"/>
        </w:rPr>
        <w:t xml:space="preserve">环江毛南族自治县人民代表大会常务委员会</w:t>
      </w:r>
      <w:r>
        <w:rPr>
          <w:b/>
          <w:bCs/>
          <w:sz w:val="40"/>
          <w:szCs w:val="40"/>
        </w:rPr>
        <w:t xml:space="preserve">概况</w:t>
      </w:r>
      <w:bookmarkEnd w:id="3"/>
      <w:bookmarkEnd w:id="4"/>
      <w:bookmarkEnd w:id="5"/>
    </w:p>
    <w:p>
      <w:pPr>
        <w:pStyle w:val="Bodytext|2"/>
        <w:spacing w:after="0" w:line="619" w:lineRule="exact"/>
        <w:ind w:firstLine="620"/>
        <w:jc w:val="left"/>
        <w:rPr>
          <w:b/>
          <w:bCs/>
        </w:rPr>
      </w:pPr>
      <w:r>
        <w:rPr>
          <w:rFonts w:hint="eastAsia"/>
          <w:b/>
          <w:bCs/>
          <w:lang w:val="en-US" w:eastAsia="zh-CN"/>
        </w:rPr>
        <w:t xml:space="preserve">一、</w:t>
      </w:r>
      <w:r>
        <w:rPr>
          <w:b/>
          <w:bCs/>
        </w:rPr>
        <w:t xml:space="preserve">主要职责</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环江毛南族自治县人民代表大会常务委员会是环江毛南族自治县人民代表大会的常设工作机构。主要职能为：1．在本县范围内，保证宪法、法律、行政法规的遵守和执法。2．领导或主持自治县人民代表大会的选举；召集自治县人民代表大会会议；在本级人民代表大会闭会期间，补选上一级人民代表大会出缺的代表和罢免个别代表。3．讨论、决定本县政治、经济、教育、科学、文化、卫生、环境和资源保护、民政、民族等工作的重大事项。4．根据自治县人民政府的建议，决定对本县国民经济和社会发展计划、预算部分变更。5．监督自治县人民政府、自治县监察委员会、自治县人民法院、自治县人民检察院的工作，联系自治县人民代表大会代表，受理人民群众对上述机关和国家工作人员的申诉和意见。6．依照法律法规的权限决定国家机关工作人员的任免。7．行使自治县人民代表大会授予的其他职权。8.完成党委有关中心工作。</w:t>
      </w:r>
    </w:p>
    <w:p>
      <w:pPr>
        <w:pStyle w:val="Bodytext|2"/>
        <w:spacing w:after="0" w:line="619" w:lineRule="exact"/>
        <w:ind w:firstLine="620"/>
        <w:jc w:val="left"/>
        <w:rPr>
          <w:rFonts w:hint="eastAsia"/>
          <w:b/>
          <w:bCs/>
          <w:lang w:val="en-US" w:eastAsia="zh-CN"/>
        </w:rPr>
      </w:pPr>
      <w:bookmarkStart w:id="6" w:name="bookmark24"/>
      <w:r>
        <w:rPr>
          <w:rFonts w:hint="eastAsia"/>
          <w:b/>
          <w:bCs/>
          <w:lang w:val="en-US" w:eastAsia="zh-CN"/>
        </w:rPr>
        <w:t xml:space="preserve">二</w:t>
      </w:r>
      <w:bookmarkEnd w:id="6"/>
      <w:r>
        <w:rPr>
          <w:rFonts w:hint="eastAsia"/>
          <w:b/>
          <w:bCs/>
          <w:lang w:val="en-US" w:eastAsia="zh-CN"/>
        </w:rPr>
        <w:t xml:space="preserve">、机构设置情况</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1.环江毛南自治县人民代表大会专门委员会共3个：法制监察与司法委员会、财政经济委员会、社会建设委员会。3个人大专门委员会是人民代表大会的常设机构，受人民代表大会领导，在大会闭会期间，受人大常委会领导，是人民代表大会的重要组成部分，是人大及其常委会依法行使职权的重要议政层次。</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2.环江毛南族自治县人民代表大会常务委员会工作机构共4个：人大常委会办公室、人大常委会教科文卫与民族工作委员会、人大常委会选举联络工作委员会、人大常委会农业农村与环资城建工作委员会，是为人大常委会提供日常工作所需和专业服务的工作部门，在人大常委会和主任会议领导下开展工作。</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3.环江毛南族自治县人大常委会办公室下设公益一类事业单位1个：环江毛南族自治县人大网络信息中心。</w:t>
      </w:r>
    </w:p>
    <w:p>
      <w:pPr>
        <w:pStyle w:val="Bodytext|1"/>
        <w:spacing w:line="623" w:lineRule="exact"/>
        <w:ind w:left="0" w:firstLine="560" w:leftChars="0" w:firstLineChars="200"/>
        <w:jc w:val="left"/>
        <w:rPr>
          <w:rFonts w:hint="default"/>
          <w:highlight w:val="yellow"/>
          <w:lang w:val="en-US" w:eastAsia="zh-CN"/>
        </w:rPr>
      </w:pPr>
    </w:p>
    <w:p>
      <w:pPr>
        <w:pStyle w:val="Bodytext|1"/>
        <w:spacing w:line="623" w:lineRule="exact"/>
        <w:ind w:firstLine="1018" w:firstLineChars="0"/>
        <w:jc w:val="left"/>
        <w:rPr>
          <w:rFonts w:hint="eastAsia"/>
          <w:highlight w:val="none"/>
          <w:lang w:val="en-US" w:eastAsia="zh-CN"/>
        </w:rPr>
      </w:pPr>
    </w:p>
    <w:p>
      <w:pPr>
        <w:pStyle w:val="Bodytext|1"/>
        <w:spacing w:line="623" w:lineRule="exact"/>
        <w:ind w:firstLine="1018" w:firstLineChars="0"/>
        <w:jc w:val="left"/>
        <w:rPr>
          <w:rFonts w:hint="eastAsia"/>
          <w:highlight w:val="none"/>
          <w:lang w:val="en-US" w:eastAsia="zh-CN"/>
        </w:rPr>
      </w:pPr>
    </w:p>
    <w:p>
      <w:pPr/>
      <w:r>
        <w:br w:type="page"/>
      </w:r>
    </w:p>
    <w:p>
      <w:pPr>
        <w:pStyle w:val="Heading#1|1"/>
        <w:keepNext/>
        <w:keepLines/>
        <w:pageBreakBefore w:val="0"/>
        <w:widowControl w:val="0"/>
        <w:kinsoku/>
        <w:wordWrap/>
        <w:overflowPunct/>
        <w:topLinePunct w:val="0"/>
        <w:autoSpaceDE/>
        <w:autoSpaceDN/>
        <w:bidi w:val="0"/>
        <w:adjustRightInd/>
        <w:snapToGrid/>
        <w:spacing w:before="120" w:after="0" w:line="600" w:lineRule="exact"/>
        <w:jc w:val="center"/>
        <w:textAlignment w:val="auto"/>
        <w:rPr>
          <w:b/>
          <w:bCs/>
          <w:sz w:val="40"/>
          <w:szCs w:val="40"/>
        </w:rPr>
      </w:pPr>
      <w:bookmarkStart w:id="7" w:name="bookmark70"/>
      <w:bookmarkStart w:id="8" w:name="bookmark68"/>
      <w:bookmarkStart w:id="9" w:name="bookmark69"/>
      <w:bookmarkStart w:id="10" w:name="bookmark27"/>
      <w:bookmarkStart w:id="11" w:name="bookmark28"/>
      <w:bookmarkStart w:id="12" w:name="bookmark26"/>
      <w:r>
        <w:rPr>
          <w:b/>
          <w:bCs/>
          <w:sz w:val="40"/>
          <w:szCs w:val="40"/>
        </w:rPr>
        <w:t xml:space="preserve">第</w:t>
      </w:r>
      <w:r>
        <w:rPr>
          <w:rFonts w:hint="eastAsia"/>
          <w:b/>
          <w:bCs/>
          <w:sz w:val="40"/>
          <w:szCs w:val="40"/>
          <w:lang w:val="en-US" w:eastAsia="zh-CN"/>
        </w:rPr>
        <w:t xml:space="preserve">二</w:t>
      </w:r>
      <w:r>
        <w:rPr>
          <w:b/>
          <w:bCs/>
          <w:sz w:val="40"/>
          <w:szCs w:val="40"/>
        </w:rPr>
        <w:t xml:space="preserve">部分</w:t>
      </w:r>
      <w:r>
        <w:rPr>
          <w:rFonts w:hint="eastAsia"/>
          <w:b/>
          <w:bCs/>
          <w:sz w:val="40"/>
          <w:szCs w:val="40"/>
          <w:lang w:eastAsia="zh-CN"/>
        </w:rPr>
        <w:t xml:space="preserve">：</w:t>
      </w:r>
      <w:bookmarkEnd w:id="7"/>
      <w:bookmarkEnd w:id="8"/>
      <w:bookmarkEnd w:id="9"/>
      <w:r>
        <w:rPr>
          <w:rFonts w:hint="eastAsia"/>
          <w:b/>
          <w:bCs/>
          <w:sz w:val="40"/>
          <w:szCs w:val="40"/>
          <w:lang w:eastAsia="zh-CN"/>
        </w:rPr>
        <w:t xml:space="preserve">环江毛南族自治县人民代表大会常务委员会</w:t>
      </w:r>
      <w:r>
        <w:rPr>
          <w:b/>
          <w:sz w:val="40"/>
          <w:u w:color="auto"/>
        </w:rPr>
        <w:t xml:space="preserve">2024</w:t>
      </w:r>
      <w:r>
        <w:rPr>
          <w:b/>
          <w:sz w:val="40"/>
          <w:u w:color="auto"/>
        </w:rPr>
        <w:t xml:space="preserve">年部门预算情况说明</w:t>
      </w:r>
    </w:p>
    <w:p>
      <w:pPr>
        <w:pStyle w:val="Bodytext|2"/>
        <w:keepNext w:val="0"/>
        <w:keepLines w:val="0"/>
        <w:pageBreakBefore w:val="0"/>
        <w:widowControl w:val="0"/>
        <w:kinsoku/>
        <w:wordWrap/>
        <w:overflowPunct/>
        <w:topLinePunct w:val="0"/>
        <w:autoSpaceDE/>
        <w:autoSpaceDN/>
        <w:bidi w:val="0"/>
        <w:adjustRightInd/>
        <w:snapToGrid/>
        <w:spacing w:before="120" w:after="0" w:line="600" w:lineRule="exact"/>
        <w:ind w:firstLine="618"/>
        <w:jc w:val="left"/>
        <w:textAlignment w:val="auto"/>
        <w:rPr>
          <w:rFonts w:hint="eastAsia"/>
          <w:b/>
          <w:bCs/>
          <w:lang w:val="en-US" w:eastAsia="zh-CN"/>
        </w:rPr>
      </w:pPr>
      <w:bookmarkStart w:id="13" w:name="bookmark71"/>
      <w:r>
        <w:rPr>
          <w:rFonts w:hint="eastAsia"/>
          <w:b/>
          <w:bCs/>
          <w:lang w:val="en-US" w:eastAsia="zh-CN"/>
        </w:rPr>
        <w:t xml:space="preserve">一</w:t>
      </w:r>
      <w:bookmarkEnd w:id="13"/>
      <w:r>
        <w:rPr>
          <w:rFonts w:hint="eastAsia"/>
          <w:b/>
          <w:bCs/>
          <w:lang w:val="en-US" w:eastAsia="zh-CN"/>
        </w:rPr>
        <w:t xml:space="preserve">、部门预算收支总体情况说明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Times New Roman" w:hAnsi="Times New Roman" w:cs="Times New Roman"/>
          <w:b/>
          <w:bCs/>
          <w:sz w:val="28"/>
          <w:szCs w:val="28"/>
          <w:lang w:val="en-US" w:eastAsia="zh-CN"/>
        </w:rPr>
      </w:pPr>
      <w:r>
        <w:rPr>
          <w:rFonts w:hint="eastAsia"/>
          <w:b w:val="0"/>
          <w:bCs w:val="0"/>
          <w:sz w:val="28"/>
          <w:szCs w:val="28"/>
        </w:rPr>
        <w:t xml:space="preserve">我部门总收入</w:t>
      </w:r>
      <w:r>
        <w:rPr>
          <w:rFonts w:hint="eastAsia"/>
          <w:sz w:val="28"/>
          <w:szCs w:val="28"/>
          <w:lang w:val="en-US" w:eastAsia="zh-CN"/>
        </w:rPr>
        <w:t xml:space="preserve">795.44</w:t>
      </w:r>
      <w:r>
        <w:rPr>
          <w:rFonts w:hint="eastAsia"/>
          <w:b w:val="0"/>
          <w:bCs w:val="0"/>
          <w:sz w:val="28"/>
          <w:szCs w:val="28"/>
        </w:rPr>
        <w:t xml:space="preserve">万元，总支出</w:t>
      </w:r>
      <w:r>
        <w:rPr>
          <w:rFonts w:hint="eastAsia"/>
          <w:sz w:val="28"/>
          <w:szCs w:val="28"/>
          <w:lang w:val="en-US" w:eastAsia="zh-CN"/>
        </w:rPr>
        <w:t xml:space="preserve">795.44</w:t>
      </w:r>
      <w:r>
        <w:rPr>
          <w:rFonts w:hint="eastAsia"/>
          <w:b w:val="0"/>
          <w:bCs w:val="0"/>
          <w:sz w:val="28"/>
          <w:szCs w:val="28"/>
        </w:rPr>
        <w:t xml:space="preserve">万元。总收入较2023年度预算数</w:t>
      </w:r>
      <w:r>
        <w:rPr>
          <w:rFonts w:hint="eastAsia"/>
          <w:sz w:val="28"/>
          <w:szCs w:val="28"/>
          <w:lang w:val="en-US" w:eastAsia="zh-CN"/>
        </w:rPr>
        <w:t xml:space="preserve">1115.02</w:t>
      </w:r>
      <w:r>
        <w:rPr>
          <w:rFonts w:hint="eastAsia"/>
          <w:b w:val="0"/>
          <w:bCs w:val="0"/>
          <w:sz w:val="28"/>
          <w:szCs w:val="28"/>
        </w:rPr>
        <w:t xml:space="preserve">万元，</w:t>
      </w:r>
      <w:r>
        <w:rPr>
          <w:rFonts w:hint="eastAsia"/>
          <w:sz w:val="28"/>
          <w:szCs w:val="28"/>
        </w:rPr>
        <w:t xml:space="preserve">减少319.58</w:t>
      </w:r>
      <w:r>
        <w:rPr>
          <w:rFonts w:hint="eastAsia"/>
          <w:b w:val="0"/>
          <w:bCs w:val="0"/>
          <w:sz w:val="28"/>
          <w:szCs w:val="28"/>
        </w:rPr>
        <w:t xml:space="preserve">万元，</w:t>
      </w:r>
      <w:r>
        <w:rPr>
          <w:rFonts w:hint="eastAsia"/>
          <w:sz w:val="28"/>
          <w:szCs w:val="28"/>
        </w:rPr>
        <w:t xml:space="preserve">下降28.66%</w:t>
      </w:r>
      <w:r>
        <w:rPr>
          <w:rFonts w:hint="eastAsia"/>
          <w:b w:val="0"/>
          <w:bCs w:val="0"/>
          <w:sz w:val="28"/>
          <w:szCs w:val="28"/>
        </w:rPr>
        <w:t xml:space="preserve">，主要原因是</w:t>
      </w:r>
      <w:r>
        <w:rPr>
          <w:rFonts w:hint="eastAsia"/>
          <w:highlight w:val="none"/>
          <w:lang w:val="en-US" w:eastAsia="zh-CN"/>
        </w:rPr>
        <w:t xml:space="preserve">严格落实过”紧日子“的要求,，进一步压减一般性项目支出，并根据往年实际支出情况合理调整预算项目支出金额</w:t>
      </w:r>
      <w:r>
        <w:rPr>
          <w:rFonts w:hint="eastAsia"/>
          <w:b w:val="0"/>
          <w:bCs w:val="0"/>
          <w:sz w:val="28"/>
          <w:szCs w:val="28"/>
        </w:rPr>
        <w:t xml:space="preserve">。总支出较2023年度预算数</w:t>
      </w:r>
      <w:r>
        <w:rPr>
          <w:rFonts w:hint="eastAsia"/>
          <w:sz w:val="28"/>
          <w:szCs w:val="28"/>
          <w:lang w:val="en-US" w:eastAsia="zh-CN"/>
        </w:rPr>
        <w:t xml:space="preserve">1115.02</w:t>
      </w:r>
      <w:r>
        <w:rPr>
          <w:rFonts w:hint="eastAsia"/>
          <w:b w:val="0"/>
          <w:bCs w:val="0"/>
          <w:sz w:val="28"/>
          <w:szCs w:val="28"/>
        </w:rPr>
        <w:t xml:space="preserve">万元，</w:t>
      </w:r>
      <w:r>
        <w:rPr>
          <w:rFonts w:hint="eastAsia"/>
          <w:sz w:val="28"/>
          <w:szCs w:val="28"/>
        </w:rPr>
        <w:t xml:space="preserve">减少319.58</w:t>
      </w:r>
      <w:r>
        <w:rPr>
          <w:rFonts w:hint="eastAsia"/>
          <w:b w:val="0"/>
          <w:bCs w:val="0"/>
          <w:sz w:val="28"/>
          <w:szCs w:val="28"/>
        </w:rPr>
        <w:t xml:space="preserve">万元，</w:t>
      </w:r>
      <w:r>
        <w:rPr>
          <w:rFonts w:hint="eastAsia"/>
          <w:sz w:val="28"/>
          <w:szCs w:val="28"/>
        </w:rPr>
        <w:t xml:space="preserve">下降28.66%</w:t>
      </w:r>
      <w:r>
        <w:rPr>
          <w:rFonts w:hint="eastAsia"/>
          <w:b w:val="0"/>
          <w:bCs w:val="0"/>
          <w:sz w:val="28"/>
          <w:szCs w:val="28"/>
        </w:rPr>
        <w:t xml:space="preserve">，主要原因是</w:t>
      </w:r>
      <w:r>
        <w:rPr>
          <w:rFonts w:hint="eastAsia"/>
          <w:highlight w:val="none"/>
          <w:lang w:val="en-US" w:eastAsia="zh-CN"/>
        </w:rPr>
        <w:t xml:space="preserve">严格落实过”紧日子“的要求,，进一步压减一般性项目支出，并根据往年实际支出情况合理调整预算项目支出金额</w:t>
      </w:r>
      <w:r>
        <w:rPr>
          <w:rFonts w:hint="eastAsia"/>
          <w:b w:val="0"/>
          <w:bCs w:val="0"/>
          <w:sz w:val="28"/>
          <w:szCs w:val="28"/>
        </w:rPr>
        <w:t xml:space="preserve">。</w:t>
      </w:r>
    </w:p>
    <w:p>
      <w:pPr>
        <w:pStyle w:val="Bodytext|2"/>
        <w:keepNext w:val="0"/>
        <w:keepLines w:val="0"/>
        <w:pageBreakBefore w:val="0"/>
        <w:widowControl w:val="0"/>
        <w:kinsoku/>
        <w:wordWrap/>
        <w:overflowPunct/>
        <w:topLinePunct w:val="0"/>
        <w:autoSpaceDE/>
        <w:autoSpaceDN/>
        <w:bidi w:val="0"/>
        <w:adjustRightInd/>
        <w:snapToGrid/>
        <w:spacing w:before="120" w:after="0" w:line="600" w:lineRule="exact"/>
        <w:ind w:firstLine="618"/>
        <w:jc w:val="left"/>
        <w:textAlignment w:val="auto"/>
        <w:rPr>
          <w:rFonts w:hint="eastAsia"/>
          <w:b/>
          <w:bCs/>
          <w:lang w:val="en-US" w:eastAsia="zh-CN"/>
        </w:rPr>
      </w:pPr>
      <w:r>
        <w:rPr>
          <w:rFonts w:hint="eastAsia"/>
          <w:b/>
          <w:bCs/>
          <w:lang w:val="en-US" w:eastAsia="zh-CN"/>
        </w:rPr>
        <w:t xml:space="preserve">二、部门收入总体情况说明</w:t>
      </w:r>
    </w:p>
    <w:p>
      <w:pPr>
        <w:pStyle w:val="Bodytext|1"/>
        <w:spacing w:line="240" w:lineRule="auto"/>
        <w:ind w:firstLine="0"/>
        <w:jc w:val="left"/>
        <w:rPr>
          <w:rFonts w:ascii="Times New Roman" w:hAnsi="Times New Roman" w:cs="Times New Roman"/>
          <w:sz w:val="30"/>
          <w:szCs w:val="30"/>
          <w:lang w:val="en-US" w:eastAsia="zh-CN"/>
        </w:rPr>
      </w:pPr>
      <w:r>
        <w:rPr>
          <w:rFonts w:ascii="Times New Roman" w:hAnsi="Times New Roman" w:cs="Times New Roman"/>
          <w:sz w:val="30"/>
          <w:szCs w:val="30"/>
          <w:lang w:val="en-US" w:eastAsia="zh-CN"/>
        </w:rPr>
        <w:drawing>
          <wp:inline distT="0" distB="0" distL="114300" distR="114300">
            <wp:extent cx="4257040" cy="3139440"/>
            <wp:effectExtent l="4445" t="4445" r="5715" b="18415"/>
            <wp:docPr id="1796" name="图表 6" title="{{img_rs_table}}"/>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8"/>
              </a:graphicData>
            </a:graphic>
          </wp:inline>
        </w:drawing>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u w:color="auto"/>
          <w:lang w:eastAsia="zh-CN"/>
        </w:rPr>
        <w:t xml:space="preserve">2024</w:t>
      </w:r>
      <w:r>
        <w:rPr>
          <w:rFonts w:ascii="宋体" w:eastAsia="宋体" w:hAnsi="宋体" w:cs="宋体" w:hint="eastAsia"/>
          <w:sz w:val="28"/>
          <w:szCs w:val="28"/>
          <w:u w:color="auto"/>
        </w:rPr>
        <w:t xml:space="preserve">年我部门总收入</w:t>
      </w:r>
      <w:r>
        <w:rPr>
          <w:rFonts w:ascii="宋体" w:eastAsia="宋体" w:hAnsi="宋体" w:cs="宋体" w:hint="eastAsia"/>
          <w:sz w:val="28"/>
          <w:szCs w:val="28"/>
          <w:lang w:val="en-US" w:eastAsia="zh-CN"/>
        </w:rPr>
        <w:t xml:space="preserve">795.44</w:t>
      </w:r>
      <w:r>
        <w:rPr>
          <w:rFonts w:ascii="宋体" w:eastAsia="宋体" w:hAnsi="宋体" w:cs="宋体" w:hint="eastAsia"/>
          <w:sz w:val="28"/>
          <w:szCs w:val="28"/>
          <w:u w:color="auto"/>
        </w:rPr>
        <w:t xml:space="preserve">万元，较2023年度预算数</w:t>
      </w:r>
      <w:r>
        <w:rPr>
          <w:rFonts w:ascii="宋体" w:eastAsia="宋体" w:hAnsi="宋体" w:cs="宋体" w:hint="eastAsia"/>
          <w:sz w:val="28"/>
          <w:szCs w:val="28"/>
          <w:lang w:val="en-US" w:eastAsia="zh-CN"/>
        </w:rPr>
        <w:t xml:space="preserve">1115.02</w:t>
      </w:r>
      <w:r>
        <w:rPr>
          <w:rFonts w:ascii="宋体" w:eastAsia="宋体" w:hAnsi="宋体" w:cs="宋体" w:hint="eastAsia"/>
          <w:sz w:val="28"/>
          <w:szCs w:val="28"/>
          <w:u w:color="auto"/>
        </w:rPr>
        <w:t xml:space="preserve">万元，</w:t>
      </w:r>
      <w:r>
        <w:rPr>
          <w:rFonts w:ascii="宋体" w:eastAsia="宋体" w:hAnsi="宋体" w:cs="宋体" w:hint="eastAsia"/>
          <w:sz w:val="28"/>
          <w:szCs w:val="28"/>
        </w:rPr>
        <w:t xml:space="preserve">减少319.58</w:t>
      </w:r>
      <w:r>
        <w:rPr>
          <w:rFonts w:ascii="宋体" w:eastAsia="宋体" w:hAnsi="宋体" w:cs="宋体" w:hint="eastAsia"/>
          <w:sz w:val="28"/>
          <w:szCs w:val="28"/>
          <w:u w:color="auto"/>
        </w:rPr>
        <w:t xml:space="preserve">万元，</w:t>
      </w:r>
      <w:r>
        <w:rPr>
          <w:rFonts w:ascii="宋体" w:eastAsia="宋体" w:hAnsi="宋体" w:cs="宋体" w:hint="eastAsia"/>
          <w:sz w:val="28"/>
          <w:szCs w:val="28"/>
        </w:rPr>
        <w:t xml:space="preserve">下降28.66%</w:t>
      </w:r>
      <w:r>
        <w:rPr>
          <w:rFonts w:ascii="宋体" w:eastAsia="宋体" w:hAnsi="宋体" w:cs="宋体" w:hint="eastAsia"/>
          <w:sz w:val="28"/>
          <w:szCs w:val="28"/>
          <w:u w:color="auto"/>
        </w:rPr>
        <w:t xml:space="preserve">，主要原因是</w:t>
      </w:r>
      <w:r>
        <w:rPr>
          <w:rFonts w:hint="eastAsia"/>
          <w:highlight w:val="none"/>
          <w:lang w:val="en-US" w:eastAsia="zh-CN"/>
        </w:rPr>
        <w:t xml:space="preserve">严格落实过”紧日子“的要求,，进一步压减一般性项目支出，并根据往年实际支出情况合理调整预算项目支出金额</w:t>
      </w:r>
      <w:r>
        <w:rPr>
          <w:rFonts w:ascii="宋体" w:eastAsia="宋体" w:hAnsi="宋体" w:cs="宋体" w:hint="eastAsia"/>
          <w:sz w:val="28"/>
          <w:szCs w:val="28"/>
          <w:u w:color="auto"/>
        </w:rPr>
        <w:t xml:space="preserve">。</w:t>
      </w:r>
    </w:p>
    <w:p>
      <w:pPr>
        <w:pStyle w:val="Bodytext|2"/>
        <w:keepNext w:val="0"/>
        <w:keepLines w:val="0"/>
        <w:pageBreakBefore w:val="0"/>
        <w:widowControl w:val="0"/>
        <w:kinsoku/>
        <w:wordWrap/>
        <w:overflowPunct/>
        <w:topLinePunct w:val="0"/>
        <w:autoSpaceDE/>
        <w:autoSpaceDN/>
        <w:bidi w:val="0"/>
        <w:adjustRightInd/>
        <w:snapToGrid/>
        <w:spacing w:before="120" w:after="0" w:line="600" w:lineRule="exact"/>
        <w:ind w:firstLine="618"/>
        <w:jc w:val="left"/>
        <w:textAlignment w:val="auto"/>
        <w:rPr>
          <w:rFonts w:hint="eastAsia"/>
          <w:b/>
          <w:bCs/>
          <w:lang w:val="en-US" w:eastAsia="zh-CN"/>
        </w:rPr>
      </w:pPr>
      <w:r>
        <w:rPr>
          <w:rFonts w:hint="eastAsia"/>
          <w:b/>
          <w:bCs/>
          <w:lang w:val="en-US" w:eastAsia="zh-CN"/>
        </w:rPr>
        <w:t xml:space="preserve">三、部门支出总体情况说明</w:t>
      </w:r>
    </w:p>
    <w:p>
      <w:pPr>
        <w:pStyle w:val="Bodytext|1"/>
        <w:spacing w:line="240" w:lineRule="auto"/>
        <w:ind w:firstLine="0"/>
        <w:jc w:val="left"/>
        <w:rPr>
          <w:rFonts w:ascii="Times New Roman" w:eastAsia="Times New Roman" w:hAnsi="Times New Roman" w:cs="Times New Roman"/>
          <w:sz w:val="30"/>
          <w:szCs w:val="30"/>
        </w:rPr>
      </w:pPr>
      <w:r>
        <w:rPr>
          <w:rFonts w:ascii="Times New Roman" w:eastAsia="Times New Roman" w:hAnsi="Times New Roman" w:cs="Times New Roman"/>
          <w:sz w:val="30"/>
          <w:szCs w:val="30"/>
        </w:rPr>
        <w:drawing>
          <wp:inline distT="0" distB="0" distL="114300" distR="114300">
            <wp:extent cx="5080000" cy="3810000"/>
            <wp:effectExtent l="4445" t="4445" r="20955" b="14605"/>
            <wp:docPr id="1797" name="图表 14" title="{{img_gnkm_zc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9"/>
              </a:graphicData>
            </a:graphic>
          </wp:inline>
        </w:drawing>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2024</w:t>
      </w:r>
      <w:r>
        <w:rPr>
          <w:rFonts w:ascii="宋体" w:eastAsia="宋体" w:hAnsi="宋体" w:cs="宋体"/>
          <w:sz w:val="28"/>
          <w:u w:color="auto"/>
        </w:rPr>
        <w:t xml:space="preserve">年我部门总支出</w:t>
      </w:r>
      <w:r>
        <w:rPr>
          <w:rFonts w:ascii="宋体" w:eastAsia="宋体" w:hAnsi="宋体" w:cs="宋体" w:hint="eastAsia"/>
          <w:sz w:val="28"/>
          <w:szCs w:val="28"/>
          <w:lang w:val="en-US" w:eastAsia="zh-CN"/>
        </w:rPr>
        <w:t xml:space="preserve">795.44</w:t>
      </w:r>
      <w:r>
        <w:rPr>
          <w:rFonts w:ascii="宋体" w:eastAsia="宋体" w:hAnsi="宋体" w:cs="宋体" w:hint="eastAsia"/>
          <w:sz w:val="28"/>
          <w:szCs w:val="28"/>
          <w:lang w:eastAsia="zh-CN"/>
        </w:rPr>
        <w:t xml:space="preserve">万元，较2023年度预算数</w:t>
      </w:r>
      <w:r>
        <w:rPr>
          <w:rFonts w:ascii="宋体" w:eastAsia="宋体" w:hAnsi="宋体" w:cs="宋体" w:hint="eastAsia"/>
          <w:sz w:val="28"/>
          <w:szCs w:val="28"/>
          <w:lang w:val="en-US" w:eastAsia="zh-CN"/>
        </w:rPr>
        <w:t xml:space="preserve">1115.02</w:t>
      </w:r>
      <w:r>
        <w:rPr>
          <w:rFonts w:ascii="宋体" w:eastAsia="宋体" w:hAnsi="宋体" w:cs="宋体" w:hint="eastAsia"/>
          <w:sz w:val="28"/>
          <w:szCs w:val="28"/>
          <w:lang w:eastAsia="zh-CN"/>
        </w:rPr>
        <w:t xml:space="preserve">万元，</w:t>
      </w:r>
      <w:r>
        <w:rPr>
          <w:rFonts w:ascii="宋体" w:eastAsia="宋体" w:hAnsi="宋体" w:cs="宋体" w:hint="eastAsia"/>
          <w:sz w:val="28"/>
          <w:szCs w:val="28"/>
        </w:rPr>
        <w:t xml:space="preserve">减少319.58</w:t>
      </w:r>
      <w:r>
        <w:rPr>
          <w:rFonts w:ascii="宋体" w:eastAsia="宋体" w:hAnsi="宋体" w:cs="宋体" w:hint="eastAsia"/>
          <w:sz w:val="28"/>
          <w:szCs w:val="28"/>
          <w:lang w:eastAsia="zh-CN"/>
        </w:rPr>
        <w:t xml:space="preserve">万元，</w:t>
      </w:r>
      <w:r>
        <w:rPr>
          <w:rFonts w:ascii="宋体" w:eastAsia="宋体" w:hAnsi="宋体" w:cs="宋体" w:hint="eastAsia"/>
          <w:sz w:val="28"/>
          <w:szCs w:val="28"/>
        </w:rPr>
        <w:t xml:space="preserve">下降28.66%</w:t>
      </w:r>
      <w:r>
        <w:rPr>
          <w:rFonts w:ascii="宋体" w:eastAsia="宋体" w:hAnsi="宋体" w:cs="宋体" w:hint="eastAsia"/>
          <w:sz w:val="28"/>
          <w:szCs w:val="28"/>
          <w:lang w:eastAsia="zh-CN"/>
        </w:rPr>
        <w:t xml:space="preserve">，主要原因是</w:t>
      </w:r>
      <w:r>
        <w:rPr>
          <w:rFonts w:ascii="宋体" w:eastAsia="宋体" w:hAnsi="宋体" w:cs="宋体" w:hint="eastAsia"/>
          <w:sz w:val="28"/>
          <w:szCs w:val="28"/>
          <w:highlight w:val="none"/>
          <w:lang w:val="en-US" w:eastAsia="zh-CN"/>
        </w:rPr>
        <w:t xml:space="preserve">严格落实过”紧日子“的要求,，进一步压减一般性项目支出，并根据往年实际支出情况合理调整预算项目支出金额</w:t>
      </w:r>
      <w:r>
        <w:rPr>
          <w:rFonts w:ascii="宋体" w:eastAsia="宋体" w:hAnsi="宋体" w:cs="宋体" w:hint="eastAsia"/>
          <w:sz w:val="28"/>
          <w:szCs w:val="28"/>
          <w:lang w:eastAsia="zh-CN"/>
        </w:rPr>
        <w:t xml:space="preserve">。主要包括：</w:t>
      </w:r>
      <w:r>
        <w:rPr>
          <w:rFonts w:ascii="宋体" w:eastAsia="宋体" w:hAnsi="宋体" w:cs="宋体" w:hint="eastAsia"/>
          <w:sz w:val="28"/>
          <w:szCs w:val="28"/>
          <w:highlight w:val="none"/>
          <w:lang w:val="en-US" w:eastAsia="zh-CN"/>
        </w:rPr>
        <w:t xml:space="preserve">基本支出预算445.44万元，点支出总预算56.00%，同比增加10.42万元，上升2.40%；项目支出预算350万元，占支出总预算44.00%，同比减少330万元，下降48.53%</w:t>
      </w:r>
      <w:r>
        <w:rPr>
          <w:rFonts w:ascii="宋体" w:eastAsia="宋体" w:hAnsi="宋体" w:cs="宋体" w:hint="eastAsia"/>
          <w:sz w:val="28"/>
          <w:szCs w:val="28"/>
          <w:lang w:eastAsia="zh-CN"/>
        </w:rPr>
        <w:t xml:space="preserve">。</w:t>
      </w:r>
    </w:p>
    <w:p>
      <w:pPr>
        <w:pStyle w:val="Bodytext|1"/>
        <w:keepNext w:val="0"/>
        <w:keepLines w:val="0"/>
        <w:pageBreakBefore w:val="0"/>
        <w:widowControl w:val="0"/>
        <w:kinsoku/>
        <w:wordWrap/>
        <w:overflowPunct/>
        <w:topLinePunct w:val="0"/>
        <w:autoSpaceDE/>
        <w:autoSpaceDN/>
        <w:bidi w:val="0"/>
        <w:adjustRightInd/>
        <w:snapToGrid/>
        <w:spacing w:after="140" w:line="600" w:lineRule="exact"/>
        <w:ind w:firstLine="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（一）按支出功能分类科目划分，共分为</w:t>
      </w:r>
      <w:r>
        <w:rPr>
          <w:rFonts w:ascii="宋体" w:eastAsia="宋体" w:hAnsi="宋体" w:cs="宋体" w:hint="eastAsia"/>
          <w:sz w:val="28"/>
          <w:szCs w:val="28"/>
          <w:lang w:val="en-US" w:eastAsia="zh-CN"/>
        </w:rPr>
        <w:t xml:space="preserve">3</w:t>
      </w:r>
      <w:r>
        <w:rPr>
          <w:rFonts w:ascii="宋体" w:eastAsia="宋体" w:hAnsi="宋体" w:cs="宋体" w:hint="eastAsia"/>
          <w:sz w:val="28"/>
          <w:szCs w:val="28"/>
        </w:rPr>
        <w:t xml:space="preserve">类，其中:</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w:t>
      </w:r>
      <w:r>
        <w:rPr>
          <w:rFonts w:ascii="宋体" w:eastAsia="宋体" w:hAnsi="宋体" w:cs="宋体"/>
          <w:sz w:val="28"/>
          <w:u w:color="auto"/>
        </w:rPr>
        <w:t xml:space="preserve">1</w:t>
      </w:r>
      <w:r>
        <w:rPr>
          <w:rFonts w:ascii="宋体" w:eastAsia="宋体" w:hAnsi="宋体" w:cs="宋体"/>
          <w:sz w:val="28"/>
          <w:u w:color="auto"/>
        </w:rPr>
        <w:t xml:space="preserve">)</w:t>
      </w:r>
      <w:r>
        <w:rPr>
          <w:rFonts w:ascii="宋体" w:eastAsia="宋体" w:hAnsi="宋体" w:cs="宋体"/>
          <w:sz w:val="28"/>
          <w:u w:color="auto"/>
        </w:rPr>
        <w:t xml:space="preserve">一般公共服务支出</w:t>
      </w:r>
      <w:r>
        <w:rPr>
          <w:rFonts w:ascii="宋体" w:eastAsia="宋体" w:hAnsi="宋体" w:cs="宋体" w:hint="eastAsia"/>
          <w:sz w:val="28"/>
          <w:szCs w:val="28"/>
          <w:lang w:val="en-US" w:eastAsia="zh-CN"/>
        </w:rPr>
        <w:t xml:space="preserve">721.55</w:t>
      </w:r>
      <w:r>
        <w:rPr>
          <w:rFonts w:ascii="宋体" w:eastAsia="宋体" w:hAnsi="宋体" w:cs="宋体" w:hint="eastAsia"/>
          <w:sz w:val="28"/>
          <w:szCs w:val="28"/>
        </w:rPr>
        <w:t xml:space="preserve">万元，占支出总预算</w:t>
      </w:r>
      <w:r>
        <w:rPr>
          <w:rFonts w:ascii="宋体" w:eastAsia="宋体" w:hAnsi="宋体" w:cs="宋体" w:hint="eastAsia"/>
          <w:sz w:val="28"/>
          <w:szCs w:val="28"/>
          <w:lang w:val="en-US" w:eastAsia="zh-CN"/>
        </w:rPr>
        <w:t xml:space="preserve">90.71%</w:t>
      </w:r>
      <w:r>
        <w:rPr>
          <w:rFonts w:ascii="宋体" w:eastAsia="宋体" w:hAnsi="宋体" w:cs="宋体" w:hint="eastAsia"/>
          <w:sz w:val="28"/>
          <w:szCs w:val="28"/>
        </w:rPr>
        <w:t xml:space="preserve">,比上年</w:t>
      </w:r>
      <w:r>
        <w:rPr>
          <w:rFonts w:ascii="宋体" w:eastAsia="宋体" w:hAnsi="宋体" w:cs="宋体" w:hint="eastAsia"/>
          <w:sz w:val="28"/>
          <w:szCs w:val="28"/>
          <w:lang w:val="en-US" w:eastAsia="zh-CN"/>
        </w:rPr>
        <w:t xml:space="preserve">减少312.59</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rPr>
        <w:t xml:space="preserve">减少30.23%</w:t>
      </w:r>
      <w:r>
        <w:rPr>
          <w:rFonts w:ascii="宋体" w:eastAsia="宋体" w:hAnsi="宋体" w:cs="宋体" w:hint="eastAsia"/>
          <w:sz w:val="28"/>
          <w:szCs w:val="28"/>
        </w:rPr>
        <w:t xml:space="preserve">,</w:t>
      </w:r>
      <w:r>
        <w:rPr>
          <w:rFonts w:ascii="宋体" w:eastAsia="宋体" w:hAnsi="宋体" w:cs="宋体" w:hint="eastAsia"/>
          <w:sz w:val="28"/>
          <w:szCs w:val="28"/>
          <w:highlight w:val="none"/>
        </w:rPr>
        <w:t xml:space="preserve">主要原因是：</w:t>
      </w:r>
      <w:r>
        <w:rPr>
          <w:rFonts w:ascii="宋体" w:eastAsia="宋体" w:hAnsi="宋体" w:cs="宋体" w:hint="eastAsia"/>
          <w:sz w:val="28"/>
          <w:szCs w:val="28"/>
          <w:highlight w:val="none"/>
          <w:lang w:val="en-US" w:eastAsia="zh-CN"/>
        </w:rPr>
        <w:t xml:space="preserve">严格落实过”紧日子“的要求,，进一步压减一般性项目支出，并根据往年实际支出情况合理调整预算项目支出金额</w:t>
      </w:r>
      <w:r>
        <w:rPr>
          <w:rFonts w:ascii="宋体" w:eastAsia="宋体" w:hAnsi="宋体" w:cs="宋体" w:hint="eastAsia"/>
          <w:sz w:val="28"/>
          <w:szCs w:val="28"/>
          <w:highlight w:val="none"/>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w:t>
      </w:r>
      <w:r>
        <w:rPr>
          <w:rFonts w:ascii="宋体" w:eastAsia="宋体" w:hAnsi="宋体" w:cs="宋体"/>
          <w:sz w:val="28"/>
          <w:u w:color="auto"/>
        </w:rPr>
        <w:t xml:space="preserve">2</w:t>
      </w:r>
      <w:r>
        <w:rPr>
          <w:rFonts w:ascii="宋体" w:eastAsia="宋体" w:hAnsi="宋体" w:cs="宋体"/>
          <w:sz w:val="28"/>
          <w:u w:color="auto"/>
        </w:rPr>
        <w:t xml:space="preserve">)</w:t>
      </w:r>
      <w:r>
        <w:rPr>
          <w:rFonts w:ascii="宋体" w:eastAsia="宋体" w:hAnsi="宋体" w:cs="宋体"/>
          <w:sz w:val="28"/>
          <w:u w:color="auto"/>
        </w:rPr>
        <w:t xml:space="preserve">社会保障和就业支出</w:t>
      </w:r>
      <w:r>
        <w:rPr>
          <w:rFonts w:ascii="宋体" w:eastAsia="宋体" w:hAnsi="宋体" w:cs="宋体" w:hint="eastAsia"/>
          <w:sz w:val="28"/>
          <w:szCs w:val="28"/>
          <w:lang w:val="en-US" w:eastAsia="zh-CN"/>
        </w:rPr>
        <w:t xml:space="preserve">39.69</w:t>
      </w:r>
      <w:r>
        <w:rPr>
          <w:rFonts w:ascii="宋体" w:eastAsia="宋体" w:hAnsi="宋体" w:cs="宋体" w:hint="eastAsia"/>
          <w:sz w:val="28"/>
          <w:szCs w:val="28"/>
        </w:rPr>
        <w:t xml:space="preserve">万元，占支出总预算</w:t>
      </w:r>
      <w:r>
        <w:rPr>
          <w:rFonts w:ascii="宋体" w:eastAsia="宋体" w:hAnsi="宋体" w:cs="宋体" w:hint="eastAsia"/>
          <w:sz w:val="28"/>
          <w:szCs w:val="28"/>
          <w:lang w:val="en-US" w:eastAsia="zh-CN"/>
        </w:rPr>
        <w:t xml:space="preserve">4.99%</w:t>
      </w:r>
      <w:r>
        <w:rPr>
          <w:rFonts w:ascii="宋体" w:eastAsia="宋体" w:hAnsi="宋体" w:cs="宋体" w:hint="eastAsia"/>
          <w:sz w:val="28"/>
          <w:szCs w:val="28"/>
        </w:rPr>
        <w:t xml:space="preserve">,比上年</w:t>
      </w:r>
      <w:r>
        <w:rPr>
          <w:rFonts w:ascii="宋体" w:eastAsia="宋体" w:hAnsi="宋体" w:cs="宋体" w:hint="eastAsia"/>
          <w:sz w:val="28"/>
          <w:szCs w:val="28"/>
          <w:lang w:val="en-US" w:eastAsia="zh-CN"/>
        </w:rPr>
        <w:t xml:space="preserve">减少6.50</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rPr>
        <w:t xml:space="preserve">减少14.07%</w:t>
      </w:r>
      <w:r>
        <w:rPr>
          <w:rFonts w:ascii="宋体" w:eastAsia="宋体" w:hAnsi="宋体" w:cs="宋体" w:hint="eastAsia"/>
          <w:sz w:val="28"/>
          <w:szCs w:val="28"/>
        </w:rPr>
        <w:t xml:space="preserve">,</w:t>
      </w:r>
      <w:r>
        <w:rPr>
          <w:rFonts w:ascii="宋体" w:eastAsia="宋体" w:hAnsi="宋体" w:cs="宋体" w:hint="eastAsia"/>
          <w:sz w:val="28"/>
          <w:szCs w:val="28"/>
          <w:highlight w:val="none"/>
        </w:rPr>
        <w:t xml:space="preserve">主要原因是：</w:t>
      </w:r>
      <w:r>
        <w:rPr>
          <w:rFonts w:ascii="宋体" w:eastAsia="宋体" w:hAnsi="宋体" w:cs="宋体" w:hint="eastAsia"/>
          <w:sz w:val="28"/>
          <w:szCs w:val="28"/>
          <w:highlight w:val="none"/>
          <w:lang w:val="en-US" w:eastAsia="zh-CN"/>
        </w:rPr>
        <w:t xml:space="preserve">在职人员减少。</w:t>
      </w:r>
      <w:r>
        <w:rPr>
          <w:rFonts w:ascii="宋体" w:eastAsia="宋体" w:hAnsi="宋体" w:cs="宋体" w:hint="eastAsia"/>
          <w:sz w:val="28"/>
          <w:szCs w:val="28"/>
          <w:highlight w:val="none"/>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w:t>
      </w:r>
      <w:r>
        <w:rPr>
          <w:rFonts w:ascii="宋体" w:eastAsia="宋体" w:hAnsi="宋体" w:cs="宋体"/>
          <w:sz w:val="28"/>
          <w:u w:color="auto"/>
        </w:rPr>
        <w:t xml:space="preserve">3</w:t>
      </w:r>
      <w:r>
        <w:rPr>
          <w:rFonts w:ascii="宋体" w:eastAsia="宋体" w:hAnsi="宋体" w:cs="宋体"/>
          <w:sz w:val="28"/>
          <w:u w:color="auto"/>
        </w:rPr>
        <w:t xml:space="preserve">)</w:t>
      </w:r>
      <w:r>
        <w:rPr>
          <w:rFonts w:ascii="宋体" w:eastAsia="宋体" w:hAnsi="宋体" w:cs="宋体"/>
          <w:sz w:val="28"/>
          <w:u w:color="auto"/>
        </w:rPr>
        <w:t xml:space="preserve">住房保障支出</w:t>
      </w:r>
      <w:r>
        <w:rPr>
          <w:rFonts w:ascii="宋体" w:eastAsia="宋体" w:hAnsi="宋体" w:cs="宋体" w:hint="eastAsia"/>
          <w:sz w:val="28"/>
          <w:szCs w:val="28"/>
          <w:lang w:val="en-US" w:eastAsia="zh-CN"/>
        </w:rPr>
        <w:t xml:space="preserve">34.20</w:t>
      </w:r>
      <w:r>
        <w:rPr>
          <w:rFonts w:ascii="宋体" w:eastAsia="宋体" w:hAnsi="宋体" w:cs="宋体" w:hint="eastAsia"/>
          <w:sz w:val="28"/>
          <w:szCs w:val="28"/>
        </w:rPr>
        <w:t xml:space="preserve">万元，占支出总预算</w:t>
      </w:r>
      <w:r>
        <w:rPr>
          <w:rFonts w:ascii="宋体" w:eastAsia="宋体" w:hAnsi="宋体" w:cs="宋体" w:hint="eastAsia"/>
          <w:sz w:val="28"/>
          <w:szCs w:val="28"/>
          <w:lang w:val="en-US" w:eastAsia="zh-CN"/>
        </w:rPr>
        <w:t xml:space="preserve">4.30%</w:t>
      </w:r>
      <w:r>
        <w:rPr>
          <w:rFonts w:ascii="宋体" w:eastAsia="宋体" w:hAnsi="宋体" w:cs="宋体" w:hint="eastAsia"/>
          <w:sz w:val="28"/>
          <w:szCs w:val="28"/>
        </w:rPr>
        <w:t xml:space="preserve">,比上年</w:t>
      </w:r>
      <w:r>
        <w:rPr>
          <w:rFonts w:ascii="宋体" w:eastAsia="宋体" w:hAnsi="宋体" w:cs="宋体" w:hint="eastAsia"/>
          <w:sz w:val="28"/>
          <w:szCs w:val="28"/>
          <w:lang w:val="en-US" w:eastAsia="zh-CN"/>
        </w:rPr>
        <w:t xml:space="preserve">减少0.49</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rPr>
        <w:t xml:space="preserve">减少1.41%</w:t>
      </w:r>
      <w:r>
        <w:rPr>
          <w:rFonts w:ascii="宋体" w:eastAsia="宋体" w:hAnsi="宋体" w:cs="宋体" w:hint="eastAsia"/>
          <w:sz w:val="28"/>
          <w:szCs w:val="28"/>
        </w:rPr>
        <w:t xml:space="preserve">,</w:t>
      </w:r>
      <w:r>
        <w:rPr>
          <w:rFonts w:ascii="宋体" w:eastAsia="宋体" w:hAnsi="宋体" w:cs="宋体" w:hint="eastAsia"/>
          <w:sz w:val="28"/>
          <w:szCs w:val="28"/>
          <w:highlight w:val="none"/>
        </w:rPr>
        <w:t xml:space="preserve">主要原因是：</w:t>
      </w:r>
      <w:r>
        <w:rPr>
          <w:rFonts w:ascii="宋体" w:eastAsia="宋体" w:hAnsi="宋体" w:cs="宋体" w:hint="eastAsia"/>
          <w:sz w:val="28"/>
          <w:szCs w:val="28"/>
          <w:highlight w:val="none"/>
          <w:lang w:val="en-US" w:eastAsia="zh-CN"/>
        </w:rPr>
        <w:t xml:space="preserve">在职人员减少</w:t>
      </w:r>
      <w:r>
        <w:rPr>
          <w:rFonts w:ascii="宋体" w:eastAsia="宋体" w:hAnsi="宋体" w:cs="宋体" w:hint="eastAsia"/>
          <w:sz w:val="28"/>
          <w:szCs w:val="28"/>
          <w:highlight w:val="none"/>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74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(二)按支出结构分类划分，分为基本支出预算和项目支出预算。</w:t>
      </w:r>
    </w:p>
    <w:p>
      <w:pPr>
        <w:pStyle w:val="Bodytext|1"/>
        <w:keepNext w:val="0"/>
        <w:keepLines w:val="0"/>
        <w:pageBreakBefore w:val="0"/>
        <w:widowControl w:val="0"/>
        <w:numPr>
          <w:ilvl w:val="0"/>
          <w:numId w:val="3"/>
        </w:numPr>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基本支出预算。</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0"/>
        <w:jc w:val="left"/>
        <w:textAlignment w:val="auto"/>
        <w:rPr>
          <w:rFonts w:ascii="宋体" w:eastAsia="宋体" w:hAnsi="宋体" w:cs="宋体" w:hint="eastAsia"/>
          <w:sz w:val="28"/>
          <w:szCs w:val="28"/>
          <w:lang w:val="en-US" w:eastAsia="zh-CN"/>
        </w:rPr>
      </w:pPr>
      <w:r>
        <w:rPr>
          <w:rFonts w:ascii="宋体" w:eastAsia="宋体" w:hAnsi="宋体" w:cs="宋体" w:hint="eastAsia"/>
          <w:sz w:val="28"/>
          <w:szCs w:val="28"/>
        </w:rPr>
        <w:t xml:space="preserve">基本支出预算</w:t>
      </w:r>
      <w:r>
        <w:rPr>
          <w:rFonts w:ascii="宋体" w:eastAsia="宋体" w:hAnsi="宋体" w:cs="宋体" w:hint="eastAsia"/>
          <w:sz w:val="28"/>
          <w:szCs w:val="28"/>
          <w:lang w:val="en-US" w:eastAsia="zh-CN"/>
        </w:rPr>
        <w:t xml:space="preserve">445.44</w:t>
      </w:r>
      <w:r>
        <w:rPr>
          <w:rFonts w:ascii="宋体" w:eastAsia="宋体" w:hAnsi="宋体" w:cs="宋体" w:hint="eastAsia"/>
          <w:sz w:val="28"/>
          <w:szCs w:val="28"/>
        </w:rPr>
        <w:t xml:space="preserve">万元，占支出预算</w:t>
      </w:r>
      <w:r>
        <w:rPr>
          <w:rFonts w:ascii="宋体" w:eastAsia="宋体" w:hAnsi="宋体" w:cs="宋体"/>
          <w:sz w:val="28"/>
          <w:u w:color="auto"/>
        </w:rPr>
        <w:t xml:space="preserve">56.00%</w:t>
      </w:r>
      <w:r>
        <w:rPr>
          <w:rFonts w:ascii="宋体" w:eastAsia="宋体" w:hAnsi="宋体" w:cs="宋体"/>
          <w:sz w:val="28"/>
          <w:u w:color="auto"/>
        </w:rPr>
        <w:t xml:space="preserve">,比上年</w:t>
      </w:r>
      <w:r>
        <w:rPr>
          <w:rFonts w:ascii="宋体" w:eastAsia="宋体" w:hAnsi="宋体" w:cs="宋体"/>
          <w:sz w:val="28"/>
          <w:u w:color="auto"/>
        </w:rPr>
        <w:t xml:space="preserve">增长10.42</w:t>
      </w:r>
      <w:r>
        <w:rPr>
          <w:rFonts w:ascii="宋体" w:eastAsia="宋体" w:hAnsi="宋体" w:cs="宋体"/>
          <w:sz w:val="28"/>
          <w:u w:color="auto"/>
        </w:rPr>
        <w:t xml:space="preserve">万元，</w:t>
      </w:r>
      <w:r>
        <w:rPr>
          <w:rFonts w:ascii="宋体" w:eastAsia="宋体" w:hAnsi="宋体" w:cs="宋体"/>
          <w:sz w:val="28"/>
          <w:u w:color="auto"/>
        </w:rPr>
        <w:t xml:space="preserve">增长2.40%</w:t>
      </w:r>
      <w:r>
        <w:rPr>
          <w:rFonts w:ascii="宋体" w:eastAsia="宋体" w:hAnsi="宋体" w:cs="宋体" w:hint="eastAsia"/>
          <w:sz w:val="28"/>
          <w:szCs w:val="28"/>
        </w:rPr>
        <w:t xml:space="preserve">。</w:t>
      </w:r>
      <w:r>
        <w:rPr>
          <w:rFonts w:ascii="宋体" w:eastAsia="宋体" w:hAnsi="宋体" w:cs="宋体" w:hint="eastAsia"/>
          <w:sz w:val="28"/>
          <w:szCs w:val="28"/>
          <w:lang w:val="en-US" w:eastAsia="zh-CN"/>
        </w:rPr>
        <w:t xml:space="preserve">其中：</w:t>
      </w:r>
    </w:p>
    <w:p>
      <w:pPr>
        <w:pStyle w:val="Bodytext|3"/>
        <w:keepNext w:val="0"/>
        <w:keepLines w:val="0"/>
        <w:pageBreakBefore w:val="0"/>
        <w:widowControl w:val="0"/>
        <w:kinsoku/>
        <w:wordWrap/>
        <w:overflowPunct/>
        <w:topLinePunct w:val="0"/>
        <w:autoSpaceDE/>
        <w:autoSpaceDN/>
        <w:bidi w:val="0"/>
        <w:adjustRightInd/>
        <w:snapToGrid/>
        <w:spacing w:after="0" w:line="600" w:lineRule="exact"/>
        <w:ind w:firstLine="740"/>
        <w:jc w:val="left"/>
        <w:textAlignment w:val="auto"/>
        <w:rPr>
          <w:rFonts w:ascii="宋体" w:eastAsia="宋体" w:hAnsi="宋体" w:cs="宋体" w:hint="eastAsia"/>
          <w:sz w:val="28"/>
          <w:szCs w:val="28"/>
          <w:lang w:val="en-US" w:eastAsia="zh-CN"/>
        </w:rPr>
      </w:pPr>
      <w:r>
        <w:rPr>
          <w:rFonts w:ascii="宋体" w:eastAsia="宋体" w:hAnsi="宋体" w:cs="宋体" w:hint="eastAsia"/>
          <w:sz w:val="28"/>
          <w:szCs w:val="28"/>
        </w:rPr>
        <w:t xml:space="preserve">(</w:t>
      </w:r>
      <w:r>
        <w:rPr>
          <w:rFonts w:ascii="宋体" w:eastAsia="宋体" w:hAnsi="宋体" w:cs="宋体"/>
          <w:sz w:val="28"/>
          <w:u w:color="auto"/>
        </w:rPr>
        <w:t xml:space="preserve">1</w:t>
      </w:r>
      <w:r>
        <w:rPr>
          <w:rFonts w:ascii="宋体" w:eastAsia="宋体" w:hAnsi="宋体" w:cs="宋体"/>
          <w:sz w:val="28"/>
          <w:u w:color="auto"/>
        </w:rPr>
        <w:t xml:space="preserve">)</w:t>
      </w:r>
      <w:r>
        <w:rPr>
          <w:rFonts w:ascii="宋体" w:eastAsia="宋体" w:hAnsi="宋体" w:cs="宋体"/>
          <w:sz w:val="28"/>
          <w:u w:color="auto"/>
        </w:rPr>
        <w:t xml:space="preserve">工资福利支出</w:t>
      </w:r>
      <w:r>
        <w:rPr>
          <w:rFonts w:ascii="宋体" w:eastAsia="宋体" w:hAnsi="宋体" w:cs="宋体" w:hint="eastAsia"/>
          <w:sz w:val="28"/>
          <w:szCs w:val="28"/>
          <w:lang w:val="en-US" w:eastAsia="zh-CN"/>
        </w:rPr>
        <w:t xml:space="preserve">362.01</w:t>
      </w:r>
      <w:r>
        <w:rPr>
          <w:rFonts w:ascii="宋体" w:eastAsia="宋体" w:hAnsi="宋体" w:cs="宋体" w:hint="eastAsia"/>
          <w:sz w:val="28"/>
          <w:szCs w:val="28"/>
        </w:rPr>
        <w:t xml:space="preserve">万元，占基本支出总预算</w:t>
      </w:r>
      <w:r>
        <w:rPr>
          <w:rFonts w:ascii="宋体" w:eastAsia="宋体" w:hAnsi="宋体" w:cs="宋体" w:hint="eastAsia"/>
          <w:sz w:val="28"/>
          <w:szCs w:val="28"/>
          <w:lang w:val="en-US" w:eastAsia="zh-CN"/>
        </w:rPr>
        <w:t xml:space="preserve">81.27%</w:t>
      </w:r>
      <w:r>
        <w:rPr>
          <w:rFonts w:ascii="宋体" w:eastAsia="宋体" w:hAnsi="宋体" w:cs="宋体" w:hint="eastAsia"/>
          <w:sz w:val="28"/>
          <w:szCs w:val="28"/>
        </w:rPr>
        <w:t xml:space="preserve">,比上年</w:t>
      </w:r>
      <w:r>
        <w:rPr>
          <w:rFonts w:ascii="宋体" w:eastAsia="宋体" w:hAnsi="宋体" w:cs="宋体"/>
          <w:sz w:val="28"/>
          <w:u w:color="auto"/>
        </w:rPr>
        <w:t xml:space="preserve">增长2.70</w:t>
      </w:r>
      <w:r>
        <w:rPr>
          <w:rFonts w:ascii="宋体" w:eastAsia="宋体" w:hAnsi="宋体" w:cs="宋体"/>
          <w:sz w:val="28"/>
          <w:u w:color="auto"/>
        </w:rPr>
        <w:t xml:space="preserve">万元，</w:t>
      </w:r>
      <w:r>
        <w:rPr>
          <w:rFonts w:ascii="宋体" w:eastAsia="宋体" w:hAnsi="宋体" w:cs="宋体"/>
          <w:sz w:val="28"/>
          <w:u w:color="auto"/>
        </w:rPr>
        <w:t xml:space="preserve">增长0.75%</w:t>
      </w:r>
      <w:r>
        <w:rPr>
          <w:rFonts w:ascii="宋体" w:eastAsia="宋体" w:hAnsi="宋体" w:cs="宋体"/>
          <w:sz w:val="28"/>
          <w:u w:color="auto"/>
        </w:rPr>
        <w:t xml:space="preserve">,主要原因是：增加公务员基础性绩效和事业基础性绩效工资增量预算</w:t>
      </w:r>
      <w:r>
        <w:rPr>
          <w:rFonts w:ascii="宋体" w:eastAsia="宋体" w:hAnsi="宋体" w:cs="宋体" w:hint="eastAsia"/>
          <w:sz w:val="28"/>
          <w:szCs w:val="28"/>
          <w:lang w:val="en-US" w:eastAsia="zh-CN"/>
        </w:rPr>
        <w:t xml:space="preserve">。</w:t>
      </w:r>
    </w:p>
    <w:p>
      <w:pPr>
        <w:pStyle w:val="Bodytext|3"/>
        <w:keepNext w:val="0"/>
        <w:keepLines w:val="0"/>
        <w:pageBreakBefore w:val="0"/>
        <w:widowControl w:val="0"/>
        <w:kinsoku/>
        <w:wordWrap/>
        <w:overflowPunct/>
        <w:topLinePunct w:val="0"/>
        <w:autoSpaceDE/>
        <w:autoSpaceDN/>
        <w:bidi w:val="0"/>
        <w:adjustRightInd/>
        <w:snapToGrid/>
        <w:spacing w:after="0" w:line="600" w:lineRule="exact"/>
        <w:ind w:firstLine="740"/>
        <w:jc w:val="left"/>
        <w:textAlignment w:val="auto"/>
        <w:rPr>
          <w:rFonts w:ascii="宋体" w:eastAsia="宋体" w:hAnsi="宋体" w:cs="宋体" w:hint="eastAsia"/>
          <w:sz w:val="28"/>
          <w:szCs w:val="28"/>
          <w:lang w:val="en-US" w:eastAsia="zh-CN"/>
        </w:rPr>
      </w:pPr>
      <w:r>
        <w:rPr>
          <w:rFonts w:ascii="宋体" w:eastAsia="宋体" w:hAnsi="宋体" w:cs="宋体" w:hint="eastAsia"/>
          <w:sz w:val="28"/>
          <w:szCs w:val="28"/>
        </w:rPr>
        <w:t xml:space="preserve">(</w:t>
      </w:r>
      <w:r>
        <w:rPr>
          <w:rFonts w:ascii="宋体" w:eastAsia="宋体" w:hAnsi="宋体" w:cs="宋体"/>
          <w:sz w:val="28"/>
          <w:u w:color="auto"/>
        </w:rPr>
        <w:t xml:space="preserve">2</w:t>
      </w:r>
      <w:r>
        <w:rPr>
          <w:rFonts w:ascii="宋体" w:eastAsia="宋体" w:hAnsi="宋体" w:cs="宋体"/>
          <w:sz w:val="28"/>
          <w:u w:color="auto"/>
        </w:rPr>
        <w:t xml:space="preserve">)</w:t>
      </w:r>
      <w:r>
        <w:rPr>
          <w:rFonts w:ascii="宋体" w:eastAsia="宋体" w:hAnsi="宋体" w:cs="宋体"/>
          <w:sz w:val="28"/>
          <w:u w:color="auto"/>
        </w:rPr>
        <w:t xml:space="preserve">商品和服务支出</w:t>
      </w:r>
      <w:r>
        <w:rPr>
          <w:rFonts w:ascii="宋体" w:eastAsia="宋体" w:hAnsi="宋体" w:cs="宋体" w:hint="eastAsia"/>
          <w:sz w:val="28"/>
          <w:szCs w:val="28"/>
          <w:lang w:val="en-US" w:eastAsia="zh-CN"/>
        </w:rPr>
        <w:t xml:space="preserve">34.91</w:t>
      </w:r>
      <w:r>
        <w:rPr>
          <w:rFonts w:ascii="宋体" w:eastAsia="宋体" w:hAnsi="宋体" w:cs="宋体" w:hint="eastAsia"/>
          <w:sz w:val="28"/>
          <w:szCs w:val="28"/>
        </w:rPr>
        <w:t xml:space="preserve">万元，占基本支出总预算</w:t>
      </w:r>
      <w:r>
        <w:rPr>
          <w:rFonts w:ascii="宋体" w:eastAsia="宋体" w:hAnsi="宋体" w:cs="宋体" w:hint="eastAsia"/>
          <w:sz w:val="28"/>
          <w:szCs w:val="28"/>
          <w:lang w:val="en-US" w:eastAsia="zh-CN"/>
        </w:rPr>
        <w:t xml:space="preserve">7.84%</w:t>
      </w:r>
      <w:r>
        <w:rPr>
          <w:rFonts w:ascii="宋体" w:eastAsia="宋体" w:hAnsi="宋体" w:cs="宋体" w:hint="eastAsia"/>
          <w:sz w:val="28"/>
          <w:szCs w:val="28"/>
        </w:rPr>
        <w:t xml:space="preserve">,比上年</w:t>
      </w:r>
      <w:r>
        <w:rPr>
          <w:rFonts w:ascii="宋体" w:eastAsia="宋体" w:hAnsi="宋体" w:cs="宋体"/>
          <w:sz w:val="28"/>
          <w:u w:color="auto"/>
        </w:rPr>
        <w:t xml:space="preserve">减少6.12</w:t>
      </w:r>
      <w:r>
        <w:rPr>
          <w:rFonts w:ascii="宋体" w:eastAsia="宋体" w:hAnsi="宋体" w:cs="宋体"/>
          <w:sz w:val="28"/>
          <w:u w:color="auto"/>
        </w:rPr>
        <w:t xml:space="preserve">万元，</w:t>
      </w:r>
      <w:r>
        <w:rPr>
          <w:rFonts w:ascii="宋体" w:eastAsia="宋体" w:hAnsi="宋体" w:cs="宋体"/>
          <w:sz w:val="28"/>
          <w:u w:color="auto"/>
        </w:rPr>
        <w:t xml:space="preserve">减少14.92%</w:t>
      </w:r>
      <w:r>
        <w:rPr>
          <w:rFonts w:ascii="宋体" w:eastAsia="宋体" w:hAnsi="宋体" w:cs="宋体"/>
          <w:sz w:val="28"/>
          <w:u w:color="auto"/>
        </w:rPr>
        <w:t xml:space="preserve">,主要原因是：在职人员减少</w:t>
      </w:r>
      <w:r>
        <w:rPr>
          <w:rFonts w:ascii="宋体" w:eastAsia="宋体" w:hAnsi="宋体" w:cs="宋体" w:hint="eastAsia"/>
          <w:sz w:val="28"/>
          <w:szCs w:val="28"/>
          <w:lang w:val="en-US" w:eastAsia="zh-CN"/>
        </w:rPr>
        <w:t xml:space="preserve">。</w:t>
      </w:r>
    </w:p>
    <w:p>
      <w:pPr>
        <w:pStyle w:val="Bodytext|3"/>
        <w:keepNext w:val="0"/>
        <w:keepLines w:val="0"/>
        <w:pageBreakBefore w:val="0"/>
        <w:widowControl w:val="0"/>
        <w:kinsoku/>
        <w:wordWrap/>
        <w:overflowPunct/>
        <w:topLinePunct w:val="0"/>
        <w:autoSpaceDE/>
        <w:autoSpaceDN/>
        <w:bidi w:val="0"/>
        <w:adjustRightInd/>
        <w:snapToGrid/>
        <w:spacing w:after="0" w:line="600" w:lineRule="exact"/>
        <w:ind w:firstLine="740"/>
        <w:jc w:val="left"/>
        <w:textAlignment w:val="auto"/>
        <w:rPr>
          <w:rFonts w:ascii="宋体" w:eastAsia="宋体" w:hAnsi="宋体" w:cs="宋体" w:hint="eastAsia"/>
          <w:sz w:val="28"/>
          <w:szCs w:val="28"/>
          <w:lang w:val="en-US" w:eastAsia="zh-CN"/>
        </w:rPr>
      </w:pPr>
      <w:r>
        <w:rPr>
          <w:rFonts w:ascii="宋体" w:eastAsia="宋体" w:hAnsi="宋体" w:cs="宋体" w:hint="eastAsia"/>
          <w:sz w:val="28"/>
          <w:szCs w:val="28"/>
        </w:rPr>
        <w:t xml:space="preserve">(</w:t>
      </w:r>
      <w:r>
        <w:rPr>
          <w:rFonts w:ascii="宋体" w:eastAsia="宋体" w:hAnsi="宋体" w:cs="宋体"/>
          <w:sz w:val="28"/>
          <w:u w:color="auto"/>
        </w:rPr>
        <w:t xml:space="preserve">3</w:t>
      </w:r>
      <w:r>
        <w:rPr>
          <w:rFonts w:ascii="宋体" w:eastAsia="宋体" w:hAnsi="宋体" w:cs="宋体"/>
          <w:sz w:val="28"/>
          <w:u w:color="auto"/>
        </w:rPr>
        <w:t xml:space="preserve">)</w:t>
      </w:r>
      <w:r>
        <w:rPr>
          <w:rFonts w:ascii="宋体" w:eastAsia="宋体" w:hAnsi="宋体" w:cs="宋体"/>
          <w:sz w:val="28"/>
          <w:u w:color="auto"/>
        </w:rPr>
        <w:t xml:space="preserve">对个人和家庭的补助</w:t>
      </w:r>
      <w:r>
        <w:rPr>
          <w:rFonts w:ascii="宋体" w:eastAsia="宋体" w:hAnsi="宋体" w:cs="宋体" w:hint="eastAsia"/>
          <w:sz w:val="28"/>
          <w:szCs w:val="28"/>
          <w:lang w:val="en-US" w:eastAsia="zh-CN"/>
        </w:rPr>
        <w:t xml:space="preserve">48.52</w:t>
      </w:r>
      <w:r>
        <w:rPr>
          <w:rFonts w:ascii="宋体" w:eastAsia="宋体" w:hAnsi="宋体" w:cs="宋体" w:hint="eastAsia"/>
          <w:sz w:val="28"/>
          <w:szCs w:val="28"/>
        </w:rPr>
        <w:t xml:space="preserve">万元，占基本支出总预算</w:t>
      </w:r>
      <w:r>
        <w:rPr>
          <w:rFonts w:ascii="宋体" w:eastAsia="宋体" w:hAnsi="宋体" w:cs="宋体" w:hint="eastAsia"/>
          <w:sz w:val="28"/>
          <w:szCs w:val="28"/>
          <w:lang w:val="en-US" w:eastAsia="zh-CN"/>
        </w:rPr>
        <w:t xml:space="preserve">10.89%</w:t>
      </w:r>
      <w:r>
        <w:rPr>
          <w:rFonts w:ascii="宋体" w:eastAsia="宋体" w:hAnsi="宋体" w:cs="宋体" w:hint="eastAsia"/>
          <w:sz w:val="28"/>
          <w:szCs w:val="28"/>
        </w:rPr>
        <w:t xml:space="preserve">,比上年</w:t>
      </w:r>
      <w:r>
        <w:rPr>
          <w:rFonts w:ascii="宋体" w:eastAsia="宋体" w:hAnsi="宋体" w:cs="宋体"/>
          <w:sz w:val="28"/>
          <w:u w:color="auto"/>
        </w:rPr>
        <w:t xml:space="preserve">增长13.84</w:t>
      </w:r>
      <w:r>
        <w:rPr>
          <w:rFonts w:ascii="宋体" w:eastAsia="宋体" w:hAnsi="宋体" w:cs="宋体"/>
          <w:sz w:val="28"/>
          <w:u w:color="auto"/>
        </w:rPr>
        <w:t xml:space="preserve">万元，</w:t>
      </w:r>
      <w:r>
        <w:rPr>
          <w:rFonts w:ascii="宋体" w:eastAsia="宋体" w:hAnsi="宋体" w:cs="宋体"/>
          <w:sz w:val="28"/>
          <w:u w:color="auto"/>
        </w:rPr>
        <w:t xml:space="preserve">增长39.91%</w:t>
      </w:r>
      <w:r>
        <w:rPr>
          <w:rFonts w:ascii="宋体" w:eastAsia="宋体" w:hAnsi="宋体" w:cs="宋体"/>
          <w:sz w:val="28"/>
          <w:u w:color="auto"/>
        </w:rPr>
        <w:t xml:space="preserve">,主要原因是：退休人员增加</w:t>
      </w:r>
      <w:r>
        <w:rPr>
          <w:rFonts w:ascii="宋体" w:eastAsia="宋体" w:hAnsi="宋体" w:cs="宋体" w:hint="eastAsia"/>
          <w:sz w:val="28"/>
          <w:szCs w:val="28"/>
          <w:lang w:val="en-US" w:eastAsia="zh-CN"/>
        </w:rPr>
        <w:t xml:space="preserve">。</w:t>
      </w:r>
    </w:p>
    <w:p>
      <w:pPr>
        <w:pStyle w:val="Bodytext|1"/>
        <w:keepNext w:val="0"/>
        <w:keepLines w:val="0"/>
        <w:pageBreakBefore w:val="0"/>
        <w:widowControl w:val="0"/>
        <w:numPr>
          <w:ilvl w:val="0"/>
          <w:numId w:val="3"/>
        </w:numPr>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b w:val="0"/>
          <w:bCs w:val="0"/>
          <w:color w:val="000000"/>
          <w:sz w:val="28"/>
          <w:szCs w:val="28"/>
          <w:lang w:val="zh-TW" w:eastAsia="zh-TW" w:bidi="zh-TW"/>
        </w:rPr>
      </w:pPr>
      <w:r>
        <w:rPr>
          <w:rFonts w:ascii="宋体" w:eastAsia="宋体" w:hAnsi="宋体" w:cs="宋体" w:hint="eastAsia"/>
          <w:b w:val="0"/>
          <w:bCs w:val="0"/>
          <w:color w:val="000000"/>
          <w:sz w:val="28"/>
          <w:szCs w:val="28"/>
          <w:lang w:val="zh-TW" w:eastAsia="zh-TW" w:bidi="zh-TW"/>
        </w:rPr>
        <w:t xml:space="preserve">项目支出预算。</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0"/>
        <w:jc w:val="left"/>
        <w:textAlignment w:val="auto"/>
        <w:rPr>
          <w:rFonts w:ascii="宋体" w:eastAsia="宋体" w:hAnsi="宋体" w:cs="宋体" w:hint="eastAsia"/>
          <w:sz w:val="28"/>
          <w:szCs w:val="28"/>
          <w:lang w:val="en-US" w:eastAsia="zh-CN"/>
        </w:rPr>
      </w:pPr>
      <w:r>
        <w:rPr>
          <w:rFonts w:ascii="宋体" w:eastAsia="宋体" w:hAnsi="宋体" w:cs="宋体" w:hint="eastAsia"/>
          <w:sz w:val="28"/>
          <w:szCs w:val="28"/>
        </w:rPr>
        <w:t xml:space="preserve">项目支出预算</w:t>
      </w:r>
      <w:r>
        <w:rPr>
          <w:rFonts w:ascii="宋体" w:eastAsia="宋体" w:hAnsi="宋体" w:cs="宋体" w:hint="eastAsia"/>
          <w:sz w:val="28"/>
          <w:szCs w:val="28"/>
          <w:lang w:val="en-US" w:eastAsia="zh-CN"/>
        </w:rPr>
        <w:t xml:space="preserve">350.00</w:t>
      </w:r>
      <w:r>
        <w:rPr>
          <w:rFonts w:ascii="宋体" w:eastAsia="宋体" w:hAnsi="宋体" w:cs="宋体" w:hint="eastAsia"/>
          <w:sz w:val="28"/>
          <w:szCs w:val="28"/>
        </w:rPr>
        <w:t xml:space="preserve">万元，占支出预算</w:t>
      </w:r>
      <w:r>
        <w:rPr>
          <w:rFonts w:ascii="宋体" w:eastAsia="宋体" w:hAnsi="宋体" w:cs="宋体"/>
          <w:sz w:val="28"/>
          <w:u w:color="auto"/>
        </w:rPr>
        <w:t xml:space="preserve">44.00%</w:t>
      </w:r>
      <w:r>
        <w:rPr>
          <w:rFonts w:ascii="宋体" w:eastAsia="宋体" w:hAnsi="宋体" w:cs="宋体" w:hint="eastAsia"/>
          <w:sz w:val="28"/>
          <w:szCs w:val="28"/>
        </w:rPr>
        <w:t xml:space="preserve">,比上年</w:t>
      </w:r>
      <w:r>
        <w:rPr>
          <w:rFonts w:ascii="宋体" w:eastAsia="宋体" w:hAnsi="宋体" w:cs="宋体"/>
          <w:sz w:val="28"/>
          <w:u w:color="auto"/>
        </w:rPr>
        <w:t xml:space="preserve">减少330.00</w:t>
      </w:r>
      <w:r>
        <w:rPr>
          <w:rFonts w:ascii="宋体" w:eastAsia="宋体" w:hAnsi="宋体" w:cs="宋体" w:hint="eastAsia"/>
          <w:sz w:val="28"/>
          <w:szCs w:val="28"/>
        </w:rPr>
        <w:t xml:space="preserve">万元，</w:t>
      </w:r>
      <w:r>
        <w:rPr>
          <w:rFonts w:ascii="宋体" w:eastAsia="宋体" w:hAnsi="宋体" w:cs="宋体"/>
          <w:sz w:val="28"/>
          <w:u w:color="auto"/>
        </w:rPr>
        <w:t xml:space="preserve">减少48.53%</w:t>
      </w:r>
      <w:r>
        <w:rPr>
          <w:rFonts w:ascii="宋体" w:eastAsia="宋体" w:hAnsi="宋体" w:cs="宋体" w:hint="eastAsia"/>
          <w:sz w:val="28"/>
          <w:szCs w:val="28"/>
        </w:rPr>
        <w:t xml:space="preserve">。</w:t>
      </w:r>
      <w:r>
        <w:rPr>
          <w:rFonts w:ascii="宋体" w:eastAsia="宋体" w:hAnsi="宋体" w:cs="宋体" w:hint="eastAsia"/>
          <w:sz w:val="28"/>
          <w:szCs w:val="28"/>
          <w:lang w:val="en-US" w:eastAsia="zh-CN"/>
        </w:rPr>
        <w:t xml:space="preserve">其中：</w:t>
      </w:r>
    </w:p>
    <w:p>
      <w:pPr>
        <w:pStyle w:val="Bodytext|3"/>
        <w:keepNext w:val="0"/>
        <w:keepLines w:val="0"/>
        <w:pageBreakBefore w:val="0"/>
        <w:widowControl w:val="0"/>
        <w:kinsoku/>
        <w:wordWrap/>
        <w:overflowPunct/>
        <w:topLinePunct w:val="0"/>
        <w:autoSpaceDE/>
        <w:autoSpaceDN/>
        <w:bidi w:val="0"/>
        <w:adjustRightInd/>
        <w:snapToGrid/>
        <w:spacing w:after="0" w:line="600" w:lineRule="exact"/>
        <w:ind w:firstLine="740"/>
        <w:jc w:val="left"/>
        <w:textAlignment w:val="auto"/>
        <w:rPr>
          <w:rFonts w:ascii="宋体" w:eastAsia="宋体" w:hAnsi="宋体" w:cs="宋体" w:hint="eastAsia"/>
          <w:color w:val="000000"/>
          <w:sz w:val="28"/>
          <w:szCs w:val="28"/>
          <w:lang w:val="en-US" w:eastAsia="zh-CN" w:bidi="zh-TW"/>
        </w:rPr>
      </w:pPr>
      <w:r>
        <w:rPr>
          <w:rFonts w:ascii="宋体" w:eastAsia="宋体" w:hAnsi="宋体" w:cs="宋体" w:hint="eastAsia"/>
          <w:sz w:val="28"/>
          <w:szCs w:val="28"/>
        </w:rPr>
        <w:t xml:space="preserve">(</w:t>
      </w:r>
      <w:r>
        <w:rPr>
          <w:rFonts w:ascii="宋体" w:eastAsia="宋体" w:hAnsi="宋体" w:cs="宋体"/>
          <w:sz w:val="28"/>
          <w:u w:color="auto"/>
        </w:rPr>
        <w:t xml:space="preserve">1</w:t>
      </w:r>
      <w:r>
        <w:rPr>
          <w:rFonts w:ascii="宋体" w:eastAsia="宋体" w:hAnsi="宋体" w:cs="宋体"/>
          <w:sz w:val="28"/>
          <w:u w:color="auto"/>
        </w:rPr>
        <w:t xml:space="preserve">)</w:t>
      </w:r>
      <w:r>
        <w:rPr>
          <w:rFonts w:ascii="宋体" w:eastAsia="宋体" w:hAnsi="宋体" w:cs="宋体"/>
          <w:sz w:val="28"/>
          <w:u w:color="auto"/>
        </w:rPr>
        <w:t xml:space="preserve">商品和服务支出</w:t>
      </w:r>
      <w:r>
        <w:rPr>
          <w:rFonts w:ascii="宋体" w:eastAsia="宋体" w:hAnsi="宋体" w:cs="宋体" w:hint="eastAsia"/>
          <w:sz w:val="28"/>
          <w:szCs w:val="28"/>
          <w:lang w:val="en-US" w:eastAsia="zh-CN"/>
        </w:rPr>
        <w:t xml:space="preserve">334.40</w:t>
      </w:r>
      <w:r>
        <w:rPr>
          <w:rFonts w:ascii="宋体" w:eastAsia="宋体" w:hAnsi="宋体" w:cs="宋体" w:hint="eastAsia"/>
          <w:sz w:val="28"/>
          <w:szCs w:val="28"/>
        </w:rPr>
        <w:t xml:space="preserve">万元，占项</w:t>
      </w:r>
      <w:r>
        <w:rPr>
          <w:rFonts w:ascii="宋体" w:eastAsia="宋体" w:hAnsi="宋体" w:cs="宋体" w:hint="eastAsia"/>
          <w:color w:val="000000"/>
          <w:sz w:val="28"/>
          <w:szCs w:val="28"/>
          <w:lang w:val="zh-TW" w:eastAsia="zh-TW" w:bidi="zh-TW"/>
        </w:rPr>
        <w:t xml:space="preserve">目支出总预算</w:t>
      </w:r>
      <w:r>
        <w:rPr>
          <w:rFonts w:ascii="宋体" w:eastAsia="宋体" w:hAnsi="宋体" w:cs="宋体" w:hint="eastAsia"/>
          <w:color w:val="000000"/>
          <w:sz w:val="28"/>
          <w:szCs w:val="28"/>
          <w:lang w:val="en-US" w:eastAsia="zh-CN" w:bidi="zh-TW"/>
        </w:rPr>
        <w:t xml:space="preserve">95.54%</w:t>
      </w:r>
      <w:r>
        <w:rPr>
          <w:rFonts w:ascii="宋体" w:eastAsia="宋体" w:hAnsi="宋体" w:cs="宋体" w:hint="eastAsia"/>
          <w:color w:val="000000"/>
          <w:sz w:val="28"/>
          <w:szCs w:val="28"/>
          <w:lang w:val="zh-TW" w:eastAsia="zh-TW" w:bidi="zh-TW"/>
        </w:rPr>
        <w:t xml:space="preserve">,比上年</w:t>
      </w:r>
      <w:r>
        <w:rPr>
          <w:rFonts w:ascii="宋体" w:eastAsia="宋体" w:hAnsi="宋体" w:cs="宋体"/>
          <w:color w:val="000000"/>
          <w:sz w:val="28"/>
          <w:u w:color="auto"/>
        </w:rPr>
        <w:t xml:space="preserve">减少226.91</w:t>
      </w:r>
      <w:r>
        <w:rPr>
          <w:rFonts w:ascii="宋体" w:eastAsia="宋体" w:hAnsi="宋体" w:cs="宋体"/>
          <w:color w:val="000000"/>
          <w:sz w:val="28"/>
          <w:u w:color="auto"/>
        </w:rPr>
        <w:t xml:space="preserve">万元，</w:t>
      </w:r>
      <w:r>
        <w:rPr>
          <w:rFonts w:ascii="宋体" w:eastAsia="宋体" w:hAnsi="宋体" w:cs="宋体"/>
          <w:color w:val="000000"/>
          <w:sz w:val="28"/>
          <w:u w:color="auto"/>
        </w:rPr>
        <w:t xml:space="preserve">减少40.43%</w:t>
      </w:r>
      <w:r>
        <w:rPr>
          <w:rFonts w:ascii="宋体" w:eastAsia="宋体" w:hAnsi="宋体" w:cs="宋体"/>
          <w:color w:val="000000"/>
          <w:sz w:val="28"/>
          <w:u w:color="auto"/>
        </w:rPr>
        <w:t xml:space="preserve">,主要原因是：</w:t>
      </w:r>
      <w:r>
        <w:rPr>
          <w:rFonts w:ascii="宋体" w:eastAsia="宋体" w:hAnsi="宋体" w:cs="宋体" w:hint="eastAsia"/>
          <w:color w:val="000000"/>
          <w:sz w:val="28"/>
          <w:szCs w:val="28"/>
          <w:lang w:val="zh-TW" w:eastAsia="zh-TW" w:bidi="zh-TW"/>
        </w:rPr>
        <w:t xml:space="preserve">严格落实过”紧日子“的要求,，进一步压减一般性项目支出，并根据往年实际支出情况合理调整预算项目支出金额</w:t>
      </w:r>
      <w:r>
        <w:rPr>
          <w:rFonts w:ascii="宋体" w:eastAsia="宋体" w:hAnsi="宋体" w:cs="宋体" w:hint="eastAsia"/>
          <w:color w:val="000000"/>
          <w:sz w:val="28"/>
          <w:szCs w:val="28"/>
          <w:lang w:val="en-US" w:eastAsia="zh-CN" w:bidi="zh-TW"/>
        </w:rPr>
        <w:t xml:space="preserve">。</w:t>
      </w:r>
    </w:p>
    <w:p>
      <w:pPr>
        <w:pStyle w:val="Bodytext|3"/>
        <w:keepNext w:val="0"/>
        <w:keepLines w:val="0"/>
        <w:pageBreakBefore w:val="0"/>
        <w:widowControl w:val="0"/>
        <w:kinsoku/>
        <w:wordWrap/>
        <w:overflowPunct/>
        <w:topLinePunct w:val="0"/>
        <w:autoSpaceDE/>
        <w:autoSpaceDN/>
        <w:bidi w:val="0"/>
        <w:adjustRightInd/>
        <w:snapToGrid/>
        <w:spacing w:after="0" w:line="600" w:lineRule="exact"/>
        <w:ind w:firstLine="740"/>
        <w:jc w:val="left"/>
        <w:textAlignment w:val="auto"/>
        <w:rPr>
          <w:rFonts w:ascii="宋体" w:eastAsia="宋体" w:hAnsi="宋体" w:cs="宋体" w:hint="eastAsia"/>
          <w:color w:val="000000"/>
          <w:sz w:val="28"/>
          <w:szCs w:val="28"/>
          <w:lang w:val="en-US" w:eastAsia="zh-CN" w:bidi="zh-TW"/>
        </w:rPr>
      </w:pPr>
      <w:r>
        <w:rPr>
          <w:rFonts w:ascii="宋体" w:eastAsia="宋体" w:hAnsi="宋体" w:cs="宋体" w:hint="eastAsia"/>
          <w:sz w:val="28"/>
          <w:szCs w:val="28"/>
        </w:rPr>
        <w:t xml:space="preserve">(</w:t>
      </w:r>
      <w:r>
        <w:rPr>
          <w:rFonts w:ascii="宋体" w:eastAsia="宋体" w:hAnsi="宋体" w:cs="宋体"/>
          <w:sz w:val="28"/>
          <w:u w:color="auto"/>
        </w:rPr>
        <w:t xml:space="preserve">2</w:t>
      </w:r>
      <w:r>
        <w:rPr>
          <w:rFonts w:ascii="宋体" w:eastAsia="宋体" w:hAnsi="宋体" w:cs="宋体"/>
          <w:sz w:val="28"/>
          <w:u w:color="auto"/>
        </w:rPr>
        <w:t xml:space="preserve">)</w:t>
      </w:r>
      <w:r>
        <w:rPr>
          <w:rFonts w:ascii="宋体" w:eastAsia="宋体" w:hAnsi="宋体" w:cs="宋体"/>
          <w:sz w:val="28"/>
          <w:u w:color="auto"/>
        </w:rPr>
        <w:t xml:space="preserve">工资福利支出</w:t>
      </w:r>
      <w:r>
        <w:rPr>
          <w:rFonts w:ascii="宋体" w:eastAsia="宋体" w:hAnsi="宋体" w:cs="宋体" w:hint="eastAsia"/>
          <w:sz w:val="28"/>
          <w:szCs w:val="28"/>
          <w:lang w:val="en-US" w:eastAsia="zh-CN"/>
        </w:rPr>
        <w:t xml:space="preserve">6.00</w:t>
      </w:r>
      <w:r>
        <w:rPr>
          <w:rFonts w:ascii="宋体" w:eastAsia="宋体" w:hAnsi="宋体" w:cs="宋体" w:hint="eastAsia"/>
          <w:sz w:val="28"/>
          <w:szCs w:val="28"/>
        </w:rPr>
        <w:t xml:space="preserve">万元，占项</w:t>
      </w:r>
      <w:r>
        <w:rPr>
          <w:rFonts w:ascii="宋体" w:eastAsia="宋体" w:hAnsi="宋体" w:cs="宋体" w:hint="eastAsia"/>
          <w:color w:val="000000"/>
          <w:sz w:val="28"/>
          <w:szCs w:val="28"/>
          <w:lang w:val="zh-TW" w:eastAsia="zh-TW" w:bidi="zh-TW"/>
        </w:rPr>
        <w:t xml:space="preserve">目支出总预算</w:t>
      </w:r>
      <w:r>
        <w:rPr>
          <w:rFonts w:ascii="宋体" w:eastAsia="宋体" w:hAnsi="宋体" w:cs="宋体" w:hint="eastAsia"/>
          <w:color w:val="000000"/>
          <w:sz w:val="28"/>
          <w:szCs w:val="28"/>
          <w:lang w:val="en-US" w:eastAsia="zh-CN" w:bidi="zh-TW"/>
        </w:rPr>
        <w:t xml:space="preserve">1.71%</w:t>
      </w:r>
      <w:r>
        <w:rPr>
          <w:rFonts w:ascii="宋体" w:eastAsia="宋体" w:hAnsi="宋体" w:cs="宋体" w:hint="eastAsia"/>
          <w:color w:val="000000"/>
          <w:sz w:val="28"/>
          <w:szCs w:val="28"/>
          <w:lang w:val="zh-TW" w:eastAsia="zh-TW" w:bidi="zh-TW"/>
        </w:rPr>
        <w:t xml:space="preserve">,比上年</w:t>
      </w:r>
      <w:r>
        <w:rPr>
          <w:rFonts w:ascii="宋体" w:eastAsia="宋体" w:hAnsi="宋体" w:cs="宋体"/>
          <w:color w:val="000000"/>
          <w:sz w:val="28"/>
          <w:u w:color="auto"/>
        </w:rPr>
        <w:t xml:space="preserve">增长0.11</w:t>
      </w:r>
      <w:r>
        <w:rPr>
          <w:rFonts w:ascii="宋体" w:eastAsia="宋体" w:hAnsi="宋体" w:cs="宋体"/>
          <w:color w:val="000000"/>
          <w:sz w:val="28"/>
          <w:u w:color="auto"/>
        </w:rPr>
        <w:t xml:space="preserve">万元，</w:t>
      </w:r>
      <w:r>
        <w:rPr>
          <w:rFonts w:ascii="宋体" w:eastAsia="宋体" w:hAnsi="宋体" w:cs="宋体"/>
          <w:color w:val="000000"/>
          <w:sz w:val="28"/>
          <w:u w:color="auto"/>
        </w:rPr>
        <w:t xml:space="preserve">增长1.87%</w:t>
      </w:r>
      <w:r>
        <w:rPr>
          <w:rFonts w:ascii="宋体" w:eastAsia="宋体" w:hAnsi="宋体" w:cs="宋体"/>
          <w:color w:val="000000"/>
          <w:sz w:val="28"/>
          <w:u w:color="auto"/>
        </w:rPr>
        <w:t xml:space="preserve">,主要原因是：</w:t>
      </w:r>
      <w:r>
        <w:rPr>
          <w:rFonts w:ascii="宋体" w:eastAsia="宋体" w:hAnsi="宋体" w:cs="宋体" w:hint="eastAsia"/>
          <w:color w:val="000000"/>
          <w:sz w:val="28"/>
          <w:szCs w:val="28"/>
          <w:lang w:val="zh-TW" w:eastAsia="zh-TW" w:bidi="zh-TW"/>
        </w:rPr>
        <w:t xml:space="preserve">增加聘用人员住房公积金单位缴费部分</w:t>
      </w:r>
      <w:r>
        <w:rPr>
          <w:rFonts w:ascii="宋体" w:eastAsia="宋体" w:hAnsi="宋体" w:cs="宋体" w:hint="eastAsia"/>
          <w:color w:val="000000"/>
          <w:sz w:val="28"/>
          <w:szCs w:val="28"/>
          <w:lang w:val="en-US" w:eastAsia="zh-CN" w:bidi="zh-TW"/>
        </w:rPr>
        <w:t xml:space="preserve">。</w:t>
      </w:r>
    </w:p>
    <w:p>
      <w:pPr>
        <w:pStyle w:val="Bodytext|3"/>
        <w:keepNext w:val="0"/>
        <w:keepLines w:val="0"/>
        <w:pageBreakBefore w:val="0"/>
        <w:widowControl w:val="0"/>
        <w:kinsoku/>
        <w:wordWrap/>
        <w:overflowPunct/>
        <w:topLinePunct w:val="0"/>
        <w:autoSpaceDE/>
        <w:autoSpaceDN/>
        <w:bidi w:val="0"/>
        <w:adjustRightInd/>
        <w:snapToGrid/>
        <w:spacing w:after="0" w:line="600" w:lineRule="exact"/>
        <w:ind w:firstLine="740"/>
        <w:jc w:val="left"/>
        <w:textAlignment w:val="auto"/>
        <w:rPr>
          <w:rFonts w:ascii="宋体" w:eastAsia="宋体" w:hAnsi="宋体" w:cs="宋体" w:hint="eastAsia"/>
          <w:color w:val="000000"/>
          <w:sz w:val="28"/>
          <w:szCs w:val="28"/>
          <w:lang w:val="en-US" w:eastAsia="zh-CN" w:bidi="zh-TW"/>
        </w:rPr>
      </w:pPr>
      <w:r>
        <w:rPr>
          <w:rFonts w:ascii="宋体" w:eastAsia="宋体" w:hAnsi="宋体" w:cs="宋体" w:hint="eastAsia"/>
          <w:sz w:val="28"/>
          <w:szCs w:val="28"/>
        </w:rPr>
        <w:t xml:space="preserve">(</w:t>
      </w:r>
      <w:r>
        <w:rPr>
          <w:rFonts w:ascii="宋体" w:eastAsia="宋体" w:hAnsi="宋体" w:cs="宋体"/>
          <w:sz w:val="28"/>
          <w:u w:color="auto"/>
        </w:rPr>
        <w:t xml:space="preserve">3</w:t>
      </w:r>
      <w:r>
        <w:rPr>
          <w:rFonts w:ascii="宋体" w:eastAsia="宋体" w:hAnsi="宋体" w:cs="宋体"/>
          <w:sz w:val="28"/>
          <w:u w:color="auto"/>
        </w:rPr>
        <w:t xml:space="preserve">)</w:t>
      </w:r>
      <w:r>
        <w:rPr>
          <w:rFonts w:ascii="宋体" w:eastAsia="宋体" w:hAnsi="宋体" w:cs="宋体"/>
          <w:sz w:val="28"/>
          <w:u w:color="auto"/>
        </w:rPr>
        <w:t xml:space="preserve">资本性支出</w:t>
      </w:r>
      <w:r>
        <w:rPr>
          <w:rFonts w:ascii="宋体" w:eastAsia="宋体" w:hAnsi="宋体" w:cs="宋体" w:hint="eastAsia"/>
          <w:sz w:val="28"/>
          <w:szCs w:val="28"/>
          <w:lang w:val="en-US" w:eastAsia="zh-CN"/>
        </w:rPr>
        <w:t xml:space="preserve">9.60</w:t>
      </w:r>
      <w:r>
        <w:rPr>
          <w:rFonts w:ascii="宋体" w:eastAsia="宋体" w:hAnsi="宋体" w:cs="宋体" w:hint="eastAsia"/>
          <w:sz w:val="28"/>
          <w:szCs w:val="28"/>
        </w:rPr>
        <w:t xml:space="preserve">万元，占项</w:t>
      </w:r>
      <w:r>
        <w:rPr>
          <w:rFonts w:ascii="宋体" w:eastAsia="宋体" w:hAnsi="宋体" w:cs="宋体" w:hint="eastAsia"/>
          <w:color w:val="000000"/>
          <w:sz w:val="28"/>
          <w:szCs w:val="28"/>
          <w:lang w:val="zh-TW" w:eastAsia="zh-TW" w:bidi="zh-TW"/>
        </w:rPr>
        <w:t xml:space="preserve">目支出总预算</w:t>
      </w:r>
      <w:r>
        <w:rPr>
          <w:rFonts w:ascii="宋体" w:eastAsia="宋体" w:hAnsi="宋体" w:cs="宋体" w:hint="eastAsia"/>
          <w:color w:val="000000"/>
          <w:sz w:val="28"/>
          <w:szCs w:val="28"/>
          <w:lang w:val="en-US" w:eastAsia="zh-CN" w:bidi="zh-TW"/>
        </w:rPr>
        <w:t xml:space="preserve">2.74%</w:t>
      </w:r>
      <w:r>
        <w:rPr>
          <w:rFonts w:ascii="宋体" w:eastAsia="宋体" w:hAnsi="宋体" w:cs="宋体" w:hint="eastAsia"/>
          <w:color w:val="000000"/>
          <w:sz w:val="28"/>
          <w:szCs w:val="28"/>
          <w:lang w:val="zh-TW" w:eastAsia="zh-TW" w:bidi="zh-TW"/>
        </w:rPr>
        <w:t xml:space="preserve">,比上年</w:t>
      </w:r>
      <w:r>
        <w:rPr>
          <w:rFonts w:ascii="宋体" w:eastAsia="宋体" w:hAnsi="宋体" w:cs="宋体"/>
          <w:color w:val="000000"/>
          <w:sz w:val="28"/>
          <w:u w:color="auto"/>
        </w:rPr>
        <w:t xml:space="preserve">减少103.20</w:t>
      </w:r>
      <w:r>
        <w:rPr>
          <w:rFonts w:ascii="宋体" w:eastAsia="宋体" w:hAnsi="宋体" w:cs="宋体"/>
          <w:color w:val="000000"/>
          <w:sz w:val="28"/>
          <w:u w:color="auto"/>
        </w:rPr>
        <w:t xml:space="preserve">万元，</w:t>
      </w:r>
      <w:r>
        <w:rPr>
          <w:rFonts w:ascii="宋体" w:eastAsia="宋体" w:hAnsi="宋体" w:cs="宋体"/>
          <w:color w:val="000000"/>
          <w:sz w:val="28"/>
          <w:u w:color="auto"/>
        </w:rPr>
        <w:t xml:space="preserve">减少91.49%</w:t>
      </w:r>
      <w:r>
        <w:rPr>
          <w:rFonts w:ascii="宋体" w:eastAsia="宋体" w:hAnsi="宋体" w:cs="宋体"/>
          <w:color w:val="000000"/>
          <w:sz w:val="28"/>
          <w:u w:color="auto"/>
        </w:rPr>
        <w:t xml:space="preserve">,主要原因是：</w:t>
      </w:r>
      <w:r>
        <w:rPr>
          <w:rFonts w:ascii="宋体" w:eastAsia="宋体" w:hAnsi="宋体" w:cs="宋体" w:hint="eastAsia"/>
          <w:color w:val="000000"/>
          <w:sz w:val="28"/>
          <w:szCs w:val="28"/>
          <w:lang w:val="zh-TW" w:eastAsia="zh-TW" w:bidi="zh-TW"/>
        </w:rPr>
        <w:t xml:space="preserve">严格落实过”紧日子“的要求。减少办公设备购置</w:t>
      </w:r>
      <w:r>
        <w:rPr>
          <w:rFonts w:ascii="宋体" w:eastAsia="宋体" w:hAnsi="宋体" w:cs="宋体" w:hint="eastAsia"/>
          <w:color w:val="000000"/>
          <w:sz w:val="28"/>
          <w:szCs w:val="28"/>
          <w:lang w:val="en-US" w:eastAsia="zh-CN" w:bidi="zh-TW"/>
        </w:rPr>
        <w:t xml:space="preserve">。</w:t>
      </w:r>
    </w:p>
    <w:p>
      <w:pPr>
        <w:pStyle w:val="Bodytext|2"/>
        <w:spacing w:after="0" w:line="619" w:lineRule="exact"/>
        <w:ind w:firstLine="620"/>
        <w:jc w:val="left"/>
        <w:rPr>
          <w:rFonts w:hint="eastAsia"/>
          <w:b/>
          <w:bCs/>
          <w:lang w:val="en-US" w:eastAsia="zh-CN"/>
        </w:rPr>
      </w:pPr>
      <w:r>
        <w:rPr>
          <w:rFonts w:hint="eastAsia"/>
          <w:b/>
          <w:bCs/>
          <w:lang w:val="en-US" w:eastAsia="zh-CN"/>
        </w:rPr>
        <w:t xml:space="preserve">四、财政拨款收支总体情况说明</w:t>
      </w:r>
    </w:p>
    <w:p>
      <w:pPr>
        <w:pStyle w:val="Bodytext|1"/>
        <w:spacing w:line="240" w:lineRule="auto"/>
        <w:ind w:firstLine="0"/>
        <w:jc w:val="left"/>
        <w:rPr>
          <w:lang w:val="en-US" w:eastAsia="zh-CN"/>
        </w:rPr>
      </w:pPr>
      <w:r>
        <w:rPr>
          <w:rFonts w:hint="eastAsia"/>
          <w:lang w:val="en-US" w:eastAsia="zh-CN"/>
        </w:rPr>
        <w:drawing>
          <wp:inline distT="0" distB="0" distL="114300" distR="114300">
            <wp:extent cx="5080000" cy="3810000"/>
            <wp:effectExtent l="4445" t="4445" r="5715" b="10795"/>
            <wp:docPr id="1798" name="图表 13" title="{{img_sz_cb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10"/>
              </a:graphicData>
            </a:graphic>
          </wp:inline>
        </w:drawing>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hint="eastAsia"/>
          <w:sz w:val="28"/>
          <w:szCs w:val="28"/>
        </w:rPr>
      </w:pPr>
      <w:r>
        <w:rPr>
          <w:rFonts w:ascii="宋体" w:eastAsia="宋体" w:hAnsi="宋体" w:cs="宋体" w:hint="eastAsia"/>
          <w:sz w:val="28"/>
          <w:szCs w:val="28"/>
          <w:lang w:eastAsia="zh-CN"/>
        </w:rPr>
        <w:t xml:space="preserve">2024</w:t>
      </w:r>
      <w:r>
        <w:rPr>
          <w:rFonts w:ascii="宋体" w:eastAsia="宋体" w:hAnsi="宋体" w:cs="宋体" w:hint="eastAsia"/>
          <w:sz w:val="28"/>
          <w:szCs w:val="28"/>
          <w:u w:color="auto"/>
        </w:rPr>
        <w:t xml:space="preserve">年</w:t>
      </w:r>
      <w:r>
        <w:rPr>
          <w:rFonts w:ascii="宋体" w:eastAsia="宋体" w:hAnsi="宋体" w:cs="宋体" w:hint="eastAsia"/>
          <w:sz w:val="28"/>
          <w:szCs w:val="28"/>
        </w:rPr>
        <w:t xml:space="preserve">财政拨款收入我部门财政拨款总收入</w:t>
      </w:r>
      <w:r>
        <w:rPr>
          <w:rFonts w:ascii="宋体" w:eastAsia="宋体" w:hAnsi="宋体" w:cs="宋体" w:hint="eastAsia"/>
          <w:sz w:val="28"/>
          <w:szCs w:val="28"/>
          <w:lang w:val="en-US" w:eastAsia="zh-CN" w:bidi="en-US"/>
        </w:rPr>
        <w:t xml:space="preserve">795.44</w:t>
      </w:r>
      <w:r>
        <w:rPr>
          <w:rFonts w:ascii="宋体" w:eastAsia="宋体" w:hAnsi="宋体" w:cs="宋体" w:hint="eastAsia"/>
          <w:sz w:val="28"/>
          <w:szCs w:val="28"/>
        </w:rPr>
        <w:t xml:space="preserve">万元，总支出</w:t>
      </w:r>
      <w:r>
        <w:rPr>
          <w:rFonts w:ascii="宋体" w:eastAsia="宋体" w:hAnsi="宋体" w:cs="宋体" w:hint="eastAsia"/>
          <w:sz w:val="28"/>
          <w:szCs w:val="28"/>
          <w:lang w:val="en-US" w:eastAsia="zh-CN" w:bidi="en-US"/>
        </w:rPr>
        <w:t xml:space="preserve">795.44</w:t>
      </w:r>
      <w:r>
        <w:rPr>
          <w:rFonts w:ascii="宋体" w:eastAsia="宋体" w:hAnsi="宋体" w:cs="宋体" w:hint="eastAsia"/>
          <w:sz w:val="28"/>
          <w:szCs w:val="28"/>
        </w:rPr>
        <w:t xml:space="preserve">万元。财政拨款总收入较2023年度预算数</w:t>
      </w:r>
      <w:r>
        <w:rPr>
          <w:rFonts w:ascii="宋体" w:eastAsia="宋体" w:hAnsi="宋体" w:cs="宋体" w:hint="eastAsia"/>
          <w:sz w:val="28"/>
          <w:szCs w:val="28"/>
          <w:lang w:val="en-US" w:eastAsia="zh-CN" w:bidi="en-US"/>
        </w:rPr>
        <w:t xml:space="preserve">1115.02</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bidi="en-US"/>
        </w:rPr>
        <w:t xml:space="preserve">减少319.58</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bidi="en-US"/>
        </w:rPr>
        <w:t xml:space="preserve">下降28.66%</w:t>
      </w:r>
      <w:r>
        <w:rPr>
          <w:rFonts w:ascii="宋体" w:eastAsia="宋体" w:hAnsi="宋体" w:cs="宋体" w:hint="eastAsia"/>
          <w:sz w:val="28"/>
          <w:szCs w:val="28"/>
        </w:rPr>
        <w:t xml:space="preserve">，主要原因是</w:t>
      </w:r>
      <w:r>
        <w:rPr>
          <w:rFonts w:hint="eastAsia"/>
          <w:highlight w:val="none"/>
          <w:lang w:val="en-US" w:eastAsia="zh-CN"/>
        </w:rPr>
        <w:t xml:space="preserve">严格落实过”紧日子“的要求,，进一步压减一般性项目支出，并根据往年实际支出情况合理调整预算项目支出金额</w:t>
      </w:r>
      <w:r>
        <w:rPr>
          <w:rFonts w:ascii="宋体" w:eastAsia="宋体" w:hAnsi="宋体" w:cs="宋体" w:hint="eastAsia"/>
          <w:sz w:val="28"/>
          <w:szCs w:val="28"/>
        </w:rPr>
        <w:t xml:space="preserve">。财政拨款总支出较2023年度预算数</w:t>
      </w:r>
      <w:r>
        <w:rPr>
          <w:rFonts w:ascii="宋体" w:eastAsia="宋体" w:hAnsi="宋体" w:cs="宋体" w:hint="eastAsia"/>
          <w:sz w:val="28"/>
          <w:szCs w:val="28"/>
          <w:lang w:val="en-US" w:eastAsia="zh-CN" w:bidi="en-US"/>
        </w:rPr>
        <w:t xml:space="preserve">1115.02</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bidi="en-US"/>
        </w:rPr>
        <w:t xml:space="preserve">减少319.58</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bidi="en-US"/>
        </w:rPr>
        <w:t xml:space="preserve">下降28.66%</w:t>
      </w:r>
      <w:r>
        <w:rPr>
          <w:rFonts w:ascii="宋体" w:eastAsia="宋体" w:hAnsi="宋体" w:cs="宋体" w:hint="eastAsia"/>
          <w:sz w:val="28"/>
          <w:szCs w:val="28"/>
        </w:rPr>
        <w:t xml:space="preserve">，主要原因是</w:t>
      </w:r>
      <w:r>
        <w:rPr>
          <w:rFonts w:hint="eastAsia"/>
          <w:highlight w:val="none"/>
          <w:lang w:val="en-US" w:eastAsia="zh-CN"/>
        </w:rPr>
        <w:t xml:space="preserve">严格落实过”紧日子“的要求,，进一步压减一般性项目支出，并根据往年实际支出情况合理调整预算项目支出金额</w:t>
      </w:r>
      <w:r>
        <w:rPr>
          <w:rFonts w:ascii="宋体" w:eastAsia="宋体" w:hAnsi="宋体" w:cs="宋体" w:hint="eastAsia"/>
          <w:sz w:val="28"/>
          <w:szCs w:val="28"/>
        </w:rPr>
        <w:t xml:space="preserve">。</w:t>
      </w:r>
    </w:p>
    <w:p>
      <w:pPr>
        <w:pStyle w:val="Bodytext|2"/>
        <w:spacing w:after="0" w:line="619" w:lineRule="exact"/>
        <w:ind w:firstLine="620"/>
        <w:jc w:val="left"/>
        <w:rPr>
          <w:rFonts w:hint="eastAsia"/>
          <w:b/>
          <w:bCs/>
          <w:lang w:val="en-US" w:eastAsia="zh-CN"/>
        </w:rPr>
      </w:pPr>
      <w:r>
        <w:rPr>
          <w:rFonts w:hint="eastAsia"/>
          <w:b/>
          <w:bCs/>
          <w:lang w:val="en-US" w:eastAsia="zh-CN"/>
        </w:rPr>
        <w:t xml:space="preserve">五、一般公共预算支出情况说明</w:t>
      </w:r>
    </w:p>
    <w:p>
      <w:pPr>
        <w:pStyle w:val="Bodytext|1"/>
        <w:spacing w:line="240" w:lineRule="auto"/>
        <w:ind w:firstLine="0"/>
        <w:jc w:val="left"/>
        <w:rPr>
          <w:lang w:eastAsia="zh-CN"/>
        </w:rPr>
      </w:pPr>
      <w:r>
        <w:rPr>
          <w:lang w:eastAsia="zh-CN"/>
        </w:rPr>
        <w:drawing>
          <wp:inline distT="0" distB="0" distL="114300" distR="114300">
            <wp:extent cx="5080000" cy="3810000"/>
            <wp:effectExtent l="4445" t="4445" r="20955" b="14605"/>
            <wp:docPr id="1799" name="图表 10" title="{{img_zc_yb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11"/>
              </a:graphicData>
            </a:graphic>
          </wp:inline>
        </w:drawing>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lang w:eastAsia="zh-CN"/>
        </w:rPr>
        <w:t xml:space="preserve">2024</w:t>
      </w:r>
      <w:r>
        <w:rPr>
          <w:rFonts w:ascii="宋体" w:eastAsia="宋体" w:hAnsi="宋体" w:cs="宋体" w:hint="eastAsia"/>
          <w:sz w:val="28"/>
          <w:szCs w:val="28"/>
          <w:lang w:val="en-US" w:eastAsia="zh-CN"/>
        </w:rPr>
        <w:t xml:space="preserve">年</w:t>
      </w:r>
      <w:r>
        <w:rPr>
          <w:rFonts w:ascii="宋体" w:eastAsia="宋体" w:hAnsi="宋体" w:cs="宋体" w:hint="eastAsia"/>
          <w:sz w:val="28"/>
          <w:szCs w:val="28"/>
        </w:rPr>
        <w:t xml:space="preserve">一般公共预算支出共</w:t>
      </w:r>
      <w:r>
        <w:rPr>
          <w:rFonts w:ascii="宋体" w:eastAsia="宋体" w:hAnsi="宋体" w:cs="宋体" w:hint="eastAsia"/>
          <w:sz w:val="28"/>
          <w:szCs w:val="28"/>
          <w:lang w:val="en-US" w:eastAsia="zh-CN"/>
        </w:rPr>
        <w:t xml:space="preserve">795.44</w:t>
      </w:r>
      <w:r>
        <w:rPr>
          <w:rFonts w:ascii="宋体" w:eastAsia="宋体" w:hAnsi="宋体" w:cs="宋体" w:hint="eastAsia"/>
          <w:sz w:val="28"/>
          <w:szCs w:val="28"/>
        </w:rPr>
        <w:t xml:space="preserve">万元，较2023年度预算数</w:t>
      </w:r>
      <w:r>
        <w:rPr>
          <w:rFonts w:ascii="宋体" w:eastAsia="宋体" w:hAnsi="宋体" w:cs="宋体" w:hint="eastAsia"/>
          <w:sz w:val="28"/>
          <w:szCs w:val="28"/>
          <w:lang w:val="en-US" w:eastAsia="zh-CN"/>
        </w:rPr>
        <w:t xml:space="preserve">1115.02</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rPr>
        <w:t xml:space="preserve">减少319.58</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rPr>
        <w:t xml:space="preserve">下降28.66%</w:t>
      </w:r>
      <w:r>
        <w:rPr>
          <w:rFonts w:ascii="宋体" w:eastAsia="宋体" w:hAnsi="宋体" w:cs="宋体" w:hint="eastAsia"/>
          <w:sz w:val="28"/>
          <w:szCs w:val="28"/>
        </w:rPr>
        <w:t xml:space="preserve">，主要原因是</w:t>
      </w:r>
      <w:r>
        <w:rPr>
          <w:rFonts w:hint="eastAsia"/>
          <w:highlight w:val="none"/>
          <w:lang w:val="en-US" w:eastAsia="zh-CN"/>
        </w:rPr>
        <w:t xml:space="preserve">严格落实过”紧日子“的要求,，进一步压减一般性项目支出，并根据往年实际支出情况合理调整预算项目支出金额</w:t>
      </w:r>
      <w:r>
        <w:rPr>
          <w:rFonts w:ascii="宋体" w:eastAsia="宋体" w:hAnsi="宋体" w:cs="宋体" w:hint="eastAsia"/>
          <w:sz w:val="28"/>
          <w:szCs w:val="28"/>
        </w:rPr>
        <w:t xml:space="preserve">。中央提前下达2024年一般公共预算转移支付资金安排的支出</w:t>
      </w:r>
      <w:r>
        <w:rPr>
          <w:rFonts w:ascii="宋体" w:eastAsia="宋体" w:hAnsi="宋体" w:cs="宋体" w:hint="eastAsia"/>
          <w:sz w:val="28"/>
          <w:szCs w:val="28"/>
          <w:lang w:val="en-US" w:eastAsia="zh-CN"/>
        </w:rPr>
        <w:t xml:space="preserve">100.00</w:t>
      </w:r>
      <w:r>
        <w:rPr>
          <w:rFonts w:ascii="宋体" w:eastAsia="宋体" w:hAnsi="宋体" w:cs="宋体" w:hint="eastAsia"/>
          <w:sz w:val="28"/>
          <w:szCs w:val="28"/>
        </w:rPr>
        <w:t xml:space="preserve">万元。具体情况为：</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一般公共服务支出</w:t>
      </w:r>
      <w:r>
        <w:rPr>
          <w:rFonts w:ascii="宋体" w:eastAsia="宋体" w:hAnsi="宋体" w:cs="宋体" w:hint="eastAsia"/>
          <w:sz w:val="28"/>
          <w:szCs w:val="28"/>
        </w:rPr>
        <w:t xml:space="preserve">（类）支出</w:t>
      </w:r>
      <w:r>
        <w:rPr>
          <w:rFonts w:ascii="宋体" w:eastAsia="宋体" w:hAnsi="宋体" w:cs="宋体"/>
          <w:sz w:val="28"/>
          <w:u w:color="auto"/>
        </w:rPr>
        <w:t xml:space="preserve">721.55</w:t>
      </w:r>
      <w:r>
        <w:rPr>
          <w:rFonts w:ascii="宋体" w:eastAsia="宋体" w:hAnsi="宋体" w:cs="宋体" w:hint="eastAsia"/>
          <w:sz w:val="28"/>
          <w:szCs w:val="28"/>
        </w:rPr>
        <w:t xml:space="preserve">万元，占支出总预算的</w:t>
      </w:r>
      <w:r>
        <w:rPr>
          <w:rFonts w:ascii="宋体" w:eastAsia="宋体" w:hAnsi="宋体" w:cs="宋体"/>
          <w:sz w:val="28"/>
          <w:u w:color="auto"/>
        </w:rPr>
        <w:t xml:space="preserve">90.71%</w:t>
      </w:r>
      <w:r>
        <w:rPr>
          <w:rFonts w:ascii="宋体" w:eastAsia="宋体" w:hAnsi="宋体" w:cs="宋体" w:hint="eastAsia"/>
          <w:sz w:val="28"/>
          <w:szCs w:val="28"/>
          <w:lang w:eastAsia="zh-CN"/>
        </w:rPr>
        <w:t xml:space="preserve">，</w:t>
      </w:r>
      <w:r>
        <w:rPr>
          <w:rFonts w:ascii="宋体" w:eastAsia="宋体" w:hAnsi="宋体" w:cs="宋体" w:hint="eastAsia"/>
          <w:sz w:val="28"/>
          <w:szCs w:val="28"/>
        </w:rPr>
        <w:t xml:space="preserve">较2023年度预算数</w:t>
      </w:r>
      <w:r>
        <w:rPr>
          <w:rFonts w:ascii="宋体" w:eastAsia="宋体" w:hAnsi="宋体" w:cs="宋体"/>
          <w:sz w:val="28"/>
          <w:u w:color="auto"/>
        </w:rPr>
        <w:t xml:space="preserve">1034.14</w:t>
      </w:r>
      <w:r>
        <w:rPr>
          <w:rFonts w:ascii="宋体" w:eastAsia="宋体" w:hAnsi="宋体" w:cs="宋体" w:hint="eastAsia"/>
          <w:sz w:val="28"/>
          <w:szCs w:val="28"/>
        </w:rPr>
        <w:t xml:space="preserve">万元，</w:t>
      </w:r>
      <w:r>
        <w:rPr>
          <w:rFonts w:ascii="宋体" w:eastAsia="宋体" w:hAnsi="宋体" w:cs="宋体"/>
          <w:sz w:val="28"/>
          <w:u w:color="auto"/>
        </w:rPr>
        <w:t xml:space="preserve">减少312.59</w:t>
      </w:r>
      <w:r>
        <w:rPr>
          <w:rFonts w:ascii="宋体" w:eastAsia="宋体" w:hAnsi="宋体" w:cs="宋体" w:hint="eastAsia"/>
          <w:sz w:val="28"/>
          <w:szCs w:val="28"/>
        </w:rPr>
        <w:t xml:space="preserve">万元，</w:t>
      </w:r>
      <w:r>
        <w:rPr>
          <w:rFonts w:ascii="宋体" w:eastAsia="宋体" w:hAnsi="宋体" w:cs="宋体"/>
          <w:sz w:val="28"/>
          <w:u w:color="auto"/>
        </w:rPr>
        <w:t xml:space="preserve">减少30.23%</w:t>
      </w:r>
      <w:r>
        <w:rPr>
          <w:rFonts w:ascii="宋体" w:eastAsia="宋体" w:hAnsi="宋体" w:cs="宋体" w:hint="eastAsia"/>
          <w:sz w:val="28"/>
          <w:szCs w:val="28"/>
        </w:rPr>
        <w:t xml:space="preserve">，主要原因是：</w:t>
      </w:r>
      <w:r>
        <w:rPr>
          <w:rFonts w:hint="eastAsia"/>
          <w:highlight w:val="none"/>
        </w:rPr>
        <w:t xml:space="preserve">严格落实过”紧日子“的要求,，进一步压减一般性项目支出，并根据往年实际支出情况合理调整预算项目支出金额</w:t>
      </w:r>
      <w:r>
        <w:rPr>
          <w:rFonts w:ascii="宋体" w:eastAsia="宋体" w:hAnsi="宋体" w:cs="宋体" w:hint="eastAsia"/>
          <w:sz w:val="28"/>
          <w:szCs w:val="28"/>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住房保障支出</w:t>
      </w:r>
      <w:r>
        <w:rPr>
          <w:rFonts w:ascii="宋体" w:eastAsia="宋体" w:hAnsi="宋体" w:cs="宋体" w:hint="eastAsia"/>
          <w:sz w:val="28"/>
          <w:szCs w:val="28"/>
        </w:rPr>
        <w:t xml:space="preserve">（类）支出</w:t>
      </w:r>
      <w:r>
        <w:rPr>
          <w:rFonts w:ascii="宋体" w:eastAsia="宋体" w:hAnsi="宋体" w:cs="宋体"/>
          <w:sz w:val="28"/>
          <w:u w:color="auto"/>
        </w:rPr>
        <w:t xml:space="preserve">34.20</w:t>
      </w:r>
      <w:r>
        <w:rPr>
          <w:rFonts w:ascii="宋体" w:eastAsia="宋体" w:hAnsi="宋体" w:cs="宋体" w:hint="eastAsia"/>
          <w:sz w:val="28"/>
          <w:szCs w:val="28"/>
        </w:rPr>
        <w:t xml:space="preserve">万元，占支出总预算的</w:t>
      </w:r>
      <w:r>
        <w:rPr>
          <w:rFonts w:ascii="宋体" w:eastAsia="宋体" w:hAnsi="宋体" w:cs="宋体"/>
          <w:sz w:val="28"/>
          <w:u w:color="auto"/>
        </w:rPr>
        <w:t xml:space="preserve">4.30%</w:t>
      </w:r>
      <w:r>
        <w:rPr>
          <w:rFonts w:ascii="宋体" w:eastAsia="宋体" w:hAnsi="宋体" w:cs="宋体" w:hint="eastAsia"/>
          <w:sz w:val="28"/>
          <w:szCs w:val="28"/>
          <w:lang w:eastAsia="zh-CN"/>
        </w:rPr>
        <w:t xml:space="preserve">，</w:t>
      </w:r>
      <w:r>
        <w:rPr>
          <w:rFonts w:ascii="宋体" w:eastAsia="宋体" w:hAnsi="宋体" w:cs="宋体" w:hint="eastAsia"/>
          <w:sz w:val="28"/>
          <w:szCs w:val="28"/>
        </w:rPr>
        <w:t xml:space="preserve">较2023年度预算数</w:t>
      </w:r>
      <w:r>
        <w:rPr>
          <w:rFonts w:ascii="宋体" w:eastAsia="宋体" w:hAnsi="宋体" w:cs="宋体"/>
          <w:sz w:val="28"/>
          <w:u w:color="auto"/>
        </w:rPr>
        <w:t xml:space="preserve">34.69</w:t>
      </w:r>
      <w:r>
        <w:rPr>
          <w:rFonts w:ascii="宋体" w:eastAsia="宋体" w:hAnsi="宋体" w:cs="宋体" w:hint="eastAsia"/>
          <w:sz w:val="28"/>
          <w:szCs w:val="28"/>
        </w:rPr>
        <w:t xml:space="preserve">万元，</w:t>
      </w:r>
      <w:r>
        <w:rPr>
          <w:rFonts w:ascii="宋体" w:eastAsia="宋体" w:hAnsi="宋体" w:cs="宋体"/>
          <w:sz w:val="28"/>
          <w:u w:color="auto"/>
        </w:rPr>
        <w:t xml:space="preserve">减少0.49</w:t>
      </w:r>
      <w:r>
        <w:rPr>
          <w:rFonts w:ascii="宋体" w:eastAsia="宋体" w:hAnsi="宋体" w:cs="宋体" w:hint="eastAsia"/>
          <w:sz w:val="28"/>
          <w:szCs w:val="28"/>
        </w:rPr>
        <w:t xml:space="preserve">万元，</w:t>
      </w:r>
      <w:r>
        <w:rPr>
          <w:rFonts w:ascii="宋体" w:eastAsia="宋体" w:hAnsi="宋体" w:cs="宋体"/>
          <w:sz w:val="28"/>
          <w:u w:color="auto"/>
        </w:rPr>
        <w:t xml:space="preserve">减少1.41%</w:t>
      </w:r>
      <w:r>
        <w:rPr>
          <w:rFonts w:ascii="宋体" w:eastAsia="宋体" w:hAnsi="宋体" w:cs="宋体" w:hint="eastAsia"/>
          <w:sz w:val="28"/>
          <w:szCs w:val="28"/>
        </w:rPr>
        <w:t xml:space="preserve">，主要原因是：</w:t>
      </w:r>
      <w:r>
        <w:rPr>
          <w:rFonts w:hint="eastAsia"/>
          <w:highlight w:val="none"/>
        </w:rPr>
        <w:t xml:space="preserve">在职人员减少。</w:t>
      </w:r>
      <w:r>
        <w:rPr>
          <w:rFonts w:ascii="宋体" w:eastAsia="宋体" w:hAnsi="宋体" w:cs="宋体" w:hint="eastAsia"/>
          <w:sz w:val="28"/>
          <w:szCs w:val="28"/>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社会保障和就业支出</w:t>
      </w:r>
      <w:r>
        <w:rPr>
          <w:rFonts w:ascii="宋体" w:eastAsia="宋体" w:hAnsi="宋体" w:cs="宋体" w:hint="eastAsia"/>
          <w:sz w:val="28"/>
          <w:szCs w:val="28"/>
        </w:rPr>
        <w:t xml:space="preserve">（类）支出</w:t>
      </w:r>
      <w:r>
        <w:rPr>
          <w:rFonts w:ascii="宋体" w:eastAsia="宋体" w:hAnsi="宋体" w:cs="宋体"/>
          <w:sz w:val="28"/>
          <w:u w:color="auto"/>
        </w:rPr>
        <w:t xml:space="preserve">39.69</w:t>
      </w:r>
      <w:r>
        <w:rPr>
          <w:rFonts w:ascii="宋体" w:eastAsia="宋体" w:hAnsi="宋体" w:cs="宋体" w:hint="eastAsia"/>
          <w:sz w:val="28"/>
          <w:szCs w:val="28"/>
        </w:rPr>
        <w:t xml:space="preserve">万元，占支出总预算的</w:t>
      </w:r>
      <w:r>
        <w:rPr>
          <w:rFonts w:ascii="宋体" w:eastAsia="宋体" w:hAnsi="宋体" w:cs="宋体"/>
          <w:sz w:val="28"/>
          <w:u w:color="auto"/>
        </w:rPr>
        <w:t xml:space="preserve">4.99%</w:t>
      </w:r>
      <w:r>
        <w:rPr>
          <w:rFonts w:ascii="宋体" w:eastAsia="宋体" w:hAnsi="宋体" w:cs="宋体" w:hint="eastAsia"/>
          <w:sz w:val="28"/>
          <w:szCs w:val="28"/>
          <w:lang w:eastAsia="zh-CN"/>
        </w:rPr>
        <w:t xml:space="preserve">，</w:t>
      </w:r>
      <w:r>
        <w:rPr>
          <w:rFonts w:ascii="宋体" w:eastAsia="宋体" w:hAnsi="宋体" w:cs="宋体" w:hint="eastAsia"/>
          <w:sz w:val="28"/>
          <w:szCs w:val="28"/>
        </w:rPr>
        <w:t xml:space="preserve">较2023年度预算数</w:t>
      </w:r>
      <w:r>
        <w:rPr>
          <w:rFonts w:ascii="宋体" w:eastAsia="宋体" w:hAnsi="宋体" w:cs="宋体"/>
          <w:sz w:val="28"/>
          <w:u w:color="auto"/>
        </w:rPr>
        <w:t xml:space="preserve">46.19</w:t>
      </w:r>
      <w:r>
        <w:rPr>
          <w:rFonts w:ascii="宋体" w:eastAsia="宋体" w:hAnsi="宋体" w:cs="宋体" w:hint="eastAsia"/>
          <w:sz w:val="28"/>
          <w:szCs w:val="28"/>
        </w:rPr>
        <w:t xml:space="preserve">万元，</w:t>
      </w:r>
      <w:r>
        <w:rPr>
          <w:rFonts w:ascii="宋体" w:eastAsia="宋体" w:hAnsi="宋体" w:cs="宋体"/>
          <w:sz w:val="28"/>
          <w:u w:color="auto"/>
        </w:rPr>
        <w:t xml:space="preserve">减少6.50</w:t>
      </w:r>
      <w:r>
        <w:rPr>
          <w:rFonts w:ascii="宋体" w:eastAsia="宋体" w:hAnsi="宋体" w:cs="宋体" w:hint="eastAsia"/>
          <w:sz w:val="28"/>
          <w:szCs w:val="28"/>
        </w:rPr>
        <w:t xml:space="preserve">万元，</w:t>
      </w:r>
      <w:r>
        <w:rPr>
          <w:rFonts w:ascii="宋体" w:eastAsia="宋体" w:hAnsi="宋体" w:cs="宋体"/>
          <w:sz w:val="28"/>
          <w:u w:color="auto"/>
        </w:rPr>
        <w:t xml:space="preserve">减少14.07%</w:t>
      </w:r>
      <w:r>
        <w:rPr>
          <w:rFonts w:ascii="宋体" w:eastAsia="宋体" w:hAnsi="宋体" w:cs="宋体" w:hint="eastAsia"/>
          <w:sz w:val="28"/>
          <w:szCs w:val="28"/>
        </w:rPr>
        <w:t xml:space="preserve">，主要原因是：</w:t>
      </w:r>
      <w:r>
        <w:rPr>
          <w:rFonts w:hint="eastAsia"/>
          <w:highlight w:val="none"/>
        </w:rPr>
        <w:t xml:space="preserve">在职人员减少。</w:t>
      </w:r>
      <w:r>
        <w:rPr>
          <w:rFonts w:ascii="宋体" w:eastAsia="宋体" w:hAnsi="宋体" w:cs="宋体" w:hint="eastAsia"/>
          <w:sz w:val="28"/>
          <w:szCs w:val="28"/>
        </w:rPr>
        <w:t xml:space="preserve">。</w:t>
      </w:r>
    </w:p>
    <w:p>
      <w:pPr>
        <w:pStyle w:val="Bodytext|2"/>
        <w:keepNext w:val="0"/>
        <w:keepLines w:val="0"/>
        <w:pageBreakBefore w:val="0"/>
        <w:widowControl w:val="0"/>
        <w:kinsoku/>
        <w:wordWrap/>
        <w:overflowPunct/>
        <w:topLinePunct w:val="0"/>
        <w:autoSpaceDE/>
        <w:autoSpaceDN/>
        <w:bidi w:val="0"/>
        <w:adjustRightInd/>
        <w:snapToGrid/>
        <w:spacing w:before="120" w:after="0" w:line="600" w:lineRule="exact"/>
        <w:ind w:firstLine="618"/>
        <w:jc w:val="left"/>
        <w:textAlignment w:val="auto"/>
        <w:rPr>
          <w:rFonts w:hint="eastAsia"/>
          <w:b/>
          <w:bCs/>
          <w:lang w:val="en-US" w:eastAsia="zh-CN"/>
        </w:rPr>
      </w:pPr>
      <w:r>
        <w:rPr>
          <w:rFonts w:hint="eastAsia"/>
          <w:b/>
          <w:bCs/>
          <w:lang w:val="en-US" w:eastAsia="zh-CN"/>
        </w:rPr>
        <w:t xml:space="preserve">六、一般公共预算基本支出情况说明</w:t>
      </w:r>
    </w:p>
    <w:p>
      <w:pPr>
        <w:pStyle w:val="Bodytext|2"/>
        <w:spacing w:after="0"/>
        <w:ind w:firstLine="0"/>
        <w:jc w:val="left"/>
        <w:rPr>
          <w:highlight w:val="yellow"/>
          <w:lang w:val="en-US" w:eastAsia="zh-CN"/>
        </w:rPr>
      </w:pPr>
      <w:r>
        <w:rPr>
          <w:highlight w:val="none"/>
          <w:lang w:val="en-US" w:eastAsia="zh-CN"/>
        </w:rPr>
        <w:drawing>
          <wp:inline distT="0" distB="0" distL="114300" distR="114300">
            <wp:extent cx="5080000" cy="3810000"/>
            <wp:effectExtent l="4445" t="4445" r="20955" b="14605"/>
            <wp:docPr id="1800" name="图表 3" title="{{rep6_yb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12"/>
              </a:graphicData>
            </a:graphic>
          </wp:inline>
        </w:drawing>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hint="eastAsia"/>
          <w:lang w:val="en-US" w:eastAsia="zh-CN"/>
        </w:rPr>
      </w:pPr>
      <w:r>
        <w:rPr>
          <w:rFonts w:hint="eastAsia"/>
          <w:lang w:val="en-US" w:eastAsia="zh-CN"/>
        </w:rPr>
        <w:t xml:space="preserve">2024</w:t>
      </w:r>
      <w:r>
        <w:rPr>
          <w:u w:color="auto"/>
        </w:rPr>
        <w:t xml:space="preserve">年</w:t>
      </w:r>
      <w:r>
        <w:rPr>
          <w:rFonts w:hint="eastAsia"/>
        </w:rPr>
        <w:t xml:space="preserve">一般公共预算基本支出共</w:t>
      </w:r>
      <w:r>
        <w:rPr>
          <w:rFonts w:hint="eastAsia"/>
          <w:lang w:val="en-US" w:eastAsia="zh-CN"/>
        </w:rPr>
        <w:t xml:space="preserve">445.44</w:t>
      </w:r>
      <w:r>
        <w:rPr>
          <w:rFonts w:hint="eastAsia"/>
        </w:rPr>
        <w:t xml:space="preserve">万元，较2023年度预算数</w:t>
      </w:r>
      <w:r>
        <w:rPr>
          <w:rFonts w:hint="eastAsia"/>
          <w:lang w:val="en-US" w:eastAsia="zh-CN"/>
        </w:rPr>
        <w:t xml:space="preserve">435.02</w:t>
      </w:r>
      <w:r>
        <w:rPr>
          <w:rFonts w:hint="eastAsia"/>
        </w:rPr>
        <w:t xml:space="preserve">万元</w:t>
      </w:r>
      <w:r>
        <w:rPr>
          <w:rFonts w:hint="eastAsia"/>
          <w:lang w:val="en-US" w:eastAsia="zh-CN"/>
        </w:rPr>
        <w:t xml:space="preserve">,</w:t>
      </w:r>
      <w:r>
        <w:rPr>
          <w:u w:color="auto"/>
        </w:rPr>
        <w:t xml:space="preserve">增加10.42</w:t>
      </w:r>
      <w:r>
        <w:rPr>
          <w:rFonts w:hint="eastAsia"/>
        </w:rPr>
        <w:t xml:space="preserve">万元，</w:t>
      </w:r>
      <w:r>
        <w:rPr>
          <w:rFonts w:hint="eastAsia"/>
          <w:lang w:val="en-US" w:eastAsia="zh-CN"/>
        </w:rPr>
        <w:t xml:space="preserve">增长2.40%</w:t>
      </w:r>
      <w:r>
        <w:rPr>
          <w:rFonts w:hint="eastAsia"/>
        </w:rPr>
        <w:t xml:space="preserve">，主要原因是</w:t>
      </w:r>
      <w:r>
        <w:rPr>
          <w:rFonts w:hint="eastAsia"/>
          <w:highlight w:val="none"/>
          <w:lang w:val="en-US" w:eastAsia="zh-CN"/>
        </w:rPr>
        <w:t xml:space="preserve">工资福利性支出和其他对个人和家庭补助预算增加</w:t>
      </w:r>
      <w:r>
        <w:rPr>
          <w:rFonts w:hint="eastAsia"/>
        </w:rPr>
        <w:t xml:space="preserve">具体情况为：</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0"/>
        <w:jc w:val="left"/>
        <w:textAlignment w:val="auto"/>
        <w:rPr>
          <w:rFonts w:hint="default"/>
          <w:lang w:val="en-US" w:eastAsia="zh-CN"/>
        </w:rPr>
      </w:pPr>
      <w:r>
        <w:rPr>
          <w:rFonts w:hint="eastAsia"/>
          <w:lang w:val="en-US" w:eastAsia="zh-CN"/>
        </w:rPr>
        <w:t xml:space="preserve">工资福利支出</w:t>
      </w:r>
      <w:r>
        <w:rPr>
          <w:rFonts w:hint="eastAsia"/>
        </w:rPr>
        <w:t xml:space="preserve">支出预算</w:t>
      </w:r>
      <w:r>
        <w:rPr>
          <w:rFonts w:hint="eastAsia"/>
          <w:lang w:val="en-US" w:eastAsia="zh-CN"/>
        </w:rPr>
        <w:t xml:space="preserve">362.01</w:t>
      </w:r>
      <w:r>
        <w:t xml:space="preserve">万元</w:t>
      </w:r>
      <w:r>
        <w:rPr>
          <w:rFonts w:hint="eastAsia"/>
          <w:lang w:eastAsia="zh-CN"/>
        </w:rPr>
        <w:t xml:space="preserve">，</w:t>
      </w:r>
      <w:r>
        <w:rPr>
          <w:rFonts w:hint="eastAsia"/>
        </w:rPr>
        <w:t xml:space="preserve">占基本支出预算的</w:t>
      </w:r>
      <w:r>
        <w:rPr>
          <w:rFonts w:hint="eastAsia"/>
          <w:lang w:val="en-US" w:eastAsia="zh-CN"/>
        </w:rPr>
        <w:t xml:space="preserve">81.27%</w:t>
      </w:r>
      <w:r>
        <w:rPr>
          <w:rFonts w:hint="eastAsia"/>
        </w:rPr>
        <w:t xml:space="preserve">，较2023年度预算数</w:t>
      </w:r>
      <w:r>
        <w:rPr>
          <w:rFonts w:hint="eastAsia"/>
          <w:lang w:val="en-US" w:eastAsia="zh-CN"/>
        </w:rPr>
        <w:t xml:space="preserve">359.31</w:t>
      </w:r>
      <w:r>
        <w:rPr>
          <w:rFonts w:hint="eastAsia"/>
        </w:rPr>
        <w:t xml:space="preserve">万元，</w:t>
      </w:r>
      <w:r>
        <w:rPr>
          <w:rFonts w:hint="eastAsia"/>
          <w:lang w:val="en-US" w:eastAsia="zh-CN"/>
        </w:rPr>
        <w:t xml:space="preserve">增长2.70</w:t>
      </w:r>
      <w:r>
        <w:rPr>
          <w:rFonts w:hint="eastAsia"/>
        </w:rPr>
        <w:t xml:space="preserve">万元，</w:t>
      </w:r>
      <w:r>
        <w:rPr>
          <w:rFonts w:hint="eastAsia"/>
          <w:lang w:val="en-US" w:eastAsia="zh-CN"/>
        </w:rPr>
        <w:t xml:space="preserve">增长0.75%</w:t>
      </w:r>
      <w:r>
        <w:rPr>
          <w:rFonts w:hint="eastAsia"/>
        </w:rPr>
        <w:t xml:space="preserve">，主要原因是：</w:t>
      </w:r>
      <w:r>
        <w:rPr>
          <w:rFonts w:hint="eastAsia"/>
          <w:highlight w:val="none"/>
        </w:rPr>
        <w:t xml:space="preserve">增加公务员基础性绩效和事业基础性绩效工资增量预算</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0"/>
        <w:jc w:val="left"/>
        <w:textAlignment w:val="auto"/>
        <w:rPr>
          <w:rFonts w:hint="default"/>
          <w:lang w:val="en-US" w:eastAsia="zh-CN"/>
        </w:rPr>
      </w:pPr>
      <w:r>
        <w:rPr>
          <w:rFonts w:hint="eastAsia"/>
          <w:lang w:val="en-US" w:eastAsia="zh-CN"/>
        </w:rPr>
        <w:t xml:space="preserve">商品和服务支出</w:t>
      </w:r>
      <w:r>
        <w:rPr>
          <w:rFonts w:hint="eastAsia"/>
        </w:rPr>
        <w:t xml:space="preserve">支出预算</w:t>
      </w:r>
      <w:r>
        <w:rPr>
          <w:rFonts w:hint="eastAsia"/>
          <w:lang w:val="en-US" w:eastAsia="zh-CN"/>
        </w:rPr>
        <w:t xml:space="preserve">34.91</w:t>
      </w:r>
      <w:r>
        <w:t xml:space="preserve">万元</w:t>
      </w:r>
      <w:r>
        <w:rPr>
          <w:rFonts w:hint="eastAsia"/>
          <w:lang w:eastAsia="zh-CN"/>
        </w:rPr>
        <w:t xml:space="preserve">，</w:t>
      </w:r>
      <w:r>
        <w:rPr>
          <w:rFonts w:hint="eastAsia"/>
        </w:rPr>
        <w:t xml:space="preserve">占基本支出预算的</w:t>
      </w:r>
      <w:r>
        <w:rPr>
          <w:rFonts w:hint="eastAsia"/>
          <w:lang w:val="en-US" w:eastAsia="zh-CN"/>
        </w:rPr>
        <w:t xml:space="preserve">7.84%</w:t>
      </w:r>
      <w:r>
        <w:rPr>
          <w:rFonts w:hint="eastAsia"/>
        </w:rPr>
        <w:t xml:space="preserve">，较2023年度预算数</w:t>
      </w:r>
      <w:r>
        <w:rPr>
          <w:rFonts w:hint="eastAsia"/>
          <w:lang w:val="en-US" w:eastAsia="zh-CN"/>
        </w:rPr>
        <w:t xml:space="preserve">41.03</w:t>
      </w:r>
      <w:r>
        <w:rPr>
          <w:rFonts w:hint="eastAsia"/>
        </w:rPr>
        <w:t xml:space="preserve">万元，</w:t>
      </w:r>
      <w:r>
        <w:rPr>
          <w:rFonts w:hint="eastAsia"/>
          <w:lang w:val="en-US" w:eastAsia="zh-CN"/>
        </w:rPr>
        <w:t xml:space="preserve">减少6.12</w:t>
      </w:r>
      <w:r>
        <w:rPr>
          <w:rFonts w:hint="eastAsia"/>
        </w:rPr>
        <w:t xml:space="preserve">万元，</w:t>
      </w:r>
      <w:r>
        <w:rPr>
          <w:rFonts w:hint="eastAsia"/>
          <w:lang w:val="en-US" w:eastAsia="zh-CN"/>
        </w:rPr>
        <w:t xml:space="preserve">减少14.92%</w:t>
      </w:r>
      <w:r>
        <w:rPr>
          <w:rFonts w:hint="eastAsia"/>
        </w:rPr>
        <w:t xml:space="preserve">，主要原因是：</w:t>
      </w:r>
      <w:r>
        <w:rPr>
          <w:rFonts w:hint="eastAsia"/>
          <w:highlight w:val="none"/>
        </w:rPr>
        <w:t xml:space="preserve">在职人员减少</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0"/>
        <w:jc w:val="left"/>
        <w:textAlignment w:val="auto"/>
        <w:rPr>
          <w:rFonts w:hint="default"/>
          <w:lang w:val="en-US" w:eastAsia="zh-CN"/>
        </w:rPr>
      </w:pPr>
      <w:r>
        <w:rPr>
          <w:rFonts w:hint="eastAsia"/>
          <w:lang w:val="en-US" w:eastAsia="zh-CN"/>
        </w:rPr>
        <w:t xml:space="preserve">对个人和家庭的补助</w:t>
      </w:r>
      <w:r>
        <w:rPr>
          <w:rFonts w:hint="eastAsia"/>
        </w:rPr>
        <w:t xml:space="preserve">支出预算</w:t>
      </w:r>
      <w:r>
        <w:rPr>
          <w:rFonts w:hint="eastAsia"/>
          <w:lang w:val="en-US" w:eastAsia="zh-CN"/>
        </w:rPr>
        <w:t xml:space="preserve">48.52</w:t>
      </w:r>
      <w:r>
        <w:t xml:space="preserve">万元</w:t>
      </w:r>
      <w:r>
        <w:rPr>
          <w:rFonts w:hint="eastAsia"/>
          <w:lang w:eastAsia="zh-CN"/>
        </w:rPr>
        <w:t xml:space="preserve">，</w:t>
      </w:r>
      <w:r>
        <w:rPr>
          <w:rFonts w:hint="eastAsia"/>
        </w:rPr>
        <w:t xml:space="preserve">占基本支出预算的</w:t>
      </w:r>
      <w:r>
        <w:rPr>
          <w:rFonts w:hint="eastAsia"/>
          <w:lang w:val="en-US" w:eastAsia="zh-CN"/>
        </w:rPr>
        <w:t xml:space="preserve">10.89%</w:t>
      </w:r>
      <w:r>
        <w:rPr>
          <w:rFonts w:hint="eastAsia"/>
        </w:rPr>
        <w:t xml:space="preserve">，较2023年度预算数</w:t>
      </w:r>
      <w:r>
        <w:rPr>
          <w:rFonts w:hint="eastAsia"/>
          <w:lang w:val="en-US" w:eastAsia="zh-CN"/>
        </w:rPr>
        <w:t xml:space="preserve">34.68</w:t>
      </w:r>
      <w:r>
        <w:rPr>
          <w:rFonts w:hint="eastAsia"/>
        </w:rPr>
        <w:t xml:space="preserve">万元，</w:t>
      </w:r>
      <w:r>
        <w:rPr>
          <w:rFonts w:hint="eastAsia"/>
          <w:lang w:val="en-US" w:eastAsia="zh-CN"/>
        </w:rPr>
        <w:t xml:space="preserve">增长13.84</w:t>
      </w:r>
      <w:r>
        <w:rPr>
          <w:rFonts w:hint="eastAsia"/>
        </w:rPr>
        <w:t xml:space="preserve">万元，</w:t>
      </w:r>
      <w:r>
        <w:rPr>
          <w:rFonts w:hint="eastAsia"/>
          <w:lang w:val="en-US" w:eastAsia="zh-CN"/>
        </w:rPr>
        <w:t xml:space="preserve">增长39.91%</w:t>
      </w:r>
      <w:r>
        <w:rPr>
          <w:rFonts w:hint="eastAsia"/>
        </w:rPr>
        <w:t xml:space="preserve">，主要原因是：</w:t>
      </w:r>
      <w:r>
        <w:rPr>
          <w:rFonts w:hint="eastAsia"/>
          <w:highlight w:val="none"/>
        </w:rPr>
        <w:t xml:space="preserve">退休人员增加</w:t>
      </w:r>
    </w:p>
    <w:p>
      <w:pPr>
        <w:pStyle w:val="Bodytext|2"/>
        <w:spacing w:after="0" w:line="619" w:lineRule="exact"/>
        <w:ind w:firstLine="620"/>
        <w:jc w:val="left"/>
        <w:rPr>
          <w:rFonts w:hint="eastAsia"/>
          <w:b/>
          <w:bCs/>
        </w:rPr>
      </w:pPr>
      <w:r>
        <w:rPr>
          <w:rFonts w:hint="eastAsia"/>
          <w:b/>
          <w:bCs/>
          <w:lang w:val="en-US" w:eastAsia="zh-CN"/>
        </w:rPr>
        <w:t xml:space="preserve">七、一般公共预算</w:t>
      </w:r>
      <w:r>
        <w:rPr>
          <w:rFonts w:hint="eastAsia"/>
          <w:b/>
          <w:bCs/>
          <w:lang w:val="zh-CN" w:eastAsia="zh-CN"/>
        </w:rPr>
        <w:t xml:space="preserve">“三</w:t>
      </w:r>
      <w:r>
        <w:rPr>
          <w:rFonts w:hint="eastAsia"/>
          <w:b/>
          <w:bCs/>
          <w:lang w:val="en-US" w:eastAsia="zh-CN"/>
        </w:rPr>
        <w:t xml:space="preserve">公”经费支出情况说明</w:t>
      </w:r>
    </w:p>
    <w:p>
      <w:pPr>
        <w:pStyle w:val="Bodytext|2"/>
        <w:spacing w:after="0"/>
        <w:ind w:firstLine="0"/>
        <w:jc w:val="left"/>
        <w:rPr>
          <w:highlight w:val="yellow"/>
          <w:lang w:val="en-US" w:eastAsia="zh-CN"/>
        </w:rPr>
      </w:pPr>
      <w:r>
        <w:rPr>
          <w:rFonts w:hint="eastAsia"/>
          <w:highlight w:val="none"/>
          <w:lang w:val="en-US" w:eastAsia="zh-CN"/>
        </w:rPr>
        <w:drawing>
          <wp:inline distT="0" distB="0" distL="114300" distR="114300">
            <wp:extent cx="5080000" cy="3810000"/>
            <wp:effectExtent l="4445" t="4445" r="5715" b="10795"/>
            <wp:docPr id="1801" name="图表 23" title="{{img_sgzc_ys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13"/>
              </a:graphicData>
            </a:graphic>
          </wp:inline>
        </w:drawing>
      </w:r>
    </w:p>
    <w:p>
      <w:pPr>
        <w:pStyle w:val="Bodytext|2"/>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hint="eastAsia"/>
          <w:b w:val="0"/>
          <w:bCs w:val="0"/>
          <w:sz w:val="28"/>
          <w:szCs w:val="28"/>
          <w:lang w:eastAsia="zh-CN"/>
        </w:rPr>
      </w:pPr>
      <w:bookmarkStart w:id="14" w:name="bookmark90"/>
      <w:r>
        <w:rPr>
          <w:rFonts w:hint="eastAsia"/>
          <w:b w:val="0"/>
          <w:bCs w:val="0"/>
          <w:sz w:val="28"/>
          <w:szCs w:val="28"/>
          <w:lang w:eastAsia="zh-CN"/>
        </w:rPr>
        <w:t xml:space="preserve">（</w:t>
      </w:r>
      <w:r>
        <w:rPr>
          <w:rFonts w:hint="eastAsia"/>
          <w:b w:val="0"/>
          <w:bCs w:val="0"/>
          <w:sz w:val="28"/>
          <w:szCs w:val="28"/>
          <w:lang w:val="en-US" w:eastAsia="zh-CN"/>
        </w:rPr>
        <w:t xml:space="preserve">一</w:t>
      </w:r>
      <w:r>
        <w:rPr>
          <w:rFonts w:hint="eastAsia"/>
          <w:b w:val="0"/>
          <w:bCs w:val="0"/>
          <w:sz w:val="28"/>
          <w:szCs w:val="28"/>
          <w:lang w:eastAsia="zh-CN"/>
        </w:rPr>
        <w:t xml:space="preserve">）</w:t>
      </w:r>
      <w:r>
        <w:rPr>
          <w:sz w:val="28"/>
          <w:u w:color="auto"/>
        </w:rPr>
        <w:t xml:space="preserve">2024</w:t>
      </w:r>
      <w:r>
        <w:rPr>
          <w:sz w:val="28"/>
          <w:u w:color="auto"/>
        </w:rPr>
        <w:t xml:space="preserve">年部门预算共安排</w:t>
      </w:r>
      <w:r>
        <w:rPr>
          <w:rFonts w:hint="eastAsia"/>
          <w:b w:val="0"/>
          <w:bCs w:val="0"/>
          <w:sz w:val="28"/>
          <w:szCs w:val="28"/>
          <w:lang w:val="zh-CN" w:eastAsia="zh-CN"/>
        </w:rPr>
        <w:t xml:space="preserve">“三公</w:t>
      </w:r>
      <w:r>
        <w:rPr>
          <w:rFonts w:hint="eastAsia"/>
          <w:b w:val="0"/>
          <w:bCs w:val="0"/>
          <w:sz w:val="28"/>
          <w:szCs w:val="28"/>
          <w:lang w:val="en-US" w:eastAsia="zh-CN"/>
        </w:rPr>
        <w:t xml:space="preserve">"</w:t>
      </w:r>
      <w:r>
        <w:rPr>
          <w:rFonts w:hint="eastAsia"/>
          <w:b w:val="0"/>
          <w:bCs w:val="0"/>
          <w:sz w:val="28"/>
          <w:szCs w:val="28"/>
          <w:lang w:eastAsia="zh-CN"/>
        </w:rPr>
        <w:t xml:space="preserve">经费支出预算</w:t>
      </w:r>
      <w:r>
        <w:rPr>
          <w:rFonts w:hint="eastAsia"/>
          <w:b w:val="0"/>
          <w:bCs w:val="0"/>
          <w:sz w:val="28"/>
          <w:szCs w:val="28"/>
          <w:lang w:val="en-US" w:eastAsia="zh-CN"/>
        </w:rPr>
        <w:t xml:space="preserve">7.50</w:t>
      </w:r>
      <w:r>
        <w:rPr>
          <w:rFonts w:hint="eastAsia"/>
          <w:b w:val="0"/>
          <w:bCs w:val="0"/>
          <w:sz w:val="28"/>
          <w:szCs w:val="28"/>
          <w:lang w:eastAsia="zh-CN"/>
        </w:rPr>
        <w:t xml:space="preserve">万元（全口径），其中：因公出国（境）经费支出预算</w:t>
      </w:r>
      <w:r>
        <w:rPr>
          <w:rFonts w:hint="eastAsia"/>
          <w:b w:val="0"/>
          <w:bCs w:val="0"/>
          <w:sz w:val="28"/>
          <w:szCs w:val="28"/>
          <w:lang w:val="en-US" w:eastAsia="zh-CN"/>
        </w:rPr>
        <w:t xml:space="preserve">0.00</w:t>
      </w:r>
      <w:r>
        <w:rPr>
          <w:rFonts w:hint="eastAsia"/>
          <w:b w:val="0"/>
          <w:bCs w:val="0"/>
          <w:sz w:val="28"/>
          <w:szCs w:val="28"/>
          <w:lang w:eastAsia="zh-CN"/>
        </w:rPr>
        <w:t xml:space="preserve">万元，公务接待费支出预算</w:t>
      </w:r>
      <w:r>
        <w:rPr>
          <w:rFonts w:hint="eastAsia"/>
          <w:b w:val="0"/>
          <w:bCs w:val="0"/>
          <w:sz w:val="28"/>
          <w:szCs w:val="28"/>
          <w:lang w:val="en-US" w:eastAsia="zh-CN"/>
        </w:rPr>
        <w:t xml:space="preserve">7.50</w:t>
      </w:r>
      <w:r>
        <w:rPr>
          <w:rFonts w:hint="eastAsia"/>
          <w:b w:val="0"/>
          <w:bCs w:val="0"/>
          <w:sz w:val="28"/>
          <w:szCs w:val="28"/>
          <w:lang w:eastAsia="zh-CN"/>
        </w:rPr>
        <w:t xml:space="preserve">万元，公务用车购置及运行费支出预算</w:t>
      </w:r>
      <w:r>
        <w:rPr>
          <w:rFonts w:hint="eastAsia"/>
          <w:b w:val="0"/>
          <w:bCs w:val="0"/>
          <w:sz w:val="28"/>
          <w:szCs w:val="28"/>
          <w:lang w:val="en-US" w:eastAsia="zh-CN"/>
        </w:rPr>
        <w:t xml:space="preserve">0.00</w:t>
      </w:r>
      <w:r>
        <w:rPr>
          <w:rFonts w:hint="eastAsia"/>
          <w:b w:val="0"/>
          <w:bCs w:val="0"/>
          <w:sz w:val="28"/>
          <w:szCs w:val="28"/>
          <w:lang w:eastAsia="zh-CN"/>
        </w:rPr>
        <w:t xml:space="preserve">万元（公务用车购置费</w:t>
      </w:r>
      <w:r>
        <w:rPr>
          <w:rFonts w:hint="eastAsia"/>
          <w:b w:val="0"/>
          <w:bCs w:val="0"/>
          <w:sz w:val="28"/>
          <w:szCs w:val="28"/>
          <w:lang w:val="en-US" w:eastAsia="zh-CN"/>
        </w:rPr>
        <w:t xml:space="preserve">0.00</w:t>
      </w:r>
      <w:r>
        <w:rPr>
          <w:rFonts w:hint="eastAsia"/>
          <w:b w:val="0"/>
          <w:bCs w:val="0"/>
          <w:sz w:val="28"/>
          <w:szCs w:val="28"/>
          <w:lang w:eastAsia="zh-CN"/>
        </w:rPr>
        <w:t xml:space="preserve">万元,公务用车运行维护费</w:t>
      </w:r>
      <w:r>
        <w:rPr>
          <w:rFonts w:hint="eastAsia"/>
          <w:b w:val="0"/>
          <w:bCs w:val="0"/>
          <w:sz w:val="28"/>
          <w:szCs w:val="28"/>
          <w:lang w:val="en-US" w:eastAsia="zh-CN"/>
        </w:rPr>
        <w:t xml:space="preserve">0.00</w:t>
      </w:r>
      <w:r>
        <w:rPr>
          <w:rFonts w:hint="eastAsia"/>
          <w:b w:val="0"/>
          <w:bCs w:val="0"/>
          <w:sz w:val="28"/>
          <w:szCs w:val="28"/>
          <w:lang w:eastAsia="zh-CN"/>
        </w:rPr>
        <w:t xml:space="preserve">万元）。</w:t>
      </w:r>
    </w:p>
    <w:p>
      <w:pPr>
        <w:pStyle w:val="Bodytext|2"/>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hint="eastAsia"/>
          <w:b w:val="0"/>
          <w:bCs w:val="0"/>
          <w:sz w:val="28"/>
          <w:szCs w:val="28"/>
        </w:rPr>
      </w:pPr>
      <w:r>
        <w:rPr>
          <w:rFonts w:hint="eastAsia"/>
          <w:b w:val="0"/>
          <w:bCs w:val="0"/>
          <w:sz w:val="28"/>
          <w:szCs w:val="28"/>
          <w:lang w:eastAsia="zh-CN"/>
        </w:rPr>
        <w:t xml:space="preserve">（</w:t>
      </w:r>
      <w:r>
        <w:rPr>
          <w:rFonts w:hint="eastAsia"/>
          <w:b w:val="0"/>
          <w:bCs w:val="0"/>
          <w:sz w:val="28"/>
          <w:szCs w:val="28"/>
          <w:lang w:val="en-US" w:eastAsia="zh-CN"/>
        </w:rPr>
        <w:t xml:space="preserve">二</w:t>
      </w:r>
      <w:r>
        <w:rPr>
          <w:rFonts w:hint="eastAsia"/>
          <w:b w:val="0"/>
          <w:bCs w:val="0"/>
          <w:sz w:val="28"/>
          <w:szCs w:val="28"/>
          <w:lang w:eastAsia="zh-CN"/>
        </w:rPr>
        <w:t xml:space="preserve">）</w:t>
      </w:r>
      <w:r>
        <w:rPr>
          <w:sz w:val="28"/>
          <w:u w:color="auto"/>
        </w:rPr>
        <w:t xml:space="preserve">2024</w:t>
      </w:r>
      <w:r>
        <w:rPr>
          <w:rFonts w:hint="eastAsia"/>
          <w:b w:val="0"/>
          <w:bCs w:val="0"/>
          <w:sz w:val="28"/>
          <w:szCs w:val="28"/>
        </w:rPr>
        <w:t xml:space="preserve">年一般公共预算安排的“三公”经费支出预算</w:t>
      </w:r>
      <w:r>
        <w:rPr>
          <w:rFonts w:hint="eastAsia"/>
          <w:b w:val="0"/>
          <w:bCs w:val="0"/>
          <w:sz w:val="28"/>
          <w:szCs w:val="28"/>
          <w:lang w:val="en-US" w:eastAsia="zh-CN"/>
        </w:rPr>
        <w:t xml:space="preserve">7.50</w:t>
      </w:r>
      <w:r>
        <w:rPr>
          <w:rFonts w:hint="eastAsia"/>
          <w:b w:val="0"/>
          <w:bCs w:val="0"/>
          <w:sz w:val="28"/>
          <w:szCs w:val="28"/>
        </w:rPr>
        <w:t xml:space="preserve">万元，同口径较2023年度预算数</w:t>
      </w:r>
      <w:r>
        <w:rPr>
          <w:rFonts w:hint="eastAsia"/>
          <w:b w:val="0"/>
          <w:bCs w:val="0"/>
          <w:sz w:val="28"/>
          <w:szCs w:val="28"/>
          <w:lang w:val="en-US" w:eastAsia="zh-CN"/>
        </w:rPr>
        <w:t xml:space="preserve">7.50</w:t>
      </w:r>
      <w:r>
        <w:rPr>
          <w:rFonts w:hint="eastAsia"/>
          <w:b w:val="0"/>
          <w:bCs w:val="0"/>
          <w:sz w:val="28"/>
          <w:szCs w:val="28"/>
        </w:rPr>
        <w:t xml:space="preserve">万元，</w:t>
      </w:r>
      <w:r>
        <w:rPr>
          <w:rFonts w:hint="eastAsia"/>
          <w:b w:val="0"/>
          <w:bCs w:val="0"/>
          <w:sz w:val="28"/>
          <w:szCs w:val="28"/>
          <w:lang w:val="en-US" w:eastAsia="zh-CN"/>
        </w:rPr>
        <w:t xml:space="preserve">增长0.00</w:t>
      </w:r>
      <w:r>
        <w:rPr>
          <w:rFonts w:hint="eastAsia"/>
          <w:b w:val="0"/>
          <w:bCs w:val="0"/>
          <w:sz w:val="28"/>
          <w:szCs w:val="28"/>
        </w:rPr>
        <w:t xml:space="preserve">万元，</w:t>
      </w:r>
      <w:r>
        <w:rPr>
          <w:rFonts w:hint="eastAsia"/>
          <w:b w:val="0"/>
          <w:bCs w:val="0"/>
          <w:sz w:val="28"/>
          <w:szCs w:val="28"/>
          <w:lang w:val="en-US" w:eastAsia="zh-CN"/>
        </w:rPr>
        <w:t xml:space="preserve">增长0.00%</w:t>
      </w:r>
      <w:r>
        <w:rPr>
          <w:rFonts w:hint="eastAsia"/>
          <w:b w:val="0"/>
          <w:bCs w:val="0"/>
          <w:sz w:val="28"/>
          <w:szCs w:val="28"/>
        </w:rPr>
        <w:t xml:space="preserve">，具体如下：</w:t>
      </w:r>
    </w:p>
    <w:p>
      <w:pPr>
        <w:pStyle w:val="Bodytext|2"/>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eastAsia="宋体" w:hint="eastAsia"/>
          <w:b w:val="0"/>
          <w:bCs w:val="0"/>
          <w:sz w:val="28"/>
          <w:szCs w:val="28"/>
          <w:lang w:eastAsia="zh-CN"/>
        </w:rPr>
      </w:pPr>
      <w:r>
        <w:rPr>
          <w:rFonts w:hint="eastAsia"/>
          <w:b w:val="0"/>
          <w:bCs w:val="0"/>
          <w:sz w:val="28"/>
          <w:szCs w:val="28"/>
        </w:rPr>
        <w:t xml:space="preserve">1.因公出国（境）费</w:t>
      </w:r>
      <w:r>
        <w:rPr>
          <w:rFonts w:hint="eastAsia"/>
          <w:b w:val="0"/>
          <w:bCs w:val="0"/>
          <w:sz w:val="28"/>
          <w:szCs w:val="28"/>
          <w:lang w:eastAsia="zh-CN"/>
        </w:rPr>
        <w:t xml:space="preserve">2024</w:t>
      </w:r>
      <w:r>
        <w:rPr>
          <w:rFonts w:hint="eastAsia"/>
          <w:b w:val="0"/>
          <w:bCs w:val="0"/>
          <w:sz w:val="28"/>
          <w:szCs w:val="28"/>
        </w:rPr>
        <w:t xml:space="preserve">年预算安排</w:t>
      </w:r>
      <w:r>
        <w:rPr>
          <w:sz w:val="28"/>
          <w:u w:color="auto"/>
        </w:rPr>
        <w:t xml:space="preserve">0.00</w:t>
      </w:r>
      <w:r>
        <w:rPr>
          <w:rFonts w:hint="eastAsia"/>
          <w:b w:val="0"/>
          <w:bCs w:val="0"/>
          <w:sz w:val="28"/>
          <w:szCs w:val="28"/>
        </w:rPr>
        <w:t xml:space="preserve">万元，较2023年度预算数</w:t>
      </w:r>
      <w:r>
        <w:rPr>
          <w:sz w:val="28"/>
          <w:u w:color="auto"/>
        </w:rPr>
        <w:t xml:space="preserve">0.00</w:t>
      </w:r>
      <w:r>
        <w:rPr>
          <w:rFonts w:hint="eastAsia"/>
          <w:b w:val="0"/>
          <w:bCs w:val="0"/>
          <w:sz w:val="28"/>
          <w:szCs w:val="28"/>
        </w:rPr>
        <w:t xml:space="preserve">万元，</w:t>
      </w:r>
      <w:r>
        <w:rPr>
          <w:sz w:val="28"/>
          <w:u w:color="auto"/>
        </w:rPr>
        <w:t xml:space="preserve">增长0.00</w:t>
      </w:r>
      <w:r>
        <w:rPr>
          <w:rFonts w:hint="eastAsia"/>
          <w:b w:val="0"/>
          <w:bCs w:val="0"/>
          <w:sz w:val="28"/>
          <w:szCs w:val="28"/>
        </w:rPr>
        <w:t xml:space="preserve">万元，</w:t>
      </w:r>
      <w:r>
        <w:rPr>
          <w:sz w:val="28"/>
          <w:u w:color="auto"/>
        </w:rPr>
        <w:t xml:space="preserve">增长0%</w:t>
      </w:r>
      <w:r>
        <w:rPr>
          <w:rFonts w:hint="eastAsia"/>
          <w:b w:val="0"/>
          <w:bCs w:val="0"/>
          <w:sz w:val="28"/>
          <w:szCs w:val="28"/>
        </w:rPr>
        <w:t xml:space="preserve">，主要原因是</w:t>
      </w:r>
      <w:r>
        <w:rPr>
          <w:rFonts w:hint="eastAsia"/>
          <w:sz w:val="28"/>
          <w:szCs w:val="28"/>
          <w:highlight w:val="none"/>
          <w:lang w:val="en-US" w:eastAsia="zh-CN"/>
        </w:rPr>
        <w:t xml:space="preserve">我部门2024年部门无因公出国（境）费用预算</w:t>
      </w:r>
      <w:r>
        <w:rPr>
          <w:rFonts w:hint="eastAsia"/>
          <w:b w:val="0"/>
          <w:bCs w:val="0"/>
          <w:sz w:val="28"/>
          <w:szCs w:val="28"/>
        </w:rPr>
        <w:t xml:space="preserve">。</w:t>
      </w:r>
    </w:p>
    <w:p>
      <w:pPr>
        <w:pStyle w:val="Bodytext|2"/>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eastAsia="宋体" w:hint="eastAsia"/>
          <w:b w:val="0"/>
          <w:bCs w:val="0"/>
          <w:sz w:val="28"/>
          <w:szCs w:val="28"/>
          <w:lang w:eastAsia="zh-CN"/>
        </w:rPr>
      </w:pPr>
      <w:r>
        <w:rPr>
          <w:rFonts w:hint="eastAsia"/>
          <w:b w:val="0"/>
          <w:bCs w:val="0"/>
          <w:sz w:val="28"/>
          <w:szCs w:val="28"/>
        </w:rPr>
        <w:t xml:space="preserve">2.公务接待费</w:t>
      </w:r>
      <w:r>
        <w:rPr>
          <w:rFonts w:hint="eastAsia"/>
          <w:b w:val="0"/>
          <w:bCs w:val="0"/>
          <w:sz w:val="28"/>
          <w:szCs w:val="28"/>
          <w:lang w:eastAsia="zh-CN"/>
        </w:rPr>
        <w:t xml:space="preserve">2024</w:t>
      </w:r>
      <w:r>
        <w:rPr>
          <w:rFonts w:hint="eastAsia"/>
          <w:b w:val="0"/>
          <w:bCs w:val="0"/>
          <w:sz w:val="28"/>
          <w:szCs w:val="28"/>
        </w:rPr>
        <w:t xml:space="preserve">年预算安排</w:t>
      </w:r>
      <w:r>
        <w:rPr>
          <w:sz w:val="28"/>
          <w:u w:color="auto"/>
        </w:rPr>
        <w:t xml:space="preserve">7.50</w:t>
      </w:r>
      <w:r>
        <w:rPr>
          <w:rFonts w:hint="eastAsia"/>
          <w:b w:val="0"/>
          <w:bCs w:val="0"/>
          <w:sz w:val="28"/>
          <w:szCs w:val="28"/>
        </w:rPr>
        <w:t xml:space="preserve">万元，较2023年度预算数</w:t>
      </w:r>
      <w:r>
        <w:rPr>
          <w:sz w:val="28"/>
          <w:u w:color="auto"/>
        </w:rPr>
        <w:t xml:space="preserve">7.50</w:t>
      </w:r>
      <w:r>
        <w:rPr>
          <w:rFonts w:hint="eastAsia"/>
          <w:b w:val="0"/>
          <w:bCs w:val="0"/>
          <w:sz w:val="28"/>
          <w:szCs w:val="28"/>
        </w:rPr>
        <w:t xml:space="preserve">万元，</w:t>
      </w:r>
      <w:r>
        <w:rPr>
          <w:sz w:val="28"/>
          <w:u w:color="auto"/>
        </w:rPr>
        <w:t xml:space="preserve">增长0.00</w:t>
      </w:r>
      <w:r>
        <w:rPr>
          <w:rFonts w:hint="eastAsia"/>
          <w:b w:val="0"/>
          <w:bCs w:val="0"/>
          <w:sz w:val="28"/>
          <w:szCs w:val="28"/>
        </w:rPr>
        <w:t xml:space="preserve">万元，</w:t>
      </w:r>
      <w:r>
        <w:rPr>
          <w:sz w:val="28"/>
          <w:u w:color="auto"/>
        </w:rPr>
        <w:t xml:space="preserve">增长0.00%</w:t>
      </w:r>
      <w:r>
        <w:rPr>
          <w:rFonts w:hint="eastAsia"/>
          <w:b w:val="0"/>
          <w:bCs w:val="0"/>
          <w:sz w:val="28"/>
          <w:szCs w:val="28"/>
        </w:rPr>
        <w:t xml:space="preserve">，主要原因是</w:t>
      </w:r>
      <w:r>
        <w:rPr>
          <w:rFonts w:hint="eastAsia"/>
          <w:sz w:val="28"/>
          <w:szCs w:val="28"/>
          <w:highlight w:val="none"/>
          <w:lang w:val="en-US" w:eastAsia="zh-CN"/>
        </w:rPr>
        <w:t xml:space="preserve">根据上年实际支出情况合理调整预算项目支出金额</w:t>
      </w:r>
      <w:r>
        <w:rPr>
          <w:rFonts w:hint="eastAsia"/>
          <w:b w:val="0"/>
          <w:bCs w:val="0"/>
          <w:sz w:val="28"/>
          <w:szCs w:val="28"/>
        </w:rPr>
        <w:t xml:space="preserve">。</w:t>
      </w:r>
    </w:p>
    <w:p>
      <w:pPr>
        <w:pStyle w:val="Bodytext|2"/>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hint="eastAsia"/>
          <w:b w:val="0"/>
          <w:bCs w:val="0"/>
          <w:sz w:val="28"/>
          <w:szCs w:val="28"/>
        </w:rPr>
      </w:pPr>
      <w:r>
        <w:rPr>
          <w:rFonts w:hint="eastAsia"/>
          <w:b w:val="0"/>
          <w:bCs w:val="0"/>
          <w:sz w:val="28"/>
          <w:szCs w:val="28"/>
        </w:rPr>
        <w:t xml:space="preserve">3.公务用车购置及运行费</w:t>
      </w:r>
      <w:r>
        <w:rPr>
          <w:rFonts w:hint="eastAsia"/>
          <w:b w:val="0"/>
          <w:bCs w:val="0"/>
          <w:sz w:val="28"/>
          <w:szCs w:val="28"/>
          <w:lang w:eastAsia="zh-CN"/>
        </w:rPr>
        <w:t xml:space="preserve">2024</w:t>
      </w:r>
      <w:r>
        <w:rPr>
          <w:rFonts w:hint="eastAsia"/>
          <w:b w:val="0"/>
          <w:bCs w:val="0"/>
          <w:sz w:val="28"/>
          <w:szCs w:val="28"/>
        </w:rPr>
        <w:t xml:space="preserve">年预算安排</w:t>
      </w:r>
      <w:r>
        <w:rPr>
          <w:sz w:val="28"/>
          <w:u w:color="auto"/>
        </w:rPr>
        <w:t xml:space="preserve">0.00</w:t>
      </w:r>
      <w:r>
        <w:rPr>
          <w:rFonts w:hint="eastAsia"/>
          <w:b w:val="0"/>
          <w:bCs w:val="0"/>
          <w:sz w:val="28"/>
          <w:szCs w:val="28"/>
        </w:rPr>
        <w:t xml:space="preserve">万元，较2023年度预算数</w:t>
      </w:r>
      <w:r>
        <w:rPr>
          <w:sz w:val="28"/>
          <w:u w:color="auto"/>
        </w:rPr>
        <w:t xml:space="preserve">0.00</w:t>
      </w:r>
      <w:r>
        <w:rPr>
          <w:rFonts w:hint="eastAsia"/>
          <w:b w:val="0"/>
          <w:bCs w:val="0"/>
          <w:sz w:val="28"/>
          <w:szCs w:val="28"/>
        </w:rPr>
        <w:t xml:space="preserve">万元，</w:t>
      </w:r>
      <w:r>
        <w:rPr>
          <w:sz w:val="28"/>
          <w:u w:color="auto"/>
        </w:rPr>
        <w:t xml:space="preserve">增长0.00</w:t>
      </w:r>
      <w:r>
        <w:rPr>
          <w:rFonts w:hint="eastAsia"/>
          <w:b w:val="0"/>
          <w:bCs w:val="0"/>
          <w:sz w:val="28"/>
          <w:szCs w:val="28"/>
        </w:rPr>
        <w:t xml:space="preserve">万元，</w:t>
      </w:r>
      <w:r>
        <w:rPr>
          <w:sz w:val="28"/>
          <w:u w:color="auto"/>
        </w:rPr>
        <w:t xml:space="preserve">增长0%</w:t>
      </w:r>
      <w:r>
        <w:rPr>
          <w:rFonts w:hint="eastAsia"/>
          <w:b w:val="0"/>
          <w:bCs w:val="0"/>
          <w:sz w:val="28"/>
          <w:szCs w:val="28"/>
        </w:rPr>
        <w:t xml:space="preserve">，其中：</w:t>
      </w:r>
    </w:p>
    <w:p>
      <w:pPr>
        <w:pStyle w:val="Bodytext|2"/>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eastAsia="宋体" w:hint="eastAsia"/>
          <w:b w:val="0"/>
          <w:bCs w:val="0"/>
          <w:sz w:val="28"/>
          <w:szCs w:val="28"/>
          <w:lang w:eastAsia="zh-CN"/>
        </w:rPr>
      </w:pPr>
      <w:r>
        <w:rPr>
          <w:rFonts w:hint="eastAsia"/>
          <w:b w:val="0"/>
          <w:bCs w:val="0"/>
          <w:sz w:val="28"/>
          <w:szCs w:val="28"/>
        </w:rPr>
        <w:t xml:space="preserve">公务用车购置费</w:t>
      </w:r>
      <w:r>
        <w:rPr>
          <w:rFonts w:hint="eastAsia"/>
          <w:b w:val="0"/>
          <w:bCs w:val="0"/>
          <w:sz w:val="28"/>
          <w:szCs w:val="28"/>
          <w:lang w:eastAsia="zh-CN"/>
        </w:rPr>
        <w:t xml:space="preserve">2024</w:t>
      </w:r>
      <w:r>
        <w:rPr>
          <w:rFonts w:hint="eastAsia"/>
          <w:b w:val="0"/>
          <w:bCs w:val="0"/>
          <w:sz w:val="28"/>
          <w:szCs w:val="28"/>
        </w:rPr>
        <w:t xml:space="preserve">年预算安排</w:t>
      </w:r>
      <w:r>
        <w:rPr>
          <w:sz w:val="28"/>
          <w:u w:color="auto"/>
        </w:rPr>
        <w:t xml:space="preserve">0.00</w:t>
      </w:r>
      <w:r>
        <w:rPr>
          <w:rFonts w:hint="eastAsia"/>
          <w:b w:val="0"/>
          <w:bCs w:val="0"/>
          <w:sz w:val="28"/>
          <w:szCs w:val="28"/>
        </w:rPr>
        <w:t xml:space="preserve">万元，较2023年度预算数</w:t>
      </w:r>
      <w:r>
        <w:rPr>
          <w:sz w:val="28"/>
          <w:u w:color="auto"/>
        </w:rPr>
        <w:t xml:space="preserve">0.00</w:t>
      </w:r>
      <w:r>
        <w:rPr>
          <w:rFonts w:hint="eastAsia"/>
          <w:b w:val="0"/>
          <w:bCs w:val="0"/>
          <w:sz w:val="28"/>
          <w:szCs w:val="28"/>
        </w:rPr>
        <w:t xml:space="preserve">万元，</w:t>
      </w:r>
      <w:r>
        <w:rPr>
          <w:sz w:val="28"/>
          <w:u w:color="auto"/>
        </w:rPr>
        <w:t xml:space="preserve">增长0.00</w:t>
      </w:r>
      <w:r>
        <w:rPr>
          <w:rFonts w:hint="eastAsia"/>
          <w:b w:val="0"/>
          <w:bCs w:val="0"/>
          <w:sz w:val="28"/>
          <w:szCs w:val="28"/>
        </w:rPr>
        <w:t xml:space="preserve">万元，</w:t>
      </w:r>
      <w:r>
        <w:rPr>
          <w:sz w:val="28"/>
          <w:u w:color="auto"/>
        </w:rPr>
        <w:t xml:space="preserve">增长0%</w:t>
      </w:r>
      <w:r>
        <w:rPr>
          <w:rFonts w:hint="eastAsia"/>
          <w:b w:val="0"/>
          <w:bCs w:val="0"/>
          <w:sz w:val="28"/>
          <w:szCs w:val="28"/>
        </w:rPr>
        <w:t xml:space="preserve">，主要原因是</w:t>
      </w:r>
      <w:r>
        <w:rPr>
          <w:rFonts w:hint="eastAsia"/>
          <w:sz w:val="28"/>
          <w:szCs w:val="28"/>
          <w:highlight w:val="none"/>
          <w:lang w:val="en-US" w:eastAsia="zh-CN"/>
        </w:rPr>
        <w:t xml:space="preserve">我部门2024年部门预算无公务用车购置费预算</w:t>
      </w:r>
      <w:r>
        <w:rPr>
          <w:rFonts w:hint="eastAsia"/>
          <w:b w:val="0"/>
          <w:bCs w:val="0"/>
          <w:sz w:val="28"/>
          <w:szCs w:val="28"/>
        </w:rPr>
        <w:t xml:space="preserve">。</w:t>
      </w:r>
    </w:p>
    <w:p>
      <w:pPr>
        <w:pStyle w:val="Bodytext|2"/>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hint="eastAsia"/>
          <w:b w:val="0"/>
          <w:bCs w:val="0"/>
          <w:sz w:val="28"/>
          <w:szCs w:val="28"/>
        </w:rPr>
      </w:pPr>
      <w:r>
        <w:rPr>
          <w:rFonts w:hint="eastAsia"/>
          <w:b w:val="0"/>
          <w:bCs w:val="0"/>
          <w:sz w:val="28"/>
          <w:szCs w:val="28"/>
        </w:rPr>
        <w:t xml:space="preserve">公务用车运行维护费</w:t>
      </w:r>
      <w:r>
        <w:rPr>
          <w:rFonts w:hint="eastAsia"/>
          <w:b w:val="0"/>
          <w:bCs w:val="0"/>
          <w:sz w:val="28"/>
          <w:szCs w:val="28"/>
          <w:lang w:eastAsia="zh-CN"/>
        </w:rPr>
        <w:t xml:space="preserve">2024</w:t>
      </w:r>
      <w:r>
        <w:rPr>
          <w:rFonts w:hint="eastAsia"/>
          <w:b w:val="0"/>
          <w:bCs w:val="0"/>
          <w:sz w:val="28"/>
          <w:szCs w:val="28"/>
        </w:rPr>
        <w:t xml:space="preserve">年预算安排</w:t>
      </w:r>
      <w:r>
        <w:rPr>
          <w:sz w:val="28"/>
          <w:u w:color="auto"/>
        </w:rPr>
        <w:t xml:space="preserve">0.00</w:t>
      </w:r>
      <w:r>
        <w:rPr>
          <w:rFonts w:hint="eastAsia"/>
          <w:b w:val="0"/>
          <w:bCs w:val="0"/>
          <w:sz w:val="28"/>
          <w:szCs w:val="28"/>
        </w:rPr>
        <w:t xml:space="preserve">万元，较2023年度预算数</w:t>
      </w:r>
      <w:r>
        <w:rPr>
          <w:sz w:val="28"/>
          <w:u w:color="auto"/>
        </w:rPr>
        <w:t xml:space="preserve">0.00</w:t>
      </w:r>
      <w:r>
        <w:rPr>
          <w:rFonts w:hint="eastAsia"/>
          <w:b w:val="0"/>
          <w:bCs w:val="0"/>
          <w:sz w:val="28"/>
          <w:szCs w:val="28"/>
        </w:rPr>
        <w:t xml:space="preserve">万元，</w:t>
      </w:r>
      <w:r>
        <w:rPr>
          <w:sz w:val="28"/>
          <w:u w:color="auto"/>
        </w:rPr>
        <w:t xml:space="preserve">增长0.00</w:t>
      </w:r>
      <w:r>
        <w:rPr>
          <w:rFonts w:hint="eastAsia"/>
          <w:b w:val="0"/>
          <w:bCs w:val="0"/>
          <w:sz w:val="28"/>
          <w:szCs w:val="28"/>
        </w:rPr>
        <w:t xml:space="preserve">万元，</w:t>
      </w:r>
      <w:r>
        <w:rPr>
          <w:sz w:val="28"/>
          <w:u w:color="auto"/>
        </w:rPr>
        <w:t xml:space="preserve">增长0%</w:t>
      </w:r>
      <w:r>
        <w:rPr>
          <w:rFonts w:hint="eastAsia"/>
          <w:b w:val="0"/>
          <w:bCs w:val="0"/>
          <w:sz w:val="28"/>
          <w:szCs w:val="28"/>
        </w:rPr>
        <w:t xml:space="preserve">，主要原因是</w:t>
      </w:r>
      <w:r>
        <w:rPr>
          <w:rFonts w:hint="eastAsia"/>
          <w:sz w:val="28"/>
          <w:szCs w:val="28"/>
          <w:highlight w:val="none"/>
          <w:lang w:val="en-US" w:eastAsia="zh-CN"/>
        </w:rPr>
        <w:t xml:space="preserve">我部门2024年部门预算无公务用车运行维护费预算</w:t>
      </w:r>
      <w:r>
        <w:rPr>
          <w:rFonts w:hint="eastAsia"/>
          <w:b w:val="0"/>
          <w:bCs w:val="0"/>
          <w:sz w:val="28"/>
          <w:szCs w:val="28"/>
        </w:rPr>
        <w:t xml:space="preserve">。</w:t>
      </w:r>
    </w:p>
    <w:p>
      <w:pPr>
        <w:pStyle w:val="Bodytext|2"/>
        <w:keepNext w:val="0"/>
        <w:keepLines w:val="0"/>
        <w:pageBreakBefore w:val="0"/>
        <w:widowControl w:val="0"/>
        <w:kinsoku/>
        <w:wordWrap/>
        <w:overflowPunct/>
        <w:topLinePunct w:val="0"/>
        <w:autoSpaceDE/>
        <w:autoSpaceDN/>
        <w:bidi w:val="0"/>
        <w:adjustRightInd/>
        <w:snapToGrid/>
        <w:spacing w:before="120" w:after="0" w:line="600" w:lineRule="exact"/>
        <w:ind w:firstLine="618"/>
        <w:jc w:val="left"/>
        <w:textAlignment w:val="auto"/>
        <w:rPr>
          <w:rFonts w:hint="eastAsia"/>
          <w:b/>
          <w:bCs/>
          <w:lang w:val="en-US" w:eastAsia="zh-CN"/>
        </w:rPr>
      </w:pPr>
      <w:r>
        <w:rPr>
          <w:rFonts w:hint="eastAsia"/>
          <w:b/>
          <w:bCs/>
          <w:lang w:val="en-US" w:eastAsia="zh-CN"/>
        </w:rPr>
        <w:t xml:space="preserve">八</w:t>
      </w:r>
      <w:bookmarkEnd w:id="14"/>
      <w:r>
        <w:rPr>
          <w:rFonts w:hint="eastAsia"/>
          <w:b/>
          <w:bCs/>
          <w:lang w:val="en-US" w:eastAsia="zh-CN"/>
        </w:rPr>
        <w:t xml:space="preserve">、政府性基金预算支出情况说明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eastAsia="宋体" w:hint="eastAsia"/>
          <w:sz w:val="28"/>
          <w:szCs w:val="28"/>
          <w:lang w:eastAsia="zh-CN"/>
        </w:rPr>
      </w:pPr>
      <w:r>
        <w:rPr>
          <w:rFonts w:hint="eastAsia"/>
          <w:sz w:val="28"/>
          <w:szCs w:val="28"/>
        </w:rPr>
        <w:t xml:space="preserve">我部门</w:t>
      </w:r>
      <w:r>
        <w:rPr>
          <w:rFonts w:hint="eastAsia"/>
          <w:b w:val="0"/>
          <w:bCs w:val="0"/>
          <w:sz w:val="28"/>
          <w:szCs w:val="28"/>
          <w:lang w:eastAsia="zh-CN"/>
        </w:rPr>
        <w:t xml:space="preserve">2024</w:t>
      </w:r>
      <w:r>
        <w:rPr>
          <w:rFonts w:hint="eastAsia"/>
          <w:sz w:val="28"/>
          <w:szCs w:val="28"/>
        </w:rPr>
        <w:t xml:space="preserve">年政府性基金预算支出共</w:t>
      </w:r>
      <w:r>
        <w:rPr>
          <w:rFonts w:hint="eastAsia"/>
          <w:b w:val="0"/>
          <w:bCs w:val="0"/>
          <w:sz w:val="28"/>
          <w:szCs w:val="28"/>
          <w:lang w:eastAsia="zh-CN"/>
        </w:rPr>
        <w:t xml:space="preserve">0.00</w:t>
      </w:r>
      <w:r>
        <w:rPr>
          <w:rFonts w:hint="eastAsia"/>
          <w:sz w:val="28"/>
          <w:szCs w:val="28"/>
        </w:rPr>
        <w:t xml:space="preserve">万元，较2023年度预算数</w:t>
      </w:r>
      <w:r>
        <w:rPr>
          <w:rFonts w:hint="eastAsia"/>
          <w:b w:val="0"/>
          <w:bCs w:val="0"/>
          <w:sz w:val="28"/>
          <w:szCs w:val="28"/>
          <w:lang w:eastAsia="zh-CN"/>
        </w:rPr>
        <w:t xml:space="preserve">0.00</w:t>
      </w:r>
      <w:r>
        <w:rPr>
          <w:rFonts w:hint="eastAsia"/>
          <w:sz w:val="28"/>
          <w:szCs w:val="28"/>
        </w:rPr>
        <w:t xml:space="preserve">万元，</w:t>
      </w:r>
      <w:r>
        <w:rPr>
          <w:rFonts w:hint="eastAsia"/>
          <w:b w:val="0"/>
          <w:bCs w:val="0"/>
          <w:sz w:val="28"/>
          <w:szCs w:val="28"/>
          <w:lang w:eastAsia="zh-CN"/>
        </w:rPr>
        <w:t xml:space="preserve">增加0.00</w:t>
      </w:r>
      <w:r>
        <w:rPr>
          <w:rFonts w:hint="eastAsia"/>
          <w:sz w:val="28"/>
          <w:szCs w:val="28"/>
        </w:rPr>
        <w:t xml:space="preserve">万元，</w:t>
      </w:r>
      <w:r>
        <w:rPr>
          <w:rFonts w:hint="eastAsia"/>
          <w:b w:val="0"/>
          <w:bCs w:val="0"/>
          <w:sz w:val="28"/>
          <w:szCs w:val="28"/>
          <w:lang w:eastAsia="zh-CN"/>
        </w:rPr>
        <w:t xml:space="preserve">增长0%</w:t>
      </w:r>
      <w:r>
        <w:rPr>
          <w:rFonts w:hint="eastAsia"/>
          <w:sz w:val="28"/>
          <w:szCs w:val="28"/>
        </w:rPr>
        <w:t xml:space="preserve">，主要原因是</w:t>
      </w:r>
      <w:r>
        <w:rPr>
          <w:rFonts w:hint="eastAsia"/>
          <w:sz w:val="28"/>
          <w:szCs w:val="28"/>
          <w:highlight w:val="none"/>
          <w:lang w:val="en-US" w:eastAsia="zh-CN"/>
        </w:rPr>
        <w:t xml:space="preserve">我部门2024年部门预算无政府性基金预算</w:t>
      </w:r>
      <w:r>
        <w:rPr>
          <w:rFonts w:hint="eastAsia"/>
          <w:sz w:val="28"/>
          <w:szCs w:val="28"/>
        </w:rPr>
        <w:t xml:space="preserve">。</w:t>
      </w:r>
    </w:p>
    <w:p>
      <w:pPr>
        <w:pStyle w:val="Bodytext|2"/>
        <w:keepNext w:val="0"/>
        <w:keepLines w:val="0"/>
        <w:pageBreakBefore w:val="0"/>
        <w:widowControl w:val="0"/>
        <w:kinsoku/>
        <w:wordWrap/>
        <w:overflowPunct/>
        <w:topLinePunct w:val="0"/>
        <w:autoSpaceDE/>
        <w:autoSpaceDN/>
        <w:bidi w:val="0"/>
        <w:adjustRightInd/>
        <w:snapToGrid/>
        <w:spacing w:before="120" w:after="0" w:line="600" w:lineRule="exact"/>
        <w:ind w:firstLine="618"/>
        <w:jc w:val="left"/>
        <w:textAlignment w:val="auto"/>
        <w:rPr>
          <w:rFonts w:hint="eastAsia"/>
          <w:b/>
          <w:bCs/>
          <w:lang w:val="en-US" w:eastAsia="zh-CN"/>
        </w:rPr>
      </w:pPr>
      <w:bookmarkStart w:id="15" w:name="bookmark91"/>
      <w:r>
        <w:rPr>
          <w:rFonts w:hint="eastAsia"/>
          <w:b/>
          <w:bCs/>
          <w:lang w:val="en-US" w:eastAsia="zh-CN"/>
        </w:rPr>
        <w:t xml:space="preserve">九</w:t>
      </w:r>
      <w:bookmarkEnd w:id="15"/>
      <w:r>
        <w:rPr>
          <w:rFonts w:hint="eastAsia"/>
          <w:b/>
          <w:bCs/>
          <w:lang w:val="en-US" w:eastAsia="zh-CN"/>
        </w:rPr>
        <w:t xml:space="preserve">、国有资本经营预算支出情况说明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eastAsia="宋体" w:hint="eastAsia"/>
          <w:sz w:val="28"/>
          <w:szCs w:val="28"/>
          <w:lang w:eastAsia="zh-CN"/>
        </w:rPr>
      </w:pPr>
      <w:r>
        <w:rPr>
          <w:rFonts w:hint="eastAsia"/>
          <w:sz w:val="28"/>
          <w:szCs w:val="28"/>
        </w:rPr>
        <w:t xml:space="preserve">我部门</w:t>
      </w:r>
      <w:r>
        <w:rPr>
          <w:rFonts w:hint="eastAsia"/>
          <w:sz w:val="28"/>
          <w:szCs w:val="28"/>
          <w:lang w:eastAsia="zh-CN"/>
        </w:rPr>
        <w:t xml:space="preserve">2024</w:t>
      </w:r>
      <w:r>
        <w:rPr>
          <w:rFonts w:hint="eastAsia"/>
          <w:sz w:val="28"/>
          <w:szCs w:val="28"/>
        </w:rPr>
        <w:t xml:space="preserve">年国有资本经营预算支出共</w:t>
      </w:r>
      <w:r>
        <w:rPr>
          <w:rFonts w:hint="eastAsia"/>
          <w:sz w:val="28"/>
          <w:szCs w:val="28"/>
          <w:lang w:eastAsia="zh-CN"/>
        </w:rPr>
        <w:t xml:space="preserve">0.00</w:t>
      </w:r>
      <w:r>
        <w:rPr>
          <w:rFonts w:hint="eastAsia"/>
          <w:sz w:val="28"/>
          <w:szCs w:val="28"/>
        </w:rPr>
        <w:t xml:space="preserve">万元，较2023年度预算数</w:t>
      </w:r>
      <w:r>
        <w:rPr>
          <w:rFonts w:hint="eastAsia"/>
          <w:sz w:val="28"/>
          <w:szCs w:val="28"/>
          <w:lang w:eastAsia="zh-CN"/>
        </w:rPr>
        <w:t xml:space="preserve">0.00</w:t>
      </w:r>
      <w:r>
        <w:rPr>
          <w:rFonts w:hint="eastAsia"/>
          <w:sz w:val="28"/>
          <w:szCs w:val="28"/>
        </w:rPr>
        <w:t xml:space="preserve">万元，</w:t>
      </w:r>
      <w:r>
        <w:rPr>
          <w:rFonts w:hint="eastAsia"/>
          <w:sz w:val="28"/>
          <w:szCs w:val="28"/>
          <w:lang w:eastAsia="zh-CN"/>
        </w:rPr>
        <w:t xml:space="preserve">增加0.00</w:t>
      </w:r>
      <w:r>
        <w:rPr>
          <w:rFonts w:hint="eastAsia"/>
          <w:sz w:val="28"/>
          <w:szCs w:val="28"/>
        </w:rPr>
        <w:t xml:space="preserve">万元，</w:t>
      </w:r>
      <w:r>
        <w:rPr>
          <w:rFonts w:hint="eastAsia"/>
          <w:sz w:val="28"/>
          <w:szCs w:val="28"/>
          <w:lang w:eastAsia="zh-CN"/>
        </w:rPr>
        <w:t xml:space="preserve">增长0%</w:t>
      </w:r>
      <w:r>
        <w:rPr>
          <w:rFonts w:hint="eastAsia"/>
          <w:sz w:val="28"/>
          <w:szCs w:val="28"/>
        </w:rPr>
        <w:t xml:space="preserve">，主要原因是</w:t>
      </w:r>
      <w:r>
        <w:rPr>
          <w:rFonts w:hint="eastAsia"/>
          <w:sz w:val="28"/>
          <w:szCs w:val="28"/>
          <w:lang w:val="en-US" w:eastAsia="zh-CN"/>
        </w:rPr>
        <w:t xml:space="preserve">我部门2024年部门预算无国有资本经营预算</w:t>
      </w:r>
      <w:r>
        <w:rPr>
          <w:rFonts w:hint="eastAsia"/>
          <w:sz w:val="28"/>
          <w:szCs w:val="28"/>
        </w:rPr>
        <w:t xml:space="preserve">。</w:t>
      </w:r>
    </w:p>
    <w:p>
      <w:pPr>
        <w:pStyle w:val="Bodytext|2"/>
        <w:keepNext w:val="0"/>
        <w:keepLines w:val="0"/>
        <w:pageBreakBefore w:val="0"/>
        <w:widowControl w:val="0"/>
        <w:tabs>
          <w:tab w:val="left" w:pos="1235"/>
        </w:tabs>
        <w:kinsoku/>
        <w:wordWrap/>
        <w:overflowPunct/>
        <w:topLinePunct w:val="0"/>
        <w:autoSpaceDE/>
        <w:autoSpaceDN/>
        <w:bidi w:val="0"/>
        <w:adjustRightInd/>
        <w:snapToGrid/>
        <w:spacing w:before="120" w:after="0" w:line="600" w:lineRule="exact"/>
        <w:ind w:firstLine="578"/>
        <w:jc w:val="left"/>
        <w:textAlignment w:val="auto"/>
        <w:rPr>
          <w:b/>
          <w:bCs/>
        </w:rPr>
      </w:pPr>
      <w:r>
        <w:rPr>
          <w:b/>
          <w:bCs/>
        </w:rPr>
        <w:t xml:space="preserve">十、其他重要事项</w:t>
      </w:r>
      <w:r>
        <w:rPr>
          <w:rFonts w:hint="eastAsia"/>
          <w:b/>
          <w:bCs/>
          <w:lang w:val="en-US" w:eastAsia="zh-CN"/>
        </w:rPr>
        <w:t xml:space="preserve">情况</w:t>
      </w:r>
      <w:r>
        <w:rPr>
          <w:b/>
          <w:bCs/>
        </w:rPr>
        <w:t xml:space="preserve">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（一）机关运行经费安排情况说明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2024</w:t>
      </w:r>
      <w:r>
        <w:rPr>
          <w:rFonts w:ascii="宋体" w:eastAsia="宋体" w:hAnsi="宋体" w:cs="宋体"/>
          <w:sz w:val="28"/>
          <w:u w:color="auto"/>
        </w:rPr>
        <w:t xml:space="preserve">年本部门机关运行经费预算</w:t>
      </w:r>
      <w:r>
        <w:rPr>
          <w:rFonts w:ascii="宋体" w:eastAsia="宋体" w:hAnsi="宋体" w:cs="宋体" w:hint="eastAsia"/>
          <w:sz w:val="28"/>
          <w:szCs w:val="28"/>
          <w:lang w:val="en-US" w:eastAsia="zh-CN"/>
        </w:rPr>
        <w:t xml:space="preserve">34.91</w:t>
      </w:r>
      <w:r>
        <w:rPr>
          <w:rFonts w:ascii="宋体" w:eastAsia="宋体" w:hAnsi="宋体" w:cs="宋体" w:hint="eastAsia"/>
          <w:sz w:val="28"/>
          <w:szCs w:val="28"/>
          <w:lang w:eastAsia="zh-CN"/>
        </w:rPr>
        <w:t xml:space="preserve">万元，较2023年度预算数</w:t>
      </w:r>
      <w:r>
        <w:rPr>
          <w:rFonts w:ascii="宋体" w:eastAsia="宋体" w:hAnsi="宋体" w:cs="宋体" w:hint="eastAsia"/>
          <w:sz w:val="28"/>
          <w:szCs w:val="28"/>
          <w:lang w:val="en-US" w:eastAsia="zh-CN"/>
        </w:rPr>
        <w:t xml:space="preserve">41.03</w:t>
      </w:r>
      <w:r>
        <w:rPr>
          <w:rFonts w:ascii="宋体" w:eastAsia="宋体" w:hAnsi="宋体" w:cs="宋体" w:hint="eastAsia"/>
          <w:sz w:val="28"/>
          <w:szCs w:val="28"/>
          <w:lang w:eastAsia="zh-CN"/>
        </w:rPr>
        <w:t xml:space="preserve">万元，</w:t>
      </w:r>
      <w:r>
        <w:rPr>
          <w:rFonts w:ascii="宋体" w:eastAsia="宋体" w:hAnsi="宋体" w:cs="宋体" w:hint="eastAsia"/>
          <w:sz w:val="28"/>
          <w:szCs w:val="28"/>
          <w:lang w:val="en-US" w:eastAsia="zh-CN"/>
        </w:rPr>
        <w:t xml:space="preserve">减少6.12</w:t>
      </w:r>
      <w:r>
        <w:rPr>
          <w:rFonts w:ascii="宋体" w:eastAsia="宋体" w:hAnsi="宋体" w:cs="宋体" w:hint="eastAsia"/>
          <w:sz w:val="28"/>
          <w:szCs w:val="28"/>
          <w:lang w:eastAsia="zh-CN"/>
        </w:rPr>
        <w:t xml:space="preserve">万元，</w:t>
      </w:r>
      <w:r>
        <w:rPr>
          <w:rFonts w:ascii="宋体" w:eastAsia="宋体" w:hAnsi="宋体" w:cs="宋体" w:hint="eastAsia"/>
          <w:sz w:val="28"/>
          <w:szCs w:val="28"/>
          <w:lang w:val="en-US" w:eastAsia="zh-CN"/>
        </w:rPr>
        <w:t xml:space="preserve">下降14.92%</w:t>
      </w:r>
      <w:r>
        <w:rPr>
          <w:rFonts w:ascii="宋体" w:eastAsia="宋体" w:hAnsi="宋体" w:cs="宋体" w:hint="eastAsia"/>
          <w:sz w:val="28"/>
          <w:szCs w:val="28"/>
          <w:lang w:eastAsia="zh-CN"/>
        </w:rPr>
        <w:t xml:space="preserve">，主要原因是：</w:t>
      </w:r>
      <w:r>
        <w:rPr>
          <w:rFonts w:ascii="宋体" w:eastAsia="宋体" w:hAnsi="宋体" w:cs="宋体" w:hint="eastAsia"/>
          <w:sz w:val="28"/>
          <w:szCs w:val="28"/>
          <w:lang w:val="en-US" w:eastAsia="zh-CN"/>
        </w:rPr>
        <w:t xml:space="preserve">在职人员减少</w:t>
      </w:r>
      <w:r>
        <w:rPr>
          <w:rFonts w:ascii="宋体" w:eastAsia="宋体" w:hAnsi="宋体" w:cs="宋体" w:hint="eastAsia"/>
          <w:sz w:val="28"/>
          <w:szCs w:val="28"/>
          <w:lang w:eastAsia="zh-CN"/>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（二）政府采购预算安排情况说明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default"/>
          <w:sz w:val="28"/>
          <w:szCs w:val="28"/>
          <w:lang w:val="en-US" w:eastAsia="zh-CN"/>
        </w:rPr>
      </w:pPr>
      <w:r>
        <w:rPr>
          <w:rFonts w:ascii="宋体" w:eastAsia="宋体" w:hAnsi="宋体" w:cs="宋体" w:hint="eastAsia"/>
          <w:sz w:val="28"/>
          <w:szCs w:val="28"/>
          <w:lang w:eastAsia="zh-CN"/>
        </w:rPr>
        <w:t xml:space="preserve">我部门2024年政府采购预算总金额</w:t>
      </w:r>
      <w:r>
        <w:rPr>
          <w:rFonts w:ascii="宋体" w:eastAsia="宋体" w:hAnsi="宋体" w:cs="宋体" w:hint="eastAsia"/>
          <w:sz w:val="28"/>
          <w:szCs w:val="28"/>
          <w:lang w:val="en-US" w:eastAsia="zh-CN"/>
        </w:rPr>
        <w:t xml:space="preserve">9.6</w:t>
      </w:r>
      <w:r>
        <w:rPr>
          <w:rFonts w:ascii="宋体" w:eastAsia="宋体" w:hAnsi="宋体" w:cs="宋体" w:hint="eastAsia"/>
          <w:sz w:val="28"/>
          <w:szCs w:val="28"/>
          <w:lang w:eastAsia="zh-CN"/>
        </w:rPr>
        <w:t xml:space="preserve">万元。其中：货物类采购</w:t>
      </w:r>
      <w:r>
        <w:rPr>
          <w:rFonts w:ascii="宋体" w:eastAsia="宋体" w:hAnsi="宋体" w:cs="宋体" w:hint="eastAsia"/>
          <w:sz w:val="28"/>
          <w:szCs w:val="28"/>
          <w:lang w:val="en-US" w:eastAsia="zh-CN"/>
        </w:rPr>
        <w:t xml:space="preserve">9.6</w:t>
      </w:r>
      <w:r>
        <w:rPr>
          <w:rFonts w:ascii="宋体" w:eastAsia="宋体" w:hAnsi="宋体" w:cs="宋体" w:hint="eastAsia"/>
          <w:sz w:val="28"/>
          <w:szCs w:val="28"/>
          <w:lang w:eastAsia="zh-CN"/>
        </w:rPr>
        <w:t xml:space="preserve">万元、工程类采购</w:t>
      </w:r>
      <w:r>
        <w:rPr>
          <w:rFonts w:ascii="宋体" w:eastAsia="宋体" w:hAnsi="宋体" w:cs="宋体" w:hint="eastAsia"/>
          <w:sz w:val="28"/>
          <w:szCs w:val="28"/>
          <w:lang w:val="en-US" w:eastAsia="zh-CN"/>
        </w:rPr>
        <w:t xml:space="preserve">0</w:t>
      </w:r>
      <w:r>
        <w:rPr>
          <w:rFonts w:ascii="宋体" w:eastAsia="宋体" w:hAnsi="宋体" w:cs="宋体" w:hint="eastAsia"/>
          <w:sz w:val="28"/>
          <w:szCs w:val="28"/>
          <w:lang w:eastAsia="zh-CN"/>
        </w:rPr>
        <w:t xml:space="preserve">万元、服务类采购</w:t>
      </w:r>
      <w:r>
        <w:rPr>
          <w:rFonts w:ascii="宋体" w:eastAsia="宋体" w:hAnsi="宋体" w:cs="宋体" w:hint="eastAsia"/>
          <w:sz w:val="28"/>
          <w:szCs w:val="28"/>
          <w:lang w:val="en-US" w:eastAsia="zh-CN"/>
        </w:rPr>
        <w:t xml:space="preserve">0</w:t>
      </w:r>
      <w:r>
        <w:rPr>
          <w:rFonts w:ascii="宋体" w:eastAsia="宋体" w:hAnsi="宋体" w:cs="宋体" w:hint="eastAsia"/>
          <w:sz w:val="28"/>
          <w:szCs w:val="28"/>
          <w:lang w:eastAsia="zh-CN"/>
        </w:rPr>
        <w:t xml:space="preserve">万元。</w:t>
      </w:r>
      <w:r>
        <w:rPr>
          <w:rFonts w:ascii="宋体" w:eastAsia="宋体" w:hAnsi="宋体" w:cs="宋体" w:hint="eastAsia"/>
          <w:sz w:val="28"/>
          <w:szCs w:val="28"/>
          <w:lang w:val="en-US" w:eastAsia="zh-CN"/>
        </w:rPr>
        <w:t xml:space="preserve">主要用于：办公设备购置。</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（三）国有资产占用情况说明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截至2023年12月31日，本部门共有车辆</w:t>
      </w:r>
      <w:r>
        <w:rPr>
          <w:rFonts w:hint="eastAsia"/>
          <w:sz w:val="28"/>
          <w:szCs w:val="28"/>
          <w:highlight w:val="none"/>
          <w:lang w:val="en-US" w:eastAsia="zh-CN"/>
        </w:rPr>
        <w:t xml:space="preserve">0</w:t>
      </w:r>
      <w:r>
        <w:rPr>
          <w:rFonts w:ascii="宋体" w:eastAsia="宋体" w:hAnsi="宋体" w:cs="宋体" w:hint="eastAsia"/>
          <w:sz w:val="28"/>
          <w:szCs w:val="28"/>
          <w:lang w:eastAsia="zh-CN"/>
        </w:rPr>
        <w:t xml:space="preserve">辆，其中，应急机要通信用车</w:t>
      </w:r>
      <w:r>
        <w:rPr>
          <w:rFonts w:hint="eastAsia"/>
          <w:sz w:val="28"/>
          <w:szCs w:val="28"/>
          <w:highlight w:val="none"/>
          <w:lang w:val="en-US" w:eastAsia="zh-CN"/>
        </w:rPr>
        <w:t xml:space="preserve">0</w:t>
      </w:r>
      <w:r>
        <w:rPr>
          <w:rFonts w:ascii="宋体" w:eastAsia="宋体" w:hAnsi="宋体" w:cs="宋体" w:hint="eastAsia"/>
          <w:sz w:val="28"/>
          <w:szCs w:val="28"/>
          <w:lang w:eastAsia="zh-CN"/>
        </w:rPr>
        <w:t xml:space="preserve">辆、一般执法执勤用车</w:t>
      </w:r>
      <w:r>
        <w:rPr>
          <w:rFonts w:hint="eastAsia"/>
          <w:sz w:val="28"/>
          <w:szCs w:val="28"/>
          <w:highlight w:val="none"/>
          <w:lang w:val="en-US" w:eastAsia="zh-CN"/>
        </w:rPr>
        <w:t xml:space="preserve">0</w:t>
      </w:r>
      <w:r>
        <w:rPr>
          <w:rFonts w:ascii="宋体" w:eastAsia="宋体" w:hAnsi="宋体" w:cs="宋体" w:hint="eastAsia"/>
          <w:sz w:val="28"/>
          <w:szCs w:val="28"/>
          <w:lang w:eastAsia="zh-CN"/>
        </w:rPr>
        <w:t xml:space="preserve">辆、特种专业技术用车</w:t>
      </w:r>
      <w:r>
        <w:rPr>
          <w:rFonts w:hint="eastAsia"/>
          <w:sz w:val="28"/>
          <w:szCs w:val="28"/>
          <w:highlight w:val="none"/>
          <w:lang w:val="en-US" w:eastAsia="zh-CN"/>
        </w:rPr>
        <w:t xml:space="preserve">0</w:t>
      </w:r>
      <w:r>
        <w:rPr>
          <w:rFonts w:ascii="宋体" w:eastAsia="宋体" w:hAnsi="宋体" w:cs="宋体" w:hint="eastAsia"/>
          <w:sz w:val="28"/>
          <w:szCs w:val="28"/>
          <w:lang w:eastAsia="zh-CN"/>
        </w:rPr>
        <w:t xml:space="preserve">辆、其他用车</w:t>
      </w:r>
      <w:r>
        <w:rPr>
          <w:rFonts w:hint="eastAsia"/>
          <w:sz w:val="28"/>
          <w:szCs w:val="28"/>
          <w:highlight w:val="none"/>
          <w:lang w:val="en-US" w:eastAsia="zh-CN"/>
        </w:rPr>
        <w:t xml:space="preserve">0</w:t>
      </w:r>
      <w:r>
        <w:rPr>
          <w:rFonts w:ascii="宋体" w:eastAsia="宋体" w:hAnsi="宋体" w:cs="宋体" w:hint="eastAsia"/>
          <w:sz w:val="28"/>
          <w:szCs w:val="28"/>
          <w:lang w:eastAsia="zh-CN"/>
        </w:rPr>
        <w:t xml:space="preserve">辆，单位价值200万元以上大型设备</w:t>
      </w:r>
      <w:r>
        <w:rPr>
          <w:rFonts w:hint="eastAsia"/>
          <w:sz w:val="28"/>
          <w:szCs w:val="28"/>
          <w:highlight w:val="none"/>
          <w:lang w:val="en-US" w:eastAsia="zh-CN"/>
        </w:rPr>
        <w:t xml:space="preserve">0</w:t>
      </w:r>
      <w:r>
        <w:rPr>
          <w:rFonts w:ascii="宋体" w:eastAsia="宋体" w:hAnsi="宋体" w:cs="宋体" w:hint="eastAsia"/>
          <w:sz w:val="28"/>
          <w:szCs w:val="28"/>
          <w:lang w:eastAsia="zh-CN"/>
        </w:rPr>
        <w:t xml:space="preserve">台（套）。</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（四）预算绩效目标情况说明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1.我部门2024年所有项目支出全面实施绩效目标管理，涉及项目</w:t>
      </w:r>
      <w:r>
        <w:rPr>
          <w:rFonts w:hint="eastAsia"/>
          <w:sz w:val="28"/>
          <w:szCs w:val="28"/>
          <w:highlight w:val="none"/>
          <w:lang w:val="en-US" w:eastAsia="zh-CN"/>
        </w:rPr>
        <w:t xml:space="preserve">13</w:t>
      </w:r>
      <w:r>
        <w:rPr>
          <w:rFonts w:ascii="宋体" w:eastAsia="宋体" w:hAnsi="宋体" w:cs="宋体" w:hint="eastAsia"/>
          <w:sz w:val="28"/>
          <w:szCs w:val="28"/>
          <w:lang w:eastAsia="zh-CN"/>
        </w:rPr>
        <w:t xml:space="preserve">个，预算资金</w:t>
      </w:r>
      <w:r>
        <w:rPr>
          <w:rFonts w:hint="eastAsia"/>
          <w:sz w:val="28"/>
          <w:szCs w:val="28"/>
          <w:highlight w:val="none"/>
          <w:lang w:val="en-US" w:eastAsia="zh-CN"/>
        </w:rPr>
        <w:t xml:space="preserve">350</w:t>
      </w:r>
      <w:r>
        <w:rPr>
          <w:rFonts w:ascii="宋体" w:eastAsia="宋体" w:hAnsi="宋体" w:cs="宋体" w:hint="eastAsia"/>
          <w:sz w:val="28"/>
          <w:szCs w:val="28"/>
          <w:lang w:eastAsia="zh-CN"/>
        </w:rPr>
        <w:t xml:space="preserve">万元。绩效目标情况详见报表（日常运转类项目、工资类人员经费项目和涉密项目等除外）。</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2.重点项目预算绩效目标说明。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hint="eastAsia"/>
          <w:sz w:val="28"/>
          <w:szCs w:val="28"/>
          <w:highlight w:val="none"/>
          <w:lang w:val="en-US" w:eastAsia="zh-CN"/>
        </w:rPr>
      </w:pPr>
      <w:r>
        <w:rPr>
          <w:rFonts w:hint="eastAsia"/>
          <w:sz w:val="28"/>
          <w:szCs w:val="28"/>
          <w:highlight w:val="none"/>
          <w:lang w:val="en-US" w:eastAsia="zh-CN"/>
        </w:rPr>
        <w:t xml:space="preserve">项目名称：自治县人民代表大会经费，预算资金25万元，2024年度绩效目标为：县级人大代表集中依法行使职权，讨论和决定全县重大事项。设1条数量指标：会议召开次数=1次；设1条质量指标：会议顺利召开，圆满成功；设1条时效指标：完成及时率≥95%；设1条成本指标：项目经费≤25万元；设1条社会效益指标：县级人大代表集中依法行使职权，讨论和决定全县重大事项效果明显；设1条满意度指标：县级人大代表满意度≥95%。</w:t>
      </w:r>
    </w:p>
    <w:p>
      <w:pPr>
        <w:pStyle w:val="Bodytext|1"/>
        <w:spacing w:line="624" w:lineRule="exact"/>
        <w:ind w:firstLine="600"/>
        <w:jc w:val="left"/>
        <w:rPr>
          <w:rFonts w:hint="eastAsia"/>
          <w:sz w:val="28"/>
          <w:szCs w:val="28"/>
          <w:highlight w:val="none"/>
          <w:lang w:val="en-US" w:eastAsia="zh-CN"/>
        </w:rPr>
      </w:pPr>
    </w:p>
    <w:p>
      <w:pPr>
        <w:pStyle w:val="Bodytext|1"/>
        <w:spacing w:line="624" w:lineRule="exact"/>
        <w:jc w:val="left"/>
        <w:rPr>
          <w:rFonts w:hint="default"/>
          <w:sz w:val="28"/>
          <w:szCs w:val="28"/>
          <w:highlight w:val="none"/>
          <w:lang w:val="en-US" w:eastAsia="zh-CN"/>
        </w:rPr>
        <w:sectPr>
          <w:headerReference w:type="default" r:id="rId14"/>
          <w:footerReference w:type="default" r:id="rId15"/>
          <w:pgSz w:w="11900" w:h="16840" w:orient="portrait"/>
          <w:pgMar w:top="1440" w:right="1800" w:bottom="1440" w:left="1800" w:header="0" w:footer="1077" w:gutter="0"/>
          <w:pgBorders>
            <w:top w:val="none" w:sz="0" w:space="0" w:color="auto"/>
            <w:left w:val="none" w:sz="0" w:space="0" w:color="auto"/>
            <w:bottom w:val="none" w:sz="0" w:space="0" w:color="auto"/>
            <w:right w:val="none" w:sz="0" w:space="0" w:color="auto"/>
          </w:pgBorders>
          <w:pgNumType w:fmt="decimal"/>
          <w:cols w:num="1" w:space="720">
            <w:col w:w="8300" w:space="720"/>
          </w:cols>
          <w:docGrid w:linePitch="360" w:charSpace="0"/>
        </w:sectPr>
      </w:pPr>
    </w:p>
    <w:p>
      <w:pPr>
        <w:pStyle w:val="Heading#1|1"/>
        <w:keepNext/>
        <w:keepLines/>
        <w:spacing w:after="980"/>
        <w:jc w:val="center"/>
        <w:rPr>
          <w:rFonts w:ascii="宋体" w:eastAsia="宋体" w:hAnsi="宋体" w:cs="宋体" w:hint="eastAsia"/>
          <w:b/>
          <w:bCs/>
          <w:sz w:val="36"/>
          <w:szCs w:val="36"/>
        </w:rPr>
      </w:pPr>
      <w:bookmarkEnd w:id="10"/>
      <w:bookmarkEnd w:id="11"/>
      <w:bookmarkEnd w:id="12"/>
      <w:r>
        <w:rPr>
          <w:rFonts w:ascii="宋体" w:eastAsia="宋体" w:hAnsi="宋体" w:cs="宋体" w:hint="eastAsia"/>
          <w:b/>
          <w:bCs/>
          <w:sz w:val="36"/>
          <w:szCs w:val="36"/>
        </w:rPr>
        <w:t xml:space="preserve">第</w:t>
      </w:r>
      <w:r>
        <w:rPr>
          <w:rFonts w:ascii="宋体" w:eastAsia="宋体" w:hAnsi="宋体" w:cs="宋体" w:hint="eastAsia"/>
          <w:b/>
          <w:bCs/>
          <w:sz w:val="36"/>
          <w:szCs w:val="36"/>
          <w:lang w:val="en-US" w:eastAsia="zh-CN"/>
        </w:rPr>
        <w:t xml:space="preserve">三</w:t>
      </w:r>
      <w:r>
        <w:rPr>
          <w:rFonts w:ascii="宋体" w:eastAsia="宋体" w:hAnsi="宋体" w:cs="宋体" w:hint="eastAsia"/>
          <w:b/>
          <w:bCs/>
          <w:sz w:val="36"/>
          <w:szCs w:val="36"/>
        </w:rPr>
        <w:t xml:space="preserve">部分</w:t>
      </w:r>
      <w:r>
        <w:rPr>
          <w:rFonts w:ascii="宋体" w:eastAsia="宋体" w:hAnsi="宋体" w:cs="宋体" w:hint="eastAsia"/>
          <w:b/>
          <w:bCs/>
          <w:sz w:val="36"/>
          <w:szCs w:val="36"/>
          <w:lang w:eastAsia="zh-CN"/>
        </w:rPr>
        <w:t xml:space="preserve">环江毛南族自治县人民代表大会常务委员会</w:t>
      </w:r>
      <w:r>
        <w:rPr>
          <w:rFonts w:ascii="宋体" w:eastAsia="宋体" w:hAnsi="宋体" w:cs="宋体"/>
          <w:b/>
          <w:sz w:val="36"/>
          <w:u w:color="auto"/>
        </w:rPr>
        <w:t xml:space="preserve">2024</w:t>
      </w:r>
      <w:r>
        <w:rPr>
          <w:rFonts w:ascii="宋体" w:eastAsia="宋体" w:hAnsi="宋体" w:cs="宋体"/>
          <w:b/>
          <w:sz w:val="36"/>
          <w:u w:color="auto"/>
        </w:rPr>
        <w:t xml:space="preserve">年</w:t>
      </w:r>
      <w:r>
        <w:rPr>
          <w:rFonts w:ascii="宋体" w:eastAsia="宋体" w:hAnsi="宋体" w:cs="宋体" w:hint="eastAsia"/>
          <w:b/>
          <w:bCs/>
          <w:sz w:val="36"/>
          <w:szCs w:val="36"/>
        </w:rPr>
        <w:t xml:space="preserve">部门预算表</w:t>
      </w:r>
    </w:p>
    <w:p>
      <w:pPr>
        <w:pStyle w:val="Heading#2|1"/>
        <w:keepNext/>
        <w:keepLines/>
        <w:spacing w:after="240"/>
        <w:jc w:val="center"/>
      </w:pPr>
      <w:bookmarkStart w:id="16" w:name="bookmark30"/>
      <w:bookmarkStart w:id="17" w:name="bookmark31"/>
      <w:bookmarkStart w:id="18" w:name="bookmark29"/>
      <w:r>
        <w:t xml:space="preserve">收支总体情况表</w:t>
      </w:r>
      <w:bookmarkEnd w:id="16"/>
      <w:bookmarkEnd w:id="17"/>
      <w:bookmarkEnd w:id="18"/>
    </w:p>
    <w:tbl>
      <w:tblPr>
        <w:tblStyle w:val="NormalTable"/>
        <w:tblW w:w="0" w:type="auto"/>
        <w:tblInd w:w="0" w:type="dxa"/>
        <w:tblLayout w:type="fixed"/>
        <w:tblCellMar>
          <w:top w:w="0" w:type="dxa"/>
          <w:left w:w="10" w:type="dxa"/>
          <w:bottom w:w="0" w:type="dxa"/>
          <w:right w:w="10" w:type="dxa"/>
        </w:tblCellMar>
        <w:tblLook w:firstRow="0" w:lastRow="0" w:firstColumn="0" w:lastColumn="0" w:noHBand="1" w:noVBand="1"/>
      </w:tblPr>
      <w:tblGrid>
        <w:gridCol w:w="3339"/>
        <w:gridCol w:w="3760"/>
        <w:gridCol w:w="3542"/>
        <w:gridCol w:w="3571"/>
      </w:tblGrid>
      <w:tr>
        <w:tblPrEx>
          <w:tblW w:w="0" w:type="auto"/>
          <w:tblInd w:w="0" w:type="dxa"/>
          <w:tblLayout w:type="fixed"/>
          <w:tblCellMar>
            <w:top w:w="0" w:type="dxa"/>
            <w:left w:w="10" w:type="dxa"/>
            <w:bottom w:w="0" w:type="dxa"/>
            <w:right w:w="10" w:type="dxa"/>
          </w:tblCellMar>
        </w:tblPrEx>
        <w:trPr>
          <w:cantSplit/>
          <w:trHeight w:hRule="exact" w:val="331"/>
        </w:trPr>
        <w:tc>
          <w:tcPr>
            <w:tcW w:w="10641" w:type="dxa"/>
            <w:gridSpan w:val="3"/>
            <w:tcBorders>
              <w:bottom w:val="single" w:sz="4" w:space="0" w:color="auto"/>
            </w:tcBorders>
            <w:shd w:val="clear" w:color="auto" w:fill="FFFFFF"/>
          </w:tcPr>
          <w:p>
            <w:pPr>
              <w:pStyle w:val="Other|1"/>
              <w:spacing w:line="240" w:lineRule="auto"/>
              <w:ind w:firstLine="0"/>
              <w:jc w:val="left"/>
              <w:rPr>
                <w:sz w:val="17"/>
                <w:szCs w:val="17"/>
              </w:rPr>
            </w:pPr>
            <w:r>
              <w:rPr>
                <w:sz w:val="17"/>
                <w:szCs w:val="17"/>
              </w:rPr>
              <w:t xml:space="preserve">单位名称：</w:t>
            </w:r>
            <w:r>
              <w:rPr>
                <w:rFonts w:hint="eastAsia"/>
                <w:sz w:val="17"/>
                <w:szCs w:val="17"/>
                <w:lang w:eastAsia="zh-CN"/>
              </w:rPr>
              <w:t xml:space="preserve">环江毛南族自治县人民代表大会常务委员会</w:t>
            </w:r>
          </w:p>
        </w:tc>
        <w:tc>
          <w:tcPr>
            <w:tcW w:w="3571" w:type="dxa"/>
            <w:tcBorders>
              <w:bottom w:val="single" w:sz="4" w:space="0" w:color="auto"/>
            </w:tcBorders>
            <w:shd w:val="clear" w:color="auto" w:fill="FFFFFF"/>
          </w:tcPr>
          <w:p>
            <w:pPr>
              <w:pStyle w:val="Other|1"/>
              <w:spacing w:line="240" w:lineRule="auto"/>
              <w:ind w:firstLine="2380" w:firstLineChars="1400"/>
              <w:jc w:val="left"/>
              <w:rPr>
                <w:sz w:val="17"/>
                <w:szCs w:val="17"/>
              </w:rPr>
            </w:pPr>
            <w:r>
              <w:rPr>
                <w:sz w:val="17"/>
                <w:szCs w:val="17"/>
              </w:rPr>
              <w:t xml:space="preserve">单位：万元</w:t>
            </w:r>
          </w:p>
        </w:tc>
      </w:tr>
      <w:tr>
        <w:tblPrEx>
          <w:tblW w:w="0" w:type="auto"/>
          <w:tblInd w:w="0" w:type="dxa"/>
          <w:tblLayout w:type="fixed"/>
          <w:tblCellMar>
            <w:top w:w="0" w:type="dxa"/>
            <w:left w:w="10" w:type="dxa"/>
            <w:bottom w:w="0" w:type="dxa"/>
            <w:right w:w="10" w:type="dxa"/>
          </w:tblCellMar>
        </w:tblPrEx>
        <w:trPr>
          <w:cantSplit/>
          <w:trHeight w:hRule="exact" w:val="456"/>
        </w:trPr>
        <w:tc>
          <w:tcPr>
            <w:tcW w:w="7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2890" w:firstLineChars="1700"/>
              <w:jc w:val="both"/>
              <w:rPr>
                <w:sz w:val="17"/>
                <w:szCs w:val="17"/>
              </w:rPr>
            </w:pPr>
            <w:r>
              <w:rPr>
                <w:sz w:val="17"/>
                <w:szCs w:val="17"/>
              </w:rPr>
              <w:t xml:space="preserve">收入</w:t>
            </w:r>
          </w:p>
        </w:tc>
        <w:tc>
          <w:tcPr>
            <w:tcW w:w="71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right="340" w:firstLine="2890" w:firstLineChars="1700"/>
              <w:jc w:val="both"/>
              <w:rPr>
                <w:sz w:val="17"/>
                <w:szCs w:val="17"/>
              </w:rPr>
            </w:pPr>
            <w:r>
              <w:rPr>
                <w:sz w:val="17"/>
                <w:szCs w:val="17"/>
              </w:rPr>
              <w:t xml:space="preserve">支出</w:t>
            </w:r>
          </w:p>
        </w:tc>
      </w:tr>
      <w:tr>
        <w:tblPrEx>
          <w:tblW w:w="0" w:type="auto"/>
          <w:tblInd w:w="0" w:type="dxa"/>
          <w:tblLayout w:type="fixed"/>
          <w:tblCellMar>
            <w:top w:w="0" w:type="dxa"/>
            <w:left w:w="10" w:type="dxa"/>
            <w:bottom w:w="0" w:type="dxa"/>
            <w:right w:w="10" w:type="dxa"/>
          </w:tblCellMar>
        </w:tblPrEx>
        <w:trPr>
          <w:cantSplit/>
          <w:trHeight w:hRule="exact" w:val="432"/>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sz w:val="17"/>
                <w:szCs w:val="17"/>
              </w:rPr>
            </w:pPr>
            <w:r>
              <w:rPr>
                <w:sz w:val="17"/>
                <w:szCs w:val="17"/>
              </w:rPr>
              <w:t xml:space="preserve">项目</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sz w:val="17"/>
                <w:szCs w:val="17"/>
              </w:rPr>
            </w:pPr>
            <w:r>
              <w:rPr>
                <w:sz w:val="17"/>
                <w:szCs w:val="17"/>
              </w:rPr>
              <w:t xml:space="preserve">预算数</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tabs>
                <w:tab w:val="left" w:pos="894"/>
              </w:tabs>
              <w:spacing w:line="240" w:lineRule="auto"/>
              <w:jc w:val="left"/>
              <w:rPr>
                <w:sz w:val="17"/>
                <w:szCs w:val="17"/>
              </w:rPr>
            </w:pPr>
            <w:r>
              <w:rPr>
                <w:sz w:val="17"/>
                <w:szCs w:val="17"/>
              </w:rPr>
              <w:t xml:space="preserve">项</w:t>
            </w:r>
            <w:r>
              <w:rPr>
                <w:sz w:val="17"/>
                <w:szCs w:val="17"/>
              </w:rPr>
              <w:tab/>
            </w:r>
            <w:r>
              <w:rPr>
                <w:sz w:val="17"/>
                <w:szCs w:val="17"/>
              </w:rPr>
              <w:t xml:space="preserve">目（按支出功能科目分类）</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sz w:val="17"/>
                <w:szCs w:val="17"/>
              </w:rPr>
            </w:pPr>
            <w:r>
              <w:rPr>
                <w:sz w:val="17"/>
                <w:szCs w:val="17"/>
              </w:rPr>
              <w:t xml:space="preserve">预算数</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一、一般公共预算拨款</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795.44</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一、一般公共服务支出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721.55</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1、上级补助</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100.00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二、外交支出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2、本级</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695.44</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三、国防支出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二、政府性基金预算拨款</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四、公共安全支出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1、上级补助</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五、教育支出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2、本级</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六、科学技术支出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三、国有资本经营预算拨款</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七、文化旅游体育与传媒支出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1、上级补助</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八、社会保障和就业支出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39.69</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2、本级</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九、卫生健康支出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四、财政专户管理资金收入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十、节能环保支出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五、事业收入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十一、城乡社区支出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六、事业单位经营收入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十二、农林水支出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七、上级补助收入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十三、交通运输支出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八、附属单位上缴收入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十四、资源勘探工业信息等支出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九、其他收入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十五、商业服务业等支出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十六、金融支出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十七、援助其他地区支出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十八、自然资源海洋气象等支出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十九、住房保障支出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34.20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二十、粮油物资储备支出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二十一、国有资本经营预算支出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二十二、灾害防治及应急管理支出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二十三、其他支出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二十四、债务还本支出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二十五、债务付息支出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二十六、债务发行费用支出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本年收入合计</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795.44</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本年支出合计</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795.44</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上年结转结余</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结转下年支出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收入总计</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795.44</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支出总计</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795.44</w:t>
            </w:r>
          </w:p>
        </w:tc>
      </w:tr>
    </w:tbl>
    <w:p>
      <w:pPr>
        <w:pStyle w:val="Tablecaption|1"/>
        <w:ind w:left="101"/>
        <w:jc w:val="left"/>
      </w:pPr>
      <w:r>
        <w:t xml:space="preserve">注：报表金额单位转换时可能存在四舍五入尾数误差。</w:t>
      </w:r>
    </w:p>
    <w:p>
      <w:pPr>
        <w:tabs>
          <w:tab w:val="left" w:pos="859"/>
        </w:tabs>
        <w:jc w:val="left"/>
        <w:rPr>
          <w:rFonts w:eastAsia="宋体"/>
          <w:lang w:eastAsia="zh-CN"/>
        </w:rPr>
      </w:pPr>
    </w:p>
    <w:p>
      <w:pPr>
        <w:tabs>
          <w:tab w:val="left" w:pos="859"/>
        </w:tabs>
        <w:jc w:val="left"/>
        <w:rPr>
          <w:rFonts w:eastAsia="宋体"/>
          <w:lang w:eastAsia="zh-CN"/>
        </w:rPr>
      </w:pPr>
    </w:p>
    <w:p>
      <w:pPr>
        <w:tabs>
          <w:tab w:val="left" w:pos="859"/>
        </w:tabs>
        <w:jc w:val="left"/>
        <w:rPr>
          <w:rFonts w:eastAsia="宋体"/>
          <w:lang w:eastAsia="zh-CN"/>
        </w:rPr>
      </w:pPr>
    </w:p>
    <w:p>
      <w:pPr>
        <w:tabs>
          <w:tab w:val="left" w:pos="859"/>
        </w:tabs>
        <w:jc w:val="left"/>
        <w:rPr>
          <w:rFonts w:eastAsia="宋体"/>
          <w:lang w:eastAsia="zh-CN"/>
        </w:rPr>
        <w:sectPr>
          <w:headerReference w:type="default" r:id="rId16"/>
          <w:footerReference w:type="default" r:id="rId17"/>
          <w:pgSz w:w="16840" w:h="11900" w:orient="landscape"/>
          <w:pgMar w:top="2397" w:right="761" w:bottom="1966" w:left="739" w:header="0" w:footer="1474" w:gutter="0"/>
          <w:pgBorders>
            <w:top w:val="none" w:sz="0" w:space="0" w:color="auto"/>
            <w:left w:val="none" w:sz="0" w:space="0" w:color="auto"/>
            <w:bottom w:val="none" w:sz="0" w:space="0" w:color="auto"/>
            <w:right w:val="none" w:sz="0" w:space="0" w:color="auto"/>
          </w:pgBorders>
          <w:pgNumType w:fmt="decimal"/>
          <w:cols w:num="1" w:space="720">
            <w:col w:w="15340" w:space="720"/>
          </w:cols>
          <w:docGrid w:linePitch="360" w:charSpace="0"/>
        </w:sectPr>
      </w:pPr>
    </w:p>
    <w:p>
      <w:pPr>
        <w:tabs>
          <w:tab w:val="left" w:pos="859"/>
        </w:tabs>
        <w:jc w:val="left"/>
        <w:rPr>
          <w:rFonts w:eastAsia="宋体"/>
          <w:lang w:eastAsia="zh-CN"/>
        </w:rPr>
      </w:pPr>
    </w:p>
    <w:p>
      <w:pPr>
        <w:tabs>
          <w:tab w:val="left" w:pos="859"/>
        </w:tabs>
        <w:jc w:val="center"/>
        <w:rPr>
          <w:rFonts w:eastAsia="宋体" w:hint="eastAsia"/>
          <w:lang w:val="en-US" w:eastAsia="zh-CN"/>
        </w:rPr>
      </w:pPr>
    </w:p>
    <w:p>
      <w:pPr>
        <w:tabs>
          <w:tab w:val="left" w:pos="859"/>
        </w:tabs>
        <w:jc w:val="center"/>
        <w:rPr>
          <w:rFonts w:eastAsia="宋体" w:hint="eastAsia"/>
          <w:lang w:val="en-US" w:eastAsia="zh-CN"/>
        </w:rPr>
      </w:pPr>
      <w:r>
        <w:rPr>
          <w:rFonts w:eastAsia="宋体" w:hint="eastAsia"/>
          <w:lang w:val="en-US" w:eastAsia="zh-CN"/>
        </w:rPr>
        <w:t xml:space="preserve">收入总体情况表</w:t>
      </w:r>
    </w:p>
    <w:p>
      <w:pPr>
        <w:tabs>
          <w:tab w:val="left" w:pos="859"/>
        </w:tabs>
        <w:jc w:val="center"/>
        <w:rPr>
          <w:rFonts w:eastAsia="宋体" w:hint="eastAsia"/>
          <w:lang w:val="en-US" w:eastAsia="zh-CN"/>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firstRow="0" w:lastRow="0" w:firstColumn="0" w:lastColumn="0" w:noHBand="1" w:noVBand="1"/>
      </w:tblPr>
      <w:tblGrid>
        <w:gridCol w:w="1636"/>
        <w:gridCol w:w="1279"/>
        <w:gridCol w:w="990"/>
        <w:gridCol w:w="926"/>
        <w:gridCol w:w="909"/>
        <w:gridCol w:w="968"/>
        <w:gridCol w:w="990"/>
        <w:gridCol w:w="1078"/>
        <w:gridCol w:w="972"/>
        <w:gridCol w:w="919"/>
        <w:gridCol w:w="1011"/>
        <w:gridCol w:w="859"/>
        <w:gridCol w:w="944"/>
        <w:gridCol w:w="150"/>
        <w:gridCol w:w="937"/>
        <w:gridCol w:w="989"/>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cantSplit/>
          <w:trHeight w:val="270"/>
        </w:trPr>
        <w:tc>
          <w:tcPr>
            <w:tcW w:w="13481" w:type="dxa"/>
            <w:gridSpan w:val="13"/>
            <w:tcBorders>
              <w:top w:val="nil"/>
              <w:left w:val="nil"/>
              <w:right w:val="nil"/>
            </w:tcBorders>
          </w:tcPr>
          <w:p>
            <w:pPr>
              <w:pStyle w:val="Tablecaption|1"/>
              <w:jc w:val="both"/>
              <w:rPr>
                <w:rFonts w:hint="eastAsia"/>
                <w:lang w:val="en-US" w:eastAsia="zh-CN"/>
              </w:rPr>
            </w:pPr>
            <w:r>
              <w:rPr>
                <w:sz w:val="17"/>
                <w:szCs w:val="17"/>
              </w:rPr>
              <w:t xml:space="preserve">单位名称：</w:t>
            </w:r>
            <w:r>
              <w:rPr>
                <w:rFonts w:hint="eastAsia"/>
                <w:sz w:val="17"/>
                <w:szCs w:val="17"/>
                <w:lang w:eastAsia="zh-CN"/>
              </w:rPr>
              <w:t xml:space="preserve">环江毛南族自治县人民代表大会常务委员会</w:t>
            </w:r>
          </w:p>
        </w:tc>
        <w:tc>
          <w:tcPr>
            <w:tcW w:w="2076" w:type="dxa"/>
            <w:gridSpan w:val="3"/>
            <w:tcBorders>
              <w:top w:val="nil"/>
              <w:left w:val="nil"/>
              <w:right w:val="nil"/>
            </w:tcBorders>
          </w:tcPr>
          <w:p>
            <w:pPr>
              <w:pStyle w:val="Tablecaption|1"/>
              <w:ind w:firstLine="340" w:firstLineChars="200"/>
              <w:jc w:val="left"/>
              <w:rPr>
                <w:rFonts w:hint="eastAsia"/>
                <w:lang w:val="en-US" w:eastAsia="zh-CN"/>
              </w:rPr>
            </w:pPr>
            <w:r>
              <w:rPr>
                <w:sz w:val="17"/>
                <w:szCs w:val="17"/>
              </w:rPr>
              <w:t xml:space="preserve">单位：万元</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cantSplit/>
        </w:trPr>
        <w:tc>
          <w:tcPr>
            <w:tcW w:w="1636" w:type="dxa"/>
            <w:vMerge w:val="restart"/>
            <w:vAlign w:val="center"/>
          </w:tcPr>
          <w:p>
            <w:pPr>
              <w:tabs>
                <w:tab w:val="left" w:pos="859"/>
              </w:tabs>
              <w:jc w:val="center"/>
              <w:rPr>
                <w:rFonts w:eastAsia="宋体" w:hint="eastAsia"/>
                <w:vertAlign w:val="baseline"/>
                <w:lang w:val="en-US" w:eastAsia="zh-CN"/>
              </w:rPr>
            </w:pPr>
            <w:r>
              <w:rPr>
                <w:sz w:val="17"/>
                <w:szCs w:val="17"/>
              </w:rPr>
              <w:t xml:space="preserve">部门（单位）代码</w:t>
            </w:r>
          </w:p>
        </w:tc>
        <w:tc>
          <w:tcPr>
            <w:tcW w:w="1279" w:type="dxa"/>
            <w:vMerge w:val="restart"/>
            <w:vAlign w:val="center"/>
          </w:tcPr>
          <w:p>
            <w:pPr>
              <w:tabs>
                <w:tab w:val="left" w:pos="859"/>
              </w:tabs>
              <w:jc w:val="center"/>
              <w:rPr>
                <w:rFonts w:eastAsia="宋体" w:hint="eastAsia"/>
                <w:vertAlign w:val="baseline"/>
                <w:lang w:val="en-US" w:eastAsia="zh-CN"/>
              </w:rPr>
            </w:pPr>
            <w:r>
              <w:rPr>
                <w:sz w:val="17"/>
                <w:szCs w:val="17"/>
              </w:rPr>
              <w:t xml:space="preserve">部门（单位）名称</w:t>
            </w:r>
          </w:p>
        </w:tc>
        <w:tc>
          <w:tcPr>
            <w:tcW w:w="990" w:type="dxa"/>
            <w:vMerge w:val="restart"/>
            <w:vAlign w:val="center"/>
          </w:tcPr>
          <w:p>
            <w:pPr>
              <w:pStyle w:val="Other|1"/>
              <w:spacing w:line="240" w:lineRule="auto"/>
              <w:ind w:left="0" w:firstLine="0" w:leftChars="0" w:firstLineChars="0"/>
              <w:jc w:val="center"/>
              <w:rPr>
                <w:rFonts w:eastAsia="宋体" w:hint="eastAsia"/>
                <w:vertAlign w:val="baseline"/>
                <w:lang w:val="en-US" w:eastAsia="zh-CN"/>
              </w:rPr>
            </w:pPr>
            <w:r>
              <w:rPr>
                <w:rFonts w:hint="eastAsia"/>
                <w:sz w:val="17"/>
                <w:szCs w:val="17"/>
                <w:lang w:val="en-US" w:eastAsia="zh-CN"/>
              </w:rPr>
              <w:t xml:space="preserve">合</w:t>
            </w:r>
            <w:r>
              <w:rPr>
                <w:sz w:val="17"/>
                <w:szCs w:val="17"/>
              </w:rPr>
              <w:t xml:space="preserve">计</w:t>
            </w:r>
          </w:p>
        </w:tc>
        <w:tc>
          <w:tcPr>
            <w:tcW w:w="5843" w:type="dxa"/>
            <w:gridSpan w:val="6"/>
          </w:tcPr>
          <w:p>
            <w:pPr>
              <w:tabs>
                <w:tab w:val="left" w:pos="859"/>
              </w:tabs>
              <w:jc w:val="center"/>
              <w:rPr>
                <w:rFonts w:eastAsia="宋体" w:hint="eastAsia"/>
                <w:vertAlign w:val="baseline"/>
                <w:lang w:val="en-US" w:eastAsia="zh-CN"/>
              </w:rPr>
            </w:pPr>
            <w:r>
              <w:rPr>
                <w:sz w:val="17"/>
                <w:szCs w:val="17"/>
              </w:rPr>
              <w:t xml:space="preserve">本年收入</w:t>
            </w:r>
          </w:p>
        </w:tc>
        <w:tc>
          <w:tcPr>
            <w:tcW w:w="5809" w:type="dxa"/>
            <w:gridSpan w:val="7"/>
          </w:tcPr>
          <w:p>
            <w:pPr>
              <w:tabs>
                <w:tab w:val="left" w:pos="859"/>
              </w:tabs>
              <w:jc w:val="center"/>
              <w:rPr>
                <w:rFonts w:eastAsia="宋体" w:hint="eastAsia"/>
                <w:vertAlign w:val="baseline"/>
                <w:lang w:val="en-US" w:eastAsia="zh-CN"/>
              </w:rPr>
            </w:pPr>
            <w:r>
              <w:rPr>
                <w:sz w:val="17"/>
                <w:szCs w:val="17"/>
              </w:rPr>
              <w:t xml:space="preserve">上年结转结余</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cantSplit/>
          <w:trHeight w:val="1058"/>
        </w:trPr>
        <w:tc>
          <w:tcPr>
            <w:tcW w:w="1636" w:type="dxa"/>
            <w:vMerge/>
          </w:tcPr>
          <w:p>
            <w:pPr>
              <w:tabs>
                <w:tab w:val="left" w:pos="859"/>
              </w:tabs>
              <w:jc w:val="center"/>
              <w:rPr>
                <w:rFonts w:eastAsia="宋体" w:hint="eastAsia"/>
                <w:vertAlign w:val="baseline"/>
                <w:lang w:val="en-US" w:eastAsia="zh-CN"/>
              </w:rPr>
            </w:pPr>
          </w:p>
        </w:tc>
        <w:tc>
          <w:tcPr>
            <w:tcW w:w="1279" w:type="dxa"/>
            <w:vMerge/>
          </w:tcPr>
          <w:p>
            <w:pPr>
              <w:tabs>
                <w:tab w:val="left" w:pos="859"/>
              </w:tabs>
              <w:jc w:val="center"/>
              <w:rPr>
                <w:rFonts w:eastAsia="宋体" w:hint="eastAsia"/>
                <w:vertAlign w:val="baseline"/>
                <w:lang w:val="en-US" w:eastAsia="zh-CN"/>
              </w:rPr>
            </w:pPr>
          </w:p>
        </w:tc>
        <w:tc>
          <w:tcPr>
            <w:tcW w:w="990" w:type="dxa"/>
            <w:vMerge/>
            <w:vAlign w:val="center"/>
          </w:tcPr>
          <w:p>
            <w:pPr>
              <w:pStyle w:val="Other|1"/>
              <w:spacing w:line="240" w:lineRule="auto"/>
              <w:ind w:firstLine="300" w:firstLineChars="0"/>
              <w:jc w:val="center"/>
              <w:rPr>
                <w:rFonts w:eastAsia="宋体" w:hint="eastAsia"/>
                <w:vertAlign w:val="baseline"/>
                <w:lang w:val="en-US" w:eastAsia="zh-CN"/>
              </w:rPr>
            </w:pPr>
          </w:p>
        </w:tc>
        <w:tc>
          <w:tcPr>
            <w:tcW w:w="926" w:type="dxa"/>
            <w:vAlign w:val="center"/>
          </w:tcPr>
          <w:p>
            <w:pPr>
              <w:pStyle w:val="Other|1"/>
              <w:spacing w:line="240" w:lineRule="auto"/>
              <w:ind w:firstLine="300" w:firstLineChars="0"/>
              <w:jc w:val="center"/>
              <w:rPr>
                <w:rFonts w:eastAsia="宋体" w:hint="eastAsia"/>
                <w:vertAlign w:val="baseline"/>
                <w:lang w:val="en-US" w:eastAsia="zh-CN"/>
              </w:rPr>
            </w:pPr>
            <w:r>
              <w:rPr>
                <w:sz w:val="17"/>
                <w:szCs w:val="17"/>
              </w:rPr>
              <w:t xml:space="preserve">小计</w:t>
            </w:r>
          </w:p>
        </w:tc>
        <w:tc>
          <w:tcPr>
            <w:tcW w:w="909" w:type="dxa"/>
            <w:vAlign w:val="center"/>
          </w:tcPr>
          <w:p>
            <w:pPr>
              <w:pStyle w:val="Other|1"/>
              <w:spacing w:line="317" w:lineRule="exact"/>
              <w:ind w:firstLine="0" w:firstLineChars="0"/>
              <w:jc w:val="center"/>
              <w:rPr>
                <w:rFonts w:eastAsia="宋体" w:hint="eastAsia"/>
                <w:vertAlign w:val="baseline"/>
                <w:lang w:val="en-US" w:eastAsia="zh-CN"/>
              </w:rPr>
            </w:pPr>
            <w:r>
              <w:rPr>
                <w:sz w:val="17"/>
                <w:szCs w:val="17"/>
              </w:rPr>
              <w:t xml:space="preserve">一般公共预算</w:t>
            </w:r>
          </w:p>
        </w:tc>
        <w:tc>
          <w:tcPr>
            <w:tcW w:w="968" w:type="dxa"/>
            <w:vAlign w:val="center"/>
          </w:tcPr>
          <w:p>
            <w:pPr>
              <w:pStyle w:val="Other|1"/>
              <w:spacing w:line="317" w:lineRule="exact"/>
              <w:ind w:firstLine="0" w:firstLineChars="0"/>
              <w:jc w:val="center"/>
              <w:rPr>
                <w:rFonts w:eastAsia="宋体" w:hint="eastAsia"/>
                <w:vertAlign w:val="baseline"/>
                <w:lang w:val="en-US" w:eastAsia="zh-CN"/>
              </w:rPr>
            </w:pPr>
            <w:r>
              <w:rPr>
                <w:sz w:val="17"/>
                <w:szCs w:val="17"/>
              </w:rPr>
              <w:t xml:space="preserve">政府性基金预算</w:t>
            </w:r>
          </w:p>
        </w:tc>
        <w:tc>
          <w:tcPr>
            <w:tcW w:w="990" w:type="dxa"/>
            <w:vAlign w:val="center"/>
          </w:tcPr>
          <w:p>
            <w:pPr>
              <w:pStyle w:val="Other|1"/>
              <w:spacing w:line="317" w:lineRule="exact"/>
              <w:ind w:firstLine="0" w:firstLineChars="0"/>
              <w:jc w:val="center"/>
              <w:rPr>
                <w:rFonts w:eastAsia="宋体" w:hint="eastAsia"/>
                <w:vertAlign w:val="baseline"/>
                <w:lang w:val="en-US" w:eastAsia="zh-CN"/>
              </w:rPr>
            </w:pPr>
            <w:r>
              <w:rPr>
                <w:sz w:val="17"/>
                <w:szCs w:val="17"/>
              </w:rPr>
              <w:t xml:space="preserve">国有资本经营预算</w:t>
            </w:r>
          </w:p>
        </w:tc>
        <w:tc>
          <w:tcPr>
            <w:tcW w:w="1078" w:type="dxa"/>
          </w:tcPr>
          <w:p>
            <w:pPr>
              <w:pStyle w:val="Other|1"/>
              <w:spacing w:line="312" w:lineRule="exact"/>
              <w:ind w:firstLine="0"/>
              <w:jc w:val="center"/>
              <w:rPr>
                <w:sz w:val="17"/>
                <w:szCs w:val="17"/>
              </w:rPr>
            </w:pPr>
            <w:r>
              <w:rPr>
                <w:sz w:val="17"/>
                <w:szCs w:val="17"/>
              </w:rPr>
              <w:t xml:space="preserve">财政专户管理资金</w:t>
            </w:r>
          </w:p>
          <w:p>
            <w:pPr>
              <w:pStyle w:val="Other|1"/>
              <w:spacing w:line="312" w:lineRule="exact"/>
              <w:ind w:firstLine="0" w:firstLineChars="0"/>
              <w:jc w:val="center"/>
              <w:rPr>
                <w:rFonts w:eastAsia="宋体" w:hint="eastAsia"/>
                <w:vertAlign w:val="baseline"/>
                <w:lang w:val="en-US" w:eastAsia="zh-CN"/>
              </w:rPr>
            </w:pPr>
            <w:r>
              <w:rPr>
                <w:sz w:val="17"/>
                <w:szCs w:val="17"/>
              </w:rPr>
              <w:t xml:space="preserve">收入</w:t>
            </w:r>
          </w:p>
        </w:tc>
        <w:tc>
          <w:tcPr>
            <w:tcW w:w="972" w:type="dxa"/>
            <w:vAlign w:val="center"/>
          </w:tcPr>
          <w:p>
            <w:pPr>
              <w:pStyle w:val="Other|1"/>
              <w:spacing w:line="240" w:lineRule="auto"/>
              <w:ind w:firstLine="0" w:firstLineChars="0"/>
              <w:jc w:val="center"/>
              <w:rPr>
                <w:rFonts w:eastAsia="宋体" w:hint="eastAsia"/>
                <w:vertAlign w:val="baseline"/>
                <w:lang w:val="en-US" w:eastAsia="zh-CN"/>
              </w:rPr>
            </w:pPr>
            <w:r>
              <w:rPr>
                <w:sz w:val="17"/>
                <w:szCs w:val="17"/>
              </w:rPr>
              <w:t xml:space="preserve">单位资金</w:t>
            </w:r>
          </w:p>
        </w:tc>
        <w:tc>
          <w:tcPr>
            <w:tcW w:w="919" w:type="dxa"/>
            <w:vAlign w:val="center"/>
          </w:tcPr>
          <w:p>
            <w:pPr>
              <w:pStyle w:val="Other|1"/>
              <w:spacing w:line="240" w:lineRule="auto"/>
              <w:ind w:firstLine="300" w:firstLineChars="0"/>
              <w:jc w:val="center"/>
              <w:rPr>
                <w:rFonts w:eastAsia="宋体" w:hint="eastAsia"/>
                <w:vertAlign w:val="baseline"/>
                <w:lang w:val="en-US" w:eastAsia="zh-CN"/>
              </w:rPr>
            </w:pPr>
            <w:r>
              <w:rPr>
                <w:sz w:val="17"/>
                <w:szCs w:val="17"/>
              </w:rPr>
              <w:t xml:space="preserve">小计</w:t>
            </w:r>
          </w:p>
        </w:tc>
        <w:tc>
          <w:tcPr>
            <w:tcW w:w="1011" w:type="dxa"/>
            <w:vAlign w:val="center"/>
          </w:tcPr>
          <w:p>
            <w:pPr>
              <w:pStyle w:val="Other|1"/>
              <w:spacing w:line="317" w:lineRule="exact"/>
              <w:ind w:firstLine="0" w:firstLineChars="0"/>
              <w:jc w:val="center"/>
              <w:rPr>
                <w:rFonts w:eastAsia="宋体" w:hint="eastAsia"/>
                <w:vertAlign w:val="baseline"/>
                <w:lang w:val="en-US" w:eastAsia="zh-CN"/>
              </w:rPr>
            </w:pPr>
            <w:r>
              <w:rPr>
                <w:sz w:val="17"/>
                <w:szCs w:val="17"/>
              </w:rPr>
              <w:t xml:space="preserve">一般公共预算</w:t>
            </w:r>
          </w:p>
        </w:tc>
        <w:tc>
          <w:tcPr>
            <w:tcW w:w="859" w:type="dxa"/>
            <w:vAlign w:val="center"/>
          </w:tcPr>
          <w:p>
            <w:pPr>
              <w:pStyle w:val="Other|1"/>
              <w:spacing w:line="317" w:lineRule="exact"/>
              <w:ind w:firstLine="0" w:firstLineChars="0"/>
              <w:jc w:val="center"/>
              <w:rPr>
                <w:rFonts w:eastAsia="宋体" w:hint="eastAsia"/>
                <w:vertAlign w:val="baseline"/>
                <w:lang w:val="en-US" w:eastAsia="zh-CN"/>
              </w:rPr>
            </w:pPr>
            <w:r>
              <w:rPr>
                <w:sz w:val="17"/>
                <w:szCs w:val="17"/>
              </w:rPr>
              <w:t xml:space="preserve">政府性基金预算</w:t>
            </w:r>
          </w:p>
        </w:tc>
        <w:tc>
          <w:tcPr>
            <w:tcW w:w="1094" w:type="dxa"/>
            <w:gridSpan w:val="2"/>
            <w:vAlign w:val="center"/>
          </w:tcPr>
          <w:p>
            <w:pPr>
              <w:pStyle w:val="Other|1"/>
              <w:spacing w:line="317" w:lineRule="exact"/>
              <w:ind w:firstLine="0" w:firstLineChars="0"/>
              <w:jc w:val="center"/>
              <w:rPr>
                <w:rFonts w:eastAsia="宋体" w:hint="eastAsia"/>
                <w:vertAlign w:val="baseline"/>
                <w:lang w:val="en-US" w:eastAsia="zh-CN"/>
              </w:rPr>
            </w:pPr>
            <w:r>
              <w:rPr>
                <w:sz w:val="17"/>
                <w:szCs w:val="17"/>
              </w:rPr>
              <w:t xml:space="preserve">国有资本经营预算</w:t>
            </w:r>
          </w:p>
        </w:tc>
        <w:tc>
          <w:tcPr>
            <w:tcW w:w="937" w:type="dxa"/>
          </w:tcPr>
          <w:p>
            <w:pPr>
              <w:pStyle w:val="Other|1"/>
              <w:spacing w:line="312" w:lineRule="exact"/>
              <w:ind w:firstLine="0"/>
              <w:jc w:val="center"/>
              <w:rPr>
                <w:sz w:val="17"/>
                <w:szCs w:val="17"/>
              </w:rPr>
            </w:pPr>
            <w:r>
              <w:rPr>
                <w:sz w:val="17"/>
                <w:szCs w:val="17"/>
              </w:rPr>
              <w:t xml:space="preserve">财政专户管理资金</w:t>
            </w:r>
          </w:p>
          <w:p>
            <w:pPr>
              <w:pStyle w:val="Other|1"/>
              <w:spacing w:line="312" w:lineRule="exact"/>
              <w:ind w:right="280" w:firstLine="0" w:rightChars="0" w:firstLineChars="0"/>
              <w:jc w:val="center"/>
              <w:rPr>
                <w:rFonts w:eastAsia="宋体" w:hint="eastAsia"/>
                <w:vertAlign w:val="baseline"/>
                <w:lang w:val="en-US" w:eastAsia="zh-CN"/>
              </w:rPr>
            </w:pPr>
            <w:r>
              <w:rPr>
                <w:sz w:val="17"/>
                <w:szCs w:val="17"/>
              </w:rPr>
              <w:t xml:space="preserve">收入</w:t>
            </w:r>
          </w:p>
        </w:tc>
        <w:tc>
          <w:tcPr>
            <w:tcW w:w="989" w:type="dxa"/>
            <w:vAlign w:val="center"/>
          </w:tcPr>
          <w:p>
            <w:pPr>
              <w:pStyle w:val="Other|1"/>
              <w:spacing w:line="240" w:lineRule="auto"/>
              <w:ind w:firstLine="140" w:firstLineChars="0"/>
              <w:jc w:val="center"/>
              <w:rPr>
                <w:rFonts w:eastAsia="宋体" w:hint="eastAsia"/>
                <w:vertAlign w:val="baseline"/>
                <w:lang w:val="en-US" w:eastAsia="zh-CN"/>
              </w:rPr>
            </w:pPr>
            <w:r>
              <w:rPr>
                <w:sz w:val="17"/>
                <w:szCs w:val="17"/>
              </w:rPr>
              <w:t xml:space="preserve">单位资金</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cantSplit/>
        </w:trPr>
        <w:tc>
          <w:tcPr>
            <w:tcW w:w="1636" w:type="dxa"/>
          </w:tcPr>
          <w:p>
            <w:pPr>
              <w:tabs>
                <w:tab w:val="left" w:pos="859"/>
              </w:tabs>
              <w:jc w:val="both"/>
              <w:rPr>
                <w:rFonts w:eastAsia="宋体" w:hint="eastAsia"/>
                <w:vertAlign w:val="baseline"/>
                <w:lang w:val="en-US" w:eastAsia="zh-CN"/>
              </w:rPr>
            </w:pPr>
          </w:p>
        </w:tc>
        <w:tc>
          <w:tcPr>
            <w:tcW w:w="1279" w:type="dxa"/>
          </w:tcPr>
          <w:p>
            <w:pPr>
              <w:tabs>
                <w:tab w:val="left" w:pos="859"/>
              </w:tabs>
              <w:jc w:val="both"/>
              <w:rPr>
                <w:rFonts w:eastAsia="宋体" w:hint="eastAsia"/>
                <w:vertAlign w:val="baseline"/>
                <w:lang w:val="en-US" w:eastAsia="zh-CN"/>
              </w:rPr>
            </w:pPr>
          </w:p>
        </w:tc>
        <w:tc>
          <w:tcPr>
            <w:tcW w:w="990" w:type="dxa"/>
            <w:vAlign w:val="center"/>
          </w:tcPr>
          <w:p>
            <w:pPr>
              <w:pStyle w:val="Other|1"/>
              <w:spacing w:line="240" w:lineRule="auto"/>
              <w:ind w:firstLine="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1</w:t>
            </w:r>
          </w:p>
        </w:tc>
        <w:tc>
          <w:tcPr>
            <w:tcW w:w="926" w:type="dxa"/>
            <w:vAlign w:val="center"/>
          </w:tcPr>
          <w:p>
            <w:pPr>
              <w:pStyle w:val="Other|1"/>
              <w:spacing w:line="240" w:lineRule="auto"/>
              <w:ind w:firstLine="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2</w:t>
            </w:r>
          </w:p>
        </w:tc>
        <w:tc>
          <w:tcPr>
            <w:tcW w:w="909" w:type="dxa"/>
            <w:vAlign w:val="center"/>
          </w:tcPr>
          <w:p>
            <w:pPr>
              <w:pStyle w:val="Other|1"/>
              <w:spacing w:line="240" w:lineRule="auto"/>
              <w:ind w:firstLine="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3</w:t>
            </w:r>
          </w:p>
        </w:tc>
        <w:tc>
          <w:tcPr>
            <w:tcW w:w="968" w:type="dxa"/>
            <w:vAlign w:val="center"/>
          </w:tcPr>
          <w:p>
            <w:pPr>
              <w:pStyle w:val="Other|1"/>
              <w:spacing w:line="240" w:lineRule="auto"/>
              <w:ind w:left="0" w:firstLine="0" w:leftChars="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4</w:t>
            </w:r>
          </w:p>
        </w:tc>
        <w:tc>
          <w:tcPr>
            <w:tcW w:w="990" w:type="dxa"/>
            <w:vAlign w:val="center"/>
          </w:tcPr>
          <w:p>
            <w:pPr>
              <w:pStyle w:val="Other|1"/>
              <w:spacing w:line="240" w:lineRule="auto"/>
              <w:ind w:left="0" w:firstLine="0" w:leftChars="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5</w:t>
            </w:r>
          </w:p>
        </w:tc>
        <w:tc>
          <w:tcPr>
            <w:tcW w:w="1078" w:type="dxa"/>
            <w:vAlign w:val="center"/>
          </w:tcPr>
          <w:p>
            <w:pPr>
              <w:pStyle w:val="Other|1"/>
              <w:spacing w:line="240" w:lineRule="auto"/>
              <w:ind w:left="0" w:firstLine="0" w:leftChars="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6</w:t>
            </w:r>
          </w:p>
        </w:tc>
        <w:tc>
          <w:tcPr>
            <w:tcW w:w="972" w:type="dxa"/>
            <w:vAlign w:val="center"/>
          </w:tcPr>
          <w:p>
            <w:pPr>
              <w:pStyle w:val="Other|1"/>
              <w:spacing w:line="240" w:lineRule="auto"/>
              <w:ind w:left="0" w:firstLine="0" w:leftChars="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7</w:t>
            </w:r>
          </w:p>
        </w:tc>
        <w:tc>
          <w:tcPr>
            <w:tcW w:w="919" w:type="dxa"/>
            <w:vAlign w:val="center"/>
          </w:tcPr>
          <w:p>
            <w:pPr>
              <w:pStyle w:val="Other|1"/>
              <w:spacing w:line="240" w:lineRule="auto"/>
              <w:ind w:left="0" w:firstLine="0" w:leftChars="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8</w:t>
            </w:r>
          </w:p>
        </w:tc>
        <w:tc>
          <w:tcPr>
            <w:tcW w:w="1011" w:type="dxa"/>
            <w:vAlign w:val="center"/>
          </w:tcPr>
          <w:p>
            <w:pPr>
              <w:pStyle w:val="Other|1"/>
              <w:spacing w:line="240" w:lineRule="auto"/>
              <w:ind w:left="0" w:firstLine="0" w:leftChars="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9</w:t>
            </w:r>
          </w:p>
        </w:tc>
        <w:tc>
          <w:tcPr>
            <w:tcW w:w="859" w:type="dxa"/>
            <w:vAlign w:val="center"/>
          </w:tcPr>
          <w:p>
            <w:pPr>
              <w:pStyle w:val="Other|1"/>
              <w:spacing w:line="240" w:lineRule="auto"/>
              <w:ind w:right="360" w:firstLine="0" w:rightChars="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10</w:t>
            </w:r>
          </w:p>
        </w:tc>
        <w:tc>
          <w:tcPr>
            <w:tcW w:w="1094" w:type="dxa"/>
            <w:gridSpan w:val="2"/>
            <w:vAlign w:val="center"/>
          </w:tcPr>
          <w:p>
            <w:pPr>
              <w:pStyle w:val="Other|1"/>
              <w:spacing w:line="240" w:lineRule="auto"/>
              <w:ind w:left="0" w:firstLine="0" w:leftChars="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11</w:t>
            </w:r>
          </w:p>
        </w:tc>
        <w:tc>
          <w:tcPr>
            <w:tcW w:w="937" w:type="dxa"/>
            <w:vAlign w:val="center"/>
          </w:tcPr>
          <w:p>
            <w:pPr>
              <w:pStyle w:val="Other|1"/>
              <w:spacing w:line="240" w:lineRule="auto"/>
              <w:ind w:right="380" w:firstLine="0" w:rightChars="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12</w:t>
            </w:r>
          </w:p>
        </w:tc>
        <w:tc>
          <w:tcPr>
            <w:tcW w:w="989" w:type="dxa"/>
            <w:vAlign w:val="center"/>
          </w:tcPr>
          <w:p>
            <w:pPr>
              <w:pStyle w:val="Other|1"/>
              <w:spacing w:line="240" w:lineRule="auto"/>
              <w:ind w:right="420" w:firstLine="0" w:rightChars="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13</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cantSplit/>
          <w:trHeight w:val="90"/>
        </w:trPr>
        <w:tc>
          <w:tcPr>
            <w:tcW w:w="1636" w:type="dxa"/>
            <w:vAlign w:val="center"/>
          </w:tcPr>
          <w:p>
            <w:pPr>
              <w:pStyle w:val="Other|1"/>
              <w:spacing w:line="240" w:lineRule="auto"/>
              <w:ind w:firstLine="0" w:firstLineChars="0"/>
              <w:jc w:val="left"/>
              <w:rPr>
                <w:rFonts w:ascii="宋体" w:eastAsia="宋体" w:hAnsi="宋体" w:cs="宋体" w:hint="eastAsia"/>
                <w:b w:val="0"/>
                <w:bCs w:val="0"/>
                <w:sz w:val="17"/>
                <w:szCs w:val="17"/>
                <w:vertAlign w:val="baseline"/>
                <w:lang w:val="en-US" w:eastAsia="zh-CN"/>
              </w:rPr>
            </w:pPr>
            <w:r>
              <w:rPr>
                <w:rFonts w:ascii="宋体" w:eastAsia="宋体" w:hAnsi="宋体" w:cs="宋体" w:hint="eastAsia"/>
                <w:b w:val="0"/>
                <w:bCs w:val="0"/>
                <w:sz w:val="17"/>
                <w:szCs w:val="17"/>
                <w:lang w:val="en-US" w:eastAsia="zh-CN"/>
              </w:rPr>
              <w:t xml:space="preserve">103001</w:t>
            </w:r>
          </w:p>
        </w:tc>
        <w:tc>
          <w:tcPr>
            <w:tcW w:w="1279" w:type="dxa"/>
          </w:tcPr>
          <w:p>
            <w:pPr>
              <w:pStyle w:val="Other|1"/>
              <w:spacing w:line="326" w:lineRule="exact"/>
              <w:ind w:firstLine="0" w:firstLineChars="0"/>
              <w:jc w:val="left"/>
              <w:rPr>
                <w:rFonts w:ascii="宋体" w:eastAsia="宋体" w:hAnsi="宋体" w:cs="宋体" w:hint="eastAsia"/>
                <w:b w:val="0"/>
                <w:bCs w:val="0"/>
                <w:sz w:val="17"/>
                <w:szCs w:val="17"/>
                <w:vertAlign w:val="baseline"/>
                <w:lang w:val="en-US" w:eastAsia="zh-CN"/>
              </w:rPr>
            </w:pPr>
            <w:r>
              <w:rPr>
                <w:rFonts w:ascii="宋体" w:eastAsia="宋体" w:hAnsi="宋体" w:cs="宋体" w:hint="eastAsia"/>
                <w:b w:val="0"/>
                <w:bCs w:val="0"/>
                <w:sz w:val="17"/>
                <w:szCs w:val="17"/>
                <w:lang w:val="en-US" w:eastAsia="zh-CN"/>
              </w:rPr>
              <w:t xml:space="preserve">环江毛南族自治县人民代表大会常务委员会</w:t>
            </w:r>
          </w:p>
        </w:tc>
        <w:tc>
          <w:tcPr>
            <w:tcW w:w="990" w:type="dxa"/>
            <w:vAlign w:val="center"/>
          </w:tcPr>
          <w:p>
            <w:pPr>
              <w:pStyle w:val="Other|1"/>
              <w:spacing w:line="240" w:lineRule="auto"/>
              <w:ind w:left="0" w:firstLine="0" w:leftChars="0" w:firstLineChars="0"/>
              <w:jc w:val="right"/>
              <w:rPr>
                <w:rFonts w:ascii="宋体" w:eastAsia="宋体" w:hAnsi="宋体" w:cs="宋体" w:hint="eastAsia"/>
                <w:b w:val="0"/>
                <w:bCs w:val="0"/>
                <w:sz w:val="17"/>
                <w:szCs w:val="17"/>
                <w:vertAlign w:val="baseline"/>
                <w:lang w:val="en-US" w:eastAsia="zh-CN"/>
              </w:rPr>
            </w:pPr>
            <w:r>
              <w:rPr>
                <w:rFonts w:ascii="宋体" w:eastAsia="宋体" w:hAnsi="宋体" w:cs="宋体" w:hint="eastAsia"/>
                <w:b w:val="0"/>
                <w:bCs w:val="0"/>
                <w:sz w:val="17"/>
                <w:szCs w:val="17"/>
                <w:lang w:val="en-US" w:eastAsia="zh-CN" w:bidi="en-US"/>
              </w:rPr>
              <w:t xml:space="preserve">795.44</w:t>
            </w:r>
          </w:p>
        </w:tc>
        <w:tc>
          <w:tcPr>
            <w:tcW w:w="926" w:type="dxa"/>
            <w:vAlign w:val="center"/>
          </w:tcPr>
          <w:p>
            <w:pPr>
              <w:pStyle w:val="Other|1"/>
              <w:spacing w:line="240" w:lineRule="auto"/>
              <w:ind w:left="0" w:firstLine="0" w:leftChars="0" w:firstLineChars="0"/>
              <w:jc w:val="right"/>
              <w:rPr>
                <w:rFonts w:ascii="宋体" w:eastAsia="宋体" w:hAnsi="宋体" w:cs="宋体" w:hint="eastAsia"/>
                <w:b w:val="0"/>
                <w:bCs w:val="0"/>
                <w:sz w:val="17"/>
                <w:szCs w:val="17"/>
                <w:vertAlign w:val="baseline"/>
                <w:lang w:val="en-US" w:eastAsia="zh-CN"/>
              </w:rPr>
            </w:pPr>
            <w:r>
              <w:rPr>
                <w:rFonts w:ascii="宋体" w:eastAsia="宋体" w:hAnsi="宋体" w:cs="宋体" w:hint="eastAsia"/>
                <w:b w:val="0"/>
                <w:bCs w:val="0"/>
                <w:sz w:val="17"/>
                <w:szCs w:val="17"/>
                <w:lang w:val="en-US" w:eastAsia="zh-CN" w:bidi="en-US"/>
              </w:rPr>
              <w:t xml:space="preserve">795.44</w:t>
            </w:r>
          </w:p>
        </w:tc>
        <w:tc>
          <w:tcPr>
            <w:tcW w:w="909" w:type="dxa"/>
            <w:vAlign w:val="center"/>
          </w:tcPr>
          <w:p>
            <w:pPr>
              <w:pStyle w:val="Other|1"/>
              <w:spacing w:line="240" w:lineRule="auto"/>
              <w:ind w:left="0" w:firstLine="0" w:leftChars="0" w:firstLineChars="0"/>
              <w:jc w:val="right"/>
              <w:rPr>
                <w:rFonts w:ascii="宋体" w:eastAsia="宋体" w:hAnsi="宋体" w:cs="宋体" w:hint="eastAsia"/>
                <w:b w:val="0"/>
                <w:bCs w:val="0"/>
                <w:sz w:val="17"/>
                <w:szCs w:val="17"/>
                <w:vertAlign w:val="baseline"/>
                <w:lang w:val="en-US" w:eastAsia="zh-CN"/>
              </w:rPr>
            </w:pPr>
            <w:r>
              <w:rPr>
                <w:rFonts w:ascii="宋体" w:eastAsia="宋体" w:hAnsi="宋体" w:cs="宋体" w:hint="eastAsia"/>
                <w:b w:val="0"/>
                <w:bCs w:val="0"/>
                <w:sz w:val="17"/>
                <w:szCs w:val="17"/>
                <w:lang w:val="en-US" w:eastAsia="zh-CN" w:bidi="en-US"/>
              </w:rPr>
              <w:t xml:space="preserve">795.44</w:t>
            </w:r>
          </w:p>
        </w:tc>
        <w:tc>
          <w:tcPr>
            <w:tcW w:w="968" w:type="dxa"/>
            <w:vAlign w:val="center"/>
          </w:tcPr>
          <w:p>
            <w:pPr>
              <w:pStyle w:val="Other|1"/>
              <w:spacing w:line="240" w:lineRule="auto"/>
              <w:ind w:left="0" w:firstLine="0" w:leftChars="0" w:firstLineChars="0"/>
              <w:jc w:val="right"/>
              <w:rPr>
                <w:rFonts w:ascii="宋体" w:eastAsia="宋体" w:hAnsi="宋体" w:cs="宋体" w:hint="eastAsia"/>
                <w:b w:val="0"/>
                <w:bCs w:val="0"/>
                <w:sz w:val="17"/>
                <w:szCs w:val="17"/>
                <w:vertAlign w:val="baseline"/>
                <w:lang w:val="en-US" w:eastAsia="zh-CN"/>
              </w:rPr>
            </w:pPr>
            <w:r>
              <w:rPr>
                <w:rFonts w:ascii="宋体" w:eastAsia="宋体" w:hAnsi="宋体" w:cs="宋体" w:hint="eastAsia"/>
                <w:b w:val="0"/>
                <w:bCs w:val="0"/>
                <w:sz w:val="17"/>
                <w:szCs w:val="17"/>
                <w:lang w:val="en-US" w:eastAsia="zh-CN" w:bidi="en-US"/>
              </w:rPr>
              <w:t xml:space="preserve">0.00</w:t>
            </w:r>
          </w:p>
        </w:tc>
        <w:tc>
          <w:tcPr>
            <w:tcW w:w="990" w:type="dxa"/>
            <w:vAlign w:val="center"/>
          </w:tcPr>
          <w:p>
            <w:pPr>
              <w:pStyle w:val="Other|1"/>
              <w:spacing w:line="240" w:lineRule="auto"/>
              <w:ind w:left="0" w:firstLine="0" w:leftChars="0" w:firstLineChars="0"/>
              <w:jc w:val="right"/>
              <w:rPr>
                <w:rFonts w:ascii="宋体" w:eastAsia="宋体" w:hAnsi="宋体" w:cs="宋体" w:hint="eastAsia"/>
                <w:b w:val="0"/>
                <w:bCs w:val="0"/>
                <w:sz w:val="17"/>
                <w:szCs w:val="17"/>
                <w:vertAlign w:val="baseline"/>
                <w:lang w:val="en-US" w:eastAsia="zh-CN"/>
              </w:rPr>
            </w:pPr>
            <w:r>
              <w:rPr>
                <w:rFonts w:ascii="宋体" w:eastAsia="宋体" w:hAnsi="宋体" w:cs="宋体" w:hint="eastAsia"/>
                <w:b w:val="0"/>
                <w:bCs w:val="0"/>
                <w:sz w:val="17"/>
                <w:szCs w:val="17"/>
                <w:lang w:val="en-US" w:eastAsia="zh-CN" w:bidi="en-US"/>
              </w:rPr>
              <w:t xml:space="preserve">0.00</w:t>
            </w:r>
          </w:p>
        </w:tc>
        <w:tc>
          <w:tcPr>
            <w:tcW w:w="1078" w:type="dxa"/>
            <w:vAlign w:val="center"/>
          </w:tcPr>
          <w:p>
            <w:pPr>
              <w:pStyle w:val="Other|1"/>
              <w:spacing w:line="240" w:lineRule="auto"/>
              <w:ind w:firstLine="0" w:firstLineChars="0"/>
              <w:jc w:val="right"/>
              <w:rPr>
                <w:rFonts w:ascii="宋体" w:eastAsia="宋体" w:hAnsi="宋体" w:cs="宋体" w:hint="eastAsia"/>
                <w:b w:val="0"/>
                <w:bCs w:val="0"/>
                <w:sz w:val="17"/>
                <w:szCs w:val="17"/>
                <w:vertAlign w:val="baseline"/>
                <w:lang w:val="en-US" w:eastAsia="zh-CN"/>
              </w:rPr>
            </w:pPr>
            <w:r>
              <w:rPr>
                <w:rFonts w:ascii="宋体" w:eastAsia="宋体" w:hAnsi="宋体" w:cs="宋体" w:hint="eastAsia"/>
                <w:b w:val="0"/>
                <w:bCs w:val="0"/>
                <w:sz w:val="17"/>
                <w:szCs w:val="17"/>
                <w:lang w:val="en-US" w:eastAsia="zh-CN" w:bidi="en-US"/>
              </w:rPr>
              <w:t xml:space="preserve">0.00</w:t>
            </w:r>
          </w:p>
        </w:tc>
        <w:tc>
          <w:tcPr>
            <w:tcW w:w="972" w:type="dxa"/>
            <w:vAlign w:val="center"/>
          </w:tcPr>
          <w:p>
            <w:pPr>
              <w:pStyle w:val="Other|1"/>
              <w:spacing w:line="240" w:lineRule="auto"/>
              <w:ind w:firstLine="0" w:firstLineChars="0"/>
              <w:jc w:val="right"/>
              <w:rPr>
                <w:rFonts w:ascii="宋体" w:eastAsia="宋体" w:hAnsi="宋体" w:cs="宋体" w:hint="eastAsia"/>
                <w:b w:val="0"/>
                <w:bCs w:val="0"/>
                <w:sz w:val="17"/>
                <w:szCs w:val="17"/>
                <w:vertAlign w:val="baseline"/>
                <w:lang w:val="en-US" w:eastAsia="zh-CN"/>
              </w:rPr>
            </w:pPr>
            <w:r>
              <w:rPr>
                <w:rFonts w:ascii="宋体" w:eastAsia="宋体" w:hAnsi="宋体" w:cs="宋体" w:hint="eastAsia"/>
                <w:b w:val="0"/>
                <w:bCs w:val="0"/>
                <w:sz w:val="17"/>
                <w:szCs w:val="17"/>
                <w:lang w:val="en-US" w:eastAsia="zh-CN" w:bidi="en-US"/>
              </w:rPr>
              <w:t xml:space="preserve">0.00</w:t>
            </w:r>
          </w:p>
        </w:tc>
        <w:tc>
          <w:tcPr>
            <w:tcW w:w="919" w:type="dxa"/>
            <w:vAlign w:val="center"/>
          </w:tcPr>
          <w:p>
            <w:pPr>
              <w:spacing w:line="240" w:lineRule="auto"/>
              <w:jc w:val="right"/>
              <w:rPr>
                <w:rFonts w:ascii="宋体" w:eastAsia="宋体" w:hAnsi="宋体" w:cs="宋体" w:hint="eastAsia"/>
                <w:b w:val="0"/>
                <w:bCs w:val="0"/>
                <w:sz w:val="17"/>
                <w:szCs w:val="17"/>
                <w:vertAlign w:val="baseline"/>
                <w:lang w:val="en-US" w:eastAsia="zh-CN"/>
              </w:rPr>
            </w:pPr>
            <w:r>
              <w:rPr>
                <w:rFonts w:ascii="宋体" w:eastAsia="宋体" w:hAnsi="宋体" w:cs="宋体" w:hint="eastAsia"/>
                <w:b w:val="0"/>
                <w:bCs w:val="0"/>
                <w:sz w:val="17"/>
                <w:szCs w:val="17"/>
                <w:lang w:val="en-US" w:eastAsia="zh-CN" w:bidi="en-US"/>
              </w:rPr>
              <w:t xml:space="preserve">0.00</w:t>
            </w:r>
          </w:p>
        </w:tc>
        <w:tc>
          <w:tcPr>
            <w:tcW w:w="1011" w:type="dxa"/>
            <w:vAlign w:val="center"/>
          </w:tcPr>
          <w:p>
            <w:pPr>
              <w:spacing w:line="240" w:lineRule="auto"/>
              <w:jc w:val="right"/>
              <w:rPr>
                <w:rFonts w:ascii="宋体" w:eastAsia="宋体" w:hAnsi="宋体" w:cs="宋体" w:hint="eastAsia"/>
                <w:b w:val="0"/>
                <w:bCs w:val="0"/>
                <w:sz w:val="17"/>
                <w:szCs w:val="17"/>
                <w:vertAlign w:val="baseline"/>
                <w:lang w:val="en-US" w:eastAsia="zh-CN"/>
              </w:rPr>
            </w:pPr>
            <w:r>
              <w:rPr>
                <w:rFonts w:ascii="宋体" w:eastAsia="宋体" w:hAnsi="宋体" w:cs="宋体" w:hint="eastAsia"/>
                <w:b w:val="0"/>
                <w:bCs w:val="0"/>
                <w:sz w:val="17"/>
                <w:szCs w:val="17"/>
                <w:lang w:val="en-US" w:eastAsia="zh-CN" w:bidi="en-US"/>
              </w:rPr>
              <w:t xml:space="preserve">0.00</w:t>
            </w:r>
          </w:p>
        </w:tc>
        <w:tc>
          <w:tcPr>
            <w:tcW w:w="859" w:type="dxa"/>
            <w:vAlign w:val="center"/>
          </w:tcPr>
          <w:p>
            <w:pPr>
              <w:spacing w:line="240" w:lineRule="auto"/>
              <w:ind w:firstLine="0" w:firstLineChars="0"/>
              <w:jc w:val="right"/>
              <w:rPr>
                <w:rFonts w:ascii="宋体" w:eastAsia="宋体" w:hAnsi="宋体" w:cs="宋体" w:hint="eastAsia"/>
                <w:b w:val="0"/>
                <w:bCs w:val="0"/>
                <w:sz w:val="17"/>
                <w:szCs w:val="17"/>
                <w:vertAlign w:val="baseline"/>
                <w:lang w:val="en-US" w:eastAsia="zh-CN"/>
              </w:rPr>
            </w:pPr>
            <w:r>
              <w:rPr>
                <w:rFonts w:ascii="宋体" w:eastAsia="宋体" w:hAnsi="宋体" w:cs="宋体" w:hint="eastAsia"/>
                <w:b w:val="0"/>
                <w:bCs w:val="0"/>
                <w:sz w:val="17"/>
                <w:szCs w:val="17"/>
                <w:lang w:val="en-US" w:eastAsia="zh-CN" w:bidi="en-US"/>
              </w:rPr>
              <w:t xml:space="preserve">0.00</w:t>
            </w:r>
          </w:p>
        </w:tc>
        <w:tc>
          <w:tcPr>
            <w:tcW w:w="1094" w:type="dxa"/>
            <w:gridSpan w:val="2"/>
            <w:vAlign w:val="center"/>
          </w:tcPr>
          <w:p>
            <w:pPr>
              <w:spacing w:line="240" w:lineRule="auto"/>
              <w:jc w:val="right"/>
              <w:rPr>
                <w:rFonts w:ascii="宋体" w:eastAsia="宋体" w:hAnsi="宋体" w:cs="宋体" w:hint="eastAsia"/>
                <w:b w:val="0"/>
                <w:bCs w:val="0"/>
                <w:sz w:val="17"/>
                <w:szCs w:val="17"/>
                <w:vertAlign w:val="baseline"/>
                <w:lang w:val="en-US" w:eastAsia="zh-CN"/>
              </w:rPr>
            </w:pPr>
            <w:r>
              <w:rPr>
                <w:rFonts w:ascii="宋体" w:eastAsia="宋体" w:hAnsi="宋体" w:cs="宋体" w:hint="eastAsia"/>
                <w:b w:val="0"/>
                <w:bCs w:val="0"/>
                <w:sz w:val="17"/>
                <w:szCs w:val="17"/>
                <w:lang w:val="en-US" w:eastAsia="zh-CN" w:bidi="en-US"/>
              </w:rPr>
              <w:t xml:space="preserve">0.00</w:t>
            </w:r>
          </w:p>
        </w:tc>
        <w:tc>
          <w:tcPr>
            <w:tcW w:w="937" w:type="dxa"/>
            <w:vAlign w:val="center"/>
          </w:tcPr>
          <w:p>
            <w:pPr>
              <w:spacing w:line="240" w:lineRule="auto"/>
              <w:ind w:firstLine="0" w:firstLineChars="0"/>
              <w:jc w:val="right"/>
              <w:rPr>
                <w:rFonts w:ascii="宋体" w:eastAsia="宋体" w:hAnsi="宋体" w:cs="宋体" w:hint="eastAsia"/>
                <w:b w:val="0"/>
                <w:bCs w:val="0"/>
                <w:sz w:val="17"/>
                <w:szCs w:val="17"/>
                <w:vertAlign w:val="baseline"/>
                <w:lang w:val="en-US" w:eastAsia="zh-CN"/>
              </w:rPr>
            </w:pPr>
            <w:r>
              <w:rPr>
                <w:rFonts w:ascii="宋体" w:eastAsia="宋体" w:hAnsi="宋体" w:cs="宋体" w:hint="eastAsia"/>
                <w:b w:val="0"/>
                <w:bCs w:val="0"/>
                <w:sz w:val="17"/>
                <w:szCs w:val="17"/>
                <w:lang w:val="en-US" w:eastAsia="zh-CN" w:bidi="en-US"/>
              </w:rPr>
              <w:t xml:space="preserve">0.00</w:t>
            </w:r>
          </w:p>
        </w:tc>
        <w:tc>
          <w:tcPr>
            <w:tcW w:w="989" w:type="dxa"/>
            <w:vAlign w:val="center"/>
          </w:tcPr>
          <w:p>
            <w:pPr>
              <w:spacing w:line="240" w:lineRule="auto"/>
              <w:jc w:val="right"/>
              <w:rPr>
                <w:rFonts w:ascii="宋体" w:eastAsia="宋体" w:hAnsi="宋体" w:cs="宋体" w:hint="eastAsia"/>
                <w:b w:val="0"/>
                <w:bCs w:val="0"/>
                <w:sz w:val="17"/>
                <w:szCs w:val="17"/>
                <w:vertAlign w:val="baseline"/>
                <w:lang w:val="en-US" w:eastAsia="zh-CN"/>
              </w:rPr>
            </w:pPr>
            <w:r>
              <w:rPr>
                <w:rFonts w:ascii="宋体" w:eastAsia="宋体" w:hAnsi="宋体" w:cs="宋体" w:hint="eastAsia"/>
                <w:b w:val="0"/>
                <w:bCs w:val="0"/>
                <w:sz w:val="17"/>
                <w:szCs w:val="17"/>
                <w:lang w:val="en-US" w:eastAsia="zh-CN" w:bidi="en-US"/>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cantSplit/>
        </w:trPr>
        <w:tc>
          <w:tcPr>
            <w:tcW w:w="15557" w:type="dxa"/>
            <w:gridSpan w:val="16"/>
            <w:tcBorders>
              <w:left w:val="nil"/>
              <w:bottom w:val="nil"/>
              <w:right w:val="nil"/>
            </w:tcBorders>
          </w:tcPr>
          <w:p>
            <w:pPr>
              <w:pStyle w:val="Tablecaption|1"/>
              <w:jc w:val="left"/>
              <w:rPr>
                <w:rFonts w:eastAsia="宋体" w:hint="eastAsia"/>
                <w:sz w:val="17"/>
                <w:szCs w:val="17"/>
                <w:vertAlign w:val="baseline"/>
                <w:lang w:val="en-US" w:eastAsia="zh-CN"/>
              </w:rPr>
            </w:pPr>
            <w:r>
              <w:rPr>
                <w:sz w:val="17"/>
                <w:szCs w:val="17"/>
              </w:rPr>
              <w:t xml:space="preserve">注：本报表金额单位转换时可能存在四舍五入尾数误差。</w:t>
            </w:r>
          </w:p>
        </w:tc>
      </w:tr>
    </w:tbl>
    <w:p>
      <w:pPr>
        <w:tabs>
          <w:tab w:val="left" w:pos="859"/>
        </w:tabs>
        <w:jc w:val="both"/>
        <w:rPr>
          <w:rFonts w:eastAsia="宋体" w:hint="eastAsia"/>
          <w:lang w:val="en-US" w:eastAsia="zh-CN"/>
        </w:rPr>
      </w:pPr>
    </w:p>
    <w:p>
      <w:pPr>
        <w:tabs>
          <w:tab w:val="left" w:pos="859"/>
        </w:tabs>
        <w:jc w:val="center"/>
        <w:rPr>
          <w:rFonts w:eastAsia="宋体" w:hint="eastAsia"/>
          <w:lang w:val="en-US" w:eastAsia="zh-CN"/>
        </w:rPr>
      </w:pPr>
    </w:p>
    <w:p>
      <w:pPr>
        <w:tabs>
          <w:tab w:val="left" w:pos="859"/>
        </w:tabs>
        <w:jc w:val="both"/>
        <w:rPr>
          <w:rFonts w:eastAsia="宋体" w:hint="eastAsia"/>
          <w:lang w:val="en-US" w:eastAsia="zh-CN"/>
        </w:rPr>
      </w:pPr>
    </w:p>
    <w:p>
      <w:pPr>
        <w:spacing w:line="1" w:lineRule="exact"/>
        <w:jc w:val="left"/>
        <w:rPr>
          <w:lang w:eastAsia="zh-CN"/>
        </w:rPr>
        <w:sectPr>
          <w:headerReference w:type="default" r:id="rId18"/>
          <w:footerReference w:type="default" r:id="rId19"/>
          <w:pgSz w:w="16840" w:h="11900" w:orient="landscape"/>
          <w:pgMar w:top="2709" w:right="764" w:bottom="2709" w:left="735" w:header="2281" w:footer="1474" w:gutter="0"/>
          <w:pgBorders>
            <w:top w:val="none" w:sz="0" w:space="0" w:color="auto"/>
            <w:left w:val="none" w:sz="0" w:space="0" w:color="auto"/>
            <w:bottom w:val="none" w:sz="0" w:space="0" w:color="auto"/>
            <w:right w:val="none" w:sz="0" w:space="0" w:color="auto"/>
          </w:pgBorders>
          <w:pgNumType w:fmt="decimal"/>
          <w:cols w:num="1" w:space="720">
            <w:col w:w="15341" w:space="720"/>
          </w:cols>
          <w:docGrid w:linePitch="360" w:charSpace="0"/>
        </w:sectPr>
      </w:pPr>
    </w:p>
    <w:p>
      <w:pPr>
        <w:pStyle w:val="Heading#2|1"/>
        <w:keepNext/>
        <w:keepLines/>
        <w:spacing w:after="240"/>
        <w:jc w:val="center"/>
      </w:pPr>
      <w:bookmarkStart w:id="19" w:name="bookmark42"/>
      <w:bookmarkStart w:id="20" w:name="bookmark41"/>
      <w:bookmarkStart w:id="21" w:name="bookmark43"/>
      <w:r>
        <w:t xml:space="preserve">支出总体情况表</w:t>
      </w:r>
      <w:bookmarkEnd w:id="19"/>
      <w:bookmarkEnd w:id="20"/>
      <w:bookmarkEnd w:id="21"/>
    </w:p>
    <w:tbl>
      <w:tblPr>
        <w:tblStyle w:val="NormalTable"/>
        <w:tblW w:w="0" w:type="auto"/>
        <w:tblInd w:w="0" w:type="dxa"/>
        <w:tblLayout w:type="fixed"/>
        <w:tblCellMar>
          <w:top w:w="0" w:type="dxa"/>
          <w:left w:w="10" w:type="dxa"/>
          <w:bottom w:w="0" w:type="dxa"/>
          <w:right w:w="10" w:type="dxa"/>
        </w:tblCellMar>
        <w:tblLook w:firstRow="0" w:lastRow="0" w:firstColumn="0" w:lastColumn="0" w:noHBand="1" w:noVBand="1"/>
      </w:tblPr>
      <w:tblGrid>
        <w:gridCol w:w="1843"/>
        <w:gridCol w:w="1934"/>
        <w:gridCol w:w="2390"/>
        <w:gridCol w:w="2280"/>
        <w:gridCol w:w="2299"/>
        <w:gridCol w:w="2222"/>
        <w:gridCol w:w="2371"/>
      </w:tblGrid>
      <w:tr>
        <w:trPr>
          <w:cantSplit/>
          <w:trHeight w:hRule="exact" w:val="346"/>
        </w:trPr>
        <w:tc>
          <w:tcPr>
            <w:tcW w:w="12968" w:type="dxa"/>
            <w:gridSpan w:val="6"/>
            <w:shd w:val="clear" w:color="auto" w:fill="FFFFFF"/>
          </w:tcPr>
          <w:p>
            <w:pPr>
              <w:pStyle w:val="Other|1"/>
              <w:spacing w:line="240" w:lineRule="auto"/>
              <w:ind w:firstLine="0"/>
              <w:jc w:val="left"/>
              <w:rPr>
                <w:sz w:val="17"/>
                <w:szCs w:val="17"/>
              </w:rPr>
            </w:pPr>
            <w:r>
              <w:rPr>
                <w:sz w:val="17"/>
                <w:szCs w:val="17"/>
              </w:rPr>
              <w:t xml:space="preserve">单位名称：</w:t>
            </w:r>
            <w:r>
              <w:rPr>
                <w:rFonts w:hint="eastAsia"/>
                <w:sz w:val="17"/>
                <w:szCs w:val="17"/>
                <w:lang w:eastAsia="zh-CN"/>
              </w:rPr>
              <w:t xml:space="preserve">环江毛南族自治县人民代表大会常务委员会</w:t>
            </w:r>
          </w:p>
        </w:tc>
        <w:tc>
          <w:tcPr>
            <w:tcW w:w="2371" w:type="dxa"/>
            <w:shd w:val="clear" w:color="auto" w:fill="FFFFFF"/>
          </w:tcPr>
          <w:p>
            <w:pPr>
              <w:pStyle w:val="Other|1"/>
              <w:spacing w:line="240" w:lineRule="auto"/>
              <w:ind w:firstLine="1190" w:firstLineChars="700"/>
              <w:jc w:val="left"/>
              <w:rPr>
                <w:sz w:val="17"/>
                <w:szCs w:val="17"/>
              </w:rPr>
            </w:pPr>
            <w:r>
              <w:rPr>
                <w:sz w:val="17"/>
                <w:szCs w:val="17"/>
              </w:rPr>
              <w:t xml:space="preserve">单位：万元</w:t>
            </w:r>
          </w:p>
        </w:tc>
      </w:tr>
      <w:tr>
        <w:tblPrEx>
          <w:tblW w:w="0" w:type="auto"/>
          <w:tblInd w:w="0" w:type="dxa"/>
          <w:tblLayout w:type="fixed"/>
          <w:tblCellMar>
            <w:top w:w="0" w:type="dxa"/>
            <w:left w:w="10" w:type="dxa"/>
            <w:bottom w:w="0" w:type="dxa"/>
            <w:right w:w="10" w:type="dxa"/>
          </w:tblCellMar>
        </w:tblPrEx>
        <w:trPr>
          <w:cantSplit/>
          <w:trHeight w:hRule="exact" w:val="854"/>
        </w:trPr>
        <w:tc>
          <w:tcPr>
            <w:tcW w:w="1843"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科目编码</w:t>
            </w:r>
          </w:p>
        </w:tc>
        <w:tc>
          <w:tcPr>
            <w:tcW w:w="1934"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40"/>
              <w:jc w:val="left"/>
              <w:rPr>
                <w:sz w:val="17"/>
                <w:szCs w:val="17"/>
              </w:rPr>
            </w:pPr>
            <w:r>
              <w:rPr>
                <w:sz w:val="17"/>
                <w:szCs w:val="17"/>
              </w:rPr>
              <w:t xml:space="preserve">部门（单位）代码</w:t>
            </w:r>
          </w:p>
        </w:tc>
        <w:tc>
          <w:tcPr>
            <w:tcW w:w="2390" w:type="dxa"/>
            <w:tcBorders>
              <w:top w:val="single" w:sz="4" w:space="0" w:color="auto"/>
              <w:left w:val="single" w:sz="4" w:space="0" w:color="auto"/>
              <w:bottom w:val="single" w:sz="4" w:space="0" w:color="auto"/>
            </w:tcBorders>
            <w:shd w:val="clear" w:color="auto" w:fill="FFFFFF"/>
            <w:vAlign w:val="center"/>
          </w:tcPr>
          <w:p>
            <w:pPr>
              <w:pStyle w:val="Other|1"/>
              <w:spacing w:after="120" w:line="240" w:lineRule="auto"/>
              <w:ind w:firstLine="0"/>
              <w:jc w:val="left"/>
              <w:rPr>
                <w:sz w:val="17"/>
                <w:szCs w:val="17"/>
              </w:rPr>
            </w:pPr>
            <w:r>
              <w:rPr>
                <w:sz w:val="17"/>
                <w:szCs w:val="17"/>
              </w:rPr>
              <w:t xml:space="preserve">部门（单位）名称</w:t>
            </w:r>
          </w:p>
          <w:p>
            <w:pPr>
              <w:pStyle w:val="Other|1"/>
              <w:spacing w:line="240" w:lineRule="auto"/>
              <w:ind w:firstLine="0"/>
              <w:jc w:val="left"/>
              <w:rPr>
                <w:sz w:val="17"/>
                <w:szCs w:val="17"/>
              </w:rPr>
            </w:pPr>
            <w:r>
              <w:rPr>
                <w:sz w:val="17"/>
                <w:szCs w:val="17"/>
              </w:rPr>
              <w:t xml:space="preserve">（功能分类科目名称）</w:t>
            </w:r>
          </w:p>
        </w:tc>
        <w:tc>
          <w:tcPr>
            <w:tcW w:w="228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合计</w:t>
            </w:r>
          </w:p>
        </w:tc>
        <w:tc>
          <w:tcPr>
            <w:tcW w:w="2299"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基本支出</w:t>
            </w:r>
          </w:p>
        </w:tc>
        <w:tc>
          <w:tcPr>
            <w:tcW w:w="2222"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项目支出</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结转下年支出</w:t>
            </w:r>
          </w:p>
        </w:tc>
      </w:tr>
      <w:tr>
        <w:tblPrEx>
          <w:tblW w:w="0" w:type="auto"/>
          <w:tblInd w:w="0" w:type="dxa"/>
          <w:tblLayout w:type="fixed"/>
          <w:tblCellMar>
            <w:top w:w="0" w:type="dxa"/>
            <w:left w:w="10" w:type="dxa"/>
            <w:bottom w:w="0" w:type="dxa"/>
            <w:right w:w="10" w:type="dxa"/>
          </w:tblCellMar>
        </w:tblPrEx>
        <w:trPr>
          <w:cantSplit/>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合计</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795.44</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445.44</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350.00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cantSplit/>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103001</w:t>
            </w: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795.44</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445.44</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350.00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cantSplit/>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2010101</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行政运行</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481.43</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367.93</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113.50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cantSplit/>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2010104</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人大会议</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62.10</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0.00</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62.10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cantSplit/>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2010105</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人大立法</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15.50</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0.00</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15.50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cantSplit/>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2010106</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人大监督</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4.00</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0.00</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4.00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cantSplit/>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2010108</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代表工作</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110.40</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0.00</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110.40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cantSplit/>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2010199</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其他人大事务支出</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41.00</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0.00</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41.00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cantSplit/>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2010201</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行政运行</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3.50</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0.00</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3.50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cantSplit/>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2012999</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其他群众团体事务支出</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3.62</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3.62</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0.00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cantSplit/>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2080505</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机关事业单位基本养老保险缴费支出</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39.69</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39.69</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0.00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cantSplit/>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2210201</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住房公积金</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34.20</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34.20</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0.00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0</w:t>
            </w:r>
          </w:p>
        </w:tc>
      </w:tr>
    </w:tbl>
    <w:p>
      <w:pPr>
        <w:pStyle w:val="Tablecaption|1"/>
        <w:ind w:left="672"/>
        <w:jc w:val="left"/>
      </w:pPr>
      <w:r>
        <w:rPr>
          <w:b w:val="0"/>
          <w:bCs w:val="0"/>
        </w:rPr>
        <w:t xml:space="preserve">注：本报表金额单位转换时可能存在四舍五入尾数误差。</w:t>
      </w:r>
      <w:r>
        <w:br w:type="page"/>
      </w:r>
    </w:p>
    <w:p>
      <w:pPr>
        <w:pStyle w:val="Heading#2|1"/>
        <w:keepNext/>
        <w:keepLines/>
        <w:spacing w:after="240"/>
        <w:jc w:val="center"/>
      </w:pPr>
      <w:bookmarkStart w:id="22" w:name="bookmark45"/>
      <w:bookmarkStart w:id="23" w:name="bookmark46"/>
      <w:bookmarkStart w:id="24" w:name="bookmark44"/>
      <w:r>
        <w:t xml:space="preserve">财政拨款收支总体情况表</w:t>
      </w:r>
      <w:bookmarkEnd w:id="22"/>
      <w:bookmarkEnd w:id="23"/>
      <w:bookmarkEnd w:id="24"/>
    </w:p>
    <w:tbl>
      <w:tblPr>
        <w:tblStyle w:val="NormalTable"/>
        <w:tblW w:w="0" w:type="auto"/>
        <w:tblInd w:w="0" w:type="dxa"/>
        <w:tblLayout w:type="fixed"/>
        <w:tblCellMar>
          <w:top w:w="0" w:type="dxa"/>
          <w:left w:w="10" w:type="dxa"/>
          <w:bottom w:w="0" w:type="dxa"/>
          <w:right w:w="10" w:type="dxa"/>
        </w:tblCellMar>
        <w:tblLook w:firstRow="0" w:lastRow="0" w:firstColumn="0" w:lastColumn="0" w:noHBand="1" w:noVBand="1"/>
      </w:tblPr>
      <w:tblGrid>
        <w:gridCol w:w="2885"/>
        <w:gridCol w:w="955"/>
        <w:gridCol w:w="3830"/>
        <w:gridCol w:w="3826"/>
        <w:gridCol w:w="3845"/>
        <w:gridCol w:w="1"/>
      </w:tblGrid>
      <w:tr>
        <w:tblPrEx>
          <w:tblW w:w="0" w:type="auto"/>
          <w:tblInd w:w="0" w:type="dxa"/>
          <w:tblLayout w:type="fixed"/>
          <w:tblCellMar>
            <w:top w:w="0" w:type="dxa"/>
            <w:left w:w="10" w:type="dxa"/>
            <w:bottom w:w="0" w:type="dxa"/>
            <w:right w:w="10" w:type="dxa"/>
          </w:tblCellMar>
        </w:tblPrEx>
        <w:trPr>
          <w:gridAfter w:val="1"/>
          <w:wAfter w:w="1" w:type="dxa"/>
          <w:cantSplit/>
          <w:trHeight w:hRule="exact" w:val="346"/>
        </w:trPr>
        <w:tc>
          <w:tcPr>
            <w:tcW w:w="11496" w:type="dxa"/>
            <w:gridSpan w:val="4"/>
            <w:shd w:val="clear" w:color="auto" w:fill="FFFFFF"/>
          </w:tcPr>
          <w:p>
            <w:pPr>
              <w:pStyle w:val="Other|1"/>
              <w:spacing w:line="240" w:lineRule="auto"/>
              <w:ind w:firstLine="0"/>
              <w:jc w:val="left"/>
              <w:rPr>
                <w:rFonts w:hint="default"/>
                <w:sz w:val="17"/>
                <w:szCs w:val="17"/>
                <w:lang w:val="en-US"/>
              </w:rPr>
            </w:pPr>
            <w:r>
              <w:rPr>
                <w:sz w:val="17"/>
                <w:szCs w:val="17"/>
              </w:rPr>
              <w:t xml:space="preserve">单位名称：</w:t>
            </w:r>
            <w:r>
              <w:rPr>
                <w:rFonts w:hint="eastAsia"/>
                <w:sz w:val="17"/>
                <w:szCs w:val="17"/>
                <w:lang w:eastAsia="zh-CN"/>
              </w:rPr>
              <w:t xml:space="preserve">环江毛南族自治县人民代表大会常务委员会</w:t>
            </w:r>
          </w:p>
        </w:tc>
        <w:tc>
          <w:tcPr>
            <w:tcW w:w="3845" w:type="dxa"/>
            <w:shd w:val="clear" w:color="auto" w:fill="FFFFFF"/>
          </w:tcPr>
          <w:p>
            <w:pPr>
              <w:pStyle w:val="Other|1"/>
              <w:spacing w:line="240" w:lineRule="auto"/>
              <w:jc w:val="left"/>
              <w:rPr>
                <w:sz w:val="17"/>
                <w:szCs w:val="17"/>
              </w:rPr>
            </w:pPr>
            <w:r>
              <w:rPr>
                <w:sz w:val="17"/>
                <w:szCs w:val="17"/>
              </w:rPr>
              <w:t xml:space="preserve">单位：万元</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2885" w:type="dxa"/>
            <w:tcBorders>
              <w:top w:val="single" w:sz="4" w:space="0" w:color="auto"/>
              <w:left w:val="single" w:sz="4" w:space="0" w:color="auto"/>
            </w:tcBorders>
            <w:shd w:val="clear" w:color="auto" w:fill="FFFFFF"/>
          </w:tcPr>
          <w:p>
            <w:pPr>
              <w:jc w:val="left"/>
              <w:rPr>
                <w:sz w:val="10"/>
                <w:szCs w:val="10"/>
              </w:rPr>
            </w:pPr>
          </w:p>
        </w:tc>
        <w:tc>
          <w:tcPr>
            <w:tcW w:w="955" w:type="dxa"/>
            <w:tcBorders>
              <w:top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收</w:t>
            </w:r>
          </w:p>
        </w:tc>
        <w:tc>
          <w:tcPr>
            <w:tcW w:w="3830" w:type="dxa"/>
            <w:tcBorders>
              <w:top w:val="single" w:sz="4" w:space="0" w:color="auto"/>
            </w:tcBorders>
            <w:shd w:val="clear" w:color="auto" w:fill="FFFFFF"/>
            <w:vAlign w:val="center"/>
          </w:tcPr>
          <w:p>
            <w:pPr>
              <w:pStyle w:val="Other|1"/>
              <w:spacing w:line="240" w:lineRule="auto"/>
              <w:ind w:firstLine="340"/>
              <w:jc w:val="left"/>
              <w:rPr>
                <w:sz w:val="17"/>
                <w:szCs w:val="17"/>
              </w:rPr>
            </w:pPr>
            <w:r>
              <w:rPr>
                <w:sz w:val="17"/>
                <w:szCs w:val="17"/>
              </w:rPr>
              <w:t xml:space="preserve">入</w:t>
            </w:r>
          </w:p>
        </w:tc>
        <w:tc>
          <w:tcPr>
            <w:tcW w:w="3826" w:type="dxa"/>
            <w:tcBorders>
              <w:top w:val="single" w:sz="4" w:space="0" w:color="auto"/>
              <w:left w:val="single" w:sz="4" w:space="0" w:color="auto"/>
            </w:tcBorders>
            <w:shd w:val="clear" w:color="auto" w:fill="FFFFFF"/>
            <w:vAlign w:val="center"/>
          </w:tcPr>
          <w:p>
            <w:pPr>
              <w:pStyle w:val="Other|1"/>
              <w:spacing w:line="240" w:lineRule="auto"/>
              <w:ind w:right="340" w:firstLine="2720" w:firstLineChars="1600"/>
              <w:jc w:val="left"/>
              <w:rPr>
                <w:sz w:val="17"/>
                <w:szCs w:val="17"/>
              </w:rPr>
            </w:pPr>
            <w:r>
              <w:rPr>
                <w:sz w:val="17"/>
                <w:szCs w:val="17"/>
              </w:rPr>
              <w:t xml:space="preserve">支</w:t>
            </w:r>
          </w:p>
        </w:tc>
        <w:tc>
          <w:tcPr>
            <w:tcW w:w="3845" w:type="dxa"/>
            <w:tcBorders>
              <w:top w:val="single" w:sz="4" w:space="0" w:color="auto"/>
              <w:right w:val="single" w:sz="4" w:space="0" w:color="auto"/>
            </w:tcBorders>
            <w:shd w:val="clear" w:color="auto" w:fill="FFFFFF"/>
            <w:vAlign w:val="center"/>
          </w:tcPr>
          <w:p>
            <w:pPr>
              <w:pStyle w:val="Other|1"/>
              <w:spacing w:line="240" w:lineRule="auto"/>
              <w:ind w:firstLine="935" w:firstLineChars="550"/>
              <w:jc w:val="left"/>
              <w:rPr>
                <w:sz w:val="17"/>
                <w:szCs w:val="17"/>
              </w:rPr>
            </w:pPr>
            <w:r>
              <w:rPr>
                <w:sz w:val="17"/>
                <w:szCs w:val="17"/>
              </w:rPr>
              <w:t xml:space="preserve">出</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51"/>
        </w:trPr>
        <w:tc>
          <w:tcPr>
            <w:tcW w:w="3840" w:type="dxa"/>
            <w:gridSpan w:val="2"/>
            <w:tcBorders>
              <w:top w:val="single" w:sz="4" w:space="0" w:color="auto"/>
              <w:left w:val="single" w:sz="4" w:space="0" w:color="auto"/>
            </w:tcBorders>
            <w:shd w:val="clear" w:color="auto" w:fill="FFFFFF"/>
            <w:vAlign w:val="center"/>
          </w:tcPr>
          <w:p>
            <w:pPr>
              <w:pStyle w:val="Other|1"/>
              <w:spacing w:line="240" w:lineRule="auto"/>
              <w:ind w:firstLine="0"/>
              <w:jc w:val="center"/>
              <w:rPr>
                <w:sz w:val="17"/>
                <w:szCs w:val="17"/>
              </w:rPr>
            </w:pPr>
            <w:r>
              <w:rPr>
                <w:sz w:val="17"/>
                <w:szCs w:val="17"/>
              </w:rPr>
              <w:t xml:space="preserve">项目</w:t>
            </w:r>
          </w:p>
        </w:tc>
        <w:tc>
          <w:tcPr>
            <w:tcW w:w="3830" w:type="dxa"/>
            <w:tcBorders>
              <w:top w:val="single" w:sz="4" w:space="0" w:color="auto"/>
              <w:left w:val="single" w:sz="4" w:space="0" w:color="auto"/>
            </w:tcBorders>
            <w:shd w:val="clear" w:color="auto" w:fill="FFFFFF"/>
            <w:vAlign w:val="center"/>
          </w:tcPr>
          <w:p>
            <w:pPr>
              <w:pStyle w:val="Other|1"/>
              <w:spacing w:line="240" w:lineRule="auto"/>
              <w:ind w:firstLine="0"/>
              <w:jc w:val="center"/>
              <w:rPr>
                <w:sz w:val="17"/>
                <w:szCs w:val="17"/>
              </w:rPr>
            </w:pPr>
            <w:r>
              <w:rPr>
                <w:sz w:val="17"/>
                <w:szCs w:val="17"/>
              </w:rPr>
              <w:t xml:space="preserve">预算数</w:t>
            </w:r>
          </w:p>
        </w:tc>
        <w:tc>
          <w:tcPr>
            <w:tcW w:w="3826" w:type="dxa"/>
            <w:tcBorders>
              <w:top w:val="single" w:sz="4" w:space="0" w:color="auto"/>
              <w:left w:val="single" w:sz="4" w:space="0" w:color="auto"/>
            </w:tcBorders>
            <w:shd w:val="clear" w:color="auto" w:fill="FFFFFF"/>
            <w:vAlign w:val="center"/>
          </w:tcPr>
          <w:p>
            <w:pPr>
              <w:pStyle w:val="Other|1"/>
              <w:tabs>
                <w:tab w:val="left" w:pos="1034"/>
              </w:tabs>
              <w:spacing w:line="240" w:lineRule="auto"/>
              <w:ind w:firstLine="540"/>
              <w:jc w:val="center"/>
              <w:rPr>
                <w:sz w:val="17"/>
                <w:szCs w:val="17"/>
              </w:rPr>
            </w:pPr>
            <w:r>
              <w:rPr>
                <w:sz w:val="17"/>
                <w:szCs w:val="17"/>
              </w:rPr>
              <w:t xml:space="preserve">项</w:t>
            </w:r>
            <w:r>
              <w:rPr>
                <w:sz w:val="17"/>
                <w:szCs w:val="17"/>
              </w:rPr>
              <w:tab/>
            </w:r>
            <w:r>
              <w:rPr>
                <w:sz w:val="17"/>
                <w:szCs w:val="17"/>
              </w:rPr>
              <w:t xml:space="preserve">目（按支出功能科目分类）</w:t>
            </w:r>
          </w:p>
        </w:tc>
        <w:tc>
          <w:tcPr>
            <w:tcW w:w="3845" w:type="dxa"/>
            <w:tcBorders>
              <w:top w:val="single" w:sz="4" w:space="0" w:color="auto"/>
              <w:left w:val="single" w:sz="4" w:space="0" w:color="auto"/>
              <w:right w:val="single" w:sz="4" w:space="0" w:color="auto"/>
            </w:tcBorders>
            <w:shd w:val="clear" w:color="auto" w:fill="FFFFFF"/>
            <w:vAlign w:val="center"/>
          </w:tcPr>
          <w:p>
            <w:pPr>
              <w:pStyle w:val="Other|1"/>
              <w:spacing w:line="240" w:lineRule="auto"/>
              <w:ind w:firstLine="0"/>
              <w:jc w:val="center"/>
              <w:rPr>
                <w:sz w:val="17"/>
                <w:szCs w:val="17"/>
              </w:rPr>
            </w:pPr>
            <w:r>
              <w:rPr>
                <w:sz w:val="17"/>
                <w:szCs w:val="17"/>
              </w:rPr>
              <w:t xml:space="preserve">预算数</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一、一般公共预算拨款</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795.44</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一、一般公共服务支出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721.55</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1、上级补助</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100.00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二、外交支出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2、本级</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695.44</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三、国防支出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二、政府性基金预算拨款</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四、公共安全支出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1、上级补助</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五、教育支出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2、本级</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六、科学技术支出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三、国有资本经营预算拨款</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七、文化旅游体育与传媒支出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1、上级补助</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八、社会保障和就业支出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39.69</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2、本级</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九、卫生健康支出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十、节能环保支出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十一、城乡社区支出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十二、农林水支出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十三、交通运输支出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十四、资源勘探工业信息等支出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十五、商业服务业等支出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十六、金融支出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十七、援助其他地区支出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十八、自然资源海洋气象等支出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十九、住房保障支出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34.20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二十、粮油物资储备支出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二十一、国有资本经营预算支出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二十二、灾害防治及应急管理支出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二十三、其他支出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二十四、债务还本支出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二十五、债务付息支出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二十六、债务发行费用支出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本年收入合计</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795.44</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本年支出合计</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795.44</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上年结转结余</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结转下年支出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收入总计</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795.44</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支出总计</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795.44</w:t>
            </w:r>
          </w:p>
        </w:tc>
      </w:tr>
      <w:tr>
        <w:tblPrEx>
          <w:tblW w:w="0" w:type="auto"/>
          <w:tblInd w:w="0" w:type="dxa"/>
          <w:tblLayout w:type="fixed"/>
          <w:tblCellMar>
            <w:top w:w="0" w:type="dxa"/>
            <w:left w:w="10" w:type="dxa"/>
            <w:bottom w:w="0" w:type="dxa"/>
            <w:right w:w="10" w:type="dxa"/>
          </w:tblCellMar>
        </w:tblPrEx>
        <w:trPr>
          <w:cantSplit/>
          <w:trHeight w:hRule="exact" w:val="352"/>
        </w:trPr>
        <w:tc>
          <w:tcPr>
            <w:tcW w:w="15342" w:type="dxa"/>
            <w:gridSpan w:val="6"/>
            <w:tcBorders>
              <w:top w:val="single" w:sz="4" w:space="0" w:color="auto"/>
            </w:tcBorders>
            <w:shd w:val="clear" w:color="auto" w:fill="FFFFFF"/>
          </w:tcPr>
          <w:p>
            <w:pPr>
              <w:jc w:val="left"/>
              <w:rPr>
                <w:rFonts w:ascii="宋体" w:eastAsia="宋体" w:hAnsi="宋体" w:cs="宋体" w:hint="eastAsia"/>
                <w:sz w:val="17"/>
                <w:szCs w:val="17"/>
                <w:lang w:eastAsia="zh-CN"/>
              </w:rPr>
            </w:pPr>
            <w:r>
              <w:rPr>
                <w:rFonts w:ascii="宋体" w:eastAsia="宋体" w:hAnsi="宋体" w:cs="宋体" w:hint="eastAsia"/>
                <w:sz w:val="17"/>
                <w:szCs w:val="17"/>
              </w:rPr>
              <w:t xml:space="preserve">注：表中功能分类科目，根据各部门实际预算编制情况编列。</w:t>
            </w:r>
          </w:p>
        </w:tc>
      </w:tr>
      <w:tr>
        <w:tblPrEx>
          <w:tblW w:w="0" w:type="auto"/>
          <w:tblInd w:w="0" w:type="dxa"/>
          <w:tblLayout w:type="fixed"/>
          <w:tblCellMar>
            <w:top w:w="0" w:type="dxa"/>
            <w:left w:w="10" w:type="dxa"/>
            <w:bottom w:w="0" w:type="dxa"/>
            <w:right w:w="10" w:type="dxa"/>
          </w:tblCellMar>
        </w:tblPrEx>
        <w:trPr>
          <w:cantSplit/>
          <w:trHeight w:hRule="exact" w:val="274"/>
        </w:trPr>
        <w:tc>
          <w:tcPr>
            <w:tcW w:w="15342" w:type="dxa"/>
            <w:gridSpan w:val="6"/>
            <w:shd w:val="clear" w:color="auto" w:fill="FFFFFF"/>
            <w:vAlign w:val="bottom"/>
          </w:tcPr>
          <w:p>
            <w:pPr>
              <w:jc w:val="left"/>
              <w:rPr>
                <w:rFonts w:ascii="宋体" w:eastAsia="宋体" w:hAnsi="宋体" w:cs="宋体" w:hint="eastAsia"/>
                <w:sz w:val="17"/>
                <w:szCs w:val="17"/>
                <w:lang w:eastAsia="zh-CN"/>
              </w:rPr>
            </w:pPr>
            <w:r>
              <w:rPr>
                <w:rFonts w:ascii="宋体" w:eastAsia="宋体" w:hAnsi="宋体" w:cs="宋体" w:hint="eastAsia"/>
                <w:sz w:val="17"/>
                <w:szCs w:val="17"/>
              </w:rPr>
              <w:t xml:space="preserve">报表金额单位转换时可能存在四舍五入尾数误差。</w:t>
            </w:r>
          </w:p>
        </w:tc>
      </w:tr>
    </w:tbl>
    <w:p>
      <w:pPr>
        <w:jc w:val="left"/>
        <w:rPr>
          <w:lang w:eastAsia="zh-CN"/>
        </w:rPr>
      </w:pPr>
      <w:r>
        <w:br w:type="page"/>
      </w:r>
    </w:p>
    <w:p>
      <w:pPr>
        <w:jc w:val="center"/>
        <w:rPr>
          <w:rFonts w:hint="eastAsia"/>
          <w:lang w:eastAsia="zh-CN"/>
        </w:rPr>
      </w:pPr>
      <w:r>
        <w:rPr>
          <w:rFonts w:hint="eastAsia"/>
          <w:lang w:eastAsia="zh-CN"/>
        </w:rPr>
        <w:t xml:space="preserve">一般公共预算支出情况表</w:t>
      </w:r>
    </w:p>
    <w:p>
      <w:pPr>
        <w:jc w:val="center"/>
        <w:rPr>
          <w:rFonts w:hint="eastAsia"/>
          <w:lang w:eastAsia="zh-CN"/>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firstRow="0" w:lastRow="0" w:firstColumn="0" w:lastColumn="0" w:noHBand="1" w:noVBand="1"/>
      </w:tblPr>
      <w:tblGrid>
        <w:gridCol w:w="1705"/>
        <w:gridCol w:w="1636"/>
        <w:gridCol w:w="1615"/>
        <w:gridCol w:w="1713"/>
        <w:gridCol w:w="1879"/>
        <w:gridCol w:w="1846"/>
        <w:gridCol w:w="1718"/>
        <w:gridCol w:w="72"/>
        <w:gridCol w:w="1686"/>
        <w:gridCol w:w="1687"/>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2096" w:type="dxa"/>
            <w:gridSpan w:val="7"/>
            <w:tcBorders>
              <w:top w:val="nil"/>
              <w:left w:val="nil"/>
              <w:right w:val="nil"/>
            </w:tcBorders>
          </w:tcPr>
          <w:p>
            <w:pPr>
              <w:jc w:val="left"/>
              <w:rPr>
                <w:rFonts w:hint="eastAsia"/>
                <w:vertAlign w:val="baseline"/>
                <w:lang w:eastAsia="zh-CN"/>
              </w:rPr>
            </w:pPr>
            <w:r>
              <w:rPr>
                <w:rFonts w:ascii="宋体" w:eastAsia="宋体" w:hAnsi="宋体" w:cs="宋体" w:hint="eastAsia"/>
                <w:sz w:val="16"/>
                <w:szCs w:val="16"/>
                <w:vertAlign w:val="baseline"/>
                <w:lang w:eastAsia="zh-CN"/>
              </w:rPr>
              <w:t xml:space="preserve">单位名称：</w:t>
            </w:r>
            <w:r>
              <w:rPr>
                <w:rFonts w:ascii="宋体" w:eastAsia="宋体" w:hAnsi="宋体" w:cs="宋体"/>
                <w:sz w:val="16"/>
                <w:u w:color="auto"/>
              </w:rPr>
              <w:t xml:space="preserve">环江毛南族自治县人民代表大会常务委员会</w:t>
            </w:r>
          </w:p>
        </w:tc>
        <w:tc>
          <w:tcPr>
            <w:tcW w:w="3461" w:type="dxa"/>
            <w:gridSpan w:val="3"/>
            <w:tcBorders>
              <w:top w:val="nil"/>
              <w:left w:val="nil"/>
              <w:right w:val="nil"/>
            </w:tcBorders>
          </w:tcPr>
          <w:p>
            <w:pPr>
              <w:ind w:firstLine="1760" w:firstLineChars="1100"/>
              <w:jc w:val="left"/>
              <w:rPr>
                <w:rFonts w:hint="eastAsia"/>
                <w:vertAlign w:val="baseline"/>
                <w:lang w:eastAsia="zh-CN"/>
              </w:rPr>
            </w:pPr>
            <w:r>
              <w:rPr>
                <w:rFonts w:ascii="宋体" w:eastAsia="宋体" w:hAnsi="宋体" w:cs="宋体" w:hint="eastAsia"/>
                <w:sz w:val="16"/>
                <w:szCs w:val="16"/>
                <w:vertAlign w:val="baseline"/>
                <w:lang w:eastAsia="zh-CN"/>
              </w:rPr>
              <w:t xml:space="preserve">单位：万元</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715" w:type="dxa"/>
            <w:vMerge w:val="restart"/>
          </w:tcPr>
          <w:p>
            <w:pPr>
              <w:jc w:val="center"/>
              <w:rPr>
                <w:rFonts w:hint="eastAsia"/>
                <w:vertAlign w:val="baseline"/>
                <w:lang w:eastAsia="zh-CN"/>
              </w:rPr>
            </w:pPr>
            <w:r>
              <w:rPr>
                <w:sz w:val="17"/>
                <w:szCs w:val="17"/>
              </w:rPr>
              <w:t xml:space="preserve">科目编码</w:t>
            </w:r>
          </w:p>
        </w:tc>
        <w:tc>
          <w:tcPr>
            <w:tcW w:w="1676" w:type="dxa"/>
            <w:vMerge w:val="restart"/>
          </w:tcPr>
          <w:p>
            <w:pPr>
              <w:jc w:val="center"/>
              <w:rPr>
                <w:rFonts w:hint="eastAsia"/>
                <w:vertAlign w:val="baseline"/>
                <w:lang w:eastAsia="zh-CN"/>
              </w:rPr>
            </w:pPr>
            <w:r>
              <w:rPr>
                <w:sz w:val="17"/>
                <w:szCs w:val="17"/>
              </w:rPr>
              <w:t xml:space="preserve">部门（单位）代码</w:t>
            </w:r>
          </w:p>
        </w:tc>
        <w:tc>
          <w:tcPr>
            <w:tcW w:w="1662" w:type="dxa"/>
            <w:vMerge w:val="restart"/>
          </w:tcPr>
          <w:p>
            <w:pPr>
              <w:pStyle w:val="Other|1"/>
              <w:spacing w:after="120" w:line="240" w:lineRule="auto"/>
              <w:ind w:firstLine="0"/>
              <w:jc w:val="center"/>
              <w:rPr>
                <w:sz w:val="17"/>
                <w:szCs w:val="17"/>
              </w:rPr>
            </w:pPr>
            <w:r>
              <w:rPr>
                <w:sz w:val="17"/>
                <w:szCs w:val="17"/>
              </w:rPr>
              <w:t xml:space="preserve">部门（单位）名称</w:t>
            </w:r>
          </w:p>
          <w:p>
            <w:pPr>
              <w:jc w:val="center"/>
              <w:rPr>
                <w:rFonts w:hint="eastAsia"/>
                <w:vertAlign w:val="baseline"/>
                <w:lang w:eastAsia="zh-CN"/>
              </w:rPr>
            </w:pPr>
            <w:r>
              <w:rPr>
                <w:sz w:val="17"/>
                <w:szCs w:val="17"/>
              </w:rPr>
              <w:t xml:space="preserve">（功能分类科目名称）</w:t>
            </w:r>
          </w:p>
        </w:tc>
        <w:tc>
          <w:tcPr>
            <w:tcW w:w="1717" w:type="dxa"/>
            <w:vMerge w:val="restart"/>
          </w:tcPr>
          <w:p>
            <w:pPr>
              <w:jc w:val="center"/>
              <w:rPr>
                <w:rFonts w:hint="eastAsia"/>
                <w:vertAlign w:val="baseline"/>
                <w:lang w:eastAsia="zh-CN"/>
              </w:rPr>
            </w:pPr>
            <w:r>
              <w:rPr>
                <w:sz w:val="17"/>
                <w:szCs w:val="17"/>
              </w:rPr>
              <w:t xml:space="preserve">合计</w:t>
            </w:r>
          </w:p>
        </w:tc>
        <w:tc>
          <w:tcPr>
            <w:tcW w:w="5398" w:type="dxa"/>
            <w:gridSpan w:val="4"/>
          </w:tcPr>
          <w:p>
            <w:pPr>
              <w:jc w:val="center"/>
              <w:rPr>
                <w:rFonts w:hint="eastAsia"/>
                <w:vertAlign w:val="baseline"/>
                <w:lang w:eastAsia="zh-CN"/>
              </w:rPr>
            </w:pPr>
            <w:r>
              <w:rPr>
                <w:sz w:val="17"/>
                <w:szCs w:val="17"/>
              </w:rPr>
              <w:t xml:space="preserve">基本支出</w:t>
            </w:r>
          </w:p>
        </w:tc>
        <w:tc>
          <w:tcPr>
            <w:tcW w:w="1694" w:type="dxa"/>
            <w:vMerge w:val="restart"/>
          </w:tcPr>
          <w:p>
            <w:pPr>
              <w:jc w:val="center"/>
              <w:rPr>
                <w:rFonts w:hint="eastAsia"/>
                <w:vertAlign w:val="baseline"/>
                <w:lang w:eastAsia="zh-CN"/>
              </w:rPr>
            </w:pPr>
            <w:r>
              <w:rPr>
                <w:sz w:val="17"/>
                <w:szCs w:val="17"/>
              </w:rPr>
              <w:t xml:space="preserve">项目支出</w:t>
            </w:r>
          </w:p>
        </w:tc>
        <w:tc>
          <w:tcPr>
            <w:tcW w:w="1695" w:type="dxa"/>
            <w:vMerge w:val="restart"/>
          </w:tcPr>
          <w:p>
            <w:pPr>
              <w:jc w:val="center"/>
              <w:rPr>
                <w:rFonts w:hint="eastAsia"/>
                <w:vertAlign w:val="baseline"/>
                <w:lang w:eastAsia="zh-CN"/>
              </w:rPr>
            </w:pPr>
            <w:r>
              <w:rPr>
                <w:sz w:val="17"/>
                <w:szCs w:val="17"/>
              </w:rPr>
              <w:t xml:space="preserve">结转下年支出</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715" w:type="dxa"/>
            <w:vMerge/>
          </w:tcPr>
          <w:p>
            <w:pPr>
              <w:jc w:val="center"/>
              <w:rPr>
                <w:rFonts w:hint="eastAsia"/>
                <w:vertAlign w:val="baseline"/>
                <w:lang w:eastAsia="zh-CN"/>
              </w:rPr>
            </w:pPr>
          </w:p>
        </w:tc>
        <w:tc>
          <w:tcPr>
            <w:tcW w:w="1676" w:type="dxa"/>
            <w:vMerge/>
          </w:tcPr>
          <w:p>
            <w:pPr>
              <w:jc w:val="center"/>
              <w:rPr>
                <w:rFonts w:hint="eastAsia"/>
                <w:vertAlign w:val="baseline"/>
                <w:lang w:eastAsia="zh-CN"/>
              </w:rPr>
            </w:pPr>
          </w:p>
        </w:tc>
        <w:tc>
          <w:tcPr>
            <w:tcW w:w="1662" w:type="dxa"/>
            <w:vMerge/>
          </w:tcPr>
          <w:p>
            <w:pPr>
              <w:jc w:val="center"/>
              <w:rPr>
                <w:rFonts w:hint="eastAsia"/>
                <w:vertAlign w:val="baseline"/>
                <w:lang w:eastAsia="zh-CN"/>
              </w:rPr>
            </w:pPr>
          </w:p>
        </w:tc>
        <w:tc>
          <w:tcPr>
            <w:tcW w:w="1717" w:type="dxa"/>
            <w:vMerge/>
          </w:tcPr>
          <w:p>
            <w:pPr>
              <w:jc w:val="center"/>
              <w:rPr>
                <w:rFonts w:hint="eastAsia"/>
                <w:vertAlign w:val="baseline"/>
                <w:lang w:eastAsia="zh-CN"/>
              </w:rPr>
            </w:pPr>
          </w:p>
        </w:tc>
        <w:tc>
          <w:tcPr>
            <w:tcW w:w="1879" w:type="dxa"/>
            <w:vAlign w:val="center"/>
          </w:tcPr>
          <w:p>
            <w:pPr>
              <w:pStyle w:val="Other|1"/>
              <w:spacing w:line="240" w:lineRule="auto"/>
              <w:ind w:firstLine="0" w:firstLineChars="0"/>
              <w:jc w:val="center"/>
              <w:rPr>
                <w:rFonts w:hint="eastAsia"/>
                <w:vertAlign w:val="baseline"/>
                <w:lang w:eastAsia="zh-CN"/>
              </w:rPr>
            </w:pPr>
            <w:r>
              <w:rPr>
                <w:sz w:val="17"/>
                <w:szCs w:val="17"/>
              </w:rPr>
              <w:t xml:space="preserve">小计</w:t>
            </w:r>
          </w:p>
        </w:tc>
        <w:tc>
          <w:tcPr>
            <w:tcW w:w="1729" w:type="dxa"/>
            <w:vAlign w:val="center"/>
          </w:tcPr>
          <w:p>
            <w:pPr>
              <w:pStyle w:val="Other|1"/>
              <w:spacing w:line="240" w:lineRule="auto"/>
              <w:ind w:firstLine="0" w:firstLineChars="0"/>
              <w:jc w:val="center"/>
              <w:rPr>
                <w:rFonts w:hint="eastAsia"/>
                <w:vertAlign w:val="baseline"/>
                <w:lang w:eastAsia="zh-CN"/>
              </w:rPr>
            </w:pPr>
            <w:r>
              <w:rPr>
                <w:sz w:val="17"/>
                <w:szCs w:val="17"/>
              </w:rPr>
              <w:t xml:space="preserve">人员经费</w:t>
            </w:r>
          </w:p>
        </w:tc>
        <w:tc>
          <w:tcPr>
            <w:tcW w:w="1790" w:type="dxa"/>
            <w:gridSpan w:val="2"/>
            <w:vAlign w:val="center"/>
          </w:tcPr>
          <w:p>
            <w:pPr>
              <w:pStyle w:val="Other|1"/>
              <w:spacing w:line="240" w:lineRule="auto"/>
              <w:ind w:firstLine="440" w:firstLineChars="0"/>
              <w:jc w:val="center"/>
              <w:rPr>
                <w:rFonts w:hint="eastAsia"/>
                <w:vertAlign w:val="baseline"/>
                <w:lang w:eastAsia="zh-CN"/>
              </w:rPr>
            </w:pPr>
            <w:r>
              <w:rPr>
                <w:sz w:val="17"/>
                <w:szCs w:val="17"/>
              </w:rPr>
              <w:t xml:space="preserve">公用经费</w:t>
            </w:r>
          </w:p>
        </w:tc>
        <w:tc>
          <w:tcPr>
            <w:tcW w:w="1694" w:type="dxa"/>
            <w:vMerge/>
          </w:tcPr>
          <w:p>
            <w:pPr>
              <w:jc w:val="center"/>
              <w:rPr>
                <w:rFonts w:hint="eastAsia"/>
                <w:vertAlign w:val="baseline"/>
                <w:lang w:eastAsia="zh-CN"/>
              </w:rPr>
            </w:pPr>
          </w:p>
        </w:tc>
        <w:tc>
          <w:tcPr>
            <w:tcW w:w="1695" w:type="dxa"/>
            <w:vMerge/>
          </w:tcPr>
          <w:p>
            <w:pPr>
              <w:jc w:val="center"/>
              <w:rPr>
                <w:rFonts w:hint="eastAsia"/>
                <w:vertAlign w:val="baseline"/>
                <w:lang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715" w:type="dxa"/>
            <w:vAlign w:val="center"/>
          </w:tcPr>
          <w:p>
            <w:pPr>
              <w:jc w:val="center"/>
              <w:rPr>
                <w:rFonts w:hint="eastAsia"/>
                <w:vertAlign w:val="baseline"/>
                <w:lang w:eastAsia="zh-CN"/>
              </w:rPr>
            </w:pPr>
          </w:p>
        </w:tc>
        <w:tc>
          <w:tcPr>
            <w:tcW w:w="1676" w:type="dxa"/>
            <w:vAlign w:val="center"/>
          </w:tcPr>
          <w:p>
            <w:pPr>
              <w:jc w:val="center"/>
              <w:rPr>
                <w:rFonts w:hint="eastAsia"/>
                <w:vertAlign w:val="baseline"/>
                <w:lang w:eastAsia="zh-CN"/>
              </w:rPr>
            </w:pPr>
          </w:p>
        </w:tc>
        <w:tc>
          <w:tcPr>
            <w:tcW w:w="1662" w:type="dxa"/>
            <w:vAlign w:val="center"/>
          </w:tcPr>
          <w:p>
            <w:pPr>
              <w:jc w:val="center"/>
              <w:rPr>
                <w:rFonts w:hint="eastAsia"/>
                <w:vertAlign w:val="baseline"/>
                <w:lang w:eastAsia="zh-CN"/>
              </w:rPr>
            </w:pPr>
          </w:p>
        </w:tc>
        <w:tc>
          <w:tcPr>
            <w:tcW w:w="1717" w:type="dxa"/>
            <w:vAlign w:val="center"/>
          </w:tcPr>
          <w:p>
            <w:pPr>
              <w:pStyle w:val="Other|1"/>
              <w:spacing w:line="240" w:lineRule="auto"/>
              <w:ind w:firstLine="0" w:firstLineChars="0"/>
              <w:jc w:val="center"/>
              <w:rPr>
                <w:rFonts w:hint="eastAsia"/>
                <w:vertAlign w:val="baseline"/>
                <w:lang w:eastAsia="zh-CN"/>
              </w:rPr>
            </w:pPr>
            <w:r>
              <w:rPr>
                <w:rFonts w:ascii="Times New Roman" w:eastAsia="Times New Roman" w:hAnsi="Times New Roman" w:cs="Times New Roman"/>
                <w:b/>
                <w:bCs/>
                <w:sz w:val="17"/>
                <w:szCs w:val="17"/>
              </w:rPr>
              <w:t xml:space="preserve">1</w:t>
            </w:r>
          </w:p>
        </w:tc>
        <w:tc>
          <w:tcPr>
            <w:tcW w:w="1879" w:type="dxa"/>
            <w:vAlign w:val="center"/>
          </w:tcPr>
          <w:p>
            <w:pPr>
              <w:pStyle w:val="Other|1"/>
              <w:spacing w:line="240" w:lineRule="auto"/>
              <w:ind w:firstLine="0" w:firstLineChars="0"/>
              <w:jc w:val="center"/>
              <w:rPr>
                <w:rFonts w:hint="eastAsia"/>
                <w:vertAlign w:val="baseline"/>
                <w:lang w:eastAsia="zh-CN"/>
              </w:rPr>
            </w:pPr>
            <w:r>
              <w:rPr>
                <w:rFonts w:ascii="Times New Roman" w:eastAsia="Times New Roman" w:hAnsi="Times New Roman" w:cs="Times New Roman"/>
                <w:b/>
                <w:bCs/>
                <w:sz w:val="17"/>
                <w:szCs w:val="17"/>
              </w:rPr>
              <w:t xml:space="preserve">2</w:t>
            </w:r>
          </w:p>
        </w:tc>
        <w:tc>
          <w:tcPr>
            <w:tcW w:w="1729" w:type="dxa"/>
            <w:vAlign w:val="center"/>
          </w:tcPr>
          <w:p>
            <w:pPr>
              <w:pStyle w:val="Other|1"/>
              <w:spacing w:line="240" w:lineRule="auto"/>
              <w:ind w:firstLine="0" w:firstLineChars="0"/>
              <w:jc w:val="center"/>
              <w:rPr>
                <w:rFonts w:hint="eastAsia"/>
                <w:vertAlign w:val="baseline"/>
                <w:lang w:eastAsia="zh-CN"/>
              </w:rPr>
            </w:pPr>
            <w:r>
              <w:rPr>
                <w:rFonts w:ascii="Times New Roman" w:eastAsia="Times New Roman" w:hAnsi="Times New Roman" w:cs="Times New Roman"/>
                <w:b/>
                <w:bCs/>
                <w:sz w:val="17"/>
                <w:szCs w:val="17"/>
              </w:rPr>
              <w:t xml:space="preserve">3</w:t>
            </w:r>
          </w:p>
        </w:tc>
        <w:tc>
          <w:tcPr>
            <w:tcW w:w="1790" w:type="dxa"/>
            <w:gridSpan w:val="2"/>
            <w:vAlign w:val="center"/>
          </w:tcPr>
          <w:p>
            <w:pPr>
              <w:pStyle w:val="Other|1"/>
              <w:spacing w:line="240" w:lineRule="auto"/>
              <w:ind w:firstLine="0" w:firstLineChars="0"/>
              <w:jc w:val="center"/>
              <w:rPr>
                <w:rFonts w:hint="eastAsia"/>
                <w:vertAlign w:val="baseline"/>
                <w:lang w:eastAsia="zh-CN"/>
              </w:rPr>
            </w:pPr>
            <w:r>
              <w:rPr>
                <w:rFonts w:ascii="Times New Roman" w:eastAsia="Times New Roman" w:hAnsi="Times New Roman" w:cs="Times New Roman"/>
                <w:b/>
                <w:bCs/>
                <w:sz w:val="17"/>
                <w:szCs w:val="17"/>
              </w:rPr>
              <w:t xml:space="preserve">4</w:t>
            </w:r>
          </w:p>
        </w:tc>
        <w:tc>
          <w:tcPr>
            <w:tcW w:w="1694" w:type="dxa"/>
            <w:vAlign w:val="center"/>
          </w:tcPr>
          <w:p>
            <w:pPr>
              <w:pStyle w:val="Other|1"/>
              <w:spacing w:line="240" w:lineRule="auto"/>
              <w:ind w:firstLine="660" w:firstLineChars="0"/>
              <w:jc w:val="center"/>
              <w:rPr>
                <w:rFonts w:hint="eastAsia"/>
                <w:vertAlign w:val="baseline"/>
                <w:lang w:eastAsia="zh-CN"/>
              </w:rPr>
            </w:pPr>
            <w:r>
              <w:rPr>
                <w:rFonts w:ascii="Times New Roman" w:eastAsia="Times New Roman" w:hAnsi="Times New Roman" w:cs="Times New Roman"/>
                <w:b/>
                <w:bCs/>
                <w:sz w:val="17"/>
                <w:szCs w:val="17"/>
              </w:rPr>
              <w:t xml:space="preserve">5</w:t>
            </w:r>
          </w:p>
        </w:tc>
        <w:tc>
          <w:tcPr>
            <w:tcW w:w="1695" w:type="dxa"/>
            <w:vAlign w:val="center"/>
          </w:tcPr>
          <w:p>
            <w:pPr>
              <w:pStyle w:val="Other|1"/>
              <w:spacing w:line="240" w:lineRule="auto"/>
              <w:ind w:right="700" w:firstLine="0" w:rightChars="0" w:firstLineChars="0"/>
              <w:jc w:val="center"/>
              <w:rPr>
                <w:rFonts w:hint="eastAsia"/>
                <w:vertAlign w:val="baseline"/>
                <w:lang w:eastAsia="zh-CN"/>
              </w:rPr>
            </w:pPr>
            <w:r>
              <w:rPr>
                <w:rFonts w:ascii="Times New Roman" w:eastAsia="Times New Roman" w:hAnsi="Times New Roman" w:cs="Times New Roman"/>
                <w:b/>
                <w:bCs/>
                <w:sz w:val="17"/>
                <w:szCs w:val="17"/>
              </w:rPr>
              <w:t xml:space="preserve">6</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715" w:type="dxa"/>
            <w:vAlign w:val="center"/>
          </w:tcPr>
          <w:p>
            <w:pPr>
              <w:pStyle w:val="Other|1"/>
              <w:spacing w:line="240" w:lineRule="auto"/>
              <w:ind w:firstLine="0" w:firstLineChars="0"/>
              <w:jc w:val="center"/>
              <w:rPr>
                <w:rFonts w:ascii="宋体" w:eastAsia="宋体" w:hAnsi="宋体" w:cs="宋体" w:hint="eastAsia"/>
                <w:b w:val="0"/>
                <w:bCs w:val="0"/>
                <w:vertAlign w:val="baseline"/>
                <w:lang w:eastAsia="zh-CN"/>
              </w:rPr>
            </w:pPr>
          </w:p>
        </w:tc>
        <w:tc>
          <w:tcPr>
            <w:tcW w:w="1676" w:type="dxa"/>
            <w:vAlign w:val="center"/>
          </w:tcPr>
          <w:p>
            <w:pPr>
              <w:pStyle w:val="Other|1"/>
              <w:spacing w:line="240" w:lineRule="auto"/>
              <w:ind w:firstLine="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103001</w:t>
            </w:r>
          </w:p>
        </w:tc>
        <w:tc>
          <w:tcPr>
            <w:tcW w:w="1662" w:type="dxa"/>
            <w:vAlign w:val="center"/>
          </w:tcPr>
          <w:p>
            <w:pPr>
              <w:pStyle w:val="Other|1"/>
              <w:spacing w:line="240" w:lineRule="auto"/>
              <w:ind w:firstLine="0" w:firstLineChars="0"/>
              <w:jc w:val="center"/>
              <w:rPr>
                <w:rFonts w:ascii="宋体" w:eastAsia="宋体" w:hAnsi="宋体" w:cs="宋体" w:hint="eastAsia"/>
                <w:b w:val="0"/>
                <w:bCs w:val="0"/>
                <w:vertAlign w:val="baseline"/>
                <w:lang w:eastAsia="zh-CN"/>
              </w:rPr>
            </w:pPr>
          </w:p>
        </w:tc>
        <w:tc>
          <w:tcPr>
            <w:tcW w:w="1717" w:type="dxa"/>
            <w:vAlign w:val="center"/>
          </w:tcPr>
          <w:p>
            <w:pPr>
              <w:pStyle w:val="Other|1"/>
              <w:spacing w:line="240" w:lineRule="auto"/>
              <w:ind w:left="1060" w:firstLine="0" w:leftChars="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bidi="en-US"/>
              </w:rPr>
              <w:t xml:space="preserve">795.44</w:t>
            </w:r>
          </w:p>
        </w:tc>
        <w:tc>
          <w:tcPr>
            <w:tcW w:w="1879" w:type="dxa"/>
            <w:vAlign w:val="center"/>
          </w:tcPr>
          <w:p>
            <w:pPr>
              <w:pStyle w:val="Other|1"/>
              <w:spacing w:line="240" w:lineRule="auto"/>
              <w:ind w:left="1320" w:firstLine="0" w:leftChars="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445.44</w:t>
            </w:r>
          </w:p>
        </w:tc>
        <w:tc>
          <w:tcPr>
            <w:tcW w:w="1729" w:type="dxa"/>
            <w:vAlign w:val="center"/>
          </w:tcPr>
          <w:p>
            <w:pPr>
              <w:pStyle w:val="Other|1"/>
              <w:spacing w:line="240" w:lineRule="auto"/>
              <w:ind w:left="1120" w:firstLine="0" w:leftChars="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bidi="en-US"/>
              </w:rPr>
              <w:t xml:space="preserve">410.53</w:t>
            </w:r>
          </w:p>
        </w:tc>
        <w:tc>
          <w:tcPr>
            <w:tcW w:w="1790" w:type="dxa"/>
            <w:gridSpan w:val="2"/>
            <w:vAlign w:val="center"/>
          </w:tcPr>
          <w:p>
            <w:pPr>
              <w:pStyle w:val="Other|1"/>
              <w:spacing w:line="240" w:lineRule="auto"/>
              <w:ind w:left="1060" w:firstLine="0" w:leftChars="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34.91</w:t>
            </w:r>
          </w:p>
        </w:tc>
        <w:tc>
          <w:tcPr>
            <w:tcW w:w="1694" w:type="dxa"/>
            <w:vAlign w:val="center"/>
          </w:tcPr>
          <w:p>
            <w:pPr>
              <w:pStyle w:val="Other|1"/>
              <w:spacing w:line="240" w:lineRule="auto"/>
              <w:ind w:firstLine="40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bidi="en-US"/>
              </w:rPr>
              <w:t xml:space="preserve">350.00</w:t>
            </w:r>
          </w:p>
        </w:tc>
        <w:tc>
          <w:tcPr>
            <w:tcW w:w="1695" w:type="dxa"/>
            <w:vAlign w:val="center"/>
          </w:tcPr>
          <w:p>
            <w:pPr>
              <w:pStyle w:val="Other|1"/>
              <w:spacing w:line="240" w:lineRule="auto"/>
              <w:ind w:firstLine="40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715" w:type="dxa"/>
            <w:vAlign w:val="center"/>
          </w:tcPr>
          <w:p>
            <w:pPr>
              <w:pStyle w:val="Other|1"/>
              <w:spacing w:line="240" w:lineRule="auto"/>
              <w:ind w:firstLine="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2010101</w:t>
            </w:r>
          </w:p>
        </w:tc>
        <w:tc>
          <w:tcPr>
            <w:tcW w:w="1676" w:type="dxa"/>
            <w:vAlign w:val="center"/>
          </w:tcPr>
          <w:p>
            <w:pPr>
              <w:pStyle w:val="Other|1"/>
              <w:spacing w:line="240" w:lineRule="auto"/>
              <w:ind w:firstLine="0" w:firstLineChars="0"/>
              <w:jc w:val="center"/>
              <w:rPr>
                <w:rFonts w:ascii="宋体" w:eastAsia="宋体" w:hAnsi="宋体" w:cs="宋体" w:hint="eastAsia"/>
                <w:b w:val="0"/>
                <w:bCs w:val="0"/>
                <w:vertAlign w:val="baseline"/>
                <w:lang w:eastAsia="zh-CN"/>
              </w:rPr>
            </w:pPr>
          </w:p>
        </w:tc>
        <w:tc>
          <w:tcPr>
            <w:tcW w:w="1662" w:type="dxa"/>
            <w:vAlign w:val="center"/>
          </w:tcPr>
          <w:p>
            <w:pPr>
              <w:pStyle w:val="Other|1"/>
              <w:spacing w:line="240" w:lineRule="auto"/>
              <w:ind w:firstLine="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行政运行</w:t>
            </w:r>
          </w:p>
        </w:tc>
        <w:tc>
          <w:tcPr>
            <w:tcW w:w="1717" w:type="dxa"/>
            <w:vAlign w:val="center"/>
          </w:tcPr>
          <w:p>
            <w:pPr>
              <w:pStyle w:val="Other|1"/>
              <w:spacing w:line="240" w:lineRule="auto"/>
              <w:ind w:left="1060" w:firstLine="0" w:leftChars="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bidi="en-US"/>
              </w:rPr>
              <w:t xml:space="preserve">481.43</w:t>
            </w:r>
          </w:p>
        </w:tc>
        <w:tc>
          <w:tcPr>
            <w:tcW w:w="1879" w:type="dxa"/>
            <w:vAlign w:val="center"/>
          </w:tcPr>
          <w:p>
            <w:pPr>
              <w:pStyle w:val="Other|1"/>
              <w:spacing w:line="240" w:lineRule="auto"/>
              <w:ind w:left="1320" w:firstLine="0" w:leftChars="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367.92</w:t>
            </w:r>
          </w:p>
        </w:tc>
        <w:tc>
          <w:tcPr>
            <w:tcW w:w="1729" w:type="dxa"/>
            <w:vAlign w:val="center"/>
          </w:tcPr>
          <w:p>
            <w:pPr>
              <w:pStyle w:val="Other|1"/>
              <w:spacing w:line="240" w:lineRule="auto"/>
              <w:ind w:left="1120" w:firstLine="0" w:leftChars="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bidi="en-US"/>
              </w:rPr>
              <w:t xml:space="preserve">336.64</w:t>
            </w:r>
          </w:p>
        </w:tc>
        <w:tc>
          <w:tcPr>
            <w:tcW w:w="1790" w:type="dxa"/>
            <w:gridSpan w:val="2"/>
            <w:vAlign w:val="center"/>
          </w:tcPr>
          <w:p>
            <w:pPr>
              <w:pStyle w:val="Other|1"/>
              <w:spacing w:line="240" w:lineRule="auto"/>
              <w:ind w:left="1060" w:firstLine="0" w:leftChars="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31.28</w:t>
            </w:r>
          </w:p>
        </w:tc>
        <w:tc>
          <w:tcPr>
            <w:tcW w:w="1694" w:type="dxa"/>
            <w:vAlign w:val="center"/>
          </w:tcPr>
          <w:p>
            <w:pPr>
              <w:pStyle w:val="Other|1"/>
              <w:spacing w:line="240" w:lineRule="auto"/>
              <w:ind w:firstLine="40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bidi="en-US"/>
              </w:rPr>
              <w:t xml:space="preserve">113.50</w:t>
            </w:r>
          </w:p>
        </w:tc>
        <w:tc>
          <w:tcPr>
            <w:tcW w:w="1695" w:type="dxa"/>
            <w:vAlign w:val="center"/>
          </w:tcPr>
          <w:p>
            <w:pPr>
              <w:pStyle w:val="Other|1"/>
              <w:spacing w:line="240" w:lineRule="auto"/>
              <w:ind w:firstLine="40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715" w:type="dxa"/>
            <w:vAlign w:val="center"/>
          </w:tcPr>
          <w:p>
            <w:pPr>
              <w:pStyle w:val="Other|1"/>
              <w:spacing w:line="240" w:lineRule="auto"/>
              <w:ind w:firstLine="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2010104</w:t>
            </w:r>
          </w:p>
        </w:tc>
        <w:tc>
          <w:tcPr>
            <w:tcW w:w="1676" w:type="dxa"/>
            <w:vAlign w:val="center"/>
          </w:tcPr>
          <w:p>
            <w:pPr>
              <w:pStyle w:val="Other|1"/>
              <w:spacing w:line="240" w:lineRule="auto"/>
              <w:ind w:firstLine="0" w:firstLineChars="0"/>
              <w:jc w:val="center"/>
              <w:rPr>
                <w:rFonts w:ascii="宋体" w:eastAsia="宋体" w:hAnsi="宋体" w:cs="宋体" w:hint="eastAsia"/>
                <w:b w:val="0"/>
                <w:bCs w:val="0"/>
                <w:vertAlign w:val="baseline"/>
                <w:lang w:eastAsia="zh-CN"/>
              </w:rPr>
            </w:pPr>
          </w:p>
        </w:tc>
        <w:tc>
          <w:tcPr>
            <w:tcW w:w="1662" w:type="dxa"/>
            <w:vAlign w:val="center"/>
          </w:tcPr>
          <w:p>
            <w:pPr>
              <w:pStyle w:val="Other|1"/>
              <w:spacing w:line="240" w:lineRule="auto"/>
              <w:ind w:firstLine="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人大会议</w:t>
            </w:r>
          </w:p>
        </w:tc>
        <w:tc>
          <w:tcPr>
            <w:tcW w:w="1717" w:type="dxa"/>
            <w:vAlign w:val="center"/>
          </w:tcPr>
          <w:p>
            <w:pPr>
              <w:pStyle w:val="Other|1"/>
              <w:spacing w:line="240" w:lineRule="auto"/>
              <w:ind w:left="1060" w:firstLine="0" w:leftChars="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bidi="en-US"/>
              </w:rPr>
              <w:t xml:space="preserve">62.10</w:t>
            </w:r>
          </w:p>
        </w:tc>
        <w:tc>
          <w:tcPr>
            <w:tcW w:w="1879" w:type="dxa"/>
            <w:vAlign w:val="center"/>
          </w:tcPr>
          <w:p>
            <w:pPr>
              <w:pStyle w:val="Other|1"/>
              <w:spacing w:line="240" w:lineRule="auto"/>
              <w:ind w:left="1320" w:firstLine="0" w:leftChars="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1729" w:type="dxa"/>
            <w:vAlign w:val="center"/>
          </w:tcPr>
          <w:p>
            <w:pPr>
              <w:pStyle w:val="Other|1"/>
              <w:spacing w:line="240" w:lineRule="auto"/>
              <w:ind w:left="1120" w:firstLine="0" w:leftChars="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bidi="en-US"/>
              </w:rPr>
              <w:t xml:space="preserve">0.00</w:t>
            </w:r>
          </w:p>
        </w:tc>
        <w:tc>
          <w:tcPr>
            <w:tcW w:w="1790" w:type="dxa"/>
            <w:gridSpan w:val="2"/>
            <w:vAlign w:val="center"/>
          </w:tcPr>
          <w:p>
            <w:pPr>
              <w:pStyle w:val="Other|1"/>
              <w:spacing w:line="240" w:lineRule="auto"/>
              <w:ind w:left="1060" w:firstLine="0" w:leftChars="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1694" w:type="dxa"/>
            <w:vAlign w:val="center"/>
          </w:tcPr>
          <w:p>
            <w:pPr>
              <w:pStyle w:val="Other|1"/>
              <w:spacing w:line="240" w:lineRule="auto"/>
              <w:ind w:firstLine="40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bidi="en-US"/>
              </w:rPr>
              <w:t xml:space="preserve">62.10</w:t>
            </w:r>
          </w:p>
        </w:tc>
        <w:tc>
          <w:tcPr>
            <w:tcW w:w="1695" w:type="dxa"/>
            <w:vAlign w:val="center"/>
          </w:tcPr>
          <w:p>
            <w:pPr>
              <w:pStyle w:val="Other|1"/>
              <w:spacing w:line="240" w:lineRule="auto"/>
              <w:ind w:firstLine="40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715" w:type="dxa"/>
            <w:vAlign w:val="center"/>
          </w:tcPr>
          <w:p>
            <w:pPr>
              <w:pStyle w:val="Other|1"/>
              <w:spacing w:line="240" w:lineRule="auto"/>
              <w:ind w:firstLine="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2010105</w:t>
            </w:r>
          </w:p>
        </w:tc>
        <w:tc>
          <w:tcPr>
            <w:tcW w:w="1676" w:type="dxa"/>
            <w:vAlign w:val="center"/>
          </w:tcPr>
          <w:p>
            <w:pPr>
              <w:pStyle w:val="Other|1"/>
              <w:spacing w:line="240" w:lineRule="auto"/>
              <w:ind w:firstLine="0" w:firstLineChars="0"/>
              <w:jc w:val="center"/>
              <w:rPr>
                <w:rFonts w:ascii="宋体" w:eastAsia="宋体" w:hAnsi="宋体" w:cs="宋体" w:hint="eastAsia"/>
                <w:b w:val="0"/>
                <w:bCs w:val="0"/>
                <w:vertAlign w:val="baseline"/>
                <w:lang w:eastAsia="zh-CN"/>
              </w:rPr>
            </w:pPr>
          </w:p>
        </w:tc>
        <w:tc>
          <w:tcPr>
            <w:tcW w:w="1662" w:type="dxa"/>
            <w:vAlign w:val="center"/>
          </w:tcPr>
          <w:p>
            <w:pPr>
              <w:pStyle w:val="Other|1"/>
              <w:spacing w:line="240" w:lineRule="auto"/>
              <w:ind w:firstLine="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人大立法</w:t>
            </w:r>
          </w:p>
        </w:tc>
        <w:tc>
          <w:tcPr>
            <w:tcW w:w="1717" w:type="dxa"/>
            <w:vAlign w:val="center"/>
          </w:tcPr>
          <w:p>
            <w:pPr>
              <w:pStyle w:val="Other|1"/>
              <w:spacing w:line="240" w:lineRule="auto"/>
              <w:ind w:left="1060" w:firstLine="0" w:leftChars="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bidi="en-US"/>
              </w:rPr>
              <w:t xml:space="preserve">15.50</w:t>
            </w:r>
          </w:p>
        </w:tc>
        <w:tc>
          <w:tcPr>
            <w:tcW w:w="1879" w:type="dxa"/>
            <w:vAlign w:val="center"/>
          </w:tcPr>
          <w:p>
            <w:pPr>
              <w:pStyle w:val="Other|1"/>
              <w:spacing w:line="240" w:lineRule="auto"/>
              <w:ind w:left="1320" w:firstLine="0" w:leftChars="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1729" w:type="dxa"/>
            <w:vAlign w:val="center"/>
          </w:tcPr>
          <w:p>
            <w:pPr>
              <w:pStyle w:val="Other|1"/>
              <w:spacing w:line="240" w:lineRule="auto"/>
              <w:ind w:left="1120" w:firstLine="0" w:leftChars="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bidi="en-US"/>
              </w:rPr>
              <w:t xml:space="preserve">0.00</w:t>
            </w:r>
          </w:p>
        </w:tc>
        <w:tc>
          <w:tcPr>
            <w:tcW w:w="1790" w:type="dxa"/>
            <w:gridSpan w:val="2"/>
            <w:vAlign w:val="center"/>
          </w:tcPr>
          <w:p>
            <w:pPr>
              <w:pStyle w:val="Other|1"/>
              <w:spacing w:line="240" w:lineRule="auto"/>
              <w:ind w:left="1060" w:firstLine="0" w:leftChars="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1694" w:type="dxa"/>
            <w:vAlign w:val="center"/>
          </w:tcPr>
          <w:p>
            <w:pPr>
              <w:pStyle w:val="Other|1"/>
              <w:spacing w:line="240" w:lineRule="auto"/>
              <w:ind w:firstLine="40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bidi="en-US"/>
              </w:rPr>
              <w:t xml:space="preserve">15.50</w:t>
            </w:r>
          </w:p>
        </w:tc>
        <w:tc>
          <w:tcPr>
            <w:tcW w:w="1695" w:type="dxa"/>
            <w:vAlign w:val="center"/>
          </w:tcPr>
          <w:p>
            <w:pPr>
              <w:pStyle w:val="Other|1"/>
              <w:spacing w:line="240" w:lineRule="auto"/>
              <w:ind w:firstLine="40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715" w:type="dxa"/>
            <w:vAlign w:val="center"/>
          </w:tcPr>
          <w:p>
            <w:pPr>
              <w:pStyle w:val="Other|1"/>
              <w:spacing w:line="240" w:lineRule="auto"/>
              <w:ind w:firstLine="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2010106</w:t>
            </w:r>
          </w:p>
        </w:tc>
        <w:tc>
          <w:tcPr>
            <w:tcW w:w="1676" w:type="dxa"/>
            <w:vAlign w:val="center"/>
          </w:tcPr>
          <w:p>
            <w:pPr>
              <w:pStyle w:val="Other|1"/>
              <w:spacing w:line="240" w:lineRule="auto"/>
              <w:ind w:firstLine="0" w:firstLineChars="0"/>
              <w:jc w:val="center"/>
              <w:rPr>
                <w:rFonts w:ascii="宋体" w:eastAsia="宋体" w:hAnsi="宋体" w:cs="宋体" w:hint="eastAsia"/>
                <w:b w:val="0"/>
                <w:bCs w:val="0"/>
                <w:vertAlign w:val="baseline"/>
                <w:lang w:eastAsia="zh-CN"/>
              </w:rPr>
            </w:pPr>
          </w:p>
        </w:tc>
        <w:tc>
          <w:tcPr>
            <w:tcW w:w="1662" w:type="dxa"/>
            <w:vAlign w:val="center"/>
          </w:tcPr>
          <w:p>
            <w:pPr>
              <w:pStyle w:val="Other|1"/>
              <w:spacing w:line="240" w:lineRule="auto"/>
              <w:ind w:firstLine="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人大监督</w:t>
            </w:r>
          </w:p>
        </w:tc>
        <w:tc>
          <w:tcPr>
            <w:tcW w:w="1717" w:type="dxa"/>
            <w:vAlign w:val="center"/>
          </w:tcPr>
          <w:p>
            <w:pPr>
              <w:pStyle w:val="Other|1"/>
              <w:spacing w:line="240" w:lineRule="auto"/>
              <w:ind w:left="1060" w:firstLine="0" w:leftChars="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bidi="en-US"/>
              </w:rPr>
              <w:t xml:space="preserve">4.00</w:t>
            </w:r>
          </w:p>
        </w:tc>
        <w:tc>
          <w:tcPr>
            <w:tcW w:w="1879" w:type="dxa"/>
            <w:vAlign w:val="center"/>
          </w:tcPr>
          <w:p>
            <w:pPr>
              <w:pStyle w:val="Other|1"/>
              <w:spacing w:line="240" w:lineRule="auto"/>
              <w:ind w:left="1320" w:firstLine="0" w:leftChars="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1729" w:type="dxa"/>
            <w:vAlign w:val="center"/>
          </w:tcPr>
          <w:p>
            <w:pPr>
              <w:pStyle w:val="Other|1"/>
              <w:spacing w:line="240" w:lineRule="auto"/>
              <w:ind w:left="1120" w:firstLine="0" w:leftChars="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bidi="en-US"/>
              </w:rPr>
              <w:t xml:space="preserve">0.00</w:t>
            </w:r>
          </w:p>
        </w:tc>
        <w:tc>
          <w:tcPr>
            <w:tcW w:w="1790" w:type="dxa"/>
            <w:gridSpan w:val="2"/>
            <w:vAlign w:val="center"/>
          </w:tcPr>
          <w:p>
            <w:pPr>
              <w:pStyle w:val="Other|1"/>
              <w:spacing w:line="240" w:lineRule="auto"/>
              <w:ind w:left="1060" w:firstLine="0" w:leftChars="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1694" w:type="dxa"/>
            <w:vAlign w:val="center"/>
          </w:tcPr>
          <w:p>
            <w:pPr>
              <w:pStyle w:val="Other|1"/>
              <w:spacing w:line="240" w:lineRule="auto"/>
              <w:ind w:firstLine="40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bidi="en-US"/>
              </w:rPr>
              <w:t xml:space="preserve">4.00</w:t>
            </w:r>
          </w:p>
        </w:tc>
        <w:tc>
          <w:tcPr>
            <w:tcW w:w="1695" w:type="dxa"/>
            <w:vAlign w:val="center"/>
          </w:tcPr>
          <w:p>
            <w:pPr>
              <w:pStyle w:val="Other|1"/>
              <w:spacing w:line="240" w:lineRule="auto"/>
              <w:ind w:firstLine="40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715" w:type="dxa"/>
            <w:vAlign w:val="center"/>
          </w:tcPr>
          <w:p>
            <w:pPr>
              <w:pStyle w:val="Other|1"/>
              <w:spacing w:line="240" w:lineRule="auto"/>
              <w:ind w:firstLine="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2010108</w:t>
            </w:r>
          </w:p>
        </w:tc>
        <w:tc>
          <w:tcPr>
            <w:tcW w:w="1676" w:type="dxa"/>
            <w:vAlign w:val="center"/>
          </w:tcPr>
          <w:p>
            <w:pPr>
              <w:pStyle w:val="Other|1"/>
              <w:spacing w:line="240" w:lineRule="auto"/>
              <w:ind w:firstLine="0" w:firstLineChars="0"/>
              <w:jc w:val="center"/>
              <w:rPr>
                <w:rFonts w:ascii="宋体" w:eastAsia="宋体" w:hAnsi="宋体" w:cs="宋体" w:hint="eastAsia"/>
                <w:b w:val="0"/>
                <w:bCs w:val="0"/>
                <w:vertAlign w:val="baseline"/>
                <w:lang w:eastAsia="zh-CN"/>
              </w:rPr>
            </w:pPr>
          </w:p>
        </w:tc>
        <w:tc>
          <w:tcPr>
            <w:tcW w:w="1662" w:type="dxa"/>
            <w:vAlign w:val="center"/>
          </w:tcPr>
          <w:p>
            <w:pPr>
              <w:pStyle w:val="Other|1"/>
              <w:spacing w:line="240" w:lineRule="auto"/>
              <w:ind w:firstLine="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代表工作</w:t>
            </w:r>
          </w:p>
        </w:tc>
        <w:tc>
          <w:tcPr>
            <w:tcW w:w="1717" w:type="dxa"/>
            <w:vAlign w:val="center"/>
          </w:tcPr>
          <w:p>
            <w:pPr>
              <w:pStyle w:val="Other|1"/>
              <w:spacing w:line="240" w:lineRule="auto"/>
              <w:ind w:left="1060" w:firstLine="0" w:leftChars="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bidi="en-US"/>
              </w:rPr>
              <w:t xml:space="preserve">110.40</w:t>
            </w:r>
          </w:p>
        </w:tc>
        <w:tc>
          <w:tcPr>
            <w:tcW w:w="1879" w:type="dxa"/>
            <w:vAlign w:val="center"/>
          </w:tcPr>
          <w:p>
            <w:pPr>
              <w:pStyle w:val="Other|1"/>
              <w:spacing w:line="240" w:lineRule="auto"/>
              <w:ind w:left="1320" w:firstLine="0" w:leftChars="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1729" w:type="dxa"/>
            <w:vAlign w:val="center"/>
          </w:tcPr>
          <w:p>
            <w:pPr>
              <w:pStyle w:val="Other|1"/>
              <w:spacing w:line="240" w:lineRule="auto"/>
              <w:ind w:left="1120" w:firstLine="0" w:leftChars="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bidi="en-US"/>
              </w:rPr>
              <w:t xml:space="preserve">0.00</w:t>
            </w:r>
          </w:p>
        </w:tc>
        <w:tc>
          <w:tcPr>
            <w:tcW w:w="1790" w:type="dxa"/>
            <w:gridSpan w:val="2"/>
            <w:vAlign w:val="center"/>
          </w:tcPr>
          <w:p>
            <w:pPr>
              <w:pStyle w:val="Other|1"/>
              <w:spacing w:line="240" w:lineRule="auto"/>
              <w:ind w:left="1060" w:firstLine="0" w:leftChars="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1694" w:type="dxa"/>
            <w:vAlign w:val="center"/>
          </w:tcPr>
          <w:p>
            <w:pPr>
              <w:pStyle w:val="Other|1"/>
              <w:spacing w:line="240" w:lineRule="auto"/>
              <w:ind w:firstLine="40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bidi="en-US"/>
              </w:rPr>
              <w:t xml:space="preserve">110.40</w:t>
            </w:r>
          </w:p>
        </w:tc>
        <w:tc>
          <w:tcPr>
            <w:tcW w:w="1695" w:type="dxa"/>
            <w:vAlign w:val="center"/>
          </w:tcPr>
          <w:p>
            <w:pPr>
              <w:pStyle w:val="Other|1"/>
              <w:spacing w:line="240" w:lineRule="auto"/>
              <w:ind w:firstLine="40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715" w:type="dxa"/>
            <w:vAlign w:val="center"/>
          </w:tcPr>
          <w:p>
            <w:pPr>
              <w:pStyle w:val="Other|1"/>
              <w:spacing w:line="240" w:lineRule="auto"/>
              <w:ind w:firstLine="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2010199</w:t>
            </w:r>
          </w:p>
        </w:tc>
        <w:tc>
          <w:tcPr>
            <w:tcW w:w="1676" w:type="dxa"/>
            <w:vAlign w:val="center"/>
          </w:tcPr>
          <w:p>
            <w:pPr>
              <w:pStyle w:val="Other|1"/>
              <w:spacing w:line="240" w:lineRule="auto"/>
              <w:ind w:firstLine="0" w:firstLineChars="0"/>
              <w:jc w:val="center"/>
              <w:rPr>
                <w:rFonts w:ascii="宋体" w:eastAsia="宋体" w:hAnsi="宋体" w:cs="宋体" w:hint="eastAsia"/>
                <w:b w:val="0"/>
                <w:bCs w:val="0"/>
                <w:vertAlign w:val="baseline"/>
                <w:lang w:eastAsia="zh-CN"/>
              </w:rPr>
            </w:pPr>
          </w:p>
        </w:tc>
        <w:tc>
          <w:tcPr>
            <w:tcW w:w="1662" w:type="dxa"/>
            <w:vAlign w:val="center"/>
          </w:tcPr>
          <w:p>
            <w:pPr>
              <w:pStyle w:val="Other|1"/>
              <w:spacing w:line="240" w:lineRule="auto"/>
              <w:ind w:firstLine="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其他人大事务支出</w:t>
            </w:r>
          </w:p>
        </w:tc>
        <w:tc>
          <w:tcPr>
            <w:tcW w:w="1717" w:type="dxa"/>
            <w:vAlign w:val="center"/>
          </w:tcPr>
          <w:p>
            <w:pPr>
              <w:pStyle w:val="Other|1"/>
              <w:spacing w:line="240" w:lineRule="auto"/>
              <w:ind w:left="1060" w:firstLine="0" w:leftChars="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bidi="en-US"/>
              </w:rPr>
              <w:t xml:space="preserve">41.00</w:t>
            </w:r>
          </w:p>
        </w:tc>
        <w:tc>
          <w:tcPr>
            <w:tcW w:w="1879" w:type="dxa"/>
            <w:vAlign w:val="center"/>
          </w:tcPr>
          <w:p>
            <w:pPr>
              <w:pStyle w:val="Other|1"/>
              <w:spacing w:line="240" w:lineRule="auto"/>
              <w:ind w:left="1320" w:firstLine="0" w:leftChars="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1729" w:type="dxa"/>
            <w:vAlign w:val="center"/>
          </w:tcPr>
          <w:p>
            <w:pPr>
              <w:pStyle w:val="Other|1"/>
              <w:spacing w:line="240" w:lineRule="auto"/>
              <w:ind w:left="1120" w:firstLine="0" w:leftChars="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bidi="en-US"/>
              </w:rPr>
              <w:t xml:space="preserve">0.00</w:t>
            </w:r>
          </w:p>
        </w:tc>
        <w:tc>
          <w:tcPr>
            <w:tcW w:w="1790" w:type="dxa"/>
            <w:gridSpan w:val="2"/>
            <w:vAlign w:val="center"/>
          </w:tcPr>
          <w:p>
            <w:pPr>
              <w:pStyle w:val="Other|1"/>
              <w:spacing w:line="240" w:lineRule="auto"/>
              <w:ind w:left="1060" w:firstLine="0" w:leftChars="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1694" w:type="dxa"/>
            <w:vAlign w:val="center"/>
          </w:tcPr>
          <w:p>
            <w:pPr>
              <w:pStyle w:val="Other|1"/>
              <w:spacing w:line="240" w:lineRule="auto"/>
              <w:ind w:firstLine="40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bidi="en-US"/>
              </w:rPr>
              <w:t xml:space="preserve">41.00</w:t>
            </w:r>
          </w:p>
        </w:tc>
        <w:tc>
          <w:tcPr>
            <w:tcW w:w="1695" w:type="dxa"/>
            <w:vAlign w:val="center"/>
          </w:tcPr>
          <w:p>
            <w:pPr>
              <w:pStyle w:val="Other|1"/>
              <w:spacing w:line="240" w:lineRule="auto"/>
              <w:ind w:firstLine="40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715" w:type="dxa"/>
            <w:vAlign w:val="center"/>
          </w:tcPr>
          <w:p>
            <w:pPr>
              <w:pStyle w:val="Other|1"/>
              <w:spacing w:line="240" w:lineRule="auto"/>
              <w:ind w:firstLine="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2010201</w:t>
            </w:r>
          </w:p>
        </w:tc>
        <w:tc>
          <w:tcPr>
            <w:tcW w:w="1676" w:type="dxa"/>
            <w:vAlign w:val="center"/>
          </w:tcPr>
          <w:p>
            <w:pPr>
              <w:pStyle w:val="Other|1"/>
              <w:spacing w:line="240" w:lineRule="auto"/>
              <w:ind w:firstLine="0" w:firstLineChars="0"/>
              <w:jc w:val="center"/>
              <w:rPr>
                <w:rFonts w:ascii="宋体" w:eastAsia="宋体" w:hAnsi="宋体" w:cs="宋体" w:hint="eastAsia"/>
                <w:b w:val="0"/>
                <w:bCs w:val="0"/>
                <w:vertAlign w:val="baseline"/>
                <w:lang w:eastAsia="zh-CN"/>
              </w:rPr>
            </w:pPr>
          </w:p>
        </w:tc>
        <w:tc>
          <w:tcPr>
            <w:tcW w:w="1662" w:type="dxa"/>
            <w:vAlign w:val="center"/>
          </w:tcPr>
          <w:p>
            <w:pPr>
              <w:pStyle w:val="Other|1"/>
              <w:spacing w:line="240" w:lineRule="auto"/>
              <w:ind w:firstLine="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行政运行</w:t>
            </w:r>
          </w:p>
        </w:tc>
        <w:tc>
          <w:tcPr>
            <w:tcW w:w="1717" w:type="dxa"/>
            <w:vAlign w:val="center"/>
          </w:tcPr>
          <w:p>
            <w:pPr>
              <w:pStyle w:val="Other|1"/>
              <w:spacing w:line="240" w:lineRule="auto"/>
              <w:ind w:left="1060" w:firstLine="0" w:leftChars="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bidi="en-US"/>
              </w:rPr>
              <w:t xml:space="preserve">3.50</w:t>
            </w:r>
          </w:p>
        </w:tc>
        <w:tc>
          <w:tcPr>
            <w:tcW w:w="1879" w:type="dxa"/>
            <w:vAlign w:val="center"/>
          </w:tcPr>
          <w:p>
            <w:pPr>
              <w:pStyle w:val="Other|1"/>
              <w:spacing w:line="240" w:lineRule="auto"/>
              <w:ind w:left="1320" w:firstLine="0" w:leftChars="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1729" w:type="dxa"/>
            <w:vAlign w:val="center"/>
          </w:tcPr>
          <w:p>
            <w:pPr>
              <w:pStyle w:val="Other|1"/>
              <w:spacing w:line="240" w:lineRule="auto"/>
              <w:ind w:left="1120" w:firstLine="0" w:leftChars="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bidi="en-US"/>
              </w:rPr>
              <w:t xml:space="preserve">0.00</w:t>
            </w:r>
          </w:p>
        </w:tc>
        <w:tc>
          <w:tcPr>
            <w:tcW w:w="1790" w:type="dxa"/>
            <w:gridSpan w:val="2"/>
            <w:vAlign w:val="center"/>
          </w:tcPr>
          <w:p>
            <w:pPr>
              <w:pStyle w:val="Other|1"/>
              <w:spacing w:line="240" w:lineRule="auto"/>
              <w:ind w:left="1060" w:firstLine="0" w:leftChars="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1694" w:type="dxa"/>
            <w:vAlign w:val="center"/>
          </w:tcPr>
          <w:p>
            <w:pPr>
              <w:pStyle w:val="Other|1"/>
              <w:spacing w:line="240" w:lineRule="auto"/>
              <w:ind w:firstLine="40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bidi="en-US"/>
              </w:rPr>
              <w:t xml:space="preserve">3.50</w:t>
            </w:r>
          </w:p>
        </w:tc>
        <w:tc>
          <w:tcPr>
            <w:tcW w:w="1695" w:type="dxa"/>
            <w:vAlign w:val="center"/>
          </w:tcPr>
          <w:p>
            <w:pPr>
              <w:pStyle w:val="Other|1"/>
              <w:spacing w:line="240" w:lineRule="auto"/>
              <w:ind w:firstLine="40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715" w:type="dxa"/>
            <w:vAlign w:val="center"/>
          </w:tcPr>
          <w:p>
            <w:pPr>
              <w:pStyle w:val="Other|1"/>
              <w:spacing w:line="240" w:lineRule="auto"/>
              <w:ind w:firstLine="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2012999</w:t>
            </w:r>
          </w:p>
        </w:tc>
        <w:tc>
          <w:tcPr>
            <w:tcW w:w="1676" w:type="dxa"/>
            <w:vAlign w:val="center"/>
          </w:tcPr>
          <w:p>
            <w:pPr>
              <w:pStyle w:val="Other|1"/>
              <w:spacing w:line="240" w:lineRule="auto"/>
              <w:ind w:firstLine="0" w:firstLineChars="0"/>
              <w:jc w:val="center"/>
              <w:rPr>
                <w:rFonts w:ascii="宋体" w:eastAsia="宋体" w:hAnsi="宋体" w:cs="宋体" w:hint="eastAsia"/>
                <w:b w:val="0"/>
                <w:bCs w:val="0"/>
                <w:vertAlign w:val="baseline"/>
                <w:lang w:eastAsia="zh-CN"/>
              </w:rPr>
            </w:pPr>
          </w:p>
        </w:tc>
        <w:tc>
          <w:tcPr>
            <w:tcW w:w="1662" w:type="dxa"/>
            <w:vAlign w:val="center"/>
          </w:tcPr>
          <w:p>
            <w:pPr>
              <w:pStyle w:val="Other|1"/>
              <w:spacing w:line="240" w:lineRule="auto"/>
              <w:ind w:firstLine="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其他群众团体事务支出</w:t>
            </w:r>
          </w:p>
        </w:tc>
        <w:tc>
          <w:tcPr>
            <w:tcW w:w="1717" w:type="dxa"/>
            <w:vAlign w:val="center"/>
          </w:tcPr>
          <w:p>
            <w:pPr>
              <w:pStyle w:val="Other|1"/>
              <w:spacing w:line="240" w:lineRule="auto"/>
              <w:ind w:left="1060" w:firstLine="0" w:leftChars="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bidi="en-US"/>
              </w:rPr>
              <w:t xml:space="preserve">3.62</w:t>
            </w:r>
          </w:p>
        </w:tc>
        <w:tc>
          <w:tcPr>
            <w:tcW w:w="1879" w:type="dxa"/>
            <w:vAlign w:val="center"/>
          </w:tcPr>
          <w:p>
            <w:pPr>
              <w:pStyle w:val="Other|1"/>
              <w:spacing w:line="240" w:lineRule="auto"/>
              <w:ind w:left="1320" w:firstLine="0" w:leftChars="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3.62</w:t>
            </w:r>
          </w:p>
        </w:tc>
        <w:tc>
          <w:tcPr>
            <w:tcW w:w="1729" w:type="dxa"/>
            <w:vAlign w:val="center"/>
          </w:tcPr>
          <w:p>
            <w:pPr>
              <w:pStyle w:val="Other|1"/>
              <w:spacing w:line="240" w:lineRule="auto"/>
              <w:ind w:left="1120" w:firstLine="0" w:leftChars="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bidi="en-US"/>
              </w:rPr>
              <w:t xml:space="preserve">0.00</w:t>
            </w:r>
          </w:p>
        </w:tc>
        <w:tc>
          <w:tcPr>
            <w:tcW w:w="1790" w:type="dxa"/>
            <w:gridSpan w:val="2"/>
            <w:vAlign w:val="center"/>
          </w:tcPr>
          <w:p>
            <w:pPr>
              <w:pStyle w:val="Other|1"/>
              <w:spacing w:line="240" w:lineRule="auto"/>
              <w:ind w:left="1060" w:firstLine="0" w:leftChars="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3.62</w:t>
            </w:r>
          </w:p>
        </w:tc>
        <w:tc>
          <w:tcPr>
            <w:tcW w:w="1694" w:type="dxa"/>
            <w:vAlign w:val="center"/>
          </w:tcPr>
          <w:p>
            <w:pPr>
              <w:pStyle w:val="Other|1"/>
              <w:spacing w:line="240" w:lineRule="auto"/>
              <w:ind w:firstLine="40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bidi="en-US"/>
              </w:rPr>
              <w:t xml:space="preserve">0.00</w:t>
            </w:r>
          </w:p>
        </w:tc>
        <w:tc>
          <w:tcPr>
            <w:tcW w:w="1695" w:type="dxa"/>
            <w:vAlign w:val="center"/>
          </w:tcPr>
          <w:p>
            <w:pPr>
              <w:pStyle w:val="Other|1"/>
              <w:spacing w:line="240" w:lineRule="auto"/>
              <w:ind w:firstLine="40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715" w:type="dxa"/>
            <w:vAlign w:val="center"/>
          </w:tcPr>
          <w:p>
            <w:pPr>
              <w:pStyle w:val="Other|1"/>
              <w:spacing w:line="240" w:lineRule="auto"/>
              <w:ind w:firstLine="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2080505</w:t>
            </w:r>
          </w:p>
        </w:tc>
        <w:tc>
          <w:tcPr>
            <w:tcW w:w="1676" w:type="dxa"/>
            <w:vAlign w:val="center"/>
          </w:tcPr>
          <w:p>
            <w:pPr>
              <w:pStyle w:val="Other|1"/>
              <w:spacing w:line="240" w:lineRule="auto"/>
              <w:ind w:firstLine="0" w:firstLineChars="0"/>
              <w:jc w:val="center"/>
              <w:rPr>
                <w:rFonts w:ascii="宋体" w:eastAsia="宋体" w:hAnsi="宋体" w:cs="宋体" w:hint="eastAsia"/>
                <w:b w:val="0"/>
                <w:bCs w:val="0"/>
                <w:vertAlign w:val="baseline"/>
                <w:lang w:eastAsia="zh-CN"/>
              </w:rPr>
            </w:pPr>
          </w:p>
        </w:tc>
        <w:tc>
          <w:tcPr>
            <w:tcW w:w="1662" w:type="dxa"/>
            <w:vAlign w:val="center"/>
          </w:tcPr>
          <w:p>
            <w:pPr>
              <w:pStyle w:val="Other|1"/>
              <w:spacing w:line="240" w:lineRule="auto"/>
              <w:ind w:firstLine="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机关事业单位基本养老保险缴费支出</w:t>
            </w:r>
          </w:p>
        </w:tc>
        <w:tc>
          <w:tcPr>
            <w:tcW w:w="1717" w:type="dxa"/>
            <w:vAlign w:val="center"/>
          </w:tcPr>
          <w:p>
            <w:pPr>
              <w:pStyle w:val="Other|1"/>
              <w:spacing w:line="240" w:lineRule="auto"/>
              <w:ind w:left="1060" w:firstLine="0" w:leftChars="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bidi="en-US"/>
              </w:rPr>
              <w:t xml:space="preserve">39.69</w:t>
            </w:r>
          </w:p>
        </w:tc>
        <w:tc>
          <w:tcPr>
            <w:tcW w:w="1879" w:type="dxa"/>
            <w:vAlign w:val="center"/>
          </w:tcPr>
          <w:p>
            <w:pPr>
              <w:pStyle w:val="Other|1"/>
              <w:spacing w:line="240" w:lineRule="auto"/>
              <w:ind w:left="1320" w:firstLine="0" w:leftChars="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39.69</w:t>
            </w:r>
          </w:p>
        </w:tc>
        <w:tc>
          <w:tcPr>
            <w:tcW w:w="1729" w:type="dxa"/>
            <w:vAlign w:val="center"/>
          </w:tcPr>
          <w:p>
            <w:pPr>
              <w:pStyle w:val="Other|1"/>
              <w:spacing w:line="240" w:lineRule="auto"/>
              <w:ind w:left="1120" w:firstLine="0" w:leftChars="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bidi="en-US"/>
              </w:rPr>
              <w:t xml:space="preserve">39.69</w:t>
            </w:r>
          </w:p>
        </w:tc>
        <w:tc>
          <w:tcPr>
            <w:tcW w:w="1790" w:type="dxa"/>
            <w:gridSpan w:val="2"/>
            <w:vAlign w:val="center"/>
          </w:tcPr>
          <w:p>
            <w:pPr>
              <w:pStyle w:val="Other|1"/>
              <w:spacing w:line="240" w:lineRule="auto"/>
              <w:ind w:left="1060" w:firstLine="0" w:leftChars="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1694" w:type="dxa"/>
            <w:vAlign w:val="center"/>
          </w:tcPr>
          <w:p>
            <w:pPr>
              <w:pStyle w:val="Other|1"/>
              <w:spacing w:line="240" w:lineRule="auto"/>
              <w:ind w:firstLine="40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bidi="en-US"/>
              </w:rPr>
              <w:t xml:space="preserve">0.00</w:t>
            </w:r>
          </w:p>
        </w:tc>
        <w:tc>
          <w:tcPr>
            <w:tcW w:w="1695" w:type="dxa"/>
            <w:vAlign w:val="center"/>
          </w:tcPr>
          <w:p>
            <w:pPr>
              <w:pStyle w:val="Other|1"/>
              <w:spacing w:line="240" w:lineRule="auto"/>
              <w:ind w:firstLine="40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715" w:type="dxa"/>
            <w:vAlign w:val="center"/>
          </w:tcPr>
          <w:p>
            <w:pPr>
              <w:pStyle w:val="Other|1"/>
              <w:spacing w:line="240" w:lineRule="auto"/>
              <w:ind w:firstLine="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2210201</w:t>
            </w:r>
          </w:p>
        </w:tc>
        <w:tc>
          <w:tcPr>
            <w:tcW w:w="1676" w:type="dxa"/>
            <w:vAlign w:val="center"/>
          </w:tcPr>
          <w:p>
            <w:pPr>
              <w:pStyle w:val="Other|1"/>
              <w:spacing w:line="240" w:lineRule="auto"/>
              <w:ind w:firstLine="0" w:firstLineChars="0"/>
              <w:jc w:val="center"/>
              <w:rPr>
                <w:rFonts w:ascii="宋体" w:eastAsia="宋体" w:hAnsi="宋体" w:cs="宋体" w:hint="eastAsia"/>
                <w:b w:val="0"/>
                <w:bCs w:val="0"/>
                <w:vertAlign w:val="baseline"/>
                <w:lang w:eastAsia="zh-CN"/>
              </w:rPr>
            </w:pPr>
          </w:p>
        </w:tc>
        <w:tc>
          <w:tcPr>
            <w:tcW w:w="1662" w:type="dxa"/>
            <w:vAlign w:val="center"/>
          </w:tcPr>
          <w:p>
            <w:pPr>
              <w:pStyle w:val="Other|1"/>
              <w:spacing w:line="240" w:lineRule="auto"/>
              <w:ind w:firstLine="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住房公积金</w:t>
            </w:r>
          </w:p>
        </w:tc>
        <w:tc>
          <w:tcPr>
            <w:tcW w:w="1717" w:type="dxa"/>
            <w:vAlign w:val="center"/>
          </w:tcPr>
          <w:p>
            <w:pPr>
              <w:pStyle w:val="Other|1"/>
              <w:spacing w:line="240" w:lineRule="auto"/>
              <w:ind w:left="1060" w:firstLine="0" w:leftChars="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bidi="en-US"/>
              </w:rPr>
              <w:t xml:space="preserve">34.20</w:t>
            </w:r>
          </w:p>
        </w:tc>
        <w:tc>
          <w:tcPr>
            <w:tcW w:w="1879" w:type="dxa"/>
            <w:vAlign w:val="center"/>
          </w:tcPr>
          <w:p>
            <w:pPr>
              <w:pStyle w:val="Other|1"/>
              <w:spacing w:line="240" w:lineRule="auto"/>
              <w:ind w:left="1320" w:firstLine="0" w:leftChars="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34.20</w:t>
            </w:r>
          </w:p>
        </w:tc>
        <w:tc>
          <w:tcPr>
            <w:tcW w:w="1729" w:type="dxa"/>
            <w:vAlign w:val="center"/>
          </w:tcPr>
          <w:p>
            <w:pPr>
              <w:pStyle w:val="Other|1"/>
              <w:spacing w:line="240" w:lineRule="auto"/>
              <w:ind w:left="1120" w:firstLine="0" w:leftChars="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bidi="en-US"/>
              </w:rPr>
              <w:t xml:space="preserve">34.20</w:t>
            </w:r>
          </w:p>
        </w:tc>
        <w:tc>
          <w:tcPr>
            <w:tcW w:w="1790" w:type="dxa"/>
            <w:gridSpan w:val="2"/>
            <w:vAlign w:val="center"/>
          </w:tcPr>
          <w:p>
            <w:pPr>
              <w:pStyle w:val="Other|1"/>
              <w:spacing w:line="240" w:lineRule="auto"/>
              <w:ind w:left="1060" w:firstLine="0" w:leftChars="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1694" w:type="dxa"/>
            <w:vAlign w:val="center"/>
          </w:tcPr>
          <w:p>
            <w:pPr>
              <w:pStyle w:val="Other|1"/>
              <w:spacing w:line="240" w:lineRule="auto"/>
              <w:ind w:firstLine="40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bidi="en-US"/>
              </w:rPr>
              <w:t xml:space="preserve">0.00</w:t>
            </w:r>
          </w:p>
        </w:tc>
        <w:tc>
          <w:tcPr>
            <w:tcW w:w="1695" w:type="dxa"/>
            <w:vAlign w:val="center"/>
          </w:tcPr>
          <w:p>
            <w:pPr>
              <w:pStyle w:val="Other|1"/>
              <w:spacing w:line="240" w:lineRule="auto"/>
              <w:ind w:firstLine="40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5557" w:type="dxa"/>
            <w:gridSpan w:val="10"/>
            <w:tcBorders>
              <w:left w:val="nil"/>
              <w:bottom w:val="nil"/>
              <w:right w:val="nil"/>
            </w:tcBorders>
          </w:tcPr>
          <w:p>
            <w:pPr>
              <w:jc w:val="left"/>
              <w:rPr>
                <w:rFonts w:hint="eastAsia"/>
                <w:sz w:val="17"/>
                <w:szCs w:val="17"/>
                <w:vertAlign w:val="baseline"/>
                <w:lang w:eastAsia="zh-CN"/>
              </w:rPr>
            </w:pPr>
            <w:r>
              <w:rPr>
                <w:rFonts w:ascii="宋体" w:eastAsia="宋体" w:hAnsi="宋体" w:cs="宋体" w:hint="eastAsia"/>
                <w:sz w:val="17"/>
                <w:szCs w:val="17"/>
              </w:rPr>
              <w:t xml:space="preserve">注：本报表金额单位转换时可能存在四舍五入尾数误差。</w:t>
            </w:r>
          </w:p>
        </w:tc>
      </w:tr>
    </w:tbl>
    <w:p>
      <w:pPr>
        <w:jc w:val="left"/>
        <w:rPr>
          <w:rFonts w:hint="eastAsia"/>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pStyle w:val="Heading#2|1"/>
        <w:keepNext/>
        <w:keepLines/>
        <w:spacing w:after="240"/>
        <w:jc w:val="center"/>
      </w:pPr>
      <w:bookmarkStart w:id="25" w:name="bookmark57"/>
      <w:bookmarkStart w:id="26" w:name="bookmark58"/>
      <w:bookmarkStart w:id="27" w:name="bookmark56"/>
      <w:r>
        <w:t xml:space="preserve">一般公共预算基本支出情况表</w:t>
      </w:r>
      <w:bookmarkEnd w:id="25"/>
      <w:bookmarkEnd w:id="26"/>
      <w:bookmarkEnd w:id="27"/>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firstRow="0" w:lastRow="0" w:firstColumn="0" w:lastColumn="0" w:noHBand="1" w:noVBand="1"/>
      </w:tblPr>
      <w:tblGrid>
        <w:gridCol w:w="3110"/>
        <w:gridCol w:w="3111"/>
        <w:gridCol w:w="3111"/>
        <w:gridCol w:w="3112"/>
        <w:gridCol w:w="3113"/>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blHeader/>
        </w:trPr>
        <w:tc>
          <w:tcPr>
            <w:tcW w:w="12444" w:type="dxa"/>
            <w:gridSpan w:val="4"/>
            <w:tcBorders>
              <w:top w:val="nil"/>
              <w:left w:val="nil"/>
              <w:right w:val="nil"/>
            </w:tcBorders>
          </w:tcPr>
          <w:p>
            <w:pPr>
              <w:jc w:val="left"/>
              <w:rPr>
                <w:rFonts w:ascii="宋体" w:eastAsia="宋体" w:hAnsi="宋体" w:cs="宋体" w:hint="eastAsia"/>
                <w:sz w:val="16"/>
                <w:szCs w:val="16"/>
                <w:vertAlign w:val="baseline"/>
                <w:lang w:eastAsia="zh-CN"/>
              </w:rPr>
            </w:pPr>
            <w:r>
              <w:rPr>
                <w:rFonts w:ascii="宋体" w:eastAsia="宋体" w:hAnsi="宋体" w:cs="宋体" w:hint="eastAsia"/>
                <w:sz w:val="16"/>
                <w:szCs w:val="16"/>
                <w:vertAlign w:val="baseline"/>
                <w:lang w:eastAsia="zh-CN"/>
              </w:rPr>
              <w:t xml:space="preserve">单位名称：</w:t>
            </w:r>
            <w:r>
              <w:rPr>
                <w:rFonts w:ascii="宋体" w:eastAsia="宋体" w:hAnsi="宋体" w:cs="宋体"/>
                <w:sz w:val="16"/>
                <w:u w:color="auto"/>
              </w:rPr>
              <w:t xml:space="preserve">环江毛南族自治县人民代表大会常务委员会</w:t>
            </w:r>
          </w:p>
        </w:tc>
        <w:tc>
          <w:tcPr>
            <w:tcW w:w="3113" w:type="dxa"/>
            <w:tcBorders>
              <w:top w:val="nil"/>
              <w:left w:val="nil"/>
              <w:right w:val="nil"/>
            </w:tcBorders>
          </w:tcPr>
          <w:p>
            <w:pPr>
              <w:ind w:firstLine="1760" w:firstLineChars="1100"/>
              <w:jc w:val="left"/>
              <w:rPr>
                <w:rFonts w:ascii="宋体" w:eastAsia="宋体" w:hAnsi="宋体" w:cs="宋体" w:hint="eastAsia"/>
                <w:sz w:val="16"/>
                <w:szCs w:val="16"/>
                <w:vertAlign w:val="baseline"/>
                <w:lang w:eastAsia="zh-CN"/>
              </w:rPr>
            </w:pPr>
            <w:r>
              <w:rPr>
                <w:rFonts w:ascii="宋体" w:eastAsia="宋体" w:hAnsi="宋体" w:cs="宋体" w:hint="eastAsia"/>
                <w:sz w:val="16"/>
                <w:szCs w:val="16"/>
                <w:vertAlign w:val="baseline"/>
                <w:lang w:eastAsia="zh-CN"/>
              </w:rPr>
              <w:t xml:space="preserve">单位：万元</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435"/>
          <w:tblHeader/>
        </w:trPr>
        <w:tc>
          <w:tcPr>
            <w:tcW w:w="6221" w:type="dxa"/>
            <w:gridSpan w:val="2"/>
          </w:tcPr>
          <w:p>
            <w:pPr>
              <w:jc w:val="left"/>
              <w:rPr>
                <w:vertAlign w:val="baseline"/>
                <w:lang w:eastAsia="zh-CN"/>
              </w:rPr>
            </w:pPr>
            <w:r>
              <w:rPr>
                <w:sz w:val="17"/>
                <w:szCs w:val="17"/>
              </w:rPr>
              <w:t xml:space="preserve">部门预算支出经济分类科目</w:t>
            </w:r>
          </w:p>
        </w:tc>
        <w:tc>
          <w:tcPr>
            <w:tcW w:w="9336" w:type="dxa"/>
            <w:gridSpan w:val="3"/>
          </w:tcPr>
          <w:p>
            <w:pPr>
              <w:jc w:val="left"/>
              <w:rPr>
                <w:vertAlign w:val="baseline"/>
                <w:lang w:eastAsia="zh-CN"/>
              </w:rPr>
            </w:pPr>
            <w:r>
              <w:rPr>
                <w:sz w:val="17"/>
                <w:szCs w:val="17"/>
              </w:rPr>
              <w:t xml:space="preserve">本年一般公共预算基本支出</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420"/>
          <w:tblHeader/>
        </w:trPr>
        <w:tc>
          <w:tcPr>
            <w:tcW w:w="3110" w:type="dxa"/>
            <w:vAlign w:val="center"/>
          </w:tcPr>
          <w:p>
            <w:pPr>
              <w:pStyle w:val="Other|1"/>
              <w:spacing w:line="240" w:lineRule="auto"/>
              <w:ind w:firstLine="0" w:firstLineChars="0"/>
              <w:jc w:val="center"/>
              <w:rPr>
                <w:vertAlign w:val="baseline"/>
                <w:lang w:eastAsia="zh-CN"/>
              </w:rPr>
            </w:pPr>
            <w:r>
              <w:rPr>
                <w:sz w:val="17"/>
                <w:szCs w:val="17"/>
              </w:rPr>
              <w:t xml:space="preserve">科目编码</w:t>
            </w:r>
          </w:p>
        </w:tc>
        <w:tc>
          <w:tcPr>
            <w:tcW w:w="3111" w:type="dxa"/>
            <w:vAlign w:val="center"/>
          </w:tcPr>
          <w:p>
            <w:pPr>
              <w:pStyle w:val="Other|1"/>
              <w:spacing w:line="240" w:lineRule="auto"/>
              <w:ind w:firstLine="0" w:firstLineChars="0"/>
              <w:jc w:val="center"/>
              <w:rPr>
                <w:vertAlign w:val="baseline"/>
                <w:lang w:eastAsia="zh-CN"/>
              </w:rPr>
            </w:pPr>
            <w:r>
              <w:rPr>
                <w:sz w:val="17"/>
                <w:szCs w:val="17"/>
              </w:rPr>
              <w:t xml:space="preserve">科目名称</w:t>
            </w:r>
          </w:p>
        </w:tc>
        <w:tc>
          <w:tcPr>
            <w:tcW w:w="3111" w:type="dxa"/>
            <w:vAlign w:val="center"/>
          </w:tcPr>
          <w:p>
            <w:pPr>
              <w:pStyle w:val="Other|1"/>
              <w:spacing w:line="240" w:lineRule="auto"/>
              <w:ind w:firstLine="0" w:firstLineChars="0"/>
              <w:jc w:val="center"/>
              <w:rPr>
                <w:vertAlign w:val="baseline"/>
                <w:lang w:eastAsia="zh-CN"/>
              </w:rPr>
            </w:pPr>
            <w:r>
              <w:rPr>
                <w:sz w:val="17"/>
                <w:szCs w:val="17"/>
              </w:rPr>
              <w:t xml:space="preserve">合计</w:t>
            </w:r>
          </w:p>
        </w:tc>
        <w:tc>
          <w:tcPr>
            <w:tcW w:w="3112" w:type="dxa"/>
            <w:vAlign w:val="center"/>
          </w:tcPr>
          <w:p>
            <w:pPr>
              <w:pStyle w:val="Other|1"/>
              <w:spacing w:line="240" w:lineRule="auto"/>
              <w:ind w:firstLine="0" w:firstLineChars="0"/>
              <w:jc w:val="center"/>
              <w:rPr>
                <w:vertAlign w:val="baseline"/>
                <w:lang w:eastAsia="zh-CN"/>
              </w:rPr>
            </w:pPr>
            <w:r>
              <w:rPr>
                <w:sz w:val="17"/>
                <w:szCs w:val="17"/>
              </w:rPr>
              <w:t xml:space="preserve">人员经费</w:t>
            </w:r>
          </w:p>
        </w:tc>
        <w:tc>
          <w:tcPr>
            <w:tcW w:w="3113" w:type="dxa"/>
            <w:vAlign w:val="center"/>
          </w:tcPr>
          <w:p>
            <w:pPr>
              <w:pStyle w:val="Other|1"/>
              <w:spacing w:line="240" w:lineRule="auto"/>
              <w:ind w:firstLine="0" w:firstLineChars="0"/>
              <w:jc w:val="center"/>
              <w:rPr>
                <w:vertAlign w:val="baseline"/>
                <w:lang w:eastAsia="zh-CN"/>
              </w:rPr>
            </w:pPr>
            <w:r>
              <w:rPr>
                <w:sz w:val="17"/>
                <w:szCs w:val="17"/>
              </w:rPr>
              <w:t xml:space="preserve">公用经费</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cs="宋体" w:hint="eastAsia"/>
                <w:b w:val="0"/>
                <w:bCs w:val="0"/>
                <w:vertAlign w:val="baseline"/>
                <w:lang w:eastAsia="zh-CN"/>
              </w:rPr>
            </w:pPr>
          </w:p>
        </w:tc>
        <w:tc>
          <w:tcPr>
            <w:tcW w:w="3111" w:type="dxa"/>
            <w:vAlign w:val="center"/>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合计</w:t>
            </w:r>
          </w:p>
        </w:tc>
        <w:tc>
          <w:tcPr>
            <w:tcW w:w="3111"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445.44</w:t>
            </w:r>
          </w:p>
        </w:tc>
        <w:tc>
          <w:tcPr>
            <w:tcW w:w="3112"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410.53</w:t>
            </w:r>
          </w:p>
        </w:tc>
        <w:tc>
          <w:tcPr>
            <w:tcW w:w="3113"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34.91</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301</w:t>
            </w:r>
          </w:p>
        </w:tc>
        <w:tc>
          <w:tcPr>
            <w:tcW w:w="3111" w:type="dxa"/>
            <w:vAlign w:val="center"/>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工资福利支出</w:t>
            </w:r>
          </w:p>
        </w:tc>
        <w:tc>
          <w:tcPr>
            <w:tcW w:w="3111"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362.01</w:t>
            </w:r>
          </w:p>
        </w:tc>
        <w:tc>
          <w:tcPr>
            <w:tcW w:w="3112"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362.01</w:t>
            </w:r>
          </w:p>
        </w:tc>
        <w:tc>
          <w:tcPr>
            <w:tcW w:w="3113"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30101</w:t>
            </w:r>
          </w:p>
        </w:tc>
        <w:tc>
          <w:tcPr>
            <w:tcW w:w="3111" w:type="dxa"/>
            <w:vAlign w:val="center"/>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基本工资</w:t>
            </w:r>
          </w:p>
        </w:tc>
        <w:tc>
          <w:tcPr>
            <w:tcW w:w="3111"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109.98</w:t>
            </w:r>
          </w:p>
        </w:tc>
        <w:tc>
          <w:tcPr>
            <w:tcW w:w="3112"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109.98</w:t>
            </w:r>
          </w:p>
        </w:tc>
        <w:tc>
          <w:tcPr>
            <w:tcW w:w="3113"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30102</w:t>
            </w:r>
          </w:p>
        </w:tc>
        <w:tc>
          <w:tcPr>
            <w:tcW w:w="3111" w:type="dxa"/>
            <w:vAlign w:val="center"/>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津贴补贴</w:t>
            </w:r>
          </w:p>
        </w:tc>
        <w:tc>
          <w:tcPr>
            <w:tcW w:w="3111"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58.25</w:t>
            </w:r>
          </w:p>
        </w:tc>
        <w:tc>
          <w:tcPr>
            <w:tcW w:w="3112"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58.25</w:t>
            </w:r>
          </w:p>
        </w:tc>
        <w:tc>
          <w:tcPr>
            <w:tcW w:w="3113"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30103</w:t>
            </w:r>
          </w:p>
        </w:tc>
        <w:tc>
          <w:tcPr>
            <w:tcW w:w="3111" w:type="dxa"/>
            <w:vAlign w:val="center"/>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奖金</w:t>
            </w:r>
          </w:p>
        </w:tc>
        <w:tc>
          <w:tcPr>
            <w:tcW w:w="3111"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81.59</w:t>
            </w:r>
          </w:p>
        </w:tc>
        <w:tc>
          <w:tcPr>
            <w:tcW w:w="3112"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81.59</w:t>
            </w:r>
          </w:p>
        </w:tc>
        <w:tc>
          <w:tcPr>
            <w:tcW w:w="3113"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30107</w:t>
            </w:r>
          </w:p>
        </w:tc>
        <w:tc>
          <w:tcPr>
            <w:tcW w:w="3111" w:type="dxa"/>
            <w:vAlign w:val="center"/>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绩效工资</w:t>
            </w:r>
          </w:p>
        </w:tc>
        <w:tc>
          <w:tcPr>
            <w:tcW w:w="3111"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5.36</w:t>
            </w:r>
          </w:p>
        </w:tc>
        <w:tc>
          <w:tcPr>
            <w:tcW w:w="3112"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5.36</w:t>
            </w:r>
          </w:p>
        </w:tc>
        <w:tc>
          <w:tcPr>
            <w:tcW w:w="3113"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30108</w:t>
            </w:r>
          </w:p>
        </w:tc>
        <w:tc>
          <w:tcPr>
            <w:tcW w:w="3111" w:type="dxa"/>
            <w:vAlign w:val="center"/>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机关事业单位基本养老保险缴费</w:t>
            </w:r>
          </w:p>
        </w:tc>
        <w:tc>
          <w:tcPr>
            <w:tcW w:w="3111"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41.18</w:t>
            </w:r>
          </w:p>
        </w:tc>
        <w:tc>
          <w:tcPr>
            <w:tcW w:w="3112"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41.18</w:t>
            </w:r>
          </w:p>
        </w:tc>
        <w:tc>
          <w:tcPr>
            <w:tcW w:w="3113"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30110</w:t>
            </w:r>
          </w:p>
        </w:tc>
        <w:tc>
          <w:tcPr>
            <w:tcW w:w="3111" w:type="dxa"/>
            <w:vAlign w:val="center"/>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职工基本医疗保险缴费</w:t>
            </w:r>
          </w:p>
        </w:tc>
        <w:tc>
          <w:tcPr>
            <w:tcW w:w="3111"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16.47</w:t>
            </w:r>
          </w:p>
        </w:tc>
        <w:tc>
          <w:tcPr>
            <w:tcW w:w="3112"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16.47</w:t>
            </w:r>
          </w:p>
        </w:tc>
        <w:tc>
          <w:tcPr>
            <w:tcW w:w="3113"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30112</w:t>
            </w:r>
          </w:p>
        </w:tc>
        <w:tc>
          <w:tcPr>
            <w:tcW w:w="3111" w:type="dxa"/>
            <w:vAlign w:val="center"/>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其他社会保障缴费</w:t>
            </w:r>
          </w:p>
        </w:tc>
        <w:tc>
          <w:tcPr>
            <w:tcW w:w="3111"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0.46</w:t>
            </w:r>
          </w:p>
        </w:tc>
        <w:tc>
          <w:tcPr>
            <w:tcW w:w="3112"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0.46</w:t>
            </w:r>
          </w:p>
        </w:tc>
        <w:tc>
          <w:tcPr>
            <w:tcW w:w="3113"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30113</w:t>
            </w:r>
          </w:p>
        </w:tc>
        <w:tc>
          <w:tcPr>
            <w:tcW w:w="3111" w:type="dxa"/>
            <w:vAlign w:val="center"/>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住房公积金</w:t>
            </w:r>
          </w:p>
        </w:tc>
        <w:tc>
          <w:tcPr>
            <w:tcW w:w="3111"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35.90</w:t>
            </w:r>
          </w:p>
        </w:tc>
        <w:tc>
          <w:tcPr>
            <w:tcW w:w="3112"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35.90</w:t>
            </w:r>
          </w:p>
        </w:tc>
        <w:tc>
          <w:tcPr>
            <w:tcW w:w="3113"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30199</w:t>
            </w:r>
          </w:p>
        </w:tc>
        <w:tc>
          <w:tcPr>
            <w:tcW w:w="3111" w:type="dxa"/>
            <w:vAlign w:val="center"/>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其他工资福利支出</w:t>
            </w:r>
          </w:p>
        </w:tc>
        <w:tc>
          <w:tcPr>
            <w:tcW w:w="3111"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12.82</w:t>
            </w:r>
          </w:p>
        </w:tc>
        <w:tc>
          <w:tcPr>
            <w:tcW w:w="3112"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12.82</w:t>
            </w:r>
          </w:p>
        </w:tc>
        <w:tc>
          <w:tcPr>
            <w:tcW w:w="3113"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302</w:t>
            </w:r>
          </w:p>
        </w:tc>
        <w:tc>
          <w:tcPr>
            <w:tcW w:w="3111" w:type="dxa"/>
            <w:vAlign w:val="center"/>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商品和服务支出</w:t>
            </w:r>
          </w:p>
        </w:tc>
        <w:tc>
          <w:tcPr>
            <w:tcW w:w="3111"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34.91</w:t>
            </w:r>
          </w:p>
        </w:tc>
        <w:tc>
          <w:tcPr>
            <w:tcW w:w="3112"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3113"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34.91</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30201</w:t>
            </w:r>
          </w:p>
        </w:tc>
        <w:tc>
          <w:tcPr>
            <w:tcW w:w="3111" w:type="dxa"/>
            <w:vAlign w:val="center"/>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办公费</w:t>
            </w:r>
          </w:p>
        </w:tc>
        <w:tc>
          <w:tcPr>
            <w:tcW w:w="3111"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3112"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3113"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30205</w:t>
            </w:r>
          </w:p>
        </w:tc>
        <w:tc>
          <w:tcPr>
            <w:tcW w:w="3111" w:type="dxa"/>
            <w:vAlign w:val="center"/>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水费</w:t>
            </w:r>
          </w:p>
        </w:tc>
        <w:tc>
          <w:tcPr>
            <w:tcW w:w="3111"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0.35</w:t>
            </w:r>
          </w:p>
        </w:tc>
        <w:tc>
          <w:tcPr>
            <w:tcW w:w="3112"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3113"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0.35</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30206</w:t>
            </w:r>
          </w:p>
        </w:tc>
        <w:tc>
          <w:tcPr>
            <w:tcW w:w="3111" w:type="dxa"/>
            <w:vAlign w:val="center"/>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电费</w:t>
            </w:r>
          </w:p>
        </w:tc>
        <w:tc>
          <w:tcPr>
            <w:tcW w:w="3111"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3.00</w:t>
            </w:r>
          </w:p>
        </w:tc>
        <w:tc>
          <w:tcPr>
            <w:tcW w:w="3112"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3113"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30207</w:t>
            </w:r>
          </w:p>
        </w:tc>
        <w:tc>
          <w:tcPr>
            <w:tcW w:w="3111" w:type="dxa"/>
            <w:vAlign w:val="center"/>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邮电费</w:t>
            </w:r>
          </w:p>
        </w:tc>
        <w:tc>
          <w:tcPr>
            <w:tcW w:w="3111"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3.32</w:t>
            </w:r>
          </w:p>
        </w:tc>
        <w:tc>
          <w:tcPr>
            <w:tcW w:w="3112"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3113"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3.32</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30211</w:t>
            </w:r>
          </w:p>
        </w:tc>
        <w:tc>
          <w:tcPr>
            <w:tcW w:w="3111" w:type="dxa"/>
            <w:vAlign w:val="center"/>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差旅费</w:t>
            </w:r>
          </w:p>
        </w:tc>
        <w:tc>
          <w:tcPr>
            <w:tcW w:w="3111"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3.91</w:t>
            </w:r>
          </w:p>
        </w:tc>
        <w:tc>
          <w:tcPr>
            <w:tcW w:w="3112"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3113"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3.91</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30215</w:t>
            </w:r>
          </w:p>
        </w:tc>
        <w:tc>
          <w:tcPr>
            <w:tcW w:w="3111" w:type="dxa"/>
            <w:vAlign w:val="center"/>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会议费</w:t>
            </w:r>
          </w:p>
        </w:tc>
        <w:tc>
          <w:tcPr>
            <w:tcW w:w="3111"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3112"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3113"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30216</w:t>
            </w:r>
          </w:p>
        </w:tc>
        <w:tc>
          <w:tcPr>
            <w:tcW w:w="3111" w:type="dxa"/>
            <w:vAlign w:val="center"/>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培训费</w:t>
            </w:r>
          </w:p>
        </w:tc>
        <w:tc>
          <w:tcPr>
            <w:tcW w:w="3111"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3112"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3113"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30217</w:t>
            </w:r>
          </w:p>
        </w:tc>
        <w:tc>
          <w:tcPr>
            <w:tcW w:w="3111" w:type="dxa"/>
            <w:vAlign w:val="center"/>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公务接待费</w:t>
            </w:r>
          </w:p>
        </w:tc>
        <w:tc>
          <w:tcPr>
            <w:tcW w:w="3111"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3112"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3113"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30227</w:t>
            </w:r>
          </w:p>
        </w:tc>
        <w:tc>
          <w:tcPr>
            <w:tcW w:w="3111" w:type="dxa"/>
            <w:vAlign w:val="center"/>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委托业务费</w:t>
            </w:r>
          </w:p>
        </w:tc>
        <w:tc>
          <w:tcPr>
            <w:tcW w:w="3111"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3112"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3113"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30228</w:t>
            </w:r>
          </w:p>
        </w:tc>
        <w:tc>
          <w:tcPr>
            <w:tcW w:w="3111" w:type="dxa"/>
            <w:vAlign w:val="center"/>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工会经费</w:t>
            </w:r>
          </w:p>
        </w:tc>
        <w:tc>
          <w:tcPr>
            <w:tcW w:w="3111"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3.62</w:t>
            </w:r>
          </w:p>
        </w:tc>
        <w:tc>
          <w:tcPr>
            <w:tcW w:w="3112"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3113"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3.62</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30239</w:t>
            </w:r>
          </w:p>
        </w:tc>
        <w:tc>
          <w:tcPr>
            <w:tcW w:w="3111" w:type="dxa"/>
            <w:vAlign w:val="center"/>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其他交通费用</w:t>
            </w:r>
          </w:p>
        </w:tc>
        <w:tc>
          <w:tcPr>
            <w:tcW w:w="3111"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20.70</w:t>
            </w:r>
          </w:p>
        </w:tc>
        <w:tc>
          <w:tcPr>
            <w:tcW w:w="3112"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3113"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20.70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30299</w:t>
            </w:r>
          </w:p>
        </w:tc>
        <w:tc>
          <w:tcPr>
            <w:tcW w:w="3111" w:type="dxa"/>
            <w:vAlign w:val="center"/>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其他商品和服务支出</w:t>
            </w:r>
          </w:p>
        </w:tc>
        <w:tc>
          <w:tcPr>
            <w:tcW w:w="3111"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3112"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3113"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303</w:t>
            </w:r>
          </w:p>
        </w:tc>
        <w:tc>
          <w:tcPr>
            <w:tcW w:w="3111" w:type="dxa"/>
            <w:vAlign w:val="center"/>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对个人和家庭的补助</w:t>
            </w:r>
          </w:p>
        </w:tc>
        <w:tc>
          <w:tcPr>
            <w:tcW w:w="3111"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48.52</w:t>
            </w:r>
          </w:p>
        </w:tc>
        <w:tc>
          <w:tcPr>
            <w:tcW w:w="3112"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48.52</w:t>
            </w:r>
          </w:p>
        </w:tc>
        <w:tc>
          <w:tcPr>
            <w:tcW w:w="3113"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30301</w:t>
            </w:r>
          </w:p>
        </w:tc>
        <w:tc>
          <w:tcPr>
            <w:tcW w:w="3111" w:type="dxa"/>
            <w:vAlign w:val="center"/>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离休费</w:t>
            </w:r>
          </w:p>
        </w:tc>
        <w:tc>
          <w:tcPr>
            <w:tcW w:w="3111"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16.45</w:t>
            </w:r>
          </w:p>
        </w:tc>
        <w:tc>
          <w:tcPr>
            <w:tcW w:w="3112"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16.45</w:t>
            </w:r>
          </w:p>
        </w:tc>
        <w:tc>
          <w:tcPr>
            <w:tcW w:w="3113"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30302</w:t>
            </w:r>
          </w:p>
        </w:tc>
        <w:tc>
          <w:tcPr>
            <w:tcW w:w="3111" w:type="dxa"/>
            <w:vAlign w:val="center"/>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退休费</w:t>
            </w:r>
          </w:p>
        </w:tc>
        <w:tc>
          <w:tcPr>
            <w:tcW w:w="3111"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29.13</w:t>
            </w:r>
          </w:p>
        </w:tc>
        <w:tc>
          <w:tcPr>
            <w:tcW w:w="3112"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29.13</w:t>
            </w:r>
          </w:p>
        </w:tc>
        <w:tc>
          <w:tcPr>
            <w:tcW w:w="3113"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30305</w:t>
            </w:r>
          </w:p>
        </w:tc>
        <w:tc>
          <w:tcPr>
            <w:tcW w:w="3111" w:type="dxa"/>
            <w:vAlign w:val="center"/>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生活补助</w:t>
            </w:r>
          </w:p>
        </w:tc>
        <w:tc>
          <w:tcPr>
            <w:tcW w:w="3111"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2.92</w:t>
            </w:r>
          </w:p>
        </w:tc>
        <w:tc>
          <w:tcPr>
            <w:tcW w:w="3112"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2.92</w:t>
            </w:r>
          </w:p>
        </w:tc>
        <w:tc>
          <w:tcPr>
            <w:tcW w:w="3113"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30399</w:t>
            </w:r>
          </w:p>
        </w:tc>
        <w:tc>
          <w:tcPr>
            <w:tcW w:w="3111" w:type="dxa"/>
            <w:vAlign w:val="center"/>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其他对个人和家庭的补助</w:t>
            </w:r>
          </w:p>
        </w:tc>
        <w:tc>
          <w:tcPr>
            <w:tcW w:w="3111"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0.02</w:t>
            </w:r>
          </w:p>
        </w:tc>
        <w:tc>
          <w:tcPr>
            <w:tcW w:w="3112"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0.02</w:t>
            </w:r>
          </w:p>
        </w:tc>
        <w:tc>
          <w:tcPr>
            <w:tcW w:w="3113"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310</w:t>
            </w:r>
          </w:p>
        </w:tc>
        <w:tc>
          <w:tcPr>
            <w:tcW w:w="3111" w:type="dxa"/>
            <w:vAlign w:val="center"/>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资本性支出</w:t>
            </w:r>
          </w:p>
        </w:tc>
        <w:tc>
          <w:tcPr>
            <w:tcW w:w="3111"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3112"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3113"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31002</w:t>
            </w:r>
          </w:p>
        </w:tc>
        <w:tc>
          <w:tcPr>
            <w:tcW w:w="3111" w:type="dxa"/>
            <w:vAlign w:val="center"/>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办公设备购置</w:t>
            </w:r>
          </w:p>
        </w:tc>
        <w:tc>
          <w:tcPr>
            <w:tcW w:w="3111"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3112"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3113"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432"/>
          <w:tblHeader/>
        </w:trPr>
        <w:tc>
          <w:tcPr>
            <w:tcW w:w="15557" w:type="dxa"/>
            <w:gridSpan w:val="5"/>
            <w:tcBorders>
              <w:left w:val="nil"/>
              <w:bottom w:val="nil"/>
              <w:right w:val="nil"/>
            </w:tcBorders>
          </w:tcPr>
          <w:p>
            <w:pPr>
              <w:jc w:val="left"/>
              <w:rPr>
                <w:sz w:val="16"/>
                <w:szCs w:val="16"/>
              </w:rPr>
            </w:pPr>
          </w:p>
          <w:p>
            <w:pPr>
              <w:jc w:val="left"/>
              <w:rPr>
                <w:vertAlign w:val="baseline"/>
                <w:lang w:eastAsia="zh-CN"/>
              </w:rPr>
            </w:pPr>
            <w:r>
              <w:rPr>
                <w:rFonts w:ascii="宋体" w:eastAsia="宋体" w:hAnsi="宋体" w:cs="宋体" w:hint="eastAsia"/>
                <w:sz w:val="17"/>
                <w:szCs w:val="17"/>
              </w:rPr>
              <w:t xml:space="preserve">注：本报表金额单位转换时可能存在四舍五入尾数误差。</w:t>
            </w:r>
          </w:p>
        </w:tc>
      </w:tr>
    </w:tbl>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pStyle w:val="Heading#2|1"/>
        <w:keepNext/>
        <w:keepLines/>
        <w:spacing w:after="240"/>
        <w:jc w:val="center"/>
        <w:rPr>
          <w:rFonts w:hint="default"/>
          <w:sz w:val="28"/>
          <w:szCs w:val="28"/>
          <w:lang w:val="en-US" w:eastAsia="zh-CN"/>
        </w:rPr>
      </w:pPr>
      <w:bookmarkStart w:id="28" w:name="bookmark65"/>
      <w:bookmarkStart w:id="29" w:name="bookmark66"/>
      <w:bookmarkStart w:id="30" w:name="bookmark67"/>
      <w:r>
        <w:rPr>
          <w:rFonts w:hint="default"/>
          <w:sz w:val="28"/>
          <w:szCs w:val="28"/>
          <w:lang w:val="en-US" w:eastAsia="zh-CN"/>
        </w:rPr>
        <w:t xml:space="preserve">一般公共预算“三公”经费预算表</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firstRow="0" w:lastRow="0" w:firstColumn="0" w:lastColumn="0" w:noHBand="1" w:noVBand="1"/>
      </w:tblPr>
      <w:tblGrid>
        <w:gridCol w:w="2296"/>
        <w:gridCol w:w="1918"/>
        <w:gridCol w:w="1884"/>
        <w:gridCol w:w="1895"/>
        <w:gridCol w:w="1888"/>
        <w:gridCol w:w="1890"/>
        <w:gridCol w:w="1895"/>
        <w:gridCol w:w="2"/>
        <w:gridCol w:w="1889"/>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3666" w:type="dxa"/>
            <w:gridSpan w:val="7"/>
            <w:tcBorders>
              <w:top w:val="nil"/>
              <w:left w:val="nil"/>
              <w:right w:val="nil"/>
            </w:tcBorders>
          </w:tcPr>
          <w:p>
            <w:pPr>
              <w:pStyle w:val="Tablecaption|1"/>
              <w:bidi w:val="0"/>
              <w:jc w:val="both"/>
              <w:rPr>
                <w:rFonts w:ascii="宋体" w:eastAsia="宋体" w:hAnsi="宋体" w:cs="宋体" w:hint="eastAsia"/>
                <w:sz w:val="16"/>
                <w:szCs w:val="16"/>
                <w:vertAlign w:val="baseline"/>
                <w:lang w:eastAsia="zh-CN"/>
              </w:rPr>
            </w:pPr>
            <w:r>
              <w:rPr>
                <w:rFonts w:ascii="宋体" w:eastAsia="宋体" w:hAnsi="宋体" w:cs="宋体" w:hint="eastAsia"/>
                <w:sz w:val="16"/>
                <w:szCs w:val="16"/>
                <w:vertAlign w:val="baseline"/>
                <w:lang w:eastAsia="zh-CN"/>
              </w:rPr>
              <w:t xml:space="preserve">单位名称：</w:t>
            </w:r>
            <w:r>
              <w:rPr>
                <w:rFonts w:ascii="宋体" w:eastAsia="宋体" w:hAnsi="宋体" w:cs="宋体"/>
                <w:sz w:val="16"/>
                <w:u w:color="auto"/>
              </w:rPr>
              <w:t xml:space="preserve">环江毛南族自治县人民代表大会常务委员会</w:t>
            </w:r>
          </w:p>
        </w:tc>
        <w:tc>
          <w:tcPr>
            <w:tcW w:w="1891" w:type="dxa"/>
            <w:gridSpan w:val="2"/>
            <w:tcBorders>
              <w:top w:val="nil"/>
              <w:left w:val="nil"/>
              <w:right w:val="nil"/>
            </w:tcBorders>
          </w:tcPr>
          <w:p>
            <w:pPr>
              <w:pStyle w:val="Tablecaption|1"/>
              <w:bidi w:val="0"/>
              <w:ind w:firstLine="480" w:firstLineChars="300"/>
              <w:jc w:val="both"/>
              <w:rPr>
                <w:rFonts w:ascii="宋体" w:eastAsia="宋体" w:hAnsi="宋体" w:cs="宋体" w:hint="eastAsia"/>
                <w:sz w:val="16"/>
                <w:szCs w:val="16"/>
                <w:vertAlign w:val="baseline"/>
                <w:lang w:eastAsia="zh-CN"/>
              </w:rPr>
            </w:pPr>
            <w:r>
              <w:rPr>
                <w:rFonts w:ascii="宋体" w:eastAsia="宋体" w:hAnsi="宋体" w:cs="宋体" w:hint="eastAsia"/>
                <w:sz w:val="16"/>
                <w:szCs w:val="16"/>
                <w:vertAlign w:val="baseline"/>
                <w:lang w:eastAsia="zh-CN"/>
              </w:rPr>
              <w:t xml:space="preserve">单位：万元</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2296" w:type="dxa"/>
            <w:vMerge w:val="restart"/>
          </w:tcPr>
          <w:p>
            <w:pPr>
              <w:pStyle w:val="Tablecaption|1"/>
              <w:bidi w:val="0"/>
              <w:jc w:val="center"/>
              <w:rPr>
                <w:rFonts w:hint="eastAsia"/>
                <w:vertAlign w:val="baseline"/>
                <w:lang w:val="en-US" w:eastAsia="zh-CN"/>
              </w:rPr>
            </w:pPr>
            <w:r>
              <w:rPr>
                <w:rFonts w:hint="eastAsia"/>
                <w:sz w:val="17"/>
                <w:szCs w:val="17"/>
                <w:lang w:val="en-US" w:eastAsia="zh-CN"/>
              </w:rPr>
              <w:t xml:space="preserve">部</w:t>
            </w:r>
            <w:r>
              <w:rPr>
                <w:sz w:val="17"/>
                <w:szCs w:val="17"/>
              </w:rPr>
              <w:t xml:space="preserve">门（单位）代码</w:t>
            </w:r>
          </w:p>
        </w:tc>
        <w:tc>
          <w:tcPr>
            <w:tcW w:w="1918" w:type="dxa"/>
            <w:vMerge w:val="restart"/>
          </w:tcPr>
          <w:p>
            <w:pPr>
              <w:pStyle w:val="Tablecaption|1"/>
              <w:bidi w:val="0"/>
              <w:jc w:val="center"/>
              <w:rPr>
                <w:rFonts w:hint="eastAsia"/>
                <w:vertAlign w:val="baseline"/>
                <w:lang w:val="en-US" w:eastAsia="zh-CN"/>
              </w:rPr>
            </w:pPr>
            <w:r>
              <w:rPr>
                <w:sz w:val="17"/>
                <w:szCs w:val="17"/>
              </w:rPr>
              <w:t xml:space="preserve">部门（单位）名称</w:t>
            </w:r>
          </w:p>
        </w:tc>
        <w:tc>
          <w:tcPr>
            <w:tcW w:w="11343" w:type="dxa"/>
            <w:gridSpan w:val="7"/>
          </w:tcPr>
          <w:p>
            <w:pPr>
              <w:pStyle w:val="Tablecaption|1"/>
              <w:bidi w:val="0"/>
              <w:jc w:val="center"/>
              <w:rPr>
                <w:rFonts w:hint="eastAsia"/>
                <w:vertAlign w:val="baseline"/>
                <w:lang w:val="en-US" w:eastAsia="zh-CN"/>
              </w:rPr>
            </w:pPr>
            <w:r>
              <w:rPr>
                <w:sz w:val="17"/>
                <w:szCs w:val="17"/>
                <w:lang w:val="zh-CN" w:eastAsia="zh-CN" w:bidi="zh-CN"/>
              </w:rPr>
              <w:t xml:space="preserve">“三</w:t>
            </w:r>
            <w:r>
              <w:rPr>
                <w:sz w:val="17"/>
                <w:szCs w:val="17"/>
              </w:rPr>
              <w:t xml:space="preserve">公”经费</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2296" w:type="dxa"/>
            <w:vMerge/>
          </w:tcPr>
          <w:p>
            <w:pPr>
              <w:pStyle w:val="Tablecaption|1"/>
              <w:bidi w:val="0"/>
              <w:jc w:val="center"/>
              <w:rPr>
                <w:rFonts w:hint="eastAsia"/>
                <w:vertAlign w:val="baseline"/>
                <w:lang w:val="en-US" w:eastAsia="zh-CN"/>
              </w:rPr>
            </w:pPr>
          </w:p>
        </w:tc>
        <w:tc>
          <w:tcPr>
            <w:tcW w:w="1918" w:type="dxa"/>
            <w:vMerge/>
          </w:tcPr>
          <w:p>
            <w:pPr>
              <w:pStyle w:val="Tablecaption|1"/>
              <w:bidi w:val="0"/>
              <w:jc w:val="center"/>
              <w:rPr>
                <w:rFonts w:hint="eastAsia"/>
                <w:vertAlign w:val="baseline"/>
                <w:lang w:val="en-US" w:eastAsia="zh-CN"/>
              </w:rPr>
            </w:pPr>
          </w:p>
        </w:tc>
        <w:tc>
          <w:tcPr>
            <w:tcW w:w="1884" w:type="dxa"/>
            <w:vMerge w:val="restart"/>
          </w:tcPr>
          <w:p>
            <w:pPr>
              <w:pStyle w:val="Tablecaption|1"/>
              <w:bidi w:val="0"/>
              <w:jc w:val="center"/>
              <w:rPr>
                <w:rFonts w:hint="eastAsia"/>
                <w:vertAlign w:val="baseline"/>
                <w:lang w:val="en-US" w:eastAsia="zh-CN"/>
              </w:rPr>
            </w:pPr>
            <w:r>
              <w:rPr>
                <w:sz w:val="17"/>
                <w:szCs w:val="17"/>
              </w:rPr>
              <w:t xml:space="preserve">合计</w:t>
            </w:r>
          </w:p>
        </w:tc>
        <w:tc>
          <w:tcPr>
            <w:tcW w:w="1895" w:type="dxa"/>
            <w:vMerge w:val="restart"/>
          </w:tcPr>
          <w:p>
            <w:pPr>
              <w:pStyle w:val="Tablecaption|1"/>
              <w:bidi w:val="0"/>
              <w:jc w:val="center"/>
              <w:rPr>
                <w:rFonts w:hint="eastAsia"/>
                <w:vertAlign w:val="baseline"/>
                <w:lang w:val="en-US" w:eastAsia="zh-CN"/>
              </w:rPr>
            </w:pPr>
            <w:r>
              <w:rPr>
                <w:sz w:val="17"/>
                <w:szCs w:val="17"/>
              </w:rPr>
              <w:t xml:space="preserve">因公出国（境）费</w:t>
            </w:r>
          </w:p>
        </w:tc>
        <w:tc>
          <w:tcPr>
            <w:tcW w:w="5675" w:type="dxa"/>
            <w:gridSpan w:val="4"/>
          </w:tcPr>
          <w:p>
            <w:pPr>
              <w:pStyle w:val="Tablecaption|1"/>
              <w:bidi w:val="0"/>
              <w:jc w:val="center"/>
              <w:rPr>
                <w:rFonts w:hint="eastAsia"/>
                <w:vertAlign w:val="baseline"/>
                <w:lang w:val="en-US" w:eastAsia="zh-CN"/>
              </w:rPr>
            </w:pPr>
            <w:r>
              <w:rPr>
                <w:sz w:val="17"/>
                <w:szCs w:val="17"/>
              </w:rPr>
              <w:t xml:space="preserve">公务用车购置及运行维护费</w:t>
            </w:r>
          </w:p>
        </w:tc>
        <w:tc>
          <w:tcPr>
            <w:tcW w:w="1889" w:type="dxa"/>
            <w:vMerge w:val="restart"/>
          </w:tcPr>
          <w:p>
            <w:pPr>
              <w:pStyle w:val="Tablecaption|1"/>
              <w:bidi w:val="0"/>
              <w:jc w:val="center"/>
              <w:rPr>
                <w:rFonts w:hint="eastAsia"/>
                <w:vertAlign w:val="baseline"/>
                <w:lang w:val="en-US" w:eastAsia="zh-CN"/>
              </w:rPr>
            </w:pPr>
            <w:r>
              <w:rPr>
                <w:sz w:val="17"/>
                <w:szCs w:val="17"/>
              </w:rPr>
              <w:t xml:space="preserve">公务接待费</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2296" w:type="dxa"/>
            <w:vMerge/>
          </w:tcPr>
          <w:p>
            <w:pPr>
              <w:pStyle w:val="Tablecaption|1"/>
              <w:bidi w:val="0"/>
              <w:jc w:val="center"/>
              <w:rPr>
                <w:rFonts w:hint="eastAsia"/>
                <w:vertAlign w:val="baseline"/>
                <w:lang w:val="en-US" w:eastAsia="zh-CN"/>
              </w:rPr>
            </w:pPr>
          </w:p>
        </w:tc>
        <w:tc>
          <w:tcPr>
            <w:tcW w:w="1918" w:type="dxa"/>
            <w:vMerge/>
          </w:tcPr>
          <w:p>
            <w:pPr>
              <w:pStyle w:val="Tablecaption|1"/>
              <w:bidi w:val="0"/>
              <w:jc w:val="center"/>
              <w:rPr>
                <w:rFonts w:hint="eastAsia"/>
                <w:vertAlign w:val="baseline"/>
                <w:lang w:val="en-US" w:eastAsia="zh-CN"/>
              </w:rPr>
            </w:pPr>
          </w:p>
        </w:tc>
        <w:tc>
          <w:tcPr>
            <w:tcW w:w="1884" w:type="dxa"/>
            <w:vMerge/>
          </w:tcPr>
          <w:p>
            <w:pPr>
              <w:pStyle w:val="Tablecaption|1"/>
              <w:bidi w:val="0"/>
              <w:jc w:val="center"/>
              <w:rPr>
                <w:rFonts w:hint="eastAsia"/>
                <w:vertAlign w:val="baseline"/>
                <w:lang w:val="en-US" w:eastAsia="zh-CN"/>
              </w:rPr>
            </w:pPr>
          </w:p>
        </w:tc>
        <w:tc>
          <w:tcPr>
            <w:tcW w:w="1895" w:type="dxa"/>
            <w:vMerge/>
          </w:tcPr>
          <w:p>
            <w:pPr>
              <w:pStyle w:val="Tablecaption|1"/>
              <w:bidi w:val="0"/>
              <w:jc w:val="center"/>
              <w:rPr>
                <w:rFonts w:hint="eastAsia"/>
                <w:vertAlign w:val="baseline"/>
                <w:lang w:val="en-US" w:eastAsia="zh-CN"/>
              </w:rPr>
            </w:pPr>
          </w:p>
        </w:tc>
        <w:tc>
          <w:tcPr>
            <w:tcW w:w="1888" w:type="dxa"/>
            <w:vAlign w:val="center"/>
          </w:tcPr>
          <w:p>
            <w:pPr>
              <w:pStyle w:val="Other|1"/>
              <w:spacing w:line="240" w:lineRule="auto"/>
              <w:ind w:firstLine="0" w:firstLineChars="0"/>
              <w:jc w:val="center"/>
              <w:rPr>
                <w:rFonts w:hint="eastAsia"/>
                <w:vertAlign w:val="baseline"/>
                <w:lang w:val="en-US" w:eastAsia="zh-CN"/>
              </w:rPr>
            </w:pPr>
            <w:r>
              <w:rPr>
                <w:sz w:val="17"/>
                <w:szCs w:val="17"/>
              </w:rPr>
              <w:t xml:space="preserve">小计</w:t>
            </w:r>
          </w:p>
        </w:tc>
        <w:tc>
          <w:tcPr>
            <w:tcW w:w="1890" w:type="dxa"/>
            <w:vAlign w:val="center"/>
          </w:tcPr>
          <w:p>
            <w:pPr>
              <w:pStyle w:val="Other|1"/>
              <w:spacing w:line="240" w:lineRule="auto"/>
              <w:ind w:firstLine="220" w:firstLineChars="0"/>
              <w:jc w:val="center"/>
              <w:rPr>
                <w:rFonts w:hint="eastAsia"/>
                <w:vertAlign w:val="baseline"/>
                <w:lang w:val="en-US" w:eastAsia="zh-CN"/>
              </w:rPr>
            </w:pPr>
            <w:r>
              <w:rPr>
                <w:sz w:val="17"/>
                <w:szCs w:val="17"/>
              </w:rPr>
              <w:t xml:space="preserve">公务用车运行维护费</w:t>
            </w:r>
          </w:p>
        </w:tc>
        <w:tc>
          <w:tcPr>
            <w:tcW w:w="1897" w:type="dxa"/>
            <w:gridSpan w:val="2"/>
            <w:vAlign w:val="center"/>
          </w:tcPr>
          <w:p>
            <w:pPr>
              <w:pStyle w:val="Other|1"/>
              <w:spacing w:line="240" w:lineRule="auto"/>
              <w:ind w:firstLine="400" w:firstLineChars="0"/>
              <w:jc w:val="center"/>
              <w:rPr>
                <w:rFonts w:hint="eastAsia"/>
                <w:vertAlign w:val="baseline"/>
                <w:lang w:val="en-US" w:eastAsia="zh-CN"/>
              </w:rPr>
            </w:pPr>
            <w:r>
              <w:rPr>
                <w:sz w:val="17"/>
                <w:szCs w:val="17"/>
              </w:rPr>
              <w:t xml:space="preserve">公务用车购置费</w:t>
            </w:r>
          </w:p>
        </w:tc>
        <w:tc>
          <w:tcPr>
            <w:tcW w:w="1889" w:type="dxa"/>
            <w:vMerge/>
          </w:tcPr>
          <w:p>
            <w:pPr>
              <w:pStyle w:val="Tablecaption|1"/>
              <w:bidi w:val="0"/>
              <w:jc w:val="center"/>
              <w:rPr>
                <w:rFonts w:hint="eastAsia"/>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2296" w:type="dxa"/>
            <w:vAlign w:val="center"/>
          </w:tcPr>
          <w:p>
            <w:pPr>
              <w:jc w:val="center"/>
              <w:rPr>
                <w:rFonts w:hint="eastAsia"/>
                <w:vertAlign w:val="baseline"/>
                <w:lang w:val="en-US" w:eastAsia="zh-CN"/>
              </w:rPr>
            </w:pPr>
          </w:p>
        </w:tc>
        <w:tc>
          <w:tcPr>
            <w:tcW w:w="1918" w:type="dxa"/>
            <w:vAlign w:val="center"/>
          </w:tcPr>
          <w:p>
            <w:pPr>
              <w:jc w:val="center"/>
              <w:rPr>
                <w:rFonts w:hint="eastAsia"/>
                <w:vertAlign w:val="baseline"/>
                <w:lang w:val="en-US" w:eastAsia="zh-CN"/>
              </w:rPr>
            </w:pPr>
          </w:p>
        </w:tc>
        <w:tc>
          <w:tcPr>
            <w:tcW w:w="1884" w:type="dxa"/>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1</w:t>
            </w:r>
          </w:p>
        </w:tc>
        <w:tc>
          <w:tcPr>
            <w:tcW w:w="1895" w:type="dxa"/>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2</w:t>
            </w:r>
          </w:p>
        </w:tc>
        <w:tc>
          <w:tcPr>
            <w:tcW w:w="1888" w:type="dxa"/>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3</w:t>
            </w:r>
          </w:p>
        </w:tc>
        <w:tc>
          <w:tcPr>
            <w:tcW w:w="1890" w:type="dxa"/>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4</w:t>
            </w:r>
          </w:p>
        </w:tc>
        <w:tc>
          <w:tcPr>
            <w:tcW w:w="1897" w:type="dxa"/>
            <w:gridSpan w:val="2"/>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5</w:t>
            </w:r>
          </w:p>
        </w:tc>
        <w:tc>
          <w:tcPr>
            <w:tcW w:w="1889" w:type="dxa"/>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6</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2296" w:type="dxa"/>
            <w:vAlign w:val="center"/>
          </w:tcPr>
          <w:p>
            <w:pPr>
              <w:pStyle w:val="Other|1"/>
              <w:spacing w:line="240" w:lineRule="auto"/>
              <w:ind w:firstLine="0" w:firstLineChars="0"/>
              <w:jc w:val="left"/>
              <w:rPr>
                <w:rFonts w:ascii="宋体" w:eastAsia="宋体" w:hAnsi="宋体" w:cs="宋体" w:hint="eastAsia"/>
                <w:b w:val="0"/>
                <w:bCs w:val="0"/>
                <w:vertAlign w:val="baseline"/>
                <w:lang w:val="en-US" w:eastAsia="zh-CN"/>
              </w:rPr>
            </w:pPr>
            <w:r>
              <w:rPr>
                <w:rFonts w:ascii="宋体" w:eastAsia="宋体" w:hAnsi="宋体" w:cs="宋体" w:hint="eastAsia"/>
                <w:b w:val="0"/>
                <w:bCs w:val="0"/>
                <w:sz w:val="17"/>
                <w:szCs w:val="17"/>
                <w:lang w:val="en-US" w:eastAsia="zh-CN"/>
              </w:rPr>
              <w:t xml:space="preserve">103001</w:t>
            </w:r>
          </w:p>
        </w:tc>
        <w:tc>
          <w:tcPr>
            <w:tcW w:w="1918" w:type="dxa"/>
            <w:vAlign w:val="center"/>
          </w:tcPr>
          <w:p>
            <w:pPr>
              <w:pStyle w:val="Other|1"/>
              <w:spacing w:line="240" w:lineRule="auto"/>
              <w:ind w:firstLine="0" w:firstLineChars="0"/>
              <w:jc w:val="left"/>
              <w:rPr>
                <w:rFonts w:ascii="宋体" w:eastAsia="宋体" w:hAnsi="宋体" w:cs="宋体" w:hint="eastAsia"/>
                <w:b w:val="0"/>
                <w:bCs w:val="0"/>
                <w:vertAlign w:val="baseline"/>
                <w:lang w:val="en-US" w:eastAsia="zh-CN"/>
              </w:rPr>
            </w:pPr>
          </w:p>
        </w:tc>
        <w:tc>
          <w:tcPr>
            <w:tcW w:w="1884" w:type="dxa"/>
            <w:vAlign w:val="center"/>
          </w:tcPr>
          <w:p>
            <w:pPr>
              <w:pStyle w:val="Other|1"/>
              <w:spacing w:line="240" w:lineRule="auto"/>
              <w:ind w:firstLine="0" w:firstLineChars="0"/>
              <w:jc w:val="right"/>
              <w:rPr>
                <w:rFonts w:ascii="宋体" w:eastAsia="宋体" w:hAnsi="宋体" w:cs="宋体" w:hint="eastAsia"/>
                <w:b w:val="0"/>
                <w:bCs w:val="0"/>
                <w:vertAlign w:val="baseline"/>
                <w:lang w:val="en-US" w:eastAsia="zh-CN"/>
              </w:rPr>
            </w:pPr>
            <w:r>
              <w:rPr>
                <w:rFonts w:ascii="宋体" w:eastAsia="宋体" w:hAnsi="宋体" w:cs="宋体" w:hint="eastAsia"/>
                <w:b w:val="0"/>
                <w:bCs w:val="0"/>
                <w:sz w:val="17"/>
                <w:szCs w:val="17"/>
                <w:lang w:val="en-US" w:eastAsia="zh-CN"/>
              </w:rPr>
              <w:t xml:space="preserve">7.50</w:t>
            </w:r>
          </w:p>
        </w:tc>
        <w:tc>
          <w:tcPr>
            <w:tcW w:w="1895" w:type="dxa"/>
            <w:vAlign w:val="center"/>
          </w:tcPr>
          <w:p>
            <w:pPr>
              <w:pStyle w:val="Other|1"/>
              <w:spacing w:line="240" w:lineRule="auto"/>
              <w:ind w:firstLine="0" w:firstLineChars="0"/>
              <w:jc w:val="right"/>
              <w:rPr>
                <w:rFonts w:ascii="宋体" w:eastAsia="宋体" w:hAnsi="宋体" w:cs="宋体" w:hint="eastAsia"/>
                <w:b w:val="0"/>
                <w:bCs w:val="0"/>
                <w:vertAlign w:val="baseline"/>
                <w:lang w:val="en-US" w:eastAsia="zh-CN"/>
              </w:rPr>
            </w:pPr>
            <w:r>
              <w:rPr>
                <w:rFonts w:ascii="宋体" w:eastAsia="宋体" w:hAnsi="宋体" w:cs="宋体" w:hint="eastAsia"/>
                <w:b w:val="0"/>
                <w:bCs w:val="0"/>
                <w:sz w:val="17"/>
                <w:szCs w:val="17"/>
                <w:lang w:val="en-US" w:eastAsia="zh-CN"/>
              </w:rPr>
              <w:t xml:space="preserve">0.00</w:t>
            </w:r>
          </w:p>
        </w:tc>
        <w:tc>
          <w:tcPr>
            <w:tcW w:w="1888" w:type="dxa"/>
            <w:vAlign w:val="center"/>
          </w:tcPr>
          <w:p>
            <w:pPr>
              <w:pStyle w:val="Other|1"/>
              <w:spacing w:line="240" w:lineRule="auto"/>
              <w:ind w:firstLine="0" w:firstLineChars="0"/>
              <w:jc w:val="right"/>
              <w:rPr>
                <w:rFonts w:ascii="宋体" w:eastAsia="宋体" w:hAnsi="宋体" w:cs="宋体" w:hint="eastAsia"/>
                <w:b w:val="0"/>
                <w:bCs w:val="0"/>
                <w:vertAlign w:val="baseline"/>
                <w:lang w:val="en-US" w:eastAsia="zh-CN"/>
              </w:rPr>
            </w:pPr>
            <w:r>
              <w:rPr>
                <w:rFonts w:ascii="宋体" w:eastAsia="宋体" w:hAnsi="宋体" w:cs="宋体" w:hint="eastAsia"/>
                <w:b w:val="0"/>
                <w:bCs w:val="0"/>
                <w:sz w:val="17"/>
                <w:szCs w:val="17"/>
                <w:lang w:val="en-US" w:eastAsia="zh-CN"/>
              </w:rPr>
              <w:t xml:space="preserve">0.00</w:t>
            </w:r>
          </w:p>
        </w:tc>
        <w:tc>
          <w:tcPr>
            <w:tcW w:w="1890" w:type="dxa"/>
            <w:vAlign w:val="center"/>
          </w:tcPr>
          <w:p>
            <w:pPr>
              <w:pStyle w:val="Other|1"/>
              <w:spacing w:line="240" w:lineRule="auto"/>
              <w:ind w:firstLine="0" w:firstLineChars="0"/>
              <w:jc w:val="right"/>
              <w:rPr>
                <w:rFonts w:ascii="宋体" w:eastAsia="宋体" w:hAnsi="宋体" w:cs="宋体" w:hint="eastAsia"/>
                <w:b w:val="0"/>
                <w:bCs w:val="0"/>
                <w:vertAlign w:val="baseline"/>
                <w:lang w:val="en-US" w:eastAsia="zh-CN"/>
              </w:rPr>
            </w:pPr>
            <w:r>
              <w:rPr>
                <w:rFonts w:ascii="宋体" w:eastAsia="宋体" w:hAnsi="宋体" w:cs="宋体" w:hint="eastAsia"/>
                <w:b w:val="0"/>
                <w:bCs w:val="0"/>
                <w:sz w:val="17"/>
                <w:szCs w:val="17"/>
                <w:lang w:val="en-US" w:eastAsia="zh-CN"/>
              </w:rPr>
              <w:t xml:space="preserve">0.00</w:t>
            </w:r>
          </w:p>
        </w:tc>
        <w:tc>
          <w:tcPr>
            <w:tcW w:w="1897" w:type="dxa"/>
            <w:gridSpan w:val="2"/>
            <w:vAlign w:val="center"/>
          </w:tcPr>
          <w:p>
            <w:pPr>
              <w:pStyle w:val="Other|1"/>
              <w:spacing w:line="240" w:lineRule="auto"/>
              <w:ind w:firstLine="0" w:firstLineChars="0"/>
              <w:jc w:val="right"/>
              <w:rPr>
                <w:rFonts w:ascii="宋体" w:eastAsia="宋体" w:hAnsi="宋体" w:cs="宋体" w:hint="eastAsia"/>
                <w:b w:val="0"/>
                <w:bCs w:val="0"/>
                <w:vertAlign w:val="baseline"/>
                <w:lang w:val="en-US" w:eastAsia="zh-CN"/>
              </w:rPr>
            </w:pPr>
            <w:r>
              <w:rPr>
                <w:rFonts w:ascii="宋体" w:eastAsia="宋体" w:hAnsi="宋体" w:cs="宋体" w:hint="eastAsia"/>
                <w:b w:val="0"/>
                <w:bCs w:val="0"/>
                <w:sz w:val="17"/>
                <w:szCs w:val="17"/>
                <w:lang w:val="en-US" w:eastAsia="zh-CN"/>
              </w:rPr>
              <w:t xml:space="preserve">0.00</w:t>
            </w:r>
          </w:p>
        </w:tc>
        <w:tc>
          <w:tcPr>
            <w:tcW w:w="1889" w:type="dxa"/>
            <w:vAlign w:val="center"/>
          </w:tcPr>
          <w:p>
            <w:pPr>
              <w:pStyle w:val="Other|1"/>
              <w:spacing w:line="240" w:lineRule="auto"/>
              <w:ind w:firstLine="0" w:firstLineChars="0"/>
              <w:jc w:val="right"/>
              <w:rPr>
                <w:rFonts w:ascii="宋体" w:eastAsia="宋体" w:hAnsi="宋体" w:cs="宋体" w:hint="eastAsia"/>
                <w:b w:val="0"/>
                <w:bCs w:val="0"/>
                <w:vertAlign w:val="baseline"/>
                <w:lang w:val="en-US" w:eastAsia="zh-CN"/>
              </w:rPr>
            </w:pPr>
            <w:r>
              <w:rPr>
                <w:rFonts w:ascii="宋体" w:eastAsia="宋体" w:hAnsi="宋体" w:cs="宋体" w:hint="eastAsia"/>
                <w:b w:val="0"/>
                <w:bCs w:val="0"/>
                <w:sz w:val="17"/>
                <w:szCs w:val="17"/>
                <w:lang w:val="en-US" w:eastAsia="zh-CN"/>
              </w:rPr>
              <w:t xml:space="preserve">7.50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12"/>
        </w:trPr>
        <w:tc>
          <w:tcPr>
            <w:tcW w:w="15557" w:type="dxa"/>
            <w:gridSpan w:val="9"/>
            <w:tcBorders>
              <w:left w:val="nil"/>
              <w:bottom w:val="nil"/>
              <w:right w:val="nil"/>
            </w:tcBorders>
          </w:tcPr>
          <w:p>
            <w:pPr>
              <w:pStyle w:val="Tablecaption|1"/>
              <w:bidi w:val="0"/>
              <w:jc w:val="both"/>
              <w:rPr>
                <w:rFonts w:hint="eastAsia"/>
                <w:vertAlign w:val="baseline"/>
                <w:lang w:val="en-US" w:eastAsia="zh-CN"/>
              </w:rPr>
            </w:pPr>
            <w:r>
              <w:rPr>
                <w:rFonts w:ascii="宋体" w:eastAsia="宋体" w:hAnsi="宋体" w:cs="宋体" w:hint="eastAsia"/>
                <w:sz w:val="17"/>
                <w:szCs w:val="17"/>
              </w:rPr>
              <w:t xml:space="preserve">注：本报表金额单位转换时可能存在四舍五入尾数误差</w:t>
            </w:r>
          </w:p>
        </w:tc>
      </w:tr>
    </w:tbl>
    <w:p>
      <w:pPr>
        <w:pStyle w:val="Tablecaption|1"/>
        <w:bidi w:val="0"/>
        <w:rPr>
          <w:rFonts w:hint="eastAsia"/>
          <w:lang w:val="en-US" w:eastAsia="zh-CN"/>
        </w:rPr>
      </w:pPr>
    </w:p>
    <w:p>
      <w:pPr>
        <w:pStyle w:val="Heading#2|1"/>
        <w:keepNext/>
        <w:keepLines/>
        <w:spacing w:after="240"/>
        <w:jc w:val="center"/>
      </w:pPr>
    </w:p>
    <w:p>
      <w:pPr>
        <w:pStyle w:val="Heading#2|1"/>
        <w:keepNext/>
        <w:keepLines/>
        <w:spacing w:after="240"/>
        <w:jc w:val="center"/>
      </w:pPr>
    </w:p>
    <w:p>
      <w:pPr>
        <w:pStyle w:val="Heading#2|1"/>
        <w:keepNext/>
        <w:keepLines/>
        <w:spacing w:after="240"/>
        <w:jc w:val="center"/>
      </w:pPr>
    </w:p>
    <w:p>
      <w:pPr>
        <w:pStyle w:val="Heading#2|1"/>
        <w:keepNext/>
        <w:keepLines/>
        <w:spacing w:after="240"/>
        <w:jc w:val="center"/>
      </w:pPr>
    </w:p>
    <w:p>
      <w:pPr>
        <w:pStyle w:val="Heading#2|1"/>
        <w:keepNext/>
        <w:keepLines/>
        <w:spacing w:after="240"/>
        <w:jc w:val="center"/>
      </w:pPr>
    </w:p>
    <w:p>
      <w:pPr>
        <w:pStyle w:val="Tablecaption|1"/>
        <w:bidi w:val="0"/>
      </w:pPr>
    </w:p>
    <w:p>
      <w:pPr>
        <w:pStyle w:val="Heading#2|1"/>
        <w:keepNext/>
        <w:keepLines/>
        <w:spacing w:after="240"/>
        <w:jc w:val="center"/>
      </w:pPr>
      <w:r>
        <w:t xml:space="preserve">政府性基金预算支出情况表</w:t>
      </w:r>
      <w:bookmarkEnd w:id="28"/>
      <w:bookmarkEnd w:id="29"/>
      <w:bookmarkEnd w:id="30"/>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firstRow="0" w:lastRow="0" w:firstColumn="0" w:lastColumn="0" w:noHBand="1" w:noVBand="1"/>
      </w:tblPr>
      <w:tblGrid>
        <w:gridCol w:w="2512"/>
        <w:gridCol w:w="2149"/>
        <w:gridCol w:w="2150"/>
        <w:gridCol w:w="2210"/>
        <w:gridCol w:w="2149"/>
        <w:gridCol w:w="2158"/>
        <w:gridCol w:w="2151"/>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hRule="auto" w:val="0"/>
        </w:trPr>
        <w:tc>
          <w:tcPr>
            <w:tcW w:w="13328" w:type="dxa"/>
            <w:gridSpan w:val="6"/>
            <w:tcBorders>
              <w:top w:val="nil"/>
              <w:left w:val="nil"/>
              <w:right w:val="nil"/>
            </w:tcBorders>
          </w:tcPr>
          <w:p>
            <w:pPr>
              <w:pStyle w:val="Tablecaption|1"/>
              <w:tabs>
                <w:tab w:val="left" w:pos="14213"/>
              </w:tabs>
              <w:ind w:left="101"/>
              <w:jc w:val="left"/>
            </w:pPr>
            <w:r>
              <w:t xml:space="preserve">单位名称：</w:t>
            </w:r>
            <w:r>
              <w:rPr>
                <w:rFonts w:hint="eastAsia"/>
                <w:lang w:eastAsia="zh-CN"/>
              </w:rPr>
              <w:t xml:space="preserve">环江毛南族自治县人民代表大会常务委员会</w:t>
            </w:r>
            <w:r>
              <w:tab/>
            </w:r>
            <w:r>
              <w:t xml:space="preserve">单位：万元</w:t>
            </w:r>
          </w:p>
        </w:tc>
        <w:tc>
          <w:tcPr>
            <w:tcW w:w="2151" w:type="dxa"/>
            <w:tcBorders>
              <w:top w:val="nil"/>
              <w:left w:val="nil"/>
              <w:right w:val="nil"/>
            </w:tcBorders>
          </w:tcPr>
          <w:p>
            <w:pPr>
              <w:pStyle w:val="Tablecaption|1"/>
              <w:tabs>
                <w:tab w:val="left" w:pos="14213"/>
              </w:tabs>
              <w:ind w:left="101" w:firstLine="680" w:firstLineChars="400"/>
              <w:jc w:val="left"/>
            </w:pPr>
            <w:r>
              <w:rPr>
                <w:rFonts w:hint="eastAsia"/>
              </w:rPr>
              <w:t xml:space="preserve">单位：万元</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hRule="auto" w:val="0"/>
        </w:trPr>
        <w:tc>
          <w:tcPr>
            <w:tcW w:w="2512" w:type="dxa"/>
          </w:tcPr>
          <w:p>
            <w:pPr>
              <w:pStyle w:val="Tablecaption|1"/>
              <w:bidi w:val="0"/>
              <w:jc w:val="center"/>
              <w:rPr>
                <w:vertAlign w:val="baseline"/>
              </w:rPr>
            </w:pPr>
            <w:r>
              <w:rPr>
                <w:sz w:val="17"/>
                <w:szCs w:val="17"/>
              </w:rPr>
              <w:t xml:space="preserve">科目编码</w:t>
            </w:r>
          </w:p>
        </w:tc>
        <w:tc>
          <w:tcPr>
            <w:tcW w:w="2149" w:type="dxa"/>
          </w:tcPr>
          <w:p>
            <w:pPr>
              <w:pStyle w:val="Tablecaption|1"/>
              <w:bidi w:val="0"/>
              <w:jc w:val="center"/>
              <w:rPr>
                <w:vertAlign w:val="baseline"/>
              </w:rPr>
            </w:pPr>
            <w:r>
              <w:rPr>
                <w:sz w:val="17"/>
                <w:szCs w:val="17"/>
              </w:rPr>
              <w:t xml:space="preserve">部门（单位）代码</w:t>
            </w:r>
          </w:p>
        </w:tc>
        <w:tc>
          <w:tcPr>
            <w:tcW w:w="2150" w:type="dxa"/>
          </w:tcPr>
          <w:p>
            <w:pPr>
              <w:pStyle w:val="Tablecaption|1"/>
              <w:bidi w:val="0"/>
              <w:jc w:val="center"/>
              <w:rPr>
                <w:vertAlign w:val="baseline"/>
              </w:rPr>
            </w:pPr>
            <w:r>
              <w:rPr>
                <w:sz w:val="17"/>
                <w:szCs w:val="17"/>
              </w:rPr>
              <w:t xml:space="preserve">部门（单位）名称（功能分类科目名称）</w:t>
            </w:r>
          </w:p>
        </w:tc>
        <w:tc>
          <w:tcPr>
            <w:tcW w:w="2210" w:type="dxa"/>
            <w:vAlign w:val="center"/>
          </w:tcPr>
          <w:p>
            <w:pPr>
              <w:pStyle w:val="Other|1"/>
              <w:spacing w:line="240" w:lineRule="auto"/>
              <w:ind w:firstLine="0" w:firstLineChars="0"/>
              <w:jc w:val="center"/>
              <w:rPr>
                <w:vertAlign w:val="baseline"/>
              </w:rPr>
            </w:pPr>
            <w:r>
              <w:rPr>
                <w:sz w:val="17"/>
                <w:szCs w:val="17"/>
              </w:rPr>
              <w:t xml:space="preserve">合计</w:t>
            </w:r>
          </w:p>
        </w:tc>
        <w:tc>
          <w:tcPr>
            <w:tcW w:w="2149" w:type="dxa"/>
            <w:vAlign w:val="center"/>
          </w:tcPr>
          <w:p>
            <w:pPr>
              <w:pStyle w:val="Other|1"/>
              <w:spacing w:line="240" w:lineRule="auto"/>
              <w:ind w:firstLine="0" w:firstLineChars="0"/>
              <w:jc w:val="center"/>
              <w:rPr>
                <w:vertAlign w:val="baseline"/>
              </w:rPr>
            </w:pPr>
            <w:r>
              <w:rPr>
                <w:sz w:val="17"/>
                <w:szCs w:val="17"/>
              </w:rPr>
              <w:t xml:space="preserve">基本支出</w:t>
            </w:r>
          </w:p>
        </w:tc>
        <w:tc>
          <w:tcPr>
            <w:tcW w:w="2158" w:type="dxa"/>
            <w:vAlign w:val="center"/>
          </w:tcPr>
          <w:p>
            <w:pPr>
              <w:pStyle w:val="Other|1"/>
              <w:spacing w:line="240" w:lineRule="auto"/>
              <w:ind w:firstLine="0" w:firstLineChars="0"/>
              <w:jc w:val="center"/>
              <w:rPr>
                <w:vertAlign w:val="baseline"/>
              </w:rPr>
            </w:pPr>
            <w:r>
              <w:rPr>
                <w:sz w:val="17"/>
                <w:szCs w:val="17"/>
              </w:rPr>
              <w:t xml:space="preserve">项目支出</w:t>
            </w:r>
          </w:p>
        </w:tc>
        <w:tc>
          <w:tcPr>
            <w:tcW w:w="2151" w:type="dxa"/>
            <w:vAlign w:val="center"/>
          </w:tcPr>
          <w:p>
            <w:pPr>
              <w:pStyle w:val="Other|1"/>
              <w:spacing w:line="240" w:lineRule="auto"/>
              <w:ind w:firstLine="0" w:firstLineChars="0"/>
              <w:jc w:val="center"/>
              <w:rPr>
                <w:vertAlign w:val="baseline"/>
              </w:rPr>
            </w:pPr>
            <w:r>
              <w:rPr>
                <w:sz w:val="17"/>
                <w:szCs w:val="17"/>
              </w:rPr>
              <w:t xml:space="preserve">结转下年支出</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hRule="auto" w:val="0"/>
        </w:trPr>
        <w:tc>
          <w:tcPr>
            <w:tcW w:w="15479" w:type="dxa"/>
            <w:gridSpan w:val="7"/>
            <w:tcBorders>
              <w:left w:val="nil"/>
              <w:bottom w:val="nil"/>
              <w:right w:val="nil"/>
            </w:tcBorders>
          </w:tcPr>
          <w:p>
            <w:pPr>
              <w:pStyle w:val="Tablecaption|1"/>
              <w:bidi w:val="0"/>
              <w:jc w:val="both"/>
              <w:rPr>
                <w:vertAlign w:val="baseline"/>
              </w:rPr>
            </w:pPr>
            <w:r>
              <w:rPr>
                <w:b w:val="0"/>
                <w:bCs w:val="0"/>
              </w:rPr>
              <w:t xml:space="preserve">注：本报表金额单位转换时可能存在四舍五入尾数误差</w:t>
            </w:r>
          </w:p>
        </w:tc>
      </w:tr>
    </w:tbl>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jc w:val="center"/>
        <w:rPr>
          <w:sz w:val="28"/>
          <w:szCs w:val="28"/>
        </w:rPr>
      </w:pPr>
      <w:r>
        <w:rPr>
          <w:sz w:val="28"/>
          <w:szCs w:val="28"/>
        </w:rPr>
        <w:t xml:space="preserve">国有资本经营预算支出情况表</w:t>
      </w:r>
    </w:p>
    <w:p>
      <w:pPr>
        <w:pStyle w:val="Tablecaption|1"/>
        <w:bidi w:val="0"/>
        <w:jc w:val="center"/>
        <w:rPr>
          <w:sz w:val="28"/>
          <w:szCs w:val="28"/>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firstRow="0" w:lastRow="0" w:firstColumn="0" w:lastColumn="0" w:noHBand="1" w:noVBand="1"/>
      </w:tblPr>
      <w:tblGrid>
        <w:gridCol w:w="2527"/>
        <w:gridCol w:w="2161"/>
        <w:gridCol w:w="2162"/>
        <w:gridCol w:w="2222"/>
        <w:gridCol w:w="2161"/>
        <w:gridCol w:w="2161"/>
        <w:gridCol w:w="2163"/>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3394" w:type="dxa"/>
            <w:gridSpan w:val="6"/>
            <w:tcBorders>
              <w:top w:val="nil"/>
              <w:left w:val="nil"/>
              <w:right w:val="nil"/>
            </w:tcBorders>
          </w:tcPr>
          <w:p>
            <w:pPr>
              <w:pStyle w:val="Tablecaption|1"/>
              <w:tabs>
                <w:tab w:val="left" w:pos="14213"/>
              </w:tabs>
              <w:ind w:left="101"/>
              <w:jc w:val="left"/>
            </w:pPr>
            <w:r>
              <w:t xml:space="preserve">单位名称：</w:t>
            </w:r>
            <w:r>
              <w:rPr>
                <w:rFonts w:hint="eastAsia"/>
                <w:lang w:eastAsia="zh-CN"/>
              </w:rPr>
              <w:t xml:space="preserve">环江毛南族自治县人民代表大会常务委员会</w:t>
            </w:r>
            <w:r>
              <w:tab/>
            </w:r>
            <w:r>
              <w:t xml:space="preserve">单位：万元</w:t>
            </w:r>
          </w:p>
        </w:tc>
        <w:tc>
          <w:tcPr>
            <w:tcW w:w="2163" w:type="dxa"/>
            <w:tcBorders>
              <w:top w:val="nil"/>
              <w:left w:val="nil"/>
              <w:right w:val="nil"/>
            </w:tcBorders>
          </w:tcPr>
          <w:p>
            <w:pPr>
              <w:pStyle w:val="Tablecaption|1"/>
              <w:tabs>
                <w:tab w:val="left" w:pos="14213"/>
              </w:tabs>
              <w:ind w:left="101"/>
              <w:jc w:val="left"/>
            </w:pPr>
            <w:r>
              <w:rPr>
                <w:rFonts w:ascii="宋体" w:eastAsia="宋体" w:hAnsi="宋体" w:cs="宋体" w:hint="eastAsia"/>
                <w:sz w:val="17"/>
                <w:szCs w:val="17"/>
              </w:rPr>
              <w:t xml:space="preserve">单位：万元</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2527" w:type="dxa"/>
            <w:vMerge w:val="restart"/>
          </w:tcPr>
          <w:p>
            <w:pPr>
              <w:pStyle w:val="Tablecaption|1"/>
              <w:bidi w:val="0"/>
              <w:jc w:val="center"/>
              <w:rPr>
                <w:vertAlign w:val="baseline"/>
              </w:rPr>
            </w:pPr>
            <w:r>
              <w:rPr>
                <w:sz w:val="17"/>
                <w:szCs w:val="17"/>
              </w:rPr>
              <w:t xml:space="preserve">科目编码</w:t>
            </w:r>
          </w:p>
        </w:tc>
        <w:tc>
          <w:tcPr>
            <w:tcW w:w="2161" w:type="dxa"/>
            <w:vMerge w:val="restart"/>
          </w:tcPr>
          <w:p>
            <w:pPr>
              <w:pStyle w:val="Tablecaption|1"/>
              <w:bidi w:val="0"/>
              <w:jc w:val="center"/>
              <w:rPr>
                <w:vertAlign w:val="baseline"/>
              </w:rPr>
            </w:pPr>
            <w:r>
              <w:rPr>
                <w:sz w:val="17"/>
                <w:szCs w:val="17"/>
              </w:rPr>
              <w:t xml:space="preserve">部门（单位）代码</w:t>
            </w:r>
          </w:p>
        </w:tc>
        <w:tc>
          <w:tcPr>
            <w:tcW w:w="2162" w:type="dxa"/>
            <w:vMerge w:val="restart"/>
          </w:tcPr>
          <w:p>
            <w:pPr>
              <w:pStyle w:val="Tablecaption|1"/>
              <w:bidi w:val="0"/>
              <w:jc w:val="center"/>
              <w:rPr>
                <w:vertAlign w:val="baseline"/>
              </w:rPr>
            </w:pPr>
            <w:r>
              <w:rPr>
                <w:sz w:val="17"/>
                <w:szCs w:val="17"/>
              </w:rPr>
              <w:t xml:space="preserve">部门（单位）名称（功能分类科目名称）</w:t>
            </w:r>
          </w:p>
        </w:tc>
        <w:tc>
          <w:tcPr>
            <w:tcW w:w="2222" w:type="dxa"/>
            <w:vAlign w:val="center"/>
          </w:tcPr>
          <w:p>
            <w:pPr>
              <w:pStyle w:val="Other|1"/>
              <w:spacing w:line="240" w:lineRule="auto"/>
              <w:ind w:firstLine="0" w:firstLineChars="0"/>
              <w:jc w:val="center"/>
              <w:rPr>
                <w:vertAlign w:val="baseline"/>
              </w:rPr>
            </w:pPr>
            <w:r>
              <w:rPr>
                <w:sz w:val="17"/>
                <w:szCs w:val="17"/>
              </w:rPr>
              <w:t xml:space="preserve">合计</w:t>
            </w:r>
          </w:p>
        </w:tc>
        <w:tc>
          <w:tcPr>
            <w:tcW w:w="2161" w:type="dxa"/>
            <w:vAlign w:val="center"/>
          </w:tcPr>
          <w:p>
            <w:pPr>
              <w:pStyle w:val="Other|1"/>
              <w:spacing w:line="240" w:lineRule="auto"/>
              <w:ind w:firstLine="0" w:firstLineChars="0"/>
              <w:jc w:val="center"/>
              <w:rPr>
                <w:vertAlign w:val="baseline"/>
              </w:rPr>
            </w:pPr>
            <w:r>
              <w:rPr>
                <w:sz w:val="17"/>
                <w:szCs w:val="17"/>
              </w:rPr>
              <w:t xml:space="preserve">基本支出</w:t>
            </w:r>
          </w:p>
        </w:tc>
        <w:tc>
          <w:tcPr>
            <w:tcW w:w="2161" w:type="dxa"/>
            <w:vAlign w:val="center"/>
          </w:tcPr>
          <w:p>
            <w:pPr>
              <w:pStyle w:val="Other|1"/>
              <w:spacing w:line="240" w:lineRule="auto"/>
              <w:ind w:firstLine="0" w:firstLineChars="0"/>
              <w:jc w:val="center"/>
              <w:rPr>
                <w:vertAlign w:val="baseline"/>
              </w:rPr>
            </w:pPr>
            <w:r>
              <w:rPr>
                <w:sz w:val="17"/>
                <w:szCs w:val="17"/>
              </w:rPr>
              <w:t xml:space="preserve">项目支出</w:t>
            </w:r>
          </w:p>
        </w:tc>
        <w:tc>
          <w:tcPr>
            <w:tcW w:w="2163" w:type="dxa"/>
            <w:vAlign w:val="center"/>
          </w:tcPr>
          <w:p>
            <w:pPr>
              <w:pStyle w:val="Other|1"/>
              <w:spacing w:line="240" w:lineRule="auto"/>
              <w:ind w:firstLine="0" w:firstLineChars="0"/>
              <w:jc w:val="center"/>
              <w:rPr>
                <w:vertAlign w:val="baseline"/>
              </w:rPr>
            </w:pPr>
            <w:r>
              <w:rPr>
                <w:sz w:val="17"/>
                <w:szCs w:val="17"/>
              </w:rPr>
              <w:t xml:space="preserve">结转下年支出</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2527" w:type="dxa"/>
            <w:vMerge/>
          </w:tcPr>
          <w:p>
            <w:pPr>
              <w:pStyle w:val="Tablecaption|1"/>
              <w:bidi w:val="0"/>
              <w:jc w:val="both"/>
              <w:rPr>
                <w:vertAlign w:val="baseline"/>
              </w:rPr>
            </w:pPr>
          </w:p>
        </w:tc>
        <w:tc>
          <w:tcPr>
            <w:tcW w:w="2161" w:type="dxa"/>
            <w:vMerge/>
          </w:tcPr>
          <w:p>
            <w:pPr>
              <w:pStyle w:val="Tablecaption|1"/>
              <w:bidi w:val="0"/>
              <w:jc w:val="both"/>
              <w:rPr>
                <w:vertAlign w:val="baseline"/>
              </w:rPr>
            </w:pPr>
          </w:p>
        </w:tc>
        <w:tc>
          <w:tcPr>
            <w:tcW w:w="2162" w:type="dxa"/>
            <w:vMerge/>
          </w:tcPr>
          <w:p>
            <w:pPr>
              <w:pStyle w:val="Tablecaption|1"/>
              <w:bidi w:val="0"/>
              <w:jc w:val="both"/>
              <w:rPr>
                <w:vertAlign w:val="baseline"/>
              </w:rPr>
            </w:pPr>
          </w:p>
        </w:tc>
        <w:tc>
          <w:tcPr>
            <w:tcW w:w="2222" w:type="dxa"/>
            <w:vAlign w:val="center"/>
          </w:tcPr>
          <w:p>
            <w:pPr>
              <w:pStyle w:val="Other|1"/>
              <w:spacing w:line="240" w:lineRule="auto"/>
              <w:ind w:firstLine="0" w:firstLineChars="0"/>
              <w:jc w:val="center"/>
              <w:rPr>
                <w:vertAlign w:val="baseline"/>
              </w:rPr>
            </w:pPr>
            <w:r>
              <w:rPr>
                <w:rFonts w:ascii="Times New Roman" w:eastAsia="Times New Roman" w:hAnsi="Times New Roman" w:cs="Times New Roman"/>
                <w:b/>
                <w:bCs/>
                <w:sz w:val="17"/>
                <w:szCs w:val="17"/>
              </w:rPr>
              <w:t xml:space="preserve">1</w:t>
            </w:r>
          </w:p>
        </w:tc>
        <w:tc>
          <w:tcPr>
            <w:tcW w:w="2161" w:type="dxa"/>
            <w:vAlign w:val="center"/>
          </w:tcPr>
          <w:p>
            <w:pPr>
              <w:pStyle w:val="Other|1"/>
              <w:spacing w:line="240" w:lineRule="auto"/>
              <w:ind w:firstLine="0" w:firstLineChars="0"/>
              <w:jc w:val="center"/>
              <w:rPr>
                <w:vertAlign w:val="baseline"/>
              </w:rPr>
            </w:pPr>
            <w:r>
              <w:rPr>
                <w:rFonts w:ascii="Times New Roman" w:eastAsia="Times New Roman" w:hAnsi="Times New Roman" w:cs="Times New Roman"/>
                <w:b/>
                <w:bCs/>
                <w:sz w:val="17"/>
                <w:szCs w:val="17"/>
              </w:rPr>
              <w:t xml:space="preserve">2</w:t>
            </w:r>
          </w:p>
        </w:tc>
        <w:tc>
          <w:tcPr>
            <w:tcW w:w="2161" w:type="dxa"/>
            <w:vAlign w:val="center"/>
          </w:tcPr>
          <w:p>
            <w:pPr>
              <w:pStyle w:val="Other|1"/>
              <w:spacing w:line="240" w:lineRule="auto"/>
              <w:ind w:firstLine="0" w:firstLineChars="0"/>
              <w:jc w:val="center"/>
              <w:rPr>
                <w:vertAlign w:val="baseline"/>
              </w:rPr>
            </w:pPr>
            <w:r>
              <w:rPr>
                <w:rFonts w:ascii="Times New Roman" w:eastAsia="Times New Roman" w:hAnsi="Times New Roman" w:cs="Times New Roman"/>
                <w:b/>
                <w:bCs/>
                <w:sz w:val="17"/>
                <w:szCs w:val="17"/>
              </w:rPr>
              <w:t xml:space="preserve">3</w:t>
            </w:r>
          </w:p>
        </w:tc>
        <w:tc>
          <w:tcPr>
            <w:tcW w:w="2163" w:type="dxa"/>
            <w:vAlign w:val="center"/>
          </w:tcPr>
          <w:p>
            <w:pPr>
              <w:pStyle w:val="Other|1"/>
              <w:spacing w:line="240" w:lineRule="auto"/>
              <w:ind w:firstLine="0" w:firstLineChars="0"/>
              <w:jc w:val="center"/>
              <w:rPr>
                <w:vertAlign w:val="baseline"/>
              </w:rPr>
            </w:pPr>
            <w:r>
              <w:rPr>
                <w:rFonts w:ascii="Times New Roman" w:eastAsia="Times New Roman" w:hAnsi="Times New Roman" w:cs="Times New Roman"/>
                <w:b/>
                <w:bCs/>
                <w:sz w:val="17"/>
                <w:szCs w:val="17"/>
              </w:rPr>
              <w:t xml:space="preserve">4</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2527" w:type="dxa"/>
          </w:tcPr>
          <w:p>
            <w:pPr>
              <w:jc w:val="left"/>
              <w:rPr>
                <w:vertAlign w:val="baseline"/>
              </w:rPr>
            </w:pPr>
          </w:p>
        </w:tc>
        <w:tc>
          <w:tcPr>
            <w:tcW w:w="2161" w:type="dxa"/>
          </w:tcPr>
          <w:p>
            <w:pPr>
              <w:jc w:val="left"/>
              <w:rPr>
                <w:vertAlign w:val="baseline"/>
              </w:rPr>
            </w:pPr>
          </w:p>
        </w:tc>
        <w:tc>
          <w:tcPr>
            <w:tcW w:w="2162" w:type="dxa"/>
            <w:vAlign w:val="center"/>
          </w:tcPr>
          <w:p>
            <w:pPr>
              <w:pStyle w:val="Other|1"/>
              <w:spacing w:line="240" w:lineRule="auto"/>
              <w:ind w:firstLine="0" w:firstLineChars="0"/>
              <w:jc w:val="left"/>
              <w:rPr>
                <w:vertAlign w:val="baseline"/>
              </w:rPr>
            </w:pPr>
            <w:r>
              <w:rPr>
                <w:sz w:val="17"/>
                <w:szCs w:val="17"/>
              </w:rPr>
              <w:t xml:space="preserve">合计</w:t>
            </w:r>
          </w:p>
        </w:tc>
        <w:tc>
          <w:tcPr>
            <w:tcW w:w="2222" w:type="dxa"/>
            <w:vAlign w:val="center"/>
          </w:tcPr>
          <w:p>
            <w:pPr>
              <w:pStyle w:val="Other|1"/>
              <w:spacing w:line="240" w:lineRule="auto"/>
              <w:ind w:left="1700" w:firstLine="0" w:leftChars="0" w:firstLineChars="0"/>
              <w:jc w:val="right"/>
              <w:rPr>
                <w:vertAlign w:val="baseline"/>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2161" w:type="dxa"/>
            <w:vAlign w:val="center"/>
          </w:tcPr>
          <w:p>
            <w:pPr>
              <w:pStyle w:val="Other|1"/>
              <w:spacing w:line="240" w:lineRule="auto"/>
              <w:ind w:firstLine="0" w:firstLineChars="0"/>
              <w:jc w:val="right"/>
              <w:rPr>
                <w:vertAlign w:val="baseline"/>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2161" w:type="dxa"/>
            <w:vAlign w:val="center"/>
          </w:tcPr>
          <w:p>
            <w:pPr>
              <w:pStyle w:val="Other|1"/>
              <w:spacing w:line="240" w:lineRule="auto"/>
              <w:ind w:firstLine="0" w:firstLineChars="0"/>
              <w:jc w:val="right"/>
              <w:rPr>
                <w:vertAlign w:val="baseline"/>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2163" w:type="dxa"/>
            <w:vAlign w:val="center"/>
          </w:tcPr>
          <w:p>
            <w:pPr>
              <w:pStyle w:val="Other|1"/>
              <w:spacing w:line="240" w:lineRule="auto"/>
              <w:ind w:firstLine="0" w:firstLineChars="0"/>
              <w:jc w:val="right"/>
              <w:rPr>
                <w:vertAlign w:val="baseline"/>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5557" w:type="dxa"/>
            <w:gridSpan w:val="7"/>
            <w:tcBorders>
              <w:left w:val="nil"/>
              <w:bottom w:val="nil"/>
              <w:right w:val="nil"/>
            </w:tcBorders>
          </w:tcPr>
          <w:p>
            <w:pPr>
              <w:pStyle w:val="Tablecaption|1"/>
              <w:spacing w:line="302" w:lineRule="exact"/>
              <w:ind w:left="672"/>
              <w:jc w:val="left"/>
              <w:rPr>
                <w:rFonts w:ascii="宋体" w:eastAsia="宋体" w:hAnsi="宋体" w:cs="宋体" w:hint="eastAsia"/>
                <w:b w:val="0"/>
                <w:bCs w:val="0"/>
              </w:rPr>
            </w:pPr>
            <w:r>
              <w:rPr>
                <w:rFonts w:ascii="宋体" w:eastAsia="宋体" w:hAnsi="宋体" w:cs="宋体" w:hint="eastAsia"/>
                <w:b w:val="0"/>
                <w:bCs w:val="0"/>
              </w:rPr>
              <w:t xml:space="preserve">注：本报表金额单位转换时可能存在四舍五入尾数误差。本部门</w:t>
            </w:r>
            <w:r>
              <w:rPr>
                <w:rFonts w:ascii="宋体" w:eastAsia="宋体" w:hAnsi="宋体" w:cs="宋体" w:hint="eastAsia"/>
                <w:b w:val="0"/>
                <w:bCs w:val="0"/>
                <w:lang w:eastAsia="zh-CN"/>
              </w:rPr>
              <w:t xml:space="preserve">2024</w:t>
            </w:r>
            <w:r>
              <w:rPr>
                <w:rFonts w:ascii="宋体" w:eastAsia="宋体" w:hAnsi="宋体" w:cs="宋体"/>
                <w:u w:color="auto"/>
              </w:rPr>
              <w:t xml:space="preserve">年</w:t>
            </w:r>
            <w:r>
              <w:rPr>
                <w:rFonts w:ascii="宋体" w:eastAsia="宋体" w:hAnsi="宋体" w:cs="宋体" w:hint="eastAsia"/>
                <w:b w:val="0"/>
                <w:bCs w:val="0"/>
              </w:rPr>
              <w:t xml:space="preserve">度没有国有资本经营预算支出，故本表无数据</w:t>
            </w:r>
          </w:p>
          <w:p>
            <w:pPr>
              <w:pStyle w:val="Tablecaption|1"/>
              <w:bidi w:val="0"/>
              <w:jc w:val="both"/>
              <w:rPr>
                <w:vertAlign w:val="baseline"/>
              </w:rPr>
            </w:pPr>
          </w:p>
        </w:tc>
      </w:tr>
    </w:tbl>
    <w:p>
      <w:pPr>
        <w:pStyle w:val="Tablecaption|1"/>
        <w:bidi w:val="0"/>
      </w:pPr>
    </w:p>
    <w:p>
      <w:pPr/>
      <w:r>
        <w:br w:type="page"/>
      </w:r>
    </w:p>
    <w:p>
      <w:pPr>
        <w:pStyle w:val="Heading#2|1"/>
        <w:keepNext/>
        <w:keepLines/>
        <w:spacing w:after="240"/>
        <w:jc w:val="center"/>
        <w:rPr>
          <w:rFonts w:eastAsia="宋体" w:hint="default"/>
          <w:lang w:val="en-US" w:eastAsia="zh-CN"/>
        </w:rPr>
      </w:pPr>
      <w:r>
        <w:rPr>
          <w:rFonts w:hint="eastAsia"/>
          <w:lang w:val="en-US" w:eastAsia="zh-CN"/>
        </w:rPr>
        <w:t xml:space="preserve">2024年度预算项目绩效目标公开表</w:t>
      </w:r>
    </w:p>
    <w:tbl>
      <w:tblPr>
        <w:tblStyle w:val="NormalTable"/>
        <w:tblW w:w="0" w:type="auto"/>
        <w:tblInd w:w="0" w:type="dxa"/>
        <w:tblLayout w:type="fixed"/>
        <w:tblCellMar>
          <w:top w:w="0" w:type="dxa"/>
          <w:left w:w="10" w:type="dxa"/>
          <w:bottom w:w="0" w:type="dxa"/>
          <w:right w:w="10" w:type="dxa"/>
        </w:tblCellMar>
        <w:tblLook w:firstRow="0" w:lastRow="0" w:firstColumn="0" w:lastColumn="0" w:noHBand="1" w:noVBand="1"/>
      </w:tblPr>
      <w:tblGrid>
        <w:gridCol w:w="1843"/>
        <w:gridCol w:w="2559"/>
        <w:gridCol w:w="3350"/>
        <w:gridCol w:w="1511"/>
        <w:gridCol w:w="6076"/>
      </w:tblGrid>
      <w:tr>
        <w:tblPrEx>
          <w:tblW w:w="0" w:type="auto"/>
          <w:tblInd w:w="0" w:type="dxa"/>
          <w:tblLayout w:type="fixed"/>
          <w:tblCellMar>
            <w:top w:w="0" w:type="dxa"/>
            <w:left w:w="10" w:type="dxa"/>
            <w:bottom w:w="0" w:type="dxa"/>
            <w:right w:w="10" w:type="dxa"/>
          </w:tblCellMar>
        </w:tblPrEx>
        <w:trPr>
          <w:cantSplit/>
          <w:trHeight w:hRule="exact" w:val="346"/>
        </w:trPr>
        <w:tc>
          <w:tcPr>
            <w:tcW w:w="9263" w:type="dxa"/>
            <w:gridSpan w:val="4"/>
            <w:shd w:val="clear" w:color="auto" w:fill="FFFFFF"/>
          </w:tcPr>
          <w:p>
            <w:pPr>
              <w:pStyle w:val="Other|1"/>
              <w:spacing w:line="240" w:lineRule="auto"/>
              <w:ind w:firstLine="0"/>
              <w:jc w:val="left"/>
              <w:rPr>
                <w:rFonts w:ascii="宋体" w:eastAsia="宋体" w:hAnsi="宋体" w:cs="宋体" w:hint="default"/>
                <w:sz w:val="17"/>
                <w:szCs w:val="17"/>
                <w:lang w:val="en-US"/>
              </w:rPr>
            </w:pPr>
            <w:r>
              <w:rPr>
                <w:rFonts w:ascii="宋体" w:eastAsia="宋体" w:hAnsi="宋体" w:cs="宋体" w:hint="eastAsia"/>
                <w:sz w:val="17"/>
                <w:szCs w:val="17"/>
              </w:rPr>
              <w:t xml:space="preserve">单位名称：</w:t>
            </w:r>
            <w:r>
              <w:rPr>
                <w:rFonts w:ascii="宋体" w:eastAsia="宋体" w:hAnsi="宋体" w:cs="宋体" w:hint="eastAsia"/>
                <w:sz w:val="17"/>
                <w:szCs w:val="17"/>
                <w:lang w:eastAsia="zh-CN"/>
              </w:rPr>
              <w:t xml:space="preserve">环江毛南族自治县人民代表大会常务委员会</w:t>
            </w:r>
          </w:p>
        </w:tc>
        <w:tc>
          <w:tcPr>
            <w:tcW w:w="6076" w:type="dxa"/>
            <w:shd w:val="clear" w:color="auto" w:fill="FFFFFF"/>
          </w:tcPr>
          <w:p>
            <w:pPr>
              <w:pStyle w:val="Other|1"/>
              <w:spacing w:line="240" w:lineRule="auto"/>
              <w:ind w:firstLine="4760" w:firstLineChars="2800"/>
              <w:jc w:val="left"/>
              <w:rPr>
                <w:rFonts w:ascii="宋体" w:eastAsia="宋体" w:hAnsi="宋体" w:cs="宋体" w:hint="eastAsia"/>
                <w:sz w:val="17"/>
                <w:szCs w:val="17"/>
              </w:rPr>
            </w:pPr>
            <w:r>
              <w:rPr>
                <w:rFonts w:ascii="宋体" w:eastAsia="宋体" w:hAnsi="宋体" w:cs="宋体" w:hint="eastAsia"/>
                <w:sz w:val="17"/>
                <w:szCs w:val="17"/>
              </w:rPr>
              <w:t xml:space="preserve">单位：万元</w:t>
            </w:r>
          </w:p>
        </w:tc>
      </w:tr>
      <w:tr>
        <w:tblPrEx>
          <w:tblW w:w="0" w:type="auto"/>
          <w:tblInd w:w="0" w:type="dxa"/>
          <w:tblLayout w:type="fixed"/>
          <w:tblCellMar>
            <w:top w:w="0" w:type="dxa"/>
            <w:left w:w="10" w:type="dxa"/>
            <w:bottom w:w="0" w:type="dxa"/>
            <w:right w:w="10" w:type="dxa"/>
          </w:tblCellMar>
        </w:tblPrEx>
        <w:trPr>
          <w:cantSplit/>
          <w:trHeight w:hRule="exact" w:val="854"/>
        </w:trPr>
        <w:tc>
          <w:tcPr>
            <w:tcW w:w="1843"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center"/>
              <w:rPr>
                <w:rFonts w:ascii="宋体" w:eastAsia="宋体" w:hAnsi="宋体" w:cs="宋体" w:hint="eastAsia"/>
                <w:sz w:val="17"/>
                <w:szCs w:val="17"/>
                <w:lang w:val="en-US" w:eastAsia="zh-CN"/>
              </w:rPr>
            </w:pPr>
            <w:r>
              <w:rPr>
                <w:rFonts w:ascii="宋体" w:eastAsia="宋体" w:hAnsi="宋体" w:cs="宋体"/>
                <w:sz w:val="17"/>
                <w:u w:color="auto"/>
              </w:rPr>
              <w:t xml:space="preserve">单位代码</w:t>
            </w:r>
          </w:p>
        </w:tc>
        <w:tc>
          <w:tcPr>
            <w:tcW w:w="2559"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40"/>
              <w:jc w:val="center"/>
              <w:rPr>
                <w:rFonts w:ascii="宋体" w:eastAsia="宋体" w:hAnsi="宋体" w:cs="宋体" w:hint="eastAsia"/>
                <w:sz w:val="17"/>
                <w:szCs w:val="17"/>
                <w:lang w:val="en-US" w:eastAsia="zh-CN"/>
              </w:rPr>
            </w:pPr>
            <w:r>
              <w:rPr>
                <w:rFonts w:ascii="宋体" w:eastAsia="宋体" w:hAnsi="宋体" w:cs="宋体" w:hint="eastAsia"/>
                <w:sz w:val="17"/>
                <w:szCs w:val="17"/>
                <w:lang w:val="en-US" w:eastAsia="zh-CN"/>
              </w:rPr>
              <w:t xml:space="preserve">单位名称</w:t>
            </w:r>
          </w:p>
        </w:tc>
        <w:tc>
          <w:tcPr>
            <w:tcW w:w="335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center"/>
              <w:rPr>
                <w:rFonts w:ascii="宋体" w:eastAsia="宋体" w:hAnsi="宋体" w:cs="宋体" w:hint="eastAsia"/>
                <w:sz w:val="17"/>
                <w:szCs w:val="17"/>
                <w:lang w:val="en-US" w:eastAsia="zh-CN"/>
              </w:rPr>
            </w:pPr>
            <w:r>
              <w:rPr>
                <w:rFonts w:ascii="宋体" w:eastAsia="宋体" w:hAnsi="宋体" w:cs="宋体" w:hint="eastAsia"/>
                <w:sz w:val="17"/>
                <w:szCs w:val="17"/>
                <w:lang w:val="en-US" w:eastAsia="zh-CN"/>
              </w:rPr>
              <w:t xml:space="preserve">项目名称</w:t>
            </w:r>
          </w:p>
        </w:tc>
        <w:tc>
          <w:tcPr>
            <w:tcW w:w="1511"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center"/>
              <w:rPr>
                <w:rFonts w:ascii="宋体" w:eastAsia="宋体" w:hAnsi="宋体" w:cs="宋体" w:hint="eastAsia"/>
                <w:sz w:val="17"/>
                <w:szCs w:val="17"/>
                <w:lang w:val="en-US" w:eastAsia="zh-CN"/>
              </w:rPr>
            </w:pPr>
            <w:r>
              <w:rPr>
                <w:rFonts w:ascii="宋体" w:eastAsia="宋体" w:hAnsi="宋体" w:cs="宋体" w:hint="eastAsia"/>
                <w:sz w:val="17"/>
                <w:szCs w:val="17"/>
                <w:lang w:val="en-US" w:eastAsia="zh-CN"/>
              </w:rPr>
              <w:t xml:space="preserve">预算金额</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center"/>
              <w:rPr>
                <w:rFonts w:ascii="宋体" w:eastAsia="宋体" w:hAnsi="宋体" w:cs="宋体" w:hint="eastAsia"/>
                <w:sz w:val="17"/>
                <w:szCs w:val="17"/>
                <w:lang w:val="en-US" w:eastAsia="zh-CN"/>
              </w:rPr>
            </w:pPr>
            <w:r>
              <w:rPr>
                <w:rFonts w:ascii="宋体" w:eastAsia="宋体" w:hAnsi="宋体" w:cs="宋体" w:hint="eastAsia"/>
                <w:sz w:val="17"/>
                <w:szCs w:val="17"/>
                <w:lang w:val="en-US" w:eastAsia="zh-CN"/>
              </w:rPr>
              <w:t xml:space="preserve">年度绩效目标</w:t>
            </w:r>
          </w:p>
        </w:tc>
      </w:tr>
      <w:tr>
        <w:tblPrEx>
          <w:tblW w:w="0" w:type="auto"/>
          <w:tblInd w:w="0" w:type="dxa"/>
          <w:tblLayout w:type="fixed"/>
          <w:tblCellMar>
            <w:top w:w="0" w:type="dxa"/>
            <w:left w:w="10" w:type="dxa"/>
            <w:bottom w:w="0" w:type="dxa"/>
            <w:right w:w="10" w:type="dxa"/>
          </w:tblCellMar>
        </w:tblPrEx>
        <w:trPr>
          <w:cantSplit/>
          <w:trHeight w:hRule="auto" w:val="0"/>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103001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环江毛南族自治县人民代表大会常务委员会</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办公设备购置</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9.60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满足日常办公所需</w:t>
            </w:r>
          </w:p>
        </w:tc>
      </w:tr>
      <w:tr>
        <w:tblPrEx>
          <w:tblW w:w="0" w:type="auto"/>
          <w:tblInd w:w="0" w:type="dxa"/>
          <w:tblLayout w:type="fixed"/>
          <w:tblCellMar>
            <w:top w:w="0" w:type="dxa"/>
            <w:left w:w="10" w:type="dxa"/>
            <w:bottom w:w="0" w:type="dxa"/>
            <w:right w:w="10" w:type="dxa"/>
          </w:tblCellMar>
        </w:tblPrEx>
        <w:trPr>
          <w:cantSplit/>
          <w:trHeight w:hRule="auto" w:val="0"/>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103001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环江毛南族自治县人民代表大会常务委员会</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”代表风采“宣传经费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2.00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加强人大制度理论研究和宣传工作</w:t>
            </w:r>
          </w:p>
        </w:tc>
      </w:tr>
      <w:tr>
        <w:tblPrEx>
          <w:tblW w:w="0" w:type="auto"/>
          <w:tblInd w:w="0" w:type="dxa"/>
          <w:tblLayout w:type="fixed"/>
          <w:tblCellMar>
            <w:top w:w="0" w:type="dxa"/>
            <w:left w:w="10" w:type="dxa"/>
            <w:bottom w:w="0" w:type="dxa"/>
            <w:right w:w="10" w:type="dxa"/>
          </w:tblCellMar>
        </w:tblPrEx>
        <w:trPr>
          <w:cantSplit/>
          <w:trHeight w:hRule="auto" w:val="0"/>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103001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环江毛南族自治县人民代表大会常务委员会</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人大业务经费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82.00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切实保障人大机关工作顺利开展</w:t>
            </w:r>
          </w:p>
        </w:tc>
      </w:tr>
      <w:tr>
        <w:tblPrEx>
          <w:tblW w:w="0" w:type="auto"/>
          <w:tblInd w:w="0" w:type="dxa"/>
          <w:tblLayout w:type="fixed"/>
          <w:tblCellMar>
            <w:top w:w="0" w:type="dxa"/>
            <w:left w:w="10" w:type="dxa"/>
            <w:bottom w:w="0" w:type="dxa"/>
            <w:right w:w="10" w:type="dxa"/>
          </w:tblCellMar>
        </w:tblPrEx>
        <w:trPr>
          <w:cantSplit/>
          <w:trHeight w:hRule="auto" w:val="0"/>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103001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环江毛南族自治县人民代表大会常务委员会</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人大机关党支部组织生活经费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0.40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进一步增强党组织的创造力、凝聚力和战斗力。</w:t>
            </w:r>
          </w:p>
        </w:tc>
      </w:tr>
      <w:tr>
        <w:tblPrEx>
          <w:tblW w:w="0" w:type="auto"/>
          <w:tblInd w:w="0" w:type="dxa"/>
          <w:tblLayout w:type="fixed"/>
          <w:tblCellMar>
            <w:top w:w="0" w:type="dxa"/>
            <w:left w:w="10" w:type="dxa"/>
            <w:bottom w:w="0" w:type="dxa"/>
            <w:right w:w="10" w:type="dxa"/>
          </w:tblCellMar>
        </w:tblPrEx>
        <w:trPr>
          <w:cantSplit/>
          <w:trHeight w:hRule="auto" w:val="0"/>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103001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环江毛南族自治县人民代表大会常务委员会</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自治县人民代表大会经费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25.00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县级人大代表集中依法行使职权，讨论和决定全县重大事项</w:t>
            </w:r>
          </w:p>
        </w:tc>
      </w:tr>
      <w:tr>
        <w:tblPrEx>
          <w:tblW w:w="0" w:type="auto"/>
          <w:tblInd w:w="0" w:type="dxa"/>
          <w:tblLayout w:type="fixed"/>
          <w:tblCellMar>
            <w:top w:w="0" w:type="dxa"/>
            <w:left w:w="10" w:type="dxa"/>
            <w:bottom w:w="0" w:type="dxa"/>
            <w:right w:w="10" w:type="dxa"/>
          </w:tblCellMar>
        </w:tblPrEx>
        <w:trPr>
          <w:cantSplit/>
          <w:trHeight w:hRule="auto" w:val="0"/>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103001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环江毛南族自治县人民代表大会常务委员会</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县级人大代表履职活动费用</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40.40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增强县级人大代表履职的积极性和主动性</w:t>
            </w:r>
          </w:p>
        </w:tc>
      </w:tr>
      <w:tr>
        <w:tblPrEx>
          <w:tblW w:w="0" w:type="auto"/>
          <w:tblInd w:w="0" w:type="dxa"/>
          <w:tblLayout w:type="fixed"/>
          <w:tblCellMar>
            <w:top w:w="0" w:type="dxa"/>
            <w:left w:w="10" w:type="dxa"/>
            <w:bottom w:w="0" w:type="dxa"/>
            <w:right w:w="10" w:type="dxa"/>
          </w:tblCellMar>
        </w:tblPrEx>
        <w:trPr>
          <w:cantSplit/>
          <w:trHeight w:hRule="auto" w:val="0"/>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103001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环江毛南族自治县人民代表大会常务委员会</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全国少数民族自治县人大工作联席会议费用</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39.00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充分理解、吸收各少数民族自治县（旗）的好经验好做法，进一步推进我县经济社会高质量发展；加大铸牢中华民族共同体意识、人大民族团结工作的宣传力度</w:t>
            </w:r>
          </w:p>
        </w:tc>
      </w:tr>
      <w:tr>
        <w:tblPrEx>
          <w:tblW w:w="0" w:type="auto"/>
          <w:tblInd w:w="0" w:type="dxa"/>
          <w:tblLayout w:type="fixed"/>
          <w:tblCellMar>
            <w:top w:w="0" w:type="dxa"/>
            <w:left w:w="10" w:type="dxa"/>
            <w:bottom w:w="0" w:type="dxa"/>
            <w:right w:w="10" w:type="dxa"/>
          </w:tblCellMar>
        </w:tblPrEx>
        <w:trPr>
          <w:cantSplit/>
          <w:trHeight w:hRule="auto" w:val="0"/>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103001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环江毛南族自治县人民代表大会常务委员会</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人大常委会会议经费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6.00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依法任免国家机关工作人员、审议通过全县重大事项</w:t>
            </w:r>
          </w:p>
        </w:tc>
      </w:tr>
      <w:tr>
        <w:tblPrEx>
          <w:tblW w:w="0" w:type="auto"/>
          <w:tblInd w:w="0" w:type="dxa"/>
          <w:tblLayout w:type="fixed"/>
          <w:tblCellMar>
            <w:top w:w="0" w:type="dxa"/>
            <w:left w:w="10" w:type="dxa"/>
            <w:bottom w:w="0" w:type="dxa"/>
            <w:right w:w="10" w:type="dxa"/>
          </w:tblCellMar>
        </w:tblPrEx>
        <w:trPr>
          <w:cantSplit/>
          <w:trHeight w:hRule="auto" w:val="0"/>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103001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环江毛南族自治县人民代表大会常务委员会</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人大立法工作经费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15.50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适应新时代我区民族团结进步新要求、用足用好用活民族自治地方立法权。</w:t>
            </w:r>
          </w:p>
        </w:tc>
      </w:tr>
      <w:tr>
        <w:tblPrEx>
          <w:tblW w:w="0" w:type="auto"/>
          <w:tblInd w:w="0" w:type="dxa"/>
          <w:tblLayout w:type="fixed"/>
          <w:tblCellMar>
            <w:top w:w="0" w:type="dxa"/>
            <w:left w:w="10" w:type="dxa"/>
            <w:bottom w:w="0" w:type="dxa"/>
            <w:right w:w="10" w:type="dxa"/>
          </w:tblCellMar>
        </w:tblPrEx>
        <w:trPr>
          <w:cantSplit/>
          <w:trHeight w:hRule="auto" w:val="0"/>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103001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环江毛南族自治县人民代表大会常务委员会</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人大监督工作经费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4.00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为人大及其常委会依法开展监督工作提供科学依据。</w:t>
            </w:r>
          </w:p>
        </w:tc>
      </w:tr>
      <w:tr>
        <w:tblPrEx>
          <w:tblW w:w="0" w:type="auto"/>
          <w:tblInd w:w="0" w:type="dxa"/>
          <w:tblLayout w:type="fixed"/>
          <w:tblCellMar>
            <w:top w:w="0" w:type="dxa"/>
            <w:left w:w="10" w:type="dxa"/>
            <w:bottom w:w="0" w:type="dxa"/>
            <w:right w:w="10" w:type="dxa"/>
          </w:tblCellMar>
        </w:tblPrEx>
        <w:trPr>
          <w:cantSplit/>
          <w:trHeight w:hRule="auto" w:val="0"/>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103001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环江毛南族自治县人民代表大会常务委员会</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乡镇人民代表大会经费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31.10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乡镇人大代表集中依法行使职权，讨论和决定本乡镇重大事项。</w:t>
            </w:r>
          </w:p>
        </w:tc>
      </w:tr>
      <w:tr>
        <w:tblPrEx>
          <w:tblW w:w="0" w:type="auto"/>
          <w:tblInd w:w="0" w:type="dxa"/>
          <w:tblLayout w:type="fixed"/>
          <w:tblCellMar>
            <w:top w:w="0" w:type="dxa"/>
            <w:left w:w="10" w:type="dxa"/>
            <w:bottom w:w="0" w:type="dxa"/>
            <w:right w:w="10" w:type="dxa"/>
          </w:tblCellMar>
        </w:tblPrEx>
        <w:trPr>
          <w:cantSplit/>
          <w:trHeight w:hRule="auto" w:val="0"/>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103001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环江毛南族自治县人民代表大会常务委员会</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乡镇人大代表履职活动费用</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70.00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增强乡镇人大代表履职的积极性和主动性</w:t>
            </w:r>
          </w:p>
        </w:tc>
      </w:tr>
      <w:tr>
        <w:tblPrEx>
          <w:tblW w:w="0" w:type="auto"/>
          <w:tblInd w:w="0" w:type="dxa"/>
          <w:tblLayout w:type="fixed"/>
          <w:tblCellMar>
            <w:top w:w="0" w:type="dxa"/>
            <w:left w:w="10" w:type="dxa"/>
            <w:bottom w:w="0" w:type="dxa"/>
            <w:right w:w="10" w:type="dxa"/>
          </w:tblCellMar>
        </w:tblPrEx>
        <w:trPr>
          <w:cantSplit/>
          <w:trHeight w:hRule="auto" w:val="0"/>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103001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环江毛南族自治县人民代表大会常务委员会</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人大机关运转经费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25.00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保障人大机关办公正常运转。</w:t>
            </w:r>
          </w:p>
        </w:tc>
      </w:tr>
    </w:tbl>
    <w:p>
      <w:pPr>
        <w:jc w:val="left"/>
        <w:rPr>
          <w:rFonts w:hint="eastAsia"/>
        </w:rPr>
      </w:pPr>
      <w:r>
        <w:t xml:space="preserve">注：本报表金额单位转换时可能存在四舍五入</w:t>
      </w:r>
      <w:bookmarkStart w:id="31" w:name="_GoBack"/>
      <w:bookmarkEnd w:id="31"/>
      <w:r>
        <w:t xml:space="preserve">尾数误差。</w:t>
      </w:r>
    </w:p>
    <w:p>
      <w:pPr>
        <w:jc w:val="left"/>
        <w:rPr>
          <w:rFonts w:hint="eastAsia"/>
          <w:lang w:eastAsia="zh-CN"/>
        </w:rPr>
        <w:sectPr>
          <w:headerReference w:type="default" r:id="rId20"/>
          <w:footerReference w:type="default" r:id="rId21"/>
          <w:pgSz w:w="16840" w:h="11900" w:orient="landscape"/>
          <w:pgMar w:top="2714" w:right="764" w:bottom="2714" w:left="735" w:header="2286" w:footer="1474" w:gutter="0"/>
          <w:pgBorders>
            <w:top w:val="none" w:sz="0" w:space="0" w:color="auto"/>
            <w:left w:val="none" w:sz="0" w:space="0" w:color="auto"/>
            <w:bottom w:val="none" w:sz="0" w:space="0" w:color="auto"/>
            <w:right w:val="none" w:sz="0" w:space="0" w:color="auto"/>
          </w:pgBorders>
          <w:pgNumType w:fmt="decimal"/>
          <w:cols w:num="1" w:space="720">
            <w:col w:w="15341" w:space="720"/>
          </w:cols>
          <w:docGrid w:linePitch="360" w:charSpace="0"/>
        </w:sectPr>
      </w:pPr>
    </w:p>
    <w:p>
      <w:pPr>
        <w:pStyle w:val="Heading#1|1"/>
        <w:keepNext/>
        <w:keepLines/>
        <w:spacing w:before="200" w:after="0"/>
        <w:jc w:val="center"/>
        <w:rPr>
          <w:sz w:val="40"/>
          <w:szCs w:val="40"/>
        </w:rPr>
      </w:pPr>
      <w:bookmarkStart w:id="32" w:name="bookmark95"/>
      <w:bookmarkStart w:id="33" w:name="bookmark94"/>
      <w:bookmarkStart w:id="34" w:name="bookmark96"/>
      <w:r>
        <w:rPr>
          <w:sz w:val="40"/>
          <w:szCs w:val="40"/>
        </w:rPr>
        <w:t xml:space="preserve">第四部</w:t>
      </w:r>
      <w:r>
        <w:rPr>
          <w:sz w:val="40"/>
          <w:szCs w:val="40"/>
        </w:rPr>
        <w:t xml:space="preserve">分名词解释</w:t>
      </w:r>
      <w:bookmarkEnd w:id="32"/>
      <w:bookmarkEnd w:id="33"/>
      <w:bookmarkEnd w:id="34"/>
    </w:p>
    <w:p>
      <w:pPr>
        <w:pStyle w:val="Bodytext|1"/>
        <w:tabs>
          <w:tab w:val="left" w:pos="1270"/>
        </w:tabs>
        <w:spacing w:line="626" w:lineRule="exact"/>
        <w:ind w:firstLine="640"/>
        <w:jc w:val="left"/>
      </w:pPr>
      <w:bookmarkStart w:id="35" w:name="bookmark97"/>
      <w:r>
        <w:t xml:space="preserve">一</w:t>
      </w:r>
      <w:bookmarkEnd w:id="35"/>
      <w:r>
        <w:t xml:space="preserve">、</w:t>
      </w:r>
      <w:r>
        <w:tab/>
      </w:r>
      <w:r>
        <w:t xml:space="preserve">财政拨款收入：指预算单位从本级财政部门取得的财政预算资金收入。</w:t>
      </w:r>
    </w:p>
    <w:p>
      <w:pPr>
        <w:pStyle w:val="Bodytext|1"/>
        <w:tabs>
          <w:tab w:val="left" w:pos="1280"/>
        </w:tabs>
        <w:spacing w:line="626" w:lineRule="exact"/>
        <w:ind w:firstLine="640"/>
        <w:jc w:val="left"/>
      </w:pPr>
      <w:bookmarkStart w:id="36" w:name="bookmark98"/>
      <w:r>
        <w:t xml:space="preserve">二</w:t>
      </w:r>
      <w:bookmarkEnd w:id="36"/>
      <w:r>
        <w:t xml:space="preserve">、</w:t>
      </w:r>
      <w:r>
        <w:tab/>
      </w:r>
      <w:r>
        <w:t xml:space="preserve">事业收入：指事业单位开展专业业务活动及辅助活动所取得的收入。</w:t>
      </w:r>
    </w:p>
    <w:p>
      <w:pPr>
        <w:pStyle w:val="Bodytext|1"/>
        <w:tabs>
          <w:tab w:val="left" w:pos="1275"/>
        </w:tabs>
        <w:spacing w:line="626" w:lineRule="exact"/>
        <w:ind w:firstLine="640"/>
        <w:jc w:val="left"/>
      </w:pPr>
      <w:bookmarkStart w:id="37" w:name="bookmark99"/>
      <w:r>
        <w:t xml:space="preserve">三</w:t>
      </w:r>
      <w:bookmarkEnd w:id="37"/>
      <w:r>
        <w:t xml:space="preserve">、</w:t>
      </w:r>
      <w:r>
        <w:tab/>
      </w:r>
      <w:r>
        <w:t xml:space="preserve">经营收入：指事业单位在专业业务活动及其辅助活动之外开展非独立核算经营活动取得的收入。</w:t>
      </w:r>
    </w:p>
    <w:p>
      <w:pPr>
        <w:pStyle w:val="Bodytext|1"/>
        <w:tabs>
          <w:tab w:val="left" w:pos="1309"/>
        </w:tabs>
        <w:spacing w:line="626" w:lineRule="exact"/>
        <w:ind w:firstLine="640"/>
        <w:jc w:val="left"/>
      </w:pPr>
      <w:bookmarkStart w:id="38" w:name="bookmark100"/>
      <w:r>
        <w:t xml:space="preserve">四</w:t>
      </w:r>
      <w:bookmarkEnd w:id="38"/>
      <w:r>
        <w:t xml:space="preserve">、</w:t>
      </w:r>
      <w:r>
        <w:tab/>
      </w:r>
      <w:r>
        <w:t xml:space="preserve">其他收入：指除上述</w:t>
      </w:r>
      <w:r>
        <w:rPr>
          <w:lang w:val="zh-CN" w:eastAsia="zh-CN" w:bidi="zh-CN"/>
        </w:rPr>
        <w:t xml:space="preserve">“财</w:t>
      </w:r>
      <w:r>
        <w:t xml:space="preserve">政拨款收入”、</w:t>
      </w:r>
      <w:r>
        <w:rPr>
          <w:lang w:val="zh-CN" w:eastAsia="zh-CN" w:bidi="zh-CN"/>
        </w:rPr>
        <w:t xml:space="preserve">“事</w:t>
      </w:r>
      <w:r>
        <w:t xml:space="preserve">业收入"、</w:t>
      </w:r>
      <w:r>
        <w:rPr>
          <w:lang w:val="zh-CN" w:eastAsia="zh-CN" w:bidi="zh-CN"/>
        </w:rPr>
        <w:t xml:space="preserve">“经营</w:t>
      </w:r>
      <w:r>
        <w:t xml:space="preserve">收入"等以外的收入。主要是非本级财政拨款、存款利息收入、事业单位固定资产出租收入等。</w:t>
      </w:r>
    </w:p>
    <w:p>
      <w:pPr>
        <w:pStyle w:val="Bodytext|1"/>
        <w:tabs>
          <w:tab w:val="left" w:pos="1275"/>
        </w:tabs>
        <w:spacing w:line="626" w:lineRule="exact"/>
        <w:ind w:firstLine="640"/>
        <w:jc w:val="left"/>
      </w:pPr>
      <w:bookmarkStart w:id="39" w:name="bookmark101"/>
      <w:r>
        <w:t xml:space="preserve">五</w:t>
      </w:r>
      <w:bookmarkEnd w:id="39"/>
      <w:r>
        <w:t xml:space="preserve">、</w:t>
      </w:r>
      <w:r>
        <w:tab/>
      </w:r>
      <w:r>
        <w:t xml:space="preserve">用事业基金弥补收支差额：指事业单位在用当年的</w:t>
      </w:r>
      <w:r>
        <w:rPr>
          <w:lang w:val="zh-CN" w:eastAsia="zh-CN" w:bidi="zh-CN"/>
        </w:rPr>
        <w:t xml:space="preserve">“财</w:t>
      </w:r>
      <w:r>
        <w:t xml:space="preserve">政拨款收入"、</w:t>
      </w:r>
      <w:r>
        <w:rPr>
          <w:lang w:val="zh-CN" w:eastAsia="zh-CN" w:bidi="zh-CN"/>
        </w:rPr>
        <w:t xml:space="preserve">“事业</w:t>
      </w:r>
      <w:r>
        <w:t xml:space="preserve">收入"、</w:t>
      </w:r>
      <w:r>
        <w:rPr>
          <w:lang w:val="zh-CN" w:eastAsia="zh-CN" w:bidi="zh-CN"/>
        </w:rPr>
        <w:t xml:space="preserve">“经营</w:t>
      </w:r>
      <w:r>
        <w:t xml:space="preserve">收入"、</w:t>
      </w:r>
      <w:r>
        <w:rPr>
          <w:lang w:val="zh-CN" w:eastAsia="zh-CN" w:bidi="zh-CN"/>
        </w:rPr>
        <w:t xml:space="preserve">“其他</w:t>
      </w:r>
      <w:r>
        <w:t xml:space="preserve">收入"不足以安排当年支出的情况下，使用以前年度积累的事业基金（事业单位当年收支相抵后按国家规定提取、用于弥补以后年度收支差额的基金）弥补本年度收支缺口的资金。</w:t>
      </w:r>
    </w:p>
    <w:p>
      <w:pPr>
        <w:pStyle w:val="Bodytext|1"/>
        <w:tabs>
          <w:tab w:val="left" w:pos="1270"/>
        </w:tabs>
        <w:spacing w:line="626" w:lineRule="exact"/>
        <w:ind w:firstLine="640"/>
        <w:jc w:val="left"/>
      </w:pPr>
      <w:bookmarkStart w:id="40" w:name="bookmark102"/>
      <w:r>
        <w:t xml:space="preserve">六</w:t>
      </w:r>
      <w:bookmarkEnd w:id="40"/>
      <w:r>
        <w:t xml:space="preserve">、</w:t>
      </w:r>
      <w:r>
        <w:tab/>
      </w:r>
      <w:r>
        <w:t xml:space="preserve">年初结转和结余：指以前年度尚未完成、结转到本年按有关规定继续使用的资金。</w:t>
      </w:r>
    </w:p>
    <w:p>
      <w:pPr>
        <w:pStyle w:val="Bodytext|1"/>
        <w:tabs>
          <w:tab w:val="left" w:pos="1275"/>
        </w:tabs>
        <w:spacing w:line="626" w:lineRule="exact"/>
        <w:ind w:firstLine="640"/>
        <w:jc w:val="left"/>
      </w:pPr>
      <w:bookmarkStart w:id="41" w:name="bookmark103"/>
      <w:r>
        <w:t xml:space="preserve">七</w:t>
      </w:r>
      <w:bookmarkEnd w:id="41"/>
      <w:r>
        <w:t xml:space="preserve">、</w:t>
      </w:r>
      <w:r>
        <w:tab/>
      </w:r>
      <w:r>
        <w:t xml:space="preserve">结余分配：指事业单位按规定提取的职工福利基金、事业基金和缴纳的所得税，以及建设单位按规定应交回的基本建设竣工项目结余资金。</w:t>
      </w:r>
    </w:p>
    <w:p>
      <w:pPr>
        <w:pStyle w:val="Bodytext|1"/>
        <w:tabs>
          <w:tab w:val="left" w:pos="632"/>
        </w:tabs>
        <w:spacing w:line="626" w:lineRule="exact"/>
        <w:ind w:firstLine="640"/>
        <w:jc w:val="left"/>
      </w:pPr>
      <w:bookmarkStart w:id="42" w:name="bookmark104"/>
      <w:r>
        <w:t xml:space="preserve">八</w:t>
      </w:r>
      <w:bookmarkEnd w:id="42"/>
      <w:r>
        <w:t xml:space="preserve">、</w:t>
      </w:r>
      <w:r>
        <w:tab/>
      </w:r>
      <w:r>
        <w:t xml:space="preserve">年末结转和结余：指本年度或以前年度预算安排、因客观条件发生变化无法按原计划实施，需要延迟到以后年度按有关规定继续使用的资金。</w:t>
      </w:r>
    </w:p>
    <w:p>
      <w:pPr>
        <w:pStyle w:val="Bodytext|1"/>
        <w:spacing w:line="628" w:lineRule="exact"/>
        <w:ind w:firstLine="640"/>
        <w:jc w:val="left"/>
      </w:pPr>
      <w:bookmarkStart w:id="43" w:name="bookmark105"/>
      <w:r>
        <w:t xml:space="preserve">九</w:t>
      </w:r>
      <w:bookmarkEnd w:id="43"/>
      <w:r>
        <w:t xml:space="preserve">、基本支出：指为保障机构正常运转、完成日常工作任务而发生的人员支出和公用支出。</w:t>
      </w:r>
    </w:p>
    <w:p>
      <w:pPr>
        <w:pStyle w:val="Bodytext|1"/>
        <w:spacing w:line="628" w:lineRule="exact"/>
        <w:ind w:firstLine="640"/>
        <w:jc w:val="left"/>
      </w:pPr>
      <w:r>
        <w:t xml:space="preserve">十、项目支出：指在基本支出之外为完成特定行政任务和事业发展目标所发生的支出。</w:t>
      </w:r>
    </w:p>
    <w:p>
      <w:pPr>
        <w:pStyle w:val="Bodytext|1"/>
        <w:spacing w:line="628" w:lineRule="exact"/>
        <w:ind w:firstLine="640"/>
        <w:jc w:val="left"/>
      </w:pPr>
      <w:r>
        <w:t xml:space="preserve">十一、经营支出：指事业单位在专业业务活动及其辅助活动之外开展非独立核算经营活动所发生的支出。</w:t>
      </w:r>
    </w:p>
    <w:p>
      <w:pPr>
        <w:pStyle w:val="Bodytext|1"/>
        <w:spacing w:line="628" w:lineRule="exact"/>
        <w:ind w:firstLine="640"/>
        <w:jc w:val="left"/>
      </w:pPr>
      <w:r>
        <w:t xml:space="preserve">十二、</w:t>
      </w:r>
      <w:r>
        <w:rPr>
          <w:lang w:val="zh-CN" w:eastAsia="zh-CN" w:bidi="zh-CN"/>
        </w:rPr>
        <w:t xml:space="preserve">“三</w:t>
      </w:r>
      <w:r>
        <w:t xml:space="preserve">公”经费：纳入财政预决算管理的</w:t>
      </w:r>
      <w:r>
        <w:rPr>
          <w:lang w:val="zh-CN" w:eastAsia="zh-CN" w:bidi="zh-CN"/>
        </w:rPr>
        <w:t xml:space="preserve">“三公</w:t>
      </w:r>
      <w:r>
        <w:t xml:space="preserve">”经费，是指市本级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pStyle w:val="Bodytext|1"/>
        <w:spacing w:line="628" w:lineRule="exact"/>
        <w:ind w:firstLine="640"/>
        <w:jc w:val="left"/>
      </w:pPr>
      <w:r>
        <w:t xml:space="preserve">十三、机关运行经费：为保障行政单位（含参照公务员法管理的事业单位、机关服务中心）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headerReference w:type="default" r:id="rId22"/>
      <w:footerReference w:type="default" r:id="rId23"/>
      <w:type w:val="continuous"/>
      <w:pgSz w:w="11900" w:h="16840" w:orient="portrait"/>
      <w:pgMar w:top="1302" w:right="1735" w:bottom="1568" w:left="1793" w:header="874" w:footer="1077" w:gutter="0"/>
      <w:pgBorders>
        <w:top w:val="none" w:sz="0" w:space="0" w:color="auto"/>
        <w:left w:val="none" w:sz="0" w:space="0" w:color="auto"/>
        <w:bottom w:val="none" w:sz="0" w:space="0" w:color="auto"/>
        <w:right w:val="none" w:sz="0" w:space="0" w:color="auto"/>
      </w:pgBorders>
      <w:pgNumType w:fmt="decimal"/>
      <w:cols w:num="1" w:space="720">
        <w:col w:w="8372" w:space="720"/>
      </w:cols>
      <w:docGrid w:linePitch="360"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w:rPr>
        <w:sz w:val="24"/>
      </w:rPr>
      <mc:AlternateContent xmlns:mc="http://schemas.openxmlformats.org/markup-compatibility/2006">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795" name="文本框 2"/>
              <wp:cNvGraphicFramePr>
                <a:graphicFrameLocks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2</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2" o:spid="_x0000_s4015"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61312"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pPr>
                    <w:r>
                      <w:fldChar w:fldCharType="begin"/>
                    </w:r>
                    <w:r>
                      <w:instrText xml:space="preserve"> PAGE  \* MERGEFORMAT </w:instrText>
                    </w:r>
                    <w:r>
                      <w:fldChar w:fldCharType="separate"/>
                    </w:r>
                    <w:r>
                      <w:t xml:space="preserve">2</w:t>
                    </w:r>
                    <w:r>
                      <w:fldChar w:fldCharType="end"/>
                    </w:r>
                  </w:p>
                </w:txbxContent>
              </v:textbox>
            </v:shape>
          </w:pict>
        </mc:Fallback>
      </mc:AlternateContent>
    </w: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w:rPr>
        <w:sz w:val="24"/>
      </w:rPr>
      <mc:AlternateContent xmlns:mc="http://schemas.openxmlformats.org/markup-compatibility/2006">
        <mc:Choice Requires="wps">
          <w:drawing>
            <wp:anchor distT="0" distB="0" distL="114300" distR="114300" simplePos="0" relativeHeight="251662336" behindDoc="0" locked="0" layoutInCell="1" allowOverlap="1">
              <wp:simplePos x="0" y="0"/>
              <wp:positionH relativeFrom="margin">
                <wp:posOffset>2574925</wp:posOffset>
              </wp:positionH>
              <wp:positionV relativeFrom="paragraph">
                <wp:posOffset>0</wp:posOffset>
              </wp:positionV>
              <wp:extent cx="394970" cy="168910"/>
              <wp:effectExtent l="0" t="0" r="0" b="0"/>
              <wp:wrapNone/>
              <wp:docPr id="1803" name="文本框 4"/>
              <wp:cNvGraphicFramePr>
                <a:graphicFrameLocks noChangeAspect="0"/>
              </wp:cNvGraphicFramePr>
              <a:graphic>
                <a:graphicData uri="http://schemas.microsoft.com/office/word/2010/wordprocessingShape">
                  <wps:wsp>
                    <wps:cNvSpPr/>
                    <wps:spPr>
                      <a:xfrm>
                        <a:off x="0" y="0"/>
                        <a:ext cx="394970" cy="16891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4</w:t>
                          </w:r>
                          <w:r>
                            <w:fldChar w:fldCharType="end"/>
                          </w:r>
                        </w:p>
                      </w:txbxContent>
                    </wps:txbx>
                    <wps:bodyPr rot="0" spcFirstLastPara="0" vertOverflow="overflow" horzOverflow="overflow" vert="horz" wrap="square" lIns="0" tIns="0" rIns="0" bIns="0" numCol="1" rtlCol="0" anchor="t" upright="0">
                      <a:noAutofit/>
                    </wps:bodyPr>
                  </wps:wsp>
                </a:graphicData>
              </a:graphic>
            </wp:anchor>
          </w:drawing>
        </mc:Choice>
        <mc:Fallback>
          <w:pict>
            <v:shape id="文本框 4" o:spid="_x0000_s4017" type="#_x0000_t202" style="height:13.3pt;margin-left:202.75pt;margin-top:0;mso-height-relative:page;mso-position-horizontal-relative:margin;mso-width-relative:page;mso-wrap-distance-bottom:0;mso-wrap-distance-left:9pt;mso-wrap-distance-right:9pt;mso-wrap-distance-top:0;mso-wrap-style:square;position:absolute;v-text-anchor:top;width:31.1pt;z-index:251662336" coordsize="21600,21600" filled="f" stroked="f" strokeweight="0.5pt">
              <w10:bordertop type="none" width="0"/>
              <w10:borderleft type="none" width="0"/>
              <w10:borderbottom type="none" width="0"/>
              <w10:borderright type="none" width="0"/>
              <v:textbox style="layout-flow:horizontal" inset="0,0,0,0">
                <w:txbxContent>
                  <w:p>
                    <w:pPr>
                      <w:pStyle w:val="Footer"/>
                    </w:pPr>
                    <w:r>
                      <w:fldChar w:fldCharType="begin"/>
                    </w:r>
                    <w:r>
                      <w:instrText xml:space="preserve"> PAGE  \* MERGEFORMAT </w:instrText>
                    </w:r>
                    <w:r>
                      <w:fldChar w:fldCharType="separate"/>
                    </w:r>
                    <w:r>
                      <w:t xml:space="preserve">4</w:t>
                    </w:r>
                    <w:r>
                      <w:fldChar w:fldCharType="end"/>
                    </w:r>
                  </w:p>
                </w:txbxContent>
              </v:textbox>
            </v:shape>
          </w:pict>
        </mc:Fallback>
      </mc:AlternateContent>
    </w:r>
  </w:p>
</w:ftr>
</file>

<file path=word/footer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w:rPr>
        <w:sz w:val="24"/>
      </w:rPr>
      <mc:AlternateContent xmlns:mc="http://schemas.openxmlformats.org/markup-compatibility/2006">
        <mc:Choice Requires="wps">
          <w:drawing>
            <wp:anchor distT="0" distB="0" distL="114300" distR="114300" simplePos="0" relativeHeight="251663360" behindDoc="0" locked="0" layoutInCell="1" allowOverlap="1">
              <wp:simplePos x="0" y="0"/>
              <wp:positionH relativeFrom="margin">
                <wp:posOffset>4810125</wp:posOffset>
              </wp:positionH>
              <wp:positionV relativeFrom="paragraph">
                <wp:posOffset>0</wp:posOffset>
              </wp:positionV>
              <wp:extent cx="440055" cy="206375"/>
              <wp:effectExtent l="0" t="0" r="0" b="0"/>
              <wp:wrapNone/>
              <wp:docPr id="1805" name="文本框 7"/>
              <wp:cNvGraphicFramePr>
                <a:graphicFrameLocks noChangeAspect="0"/>
              </wp:cNvGraphicFramePr>
              <a:graphic>
                <a:graphicData uri="http://schemas.microsoft.com/office/word/2010/wordprocessingShape">
                  <wps:wsp>
                    <wps:cNvSpPr/>
                    <wps:spPr>
                      <a:xfrm>
                        <a:off x="0" y="0"/>
                        <a:ext cx="440055" cy="206375"/>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15</w:t>
                          </w:r>
                          <w:r>
                            <w:fldChar w:fldCharType="end"/>
                          </w:r>
                        </w:p>
                      </w:txbxContent>
                    </wps:txbx>
                    <wps:bodyPr rot="0" spcFirstLastPara="0" vertOverflow="overflow" horzOverflow="overflow" vert="horz" wrap="square" lIns="0" tIns="0" rIns="0" bIns="0" numCol="1" rtlCol="0" anchor="t" upright="0">
                      <a:noAutofit/>
                    </wps:bodyPr>
                  </wps:wsp>
                </a:graphicData>
              </a:graphic>
            </wp:anchor>
          </w:drawing>
        </mc:Choice>
        <mc:Fallback>
          <w:pict>
            <v:shape id="文本框 7" o:spid="_x0000_s4019" type="#_x0000_t202" style="height:16.25pt;margin-left:378.75pt;margin-top:0;mso-height-relative:page;mso-position-horizontal-relative:margin;mso-width-relative:page;mso-wrap-distance-bottom:0;mso-wrap-distance-left:9pt;mso-wrap-distance-right:9pt;mso-wrap-distance-top:0;mso-wrap-style:square;position:absolute;v-text-anchor:top;width:34.65pt;z-index:251663360" coordsize="21600,21600" filled="f" stroked="f" strokeweight="0.5pt">
              <w10:bordertop type="none" width="0"/>
              <w10:borderleft type="none" width="0"/>
              <w10:borderbottom type="none" width="0"/>
              <w10:borderright type="none" width="0"/>
              <v:textbox style="layout-flow:horizontal" inset="0,0,0,0">
                <w:txbxContent>
                  <w:p>
                    <w:pPr>
                      <w:pStyle w:val="Footer"/>
                    </w:pPr>
                    <w:r>
                      <w:fldChar w:fldCharType="begin"/>
                    </w:r>
                    <w:r>
                      <w:instrText xml:space="preserve"> PAGE  \* MERGEFORMAT </w:instrText>
                    </w:r>
                    <w:r>
                      <w:fldChar w:fldCharType="separate"/>
                    </w:r>
                    <w:r>
                      <w:t xml:space="preserve">15</w:t>
                    </w:r>
                    <w:r>
                      <w:fldChar w:fldCharType="end"/>
                    </w:r>
                  </w:p>
                </w:txbxContent>
              </v:textbox>
            </v:shape>
          </w:pict>
        </mc:Fallback>
      </mc:AlternateContent>
    </w:r>
  </w:p>
</w:ftr>
</file>

<file path=word/footer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w:rPr>
        <w:sz w:val="24"/>
      </w:rPr>
      <mc:AlternateContent xmlns:mc="http://schemas.openxmlformats.org/markup-compatibility/2006">
        <mc:Choice Requires="wps">
          <w:drawing>
            <wp:anchor distT="0" distB="0" distL="114300" distR="114300" simplePos="0" relativeHeight="251664384" behindDoc="0" locked="0" layoutInCell="1" allowOverlap="1">
              <wp:simplePos x="0" y="0"/>
              <wp:positionH relativeFrom="margin">
                <wp:posOffset>4538345</wp:posOffset>
              </wp:positionH>
              <wp:positionV relativeFrom="paragraph">
                <wp:posOffset>-151765</wp:posOffset>
              </wp:positionV>
              <wp:extent cx="478790" cy="323215"/>
              <wp:effectExtent l="0" t="0" r="0" b="0"/>
              <wp:wrapNone/>
              <wp:docPr id="1806" name="文本框 9"/>
              <wp:cNvGraphicFramePr>
                <a:graphicFrameLocks noChangeAspect="0"/>
              </wp:cNvGraphicFramePr>
              <a:graphic>
                <a:graphicData uri="http://schemas.microsoft.com/office/word/2010/wordprocessingShape">
                  <wps:wsp>
                    <wps:cNvSpPr/>
                    <wps:spPr>
                      <a:xfrm>
                        <a:off x="0" y="0"/>
                        <a:ext cx="478790" cy="323215"/>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16</w:t>
                          </w:r>
                          <w:r>
                            <w:fldChar w:fldCharType="end"/>
                          </w:r>
                        </w:p>
                      </w:txbxContent>
                    </wps:txbx>
                    <wps:bodyPr rot="0" spcFirstLastPara="0" vertOverflow="overflow" horzOverflow="overflow" vert="horz" wrap="square" lIns="0" tIns="0" rIns="0" bIns="0" numCol="1" rtlCol="0" anchor="t" upright="0">
                      <a:noAutofit/>
                    </wps:bodyPr>
                  </wps:wsp>
                </a:graphicData>
              </a:graphic>
            </wp:anchor>
          </w:drawing>
        </mc:Choice>
        <mc:Fallback>
          <w:pict>
            <v:shape id="文本框 9" o:spid="_x0000_s4020" type="#_x0000_t202" style="height:25.45pt;margin-left:357.35pt;margin-top:-11.95pt;mso-height-relative:page;mso-position-horizontal-relative:margin;mso-width-relative:page;mso-wrap-distance-bottom:0;mso-wrap-distance-left:9pt;mso-wrap-distance-right:9pt;mso-wrap-distance-top:0;mso-wrap-style:square;position:absolute;v-text-anchor:top;width:37.7pt;z-index:251664384" coordsize="21600,21600" filled="f" stroked="f" strokeweight="0.5pt">
              <w10:bordertop type="none" width="0"/>
              <w10:borderleft type="none" width="0"/>
              <w10:borderbottom type="none" width="0"/>
              <w10:borderright type="none" width="0"/>
              <v:textbox style="layout-flow:horizontal" inset="0,0,0,0">
                <w:txbxContent>
                  <w:p>
                    <w:pPr>
                      <w:pStyle w:val="Footer"/>
                    </w:pPr>
                    <w:r>
                      <w:fldChar w:fldCharType="begin"/>
                    </w:r>
                    <w:r>
                      <w:instrText xml:space="preserve"> PAGE  \* MERGEFORMAT </w:instrText>
                    </w:r>
                    <w:r>
                      <w:fldChar w:fldCharType="separate"/>
                    </w:r>
                    <w:r>
                      <w:t xml:space="preserve">16</w:t>
                    </w:r>
                    <w:r>
                      <w:fldChar w:fldCharType="end"/>
                    </w:r>
                  </w:p>
                </w:txbxContent>
              </v:textbox>
            </v:shape>
          </w:pict>
        </mc:Fallback>
      </mc:AlternateContent>
    </w:r>
  </w:p>
</w:ftr>
</file>

<file path=word/footer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w:rPr>
        <w:sz w:val="24"/>
      </w:rPr>
      <mc:AlternateContent xmlns:mc="http://schemas.openxmlformats.org/markup-compatibility/2006">
        <mc:Choice Requires="wps">
          <w:drawing>
            <wp:anchor distT="0" distB="0" distL="114300" distR="114300" simplePos="0" relativeHeight="251665408" behindDoc="0" locked="0" layoutInCell="1" allowOverlap="1">
              <wp:simplePos x="0" y="0"/>
              <wp:positionH relativeFrom="margin">
                <wp:posOffset>4473575</wp:posOffset>
              </wp:positionH>
              <wp:positionV relativeFrom="paragraph">
                <wp:posOffset>-86360</wp:posOffset>
              </wp:positionV>
              <wp:extent cx="447040" cy="267970"/>
              <wp:effectExtent l="0" t="0" r="0" b="0"/>
              <wp:wrapNone/>
              <wp:docPr id="1807" name="文本框 11"/>
              <wp:cNvGraphicFramePr>
                <a:graphicFrameLocks noChangeAspect="0"/>
              </wp:cNvGraphicFramePr>
              <a:graphic>
                <a:graphicData uri="http://schemas.microsoft.com/office/word/2010/wordprocessingShape">
                  <wps:wsp>
                    <wps:cNvSpPr/>
                    <wps:spPr>
                      <a:xfrm>
                        <a:off x="0" y="0"/>
                        <a:ext cx="447040" cy="26797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17</w:t>
                          </w:r>
                          <w:r>
                            <w:fldChar w:fldCharType="end"/>
                          </w:r>
                        </w:p>
                      </w:txbxContent>
                    </wps:txbx>
                    <wps:bodyPr rot="0" spcFirstLastPara="0" vertOverflow="overflow" horzOverflow="overflow" vert="horz" wrap="square" lIns="0" tIns="0" rIns="0" bIns="0" numCol="1" rtlCol="0" anchor="t" upright="0">
                      <a:noAutofit/>
                    </wps:bodyPr>
                  </wps:wsp>
                </a:graphicData>
              </a:graphic>
            </wp:anchor>
          </w:drawing>
        </mc:Choice>
        <mc:Fallback>
          <w:pict>
            <v:shape id="文本框 11" o:spid="_x0000_s4021" type="#_x0000_t202" style="height:21.1pt;margin-left:352.25pt;margin-top:-6.8pt;mso-height-relative:page;mso-position-horizontal-relative:margin;mso-width-relative:page;mso-wrap-distance-bottom:0;mso-wrap-distance-left:9pt;mso-wrap-distance-right:9pt;mso-wrap-distance-top:0;mso-wrap-style:square;position:absolute;v-text-anchor:top;width:35.2pt;z-index:251665408" coordsize="21600,21600" filled="f" stroked="f" strokeweight="0.5pt">
              <w10:bordertop type="none" width="0"/>
              <w10:borderleft type="none" width="0"/>
              <w10:borderbottom type="none" width="0"/>
              <w10:borderright type="none" width="0"/>
              <v:textbox style="layout-flow:horizontal" inset="0,0,0,0">
                <w:txbxContent>
                  <w:p>
                    <w:pPr>
                      <w:pStyle w:val="Footer"/>
                    </w:pPr>
                    <w:r>
                      <w:fldChar w:fldCharType="begin"/>
                    </w:r>
                    <w:r>
                      <w:instrText xml:space="preserve"> PAGE  \* MERGEFORMAT </w:instrText>
                    </w:r>
                    <w:r>
                      <w:fldChar w:fldCharType="separate"/>
                    </w:r>
                    <w:r>
                      <w:t xml:space="preserve">17</w:t>
                    </w:r>
                    <w:r>
                      <w:fldChar w:fldCharType="end"/>
                    </w:r>
                  </w:p>
                </w:txbxContent>
              </v:textbox>
            </v:shape>
          </w:pict>
        </mc:Fallback>
      </mc:AlternateContent>
    </w:r>
  </w:p>
</w:ftr>
</file>

<file path=word/footer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w:rPr>
        <w:sz w:val="24"/>
      </w:rPr>
      <mc:AlternateContent xmlns:mc="http://schemas.openxmlformats.org/markup-compatibility/2006">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808" name="文本框 12"/>
              <wp:cNvGraphicFramePr>
                <a:graphicFrameLocks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25</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12" o:spid="_x0000_s4022"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66432"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pPr>
                    <w:r>
                      <w:fldChar w:fldCharType="begin"/>
                    </w:r>
                    <w:r>
                      <w:instrText xml:space="preserve"> PAGE  \* MERGEFORMAT </w:instrText>
                    </w:r>
                    <w:r>
                      <w:fldChar w:fldCharType="separate"/>
                    </w:r>
                    <w:r>
                      <w:t xml:space="preserve">25</w:t>
                    </w:r>
                    <w:r>
                      <w:fldChar w:fldCharType="end"/>
                    </w:r>
                  </w:p>
                </w:txbxContent>
              </v:textbox>
            </v:shape>
          </w:pict>
        </mc:Fallback>
      </mc:AlternateContent>
    </w: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Header"/>
    </w:pPr>
  </w:p>
</w:hdr>
</file>

<file path=word/header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mc:AlternateContent xmlns:mc="http://schemas.openxmlformats.org/markup-compatibility/2006">
        <mc:Choice Requires="wps">
          <w:drawing>
            <wp:anchor distT="0" distB="0" distL="0" distR="0" simplePos="0" relativeHeight="251659264" behindDoc="1" locked="0" layoutInCell="1" allowOverlap="1">
              <wp:simplePos x="0" y="0"/>
              <wp:positionH relativeFrom="page">
                <wp:posOffset>9117330</wp:posOffset>
              </wp:positionH>
              <wp:positionV relativeFrom="page">
                <wp:posOffset>1217295</wp:posOffset>
              </wp:positionV>
              <wp:extent cx="581025" cy="109855"/>
              <wp:effectExtent l="0" t="0" r="0" b="0"/>
              <wp:wrapNone/>
              <wp:docPr id="1802" name="Shape 5"/>
              <wp:cNvGraphicFramePr>
                <a:graphicFrameLocks noChangeAspect="0"/>
              </wp:cNvGraphicFramePr>
              <a:graphic>
                <a:graphicData uri="http://schemas.microsoft.com/office/word/2010/wordprocessingShape">
                  <wps:wsp>
                    <wps:cNvSpPr/>
                    <wps:spPr>
                      <a:xfrm>
                        <a:off x="0" y="0"/>
                        <a:ext cx="581025" cy="109855"/>
                      </a:xfrm>
                      <a:prstGeom prst="rect">
                        <a:avLst/>
                      </a:prstGeom>
                      <a:noFill/>
                    </wps:spPr>
                    <wps:txbx>
                      <w:txbxContent>
                        <w:p>
                          <w:pPr>
                            <w:pStyle w:val="Headerorfooter|1"/>
                          </w:pPr>
                        </w:p>
                      </w:txbxContent>
                    </wps:txbx>
                    <wps:bodyPr rot="0" spcFirstLastPara="0" vertOverflow="overflow" horzOverflow="overflow" vert="horz" wrap="square" lIns="0" tIns="0" rIns="0" bIns="0" numCol="1" anchor="t" upright="0">
                      <a:spAutoFit/>
                    </wps:bodyPr>
                  </wps:wsp>
                </a:graphicData>
              </a:graphic>
            </wp:anchor>
          </w:drawing>
        </mc:Choice>
        <mc:Fallback>
          <w:pict>
            <v:shape id="Shape 5" o:spid="_x0000_s4016" type="#_x0000_t202" style="height:8.65pt;margin-left:717.9pt;margin-top:95.85pt;mso-height-relative:page;mso-position-horizontal-relative:page;mso-position-vertical-relative:page;mso-width-relative:page;mso-wrap-distance-bottom:0;mso-wrap-distance-left:0;mso-wrap-distance-right:0;mso-wrap-distance-top:0;mso-wrap-style:square;position:absolute;width:45.75pt;z-index:-4043308031" coordsize="21600,21600" filled="f" stroked="f">
              <v:textbox style="mso-fit-shape-to-text:t" inset="0,0,0,0">
                <w:txbxContent>
                  <w:p>
                    <w:pPr>
                      <w:pStyle w:val="Headerorfooter|1"/>
                    </w:pPr>
                  </w:p>
                </w:txbxContent>
              </v:textbox>
            </v:shape>
          </w:pict>
        </mc:Fallback>
      </mc:AlternateContent>
    </w:r>
  </w:p>
</w:hdr>
</file>

<file path=word/header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mc:AlternateContent xmlns:mc="http://schemas.openxmlformats.org/markup-compatibility/2006">
        <mc:Choice Requires="wps">
          <w:drawing>
            <wp:anchor distT="0" distB="0" distL="0" distR="0" simplePos="0" relativeHeight="251660288" behindDoc="1" locked="0" layoutInCell="1" allowOverlap="1">
              <wp:simplePos x="0" y="0"/>
              <wp:positionH relativeFrom="page">
                <wp:posOffset>9117330</wp:posOffset>
              </wp:positionH>
              <wp:positionV relativeFrom="page">
                <wp:posOffset>1217295</wp:posOffset>
              </wp:positionV>
              <wp:extent cx="581025" cy="109855"/>
              <wp:effectExtent l="0" t="0" r="0" b="0"/>
              <wp:wrapNone/>
              <wp:docPr id="1804" name="Shape 5"/>
              <wp:cNvGraphicFramePr>
                <a:graphicFrameLocks noChangeAspect="0"/>
              </wp:cNvGraphicFramePr>
              <a:graphic>
                <a:graphicData uri="http://schemas.microsoft.com/office/word/2010/wordprocessingShape">
                  <wps:wsp>
                    <wps:cNvSpPr/>
                    <wps:spPr>
                      <a:xfrm>
                        <a:off x="0" y="0"/>
                        <a:ext cx="581025" cy="109855"/>
                      </a:xfrm>
                      <a:prstGeom prst="rect">
                        <a:avLst/>
                      </a:prstGeom>
                      <a:noFill/>
                    </wps:spPr>
                    <wps:txbx>
                      <w:txbxContent>
                        <w:p>
                          <w:pPr>
                            <w:pStyle w:val="Headerorfooter|1"/>
                          </w:pPr>
                        </w:p>
                      </w:txbxContent>
                    </wps:txbx>
                    <wps:bodyPr rot="0" spcFirstLastPara="0" vertOverflow="overflow" horzOverflow="overflow" vert="horz" wrap="square" lIns="0" tIns="0" rIns="0" bIns="0" numCol="1" anchor="t" upright="0">
                      <a:spAutoFit/>
                    </wps:bodyPr>
                  </wps:wsp>
                </a:graphicData>
              </a:graphic>
            </wp:anchor>
          </w:drawing>
        </mc:Choice>
        <mc:Fallback>
          <w:pict>
            <v:shape id="Shape 5" o:spid="_x0000_s4018" type="#_x0000_t202" style="height:8.65pt;margin-left:717.9pt;margin-top:95.85pt;mso-height-relative:page;mso-position-horizontal-relative:page;mso-position-vertical-relative:page;mso-width-relative:page;mso-wrap-distance-bottom:0;mso-wrap-distance-left:0;mso-wrap-distance-right:0;mso-wrap-distance-top:0;mso-wrap-style:square;position:absolute;width:45.75pt;z-index:-4043307007" coordsize="21600,21600" filled="f" stroked="f">
              <v:textbox style="mso-fit-shape-to-text:t" inset="0,0,0,0">
                <w:txbxContent>
                  <w:p>
                    <w:pPr>
                      <w:pStyle w:val="Headerorfooter|1"/>
                    </w:pPr>
                  </w:p>
                </w:txbxContent>
              </v:textbox>
            </v:shape>
          </w:pict>
        </mc:Fallback>
      </mc:AlternateContent>
    </w:r>
  </w:p>
</w:hdr>
</file>

<file path=word/header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
</w:hdr>
</file>

<file path=word/header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
</w:hdr>
</file>

<file path=word/header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
    <w:multiLevelType w:val="singleLevel"/>
    <w:lvl w:ilvl="0">
      <w:start w:val="1"/>
      <w:numFmt w:val="decimal"/>
      <w:suff w:val="nothing"/>
      <w:lvlText w:val="%1．"/>
      <w:lvlJc w:val="left"/>
      <w:pPr>
        <w:ind w:left="0" w:firstLine="40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xmlns:w15="http://schemas.microsoft.com/office/word/2012/wordml" mc:Ignorable="w14 w15">
  <w:zoom w:percent="100"/>
  <w:bordersDoNotSurroundFooter w:val="0"/>
  <w:bordersDoNotSurroundHeader w:val="0"/>
  <w:doNotTrackMoves/>
  <w:documentProtection w:enforcement="1" w:edit="readOnly" w:salt="LTSIEZA4yyoSk782bp+d6g==" w:hash="u1hussED6VV7i7oNrBUNAAKAsWhgV7+lnXWQnXVCNey254oeMCvQrWp0Mgmr86Yva3UtXYk6Kj9bc6CpRzdbWw==" w:cryptSpinCount="100000" w:cryptAlgorithmType="typeAny" w:cryptAlgorithmClass="hash" w:cryptProviderType="rsaAES" w:cryptAlgorithmSid="14"/>
  <w:defaultTabStop w:val="420"/>
  <w:drawingGridHorizontalSpacing w:val="181"/>
  <w:drawingGridVerticalSpacing w:val="181"/>
  <w:noPunctuationKerning/>
  <w:characterSpacingControl w:val="compressPunctuation"/>
  <w:compat>
    <w:doNotExpandShiftReturn/>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w:docVars>
    <w:docVar w:name="commondata" w:val="eyJoZGlkIjoiYzQ3YjVmMGIyNmVkYzNjNTFhYjFhZmM1YzFmN2U3YmY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qFormat="1"/>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qFormat="1"/>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lsdException w:name="Table Grid" w:semiHidden="0" w:uiPriority="0" w:unhideWhenUsed="0" w:qFormat="1"/>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qFormat/>
    <w:pPr>
      <w:widowControl w:val="0"/>
    </w:pPr>
    <w:rPr>
      <w:rFonts w:ascii="Times New Roman" w:eastAsia="Times New Roman" w:hAnsi="Times New Roman" w:cs="Times New Roman"/>
      <w:color w:val="000000"/>
      <w:sz w:val="24"/>
      <w:szCs w:val="24"/>
      <w:lang w:val="en-US" w:eastAsia="en-US" w:bidi="en-US"/>
    </w:rPr>
  </w:style>
  <w:style w:type="character" w:default="1" w:styleId="DefaultParagraphFont">
    <w:name w:val="Default Paragraph Font"/>
    <w:autoRedefine/>
    <w:uiPriority w:val="1"/>
    <w:semiHidden/>
    <w:unhideWhenUsed/>
    <w:qFormat/>
    <w:rPr/>
  </w:style>
  <w:style w:type="table" w:default="1" w:styleId="NormalTable">
    <w:name w:val="Normal Table"/>
    <w:autoRedefine/>
    <w:uiPriority w:val="99"/>
    <w:semiHidden/>
    <w:unhideWhenUsed/>
    <w:qFormat/>
    <w:rPr/>
    <w:tblPr>
      <w:tblCellMar>
        <w:top w:w="0" w:type="dxa"/>
        <w:left w:w="108" w:type="dxa"/>
        <w:bottom w:w="0" w:type="dxa"/>
        <w:right w:w="108" w:type="dxa"/>
      </w:tblCellMar>
    </w:tblPr>
  </w:style>
  <w:style w:type="paragraph" w:styleId="CommentText">
    <w:name w:val="Comment Text"/>
    <w:basedOn w:val="Normal"/>
    <w:autoRedefine/>
    <w:qFormat/>
    <w:rPr/>
  </w:style>
  <w:style w:type="paragraph" w:styleId="Footer">
    <w:name w:val="Footer"/>
    <w:basedOn w:val="Normal"/>
    <w:autoRedefine/>
    <w:qFormat/>
    <w:pPr>
      <w:tabs>
        <w:tab w:val="center" w:pos="4153"/>
        <w:tab w:val="right" w:pos="8306"/>
      </w:tabs>
      <w:snapToGrid w:val="0"/>
    </w:pPr>
    <w:rPr>
      <w:sz w:val="18"/>
    </w:rPr>
  </w:style>
  <w:style w:type="paragraph" w:styleId="Header">
    <w:name w:val="Header"/>
    <w:basedOn w:val="Normal"/>
    <w:autoRedefine/>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table" w:styleId="TableGrid">
    <w:name w:val="Table Grid"/>
    <w:basedOn w:val="NormalTable"/>
    <w:autoRedefine/>
    <w:qFormat/>
    <w:pPr>
      <w:widowControl w:val="0"/>
      <w:jc w:val="both"/>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Comment Reference"/>
    <w:basedOn w:val="DefaultParagraphFont"/>
    <w:autoRedefine/>
    <w:qFormat/>
    <w:rPr>
      <w:sz w:val="21"/>
      <w:szCs w:val="21"/>
    </w:rPr>
  </w:style>
  <w:style w:type="character" w:customStyle="1" w:styleId="Bodytext|5_">
    <w:name w:val="Body text|5_"/>
    <w:basedOn w:val="DefaultParagraphFont"/>
    <w:link w:val="Bodytext|5"/>
    <w:autoRedefine/>
    <w:qFormat/>
    <w:rPr>
      <w:rFonts w:ascii="宋体" w:eastAsia="宋体" w:hAnsi="宋体" w:cs="宋体"/>
      <w:sz w:val="54"/>
      <w:szCs w:val="54"/>
      <w:u w:val="none"/>
      <w:shd w:val="clear" w:color="auto" w:fill="auto"/>
      <w:lang w:val="zh-TW" w:eastAsia="zh-TW" w:bidi="zh-TW"/>
    </w:rPr>
  </w:style>
  <w:style w:type="paragraph" w:customStyle="1" w:styleId="Bodytext|5">
    <w:name w:val="Body text|5"/>
    <w:basedOn w:val="Normal"/>
    <w:link w:val="Bodytext|5_"/>
    <w:autoRedefine/>
    <w:qFormat/>
    <w:pPr>
      <w:jc w:val="center"/>
    </w:pPr>
    <w:rPr>
      <w:rFonts w:ascii="宋体" w:eastAsia="宋体" w:hAnsi="宋体" w:cs="宋体"/>
      <w:sz w:val="54"/>
      <w:szCs w:val="54"/>
      <w:lang w:val="zh-TW" w:eastAsia="zh-TW" w:bidi="zh-TW"/>
    </w:rPr>
  </w:style>
  <w:style w:type="character" w:customStyle="1" w:styleId="Heading#1|1_">
    <w:name w:val="Heading #1|1_"/>
    <w:basedOn w:val="DefaultParagraphFont"/>
    <w:link w:val="Heading#1|1"/>
    <w:autoRedefine/>
    <w:qFormat/>
    <w:rPr>
      <w:rFonts w:ascii="宋体" w:eastAsia="宋体" w:hAnsi="宋体" w:cs="宋体"/>
      <w:sz w:val="44"/>
      <w:szCs w:val="44"/>
      <w:u w:val="none"/>
      <w:shd w:val="clear" w:color="auto" w:fill="auto"/>
      <w:lang w:val="zh-TW" w:eastAsia="zh-TW" w:bidi="zh-TW"/>
    </w:rPr>
  </w:style>
  <w:style w:type="paragraph" w:customStyle="1" w:styleId="Heading#1|1">
    <w:name w:val="Heading #1|1"/>
    <w:basedOn w:val="Normal"/>
    <w:link w:val="Heading#1|1_"/>
    <w:autoRedefine/>
    <w:qFormat/>
    <w:pPr>
      <w:spacing w:after="400"/>
      <w:jc w:val="center"/>
      <w:outlineLvl w:val="0"/>
    </w:pPr>
    <w:rPr>
      <w:rFonts w:ascii="宋体" w:eastAsia="宋体" w:hAnsi="宋体" w:cs="宋体"/>
      <w:sz w:val="44"/>
      <w:szCs w:val="44"/>
      <w:lang w:val="zh-TW" w:eastAsia="zh-TW" w:bidi="zh-TW"/>
    </w:rPr>
  </w:style>
  <w:style w:type="character" w:customStyle="1" w:styleId="Headerorfooter|2_">
    <w:name w:val="Header or footer|2_"/>
    <w:basedOn w:val="DefaultParagraphFont"/>
    <w:link w:val="Headerorfooter|2"/>
    <w:autoRedefine/>
    <w:qFormat/>
    <w:rPr>
      <w:sz w:val="20"/>
      <w:szCs w:val="20"/>
      <w:u w:val="none"/>
      <w:shd w:val="clear" w:color="auto" w:fill="auto"/>
      <w:lang w:val="zh-TW" w:eastAsia="zh-TW" w:bidi="zh-TW"/>
    </w:rPr>
  </w:style>
  <w:style w:type="paragraph" w:customStyle="1" w:styleId="Headerorfooter|2">
    <w:name w:val="Header or footer|2"/>
    <w:basedOn w:val="Normal"/>
    <w:link w:val="Headerorfooter|2_"/>
    <w:autoRedefine/>
    <w:qFormat/>
    <w:rPr>
      <w:sz w:val="20"/>
      <w:szCs w:val="20"/>
      <w:lang w:val="zh-TW" w:eastAsia="zh-TW" w:bidi="zh-TW"/>
    </w:rPr>
  </w:style>
  <w:style w:type="character" w:customStyle="1" w:styleId="Bodytext|2_">
    <w:name w:val="Body text|2_"/>
    <w:basedOn w:val="DefaultParagraphFont"/>
    <w:link w:val="Bodytext|2"/>
    <w:autoRedefine/>
    <w:qFormat/>
    <w:rPr>
      <w:rFonts w:ascii="宋体" w:eastAsia="宋体" w:hAnsi="宋体" w:cs="宋体"/>
      <w:sz w:val="32"/>
      <w:szCs w:val="32"/>
      <w:u w:val="none"/>
      <w:shd w:val="clear" w:color="auto" w:fill="auto"/>
      <w:lang w:val="zh-TW" w:eastAsia="zh-TW" w:bidi="zh-TW"/>
    </w:rPr>
  </w:style>
  <w:style w:type="paragraph" w:customStyle="1" w:styleId="Bodytext|2">
    <w:name w:val="Body text|2"/>
    <w:basedOn w:val="Normal"/>
    <w:link w:val="Bodytext|2_"/>
    <w:autoRedefine/>
    <w:qFormat/>
    <w:pPr>
      <w:spacing w:after="240"/>
      <w:ind w:firstLine="560"/>
    </w:pPr>
    <w:rPr>
      <w:rFonts w:ascii="宋体" w:eastAsia="宋体" w:hAnsi="宋体" w:cs="宋体"/>
      <w:sz w:val="32"/>
      <w:szCs w:val="32"/>
      <w:lang w:val="zh-TW" w:eastAsia="zh-TW" w:bidi="zh-TW"/>
    </w:rPr>
  </w:style>
  <w:style w:type="character" w:customStyle="1" w:styleId="Bodytext|1_">
    <w:name w:val="Body text|1_"/>
    <w:basedOn w:val="DefaultParagraphFont"/>
    <w:link w:val="Bodytext|1"/>
    <w:autoRedefine/>
    <w:qFormat/>
    <w:rPr>
      <w:rFonts w:ascii="宋体" w:eastAsia="宋体" w:hAnsi="宋体" w:cs="宋体"/>
      <w:sz w:val="28"/>
      <w:szCs w:val="28"/>
      <w:u w:val="none"/>
      <w:shd w:val="clear" w:color="auto" w:fill="auto"/>
      <w:lang w:val="zh-TW" w:eastAsia="zh-TW" w:bidi="zh-TW"/>
    </w:rPr>
  </w:style>
  <w:style w:type="paragraph" w:customStyle="1" w:styleId="Bodytext|1">
    <w:name w:val="Body text|1"/>
    <w:basedOn w:val="Normal"/>
    <w:link w:val="Bodytext|1_"/>
    <w:autoRedefine/>
    <w:qFormat/>
    <w:pPr>
      <w:spacing w:line="468" w:lineRule="auto"/>
      <w:ind w:firstLine="400"/>
    </w:pPr>
    <w:rPr>
      <w:rFonts w:ascii="宋体" w:eastAsia="宋体" w:hAnsi="宋体" w:cs="宋体"/>
      <w:sz w:val="28"/>
      <w:szCs w:val="28"/>
      <w:lang w:val="zh-TW" w:eastAsia="zh-TW" w:bidi="zh-TW"/>
    </w:rPr>
  </w:style>
  <w:style w:type="character" w:customStyle="1" w:styleId="Headerorfooter|1_">
    <w:name w:val="Header or footer|1_"/>
    <w:basedOn w:val="DefaultParagraphFont"/>
    <w:link w:val="Headerorfooter|1"/>
    <w:autoRedefine/>
    <w:qFormat/>
    <w:rPr>
      <w:b/>
      <w:bCs/>
      <w:sz w:val="17"/>
      <w:szCs w:val="17"/>
      <w:u w:val="none"/>
      <w:shd w:val="clear" w:color="auto" w:fill="auto"/>
      <w:lang w:val="zh-TW" w:eastAsia="zh-TW" w:bidi="zh-TW"/>
    </w:rPr>
  </w:style>
  <w:style w:type="paragraph" w:customStyle="1" w:styleId="Headerorfooter|1">
    <w:name w:val="Header or footer|1"/>
    <w:basedOn w:val="Normal"/>
    <w:link w:val="Headerorfooter|1_"/>
    <w:autoRedefine/>
    <w:qFormat/>
    <w:rPr>
      <w:b/>
      <w:bCs/>
      <w:sz w:val="17"/>
      <w:szCs w:val="17"/>
      <w:lang w:val="zh-TW" w:eastAsia="zh-TW" w:bidi="zh-TW"/>
    </w:rPr>
  </w:style>
  <w:style w:type="character" w:customStyle="1" w:styleId="Heading#2|1_">
    <w:name w:val="Heading #2|1_"/>
    <w:basedOn w:val="DefaultParagraphFont"/>
    <w:link w:val="Heading#2|1"/>
    <w:autoRedefine/>
    <w:qFormat/>
    <w:rPr>
      <w:rFonts w:ascii="宋体" w:eastAsia="宋体" w:hAnsi="宋体" w:cs="宋体"/>
      <w:sz w:val="26"/>
      <w:szCs w:val="26"/>
      <w:u w:val="none"/>
      <w:shd w:val="clear" w:color="auto" w:fill="auto"/>
      <w:lang w:val="zh-TW" w:eastAsia="zh-TW" w:bidi="zh-TW"/>
    </w:rPr>
  </w:style>
  <w:style w:type="paragraph" w:customStyle="1" w:styleId="Heading#2|1">
    <w:name w:val="Heading #2|1"/>
    <w:basedOn w:val="Normal"/>
    <w:link w:val="Heading#2|1_"/>
    <w:autoRedefine/>
    <w:qFormat/>
    <w:pPr>
      <w:spacing w:after="230"/>
      <w:jc w:val="center"/>
      <w:outlineLvl w:val="1"/>
    </w:pPr>
    <w:rPr>
      <w:rFonts w:ascii="宋体" w:eastAsia="宋体" w:hAnsi="宋体" w:cs="宋体"/>
      <w:sz w:val="26"/>
      <w:szCs w:val="26"/>
      <w:lang w:val="zh-TW" w:eastAsia="zh-TW" w:bidi="zh-TW"/>
    </w:rPr>
  </w:style>
  <w:style w:type="character" w:customStyle="1" w:styleId="Other|1_">
    <w:name w:val="Other|1_"/>
    <w:basedOn w:val="DefaultParagraphFont"/>
    <w:link w:val="Other|1"/>
    <w:autoRedefine/>
    <w:qFormat/>
    <w:rPr>
      <w:rFonts w:ascii="宋体" w:eastAsia="宋体" w:hAnsi="宋体" w:cs="宋体"/>
      <w:sz w:val="28"/>
      <w:szCs w:val="28"/>
      <w:u w:val="none"/>
      <w:shd w:val="clear" w:color="auto" w:fill="auto"/>
      <w:lang w:val="zh-TW" w:eastAsia="zh-TW" w:bidi="zh-TW"/>
    </w:rPr>
  </w:style>
  <w:style w:type="paragraph" w:customStyle="1" w:styleId="Other|1">
    <w:name w:val="Other|1"/>
    <w:basedOn w:val="Normal"/>
    <w:link w:val="Other|1_"/>
    <w:autoRedefine/>
    <w:qFormat/>
    <w:pPr>
      <w:spacing w:line="468" w:lineRule="auto"/>
      <w:ind w:firstLine="400"/>
    </w:pPr>
    <w:rPr>
      <w:rFonts w:ascii="宋体" w:eastAsia="宋体" w:hAnsi="宋体" w:cs="宋体"/>
      <w:sz w:val="28"/>
      <w:szCs w:val="28"/>
      <w:lang w:val="zh-TW" w:eastAsia="zh-TW" w:bidi="zh-TW"/>
    </w:rPr>
  </w:style>
  <w:style w:type="character" w:customStyle="1" w:styleId="Tablecaption|1_">
    <w:name w:val="Table caption|1_"/>
    <w:basedOn w:val="DefaultParagraphFont"/>
    <w:link w:val="Tablecaption|1"/>
    <w:autoRedefine/>
    <w:qFormat/>
    <w:rPr>
      <w:rFonts w:ascii="宋体" w:eastAsia="宋体" w:hAnsi="宋体" w:cs="宋体"/>
      <w:sz w:val="17"/>
      <w:szCs w:val="17"/>
      <w:u w:val="none"/>
      <w:shd w:val="clear" w:color="auto" w:fill="auto"/>
      <w:lang w:val="zh-TW" w:eastAsia="zh-TW" w:bidi="zh-TW"/>
    </w:rPr>
  </w:style>
  <w:style w:type="paragraph" w:customStyle="1" w:styleId="Tablecaption|1">
    <w:name w:val="Table caption|1"/>
    <w:basedOn w:val="Normal"/>
    <w:link w:val="Tablecaption|1_"/>
    <w:autoRedefine/>
    <w:qFormat/>
    <w:rPr>
      <w:rFonts w:ascii="宋体" w:eastAsia="宋体" w:hAnsi="宋体" w:cs="宋体"/>
      <w:sz w:val="17"/>
      <w:szCs w:val="17"/>
      <w:lang w:val="zh-TW" w:eastAsia="zh-TW" w:bidi="zh-TW"/>
    </w:rPr>
  </w:style>
  <w:style w:type="character" w:customStyle="1" w:styleId="Bodytext|4_">
    <w:name w:val="Body text|4_"/>
    <w:basedOn w:val="DefaultParagraphFont"/>
    <w:link w:val="Bodytext|4"/>
    <w:autoRedefine/>
    <w:qFormat/>
    <w:rPr>
      <w:rFonts w:ascii="宋体" w:eastAsia="宋体" w:hAnsi="宋体" w:cs="宋体"/>
      <w:sz w:val="17"/>
      <w:szCs w:val="17"/>
      <w:u w:val="none"/>
      <w:shd w:val="clear" w:color="auto" w:fill="auto"/>
      <w:lang w:val="zh-TW" w:eastAsia="zh-TW" w:bidi="zh-TW"/>
    </w:rPr>
  </w:style>
  <w:style w:type="paragraph" w:customStyle="1" w:styleId="Bodytext|4">
    <w:name w:val="Body text|4"/>
    <w:basedOn w:val="Normal"/>
    <w:link w:val="Bodytext|4_"/>
    <w:autoRedefine/>
    <w:qFormat/>
    <w:pPr>
      <w:ind w:firstLine="680"/>
    </w:pPr>
    <w:rPr>
      <w:rFonts w:ascii="宋体" w:eastAsia="宋体" w:hAnsi="宋体" w:cs="宋体"/>
      <w:sz w:val="17"/>
      <w:szCs w:val="17"/>
      <w:lang w:val="zh-TW" w:eastAsia="zh-TW" w:bidi="zh-TW"/>
    </w:rPr>
  </w:style>
  <w:style w:type="character" w:customStyle="1" w:styleId="Bodytext|3_">
    <w:name w:val="Body text|3_"/>
    <w:basedOn w:val="DefaultParagraphFont"/>
    <w:link w:val="Bodytext|3"/>
    <w:autoRedefine/>
    <w:qFormat/>
    <w:rPr>
      <w:sz w:val="30"/>
      <w:szCs w:val="30"/>
      <w:u w:val="none"/>
      <w:shd w:val="clear" w:color="auto" w:fill="auto"/>
      <w:lang w:val="zh-TW" w:eastAsia="zh-TW" w:bidi="zh-TW"/>
    </w:rPr>
  </w:style>
  <w:style w:type="paragraph" w:customStyle="1" w:styleId="Bodytext|3">
    <w:name w:val="Body text|3"/>
    <w:basedOn w:val="Normal"/>
    <w:link w:val="Bodytext|3_"/>
    <w:autoRedefine/>
    <w:qFormat/>
    <w:pPr>
      <w:spacing w:after="140" w:line="336" w:lineRule="auto"/>
      <w:ind w:firstLine="370"/>
    </w:pPr>
    <w:rPr>
      <w:sz w:val="30"/>
      <w:szCs w:val="30"/>
      <w:lang w:val="zh-TW" w:eastAsia="zh-TW" w:bidi="zh-TW"/>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charts/chart3.xml" Type="http://schemas.openxmlformats.org/officeDocument/2006/relationships/chart"/><Relationship Id="rId11" Target="charts/chart4.xml" Type="http://schemas.openxmlformats.org/officeDocument/2006/relationships/chart"/><Relationship Id="rId12" Target="charts/chart5.xml" Type="http://schemas.openxmlformats.org/officeDocument/2006/relationships/chart"/><Relationship Id="rId13" Target="charts/chart6.xml" Type="http://schemas.openxmlformats.org/officeDocument/2006/relationships/chart"/><Relationship Id="rId14" Target="header2.xml" Type="http://schemas.openxmlformats.org/officeDocument/2006/relationships/header"/><Relationship Id="rId15" Target="footer3.xml" Type="http://schemas.openxmlformats.org/officeDocument/2006/relationships/footer"/><Relationship Id="rId16" Target="header3.xml" Type="http://schemas.openxmlformats.org/officeDocument/2006/relationships/header"/><Relationship Id="rId17" Target="footer4.xml" Type="http://schemas.openxmlformats.org/officeDocument/2006/relationships/footer"/><Relationship Id="rId18" Target="header4.xml" Type="http://schemas.openxmlformats.org/officeDocument/2006/relationships/header"/><Relationship Id="rId19" Target="footer5.xml" Type="http://schemas.openxmlformats.org/officeDocument/2006/relationships/footer"/><Relationship Id="rId2" Target="../customXml/item2.xml" Type="http://schemas.openxmlformats.org/officeDocument/2006/relationships/customXml"/><Relationship Id="rId20" Target="header5.xml" Type="http://schemas.openxmlformats.org/officeDocument/2006/relationships/header"/><Relationship Id="rId21" Target="footer6.xml" Type="http://schemas.openxmlformats.org/officeDocument/2006/relationships/footer"/><Relationship Id="rId22" Target="header6.xml" Type="http://schemas.openxmlformats.org/officeDocument/2006/relationships/header"/><Relationship Id="rId23" Target="footer7.xml" Type="http://schemas.openxmlformats.org/officeDocument/2006/relationships/footer"/><Relationship Id="rId24" Target="theme/theme1.xml" Type="http://schemas.openxmlformats.org/officeDocument/2006/relationships/theme"/><Relationship Id="rId25" Target="styles.xml" Type="http://schemas.openxmlformats.org/officeDocument/2006/relationships/styles"/><Relationship Id="rId26" Target="webSettings.xml" Type="http://schemas.openxmlformats.org/officeDocument/2006/relationships/webSettings"/><Relationship Id="rId27" Target="numbering.xml" Type="http://schemas.openxmlformats.org/officeDocument/2006/relationships/numbering"/><Relationship Id="rId28" Target="fontTable.xml" Type="http://schemas.openxmlformats.org/officeDocument/2006/relationships/fontTable"/><Relationship Id="rId29" Target="settings.xml" Type="http://schemas.openxmlformats.org/officeDocument/2006/relationships/settings"/><Relationship Id="rId3" Target="../customXml/item3.xml" Type="http://schemas.openxmlformats.org/officeDocument/2006/relationships/customXml"/><Relationship Id="rId4" Target="../customXml/item4.xml" Type="http://schemas.openxmlformats.org/officeDocument/2006/relationships/customXml"/><Relationship Id="rId5" Target="header1.xml" Type="http://schemas.openxmlformats.org/officeDocument/2006/relationships/header"/><Relationship Id="rId6" Target="footer1.xml" Type="http://schemas.openxmlformats.org/officeDocument/2006/relationships/footer"/><Relationship Id="rId7" Target="footer2.xml" Type="http://schemas.openxmlformats.org/officeDocument/2006/relationships/footer"/><Relationship Id="rId8" Target="charts/chart1.xml" Type="http://schemas.openxmlformats.org/officeDocument/2006/relationships/chart"/><Relationship Id="rId9" Target="charts/chart2.xml" Type="http://schemas.openxmlformats.org/officeDocument/2006/relationships/chart"/></Relationships>
</file>

<file path=word/charts/_rels/chart1.xml.rels><?xml version="1.0" encoding="UTF-8" standalone="yes"?><Relationships xmlns="http://schemas.openxmlformats.org/package/2006/relationships"><Relationship Id="rId1" Target="../embeddings/Microsoft_Office_Excel_Worksheet1.xlsx" Type="http://schemas.openxmlformats.org/officeDocument/2006/relationships/package"/></Relationships>
</file>

<file path=word/charts/_rels/chart2.xml.rels><?xml version="1.0" encoding="UTF-8" standalone="yes"?><Relationships xmlns="http://schemas.openxmlformats.org/package/2006/relationships"><Relationship Id="rId1" Target="../embeddings/Microsoft_Office_Excel_Worksheet2.xlsx" Type="http://schemas.openxmlformats.org/officeDocument/2006/relationships/package"/></Relationships>
</file>

<file path=word/charts/_rels/chart3.xml.rels><?xml version="1.0" encoding="UTF-8" standalone="yes"?><Relationships xmlns="http://schemas.openxmlformats.org/package/2006/relationships"><Relationship Id="rId1" Target="../embeddings/Microsoft_Office_Excel_Worksheet3.xlsx" Type="http://schemas.openxmlformats.org/officeDocument/2006/relationships/package"/></Relationships>
</file>

<file path=word/charts/_rels/chart4.xml.rels><?xml version="1.0" encoding="UTF-8" standalone="yes"?><Relationships xmlns="http://schemas.openxmlformats.org/package/2006/relationships"><Relationship Id="rId1" Target="../embeddings/Microsoft_Office_Excel_Worksheet4.xlsx" Type="http://schemas.openxmlformats.org/officeDocument/2006/relationships/package"/></Relationships>
</file>

<file path=word/charts/_rels/chart5.xml.rels><?xml version="1.0" encoding="UTF-8" standalone="yes"?><Relationships xmlns="http://schemas.openxmlformats.org/package/2006/relationships"><Relationship Id="rId1" Target="../embeddings/Microsoft_Office_Excel_Worksheet5.xlsx" Type="http://schemas.openxmlformats.org/officeDocument/2006/relationships/package"/></Relationships>
</file>

<file path=word/charts/_rels/chart6.xml.rels><?xml version="1.0" encoding="UTF-8" standalone="yes"?><Relationships xmlns="http://schemas.openxmlformats.org/package/2006/relationships"><Relationship Id="rId1" Target="../embeddings/Microsoft_Office_Excel_Worksheet6.xlsx" Type="http://schemas.openxmlformats.org/officeDocument/2006/relationships/package"/></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部门收入总体情况</a:t>
            </a:r>
            <a:endParaRPr lang="en-US" sz="1100"/>
          </a:p>
        </c:rich>
      </c:tx>
      <c:layout/>
      <c:overlay val="0"/>
      <c:spPr>
        <a:noFill/>
        <a:ln>
          <a:noFill/>
        </a:ln>
        <a:effectLst/>
      </c:spPr>
    </c:title>
    <c:autoTitleDeleted val="0"/>
    <c:plotArea>
      <c:layout/>
      <c:pieChart>
        <c:varyColors val="1"/>
        <c:ser>
          <c:idx val="0"/>
          <c:order val="0"/>
          <c:tx>
            <c:strRef>
              <c:f>Sheet1!$B$1</c:f>
              <c:strCache>
                <c:ptCount val="1"/>
                <c:pt idx="0">
                  <c:v>countries</c:v>
                </c:pt>
              </c:strCache>
            </c:strRef>
          </c:tx>
          <c:explosion val="0"/>
          <c:dPt>
            <c:idx val="0"/>
            <c:bubble3D val="0"/>
            <c:spPr>
              <a:solidFill>
                <a:schemeClr val="accent1"/>
              </a:solidFill>
              <a:ln w="19050">
                <a:solidFill>
                  <a:schemeClr val="lt1"/>
                </a:solidFill>
              </a:ln>
              <a:effectLst/>
            </c:spPr>
          </c:dPt>
          <c:dLbls>
            <c:delete val="1"/>
          </c:dLbls>
          <c:cat>
            <c:strRef>
              <c:f>Sheet1!$A$2</c:f>
              <c:strCache>
                <c:ptCount val="1"/>
                <c:pt idx="0">
                  <c:v>一般公共预算拨款</c:v>
                </c:pt>
              </c:strCache>
            </c:strRef>
          </c:cat>
          <c:val>
            <c:numRef>
              <c:f>Sheet1!$B$2</c:f>
              <c:numCache>
                <c:ptCount val="1"/>
                <c:pt idx="0">
                  <c:v>795.44</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部门支出总体情况</a:t>
            </a:r>
            <a:endParaRPr lang="en-US" sz="1100"/>
          </a:p>
        </c:rich>
      </c:tx>
      <c:layout/>
      <c:overlay val="0"/>
      <c:spPr>
        <a:noFill/>
        <a:ln>
          <a:noFill/>
        </a:ln>
        <a:effectLst/>
      </c:spPr>
    </c:title>
    <c:autoTitleDeleted val="0"/>
    <c:plotArea>
      <c:layout/>
      <c:pieChart>
        <c:varyColors val="1"/>
        <c:ser>
          <c:idx val="0"/>
          <c:order val="0"/>
          <c:tx>
            <c:strRef>
              <c:f>Sheet1!$B$1</c:f>
              <c:strCache>
                <c:ptCount val="1"/>
                <c:pt idx="0">
                  <c:v>countries</c:v>
                </c:pt>
              </c:strCache>
            </c:strRef>
          </c:tx>
          <c:explosion val="0"/>
          <c:dPt>
            <c:idx val="0"/>
            <c:bubble3D val="0"/>
            <c:spPr>
              <a:solidFill>
                <a:schemeClr val="accent1"/>
              </a:solidFill>
              <a:ln w="19050">
                <a:solidFill>
                  <a:schemeClr val="lt1"/>
                </a:solidFill>
              </a:ln>
              <a:effectLst/>
            </c:spPr>
          </c:dPt>
          <c:dLbls>
            <c:delete val="1"/>
          </c:dLbls>
          <c:cat>
            <c:strRef>
              <c:f>Sheet1!$A$2:$A$4</c:f>
              <c:strCache>
                <c:ptCount val="3"/>
                <c:pt idx="0">
                  <c:v>一般公共服务支出</c:v>
                </c:pt>
                <c:pt idx="1">
                  <c:v>社会保障和就业支出</c:v>
                </c:pt>
                <c:pt idx="2">
                  <c:v>住房保障支出</c:v>
                </c:pt>
              </c:strCache>
            </c:strRef>
          </c:cat>
          <c:val>
            <c:numRef>
              <c:f>Sheet1!$B$2:$B$4</c:f>
              <c:numCache>
                <c:ptCount val="3"/>
                <c:pt idx="0">
                  <c:v>621.55</c:v>
                </c:pt>
                <c:pt idx="1">
                  <c:v>39.69</c:v>
                </c:pt>
                <c:pt idx="2">
                  <c:v>34.2</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财政拨款收支总体情况</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上年</c:v>
                </c:pt>
              </c:strCache>
            </c:strRef>
          </c:tx>
          <c:spPr>
            <a:solidFill>
              <a:schemeClr val="accent1"/>
            </a:solidFill>
            <a:ln>
              <a:noFill/>
            </a:ln>
            <a:effectLst/>
          </c:spPr>
          <c:invertIfNegative val="0"/>
          <c:dLbls>
            <c:delete val="1"/>
          </c:dLbls>
          <c:cat>
            <c:strRef>
              <c:f>Sheet1!$A$2</c:f>
              <c:strCache>
                <c:ptCount val="1"/>
                <c:pt idx="0">
                  <c:v>收入</c:v>
                </c:pt>
              </c:strCache>
            </c:strRef>
          </c:cat>
          <c:val>
            <c:numRef>
              <c:f>Sheet1!$B$2</c:f>
              <c:numCache>
                <c:formatCode>General</c:formatCode>
                <c:ptCount val="1"/>
                <c:pt idx="0">
                  <c:v>1115.02</c:v>
                </c:pt>
              </c:numCache>
            </c:numRef>
          </c:val>
        </c:ser>
        <c:ser>
          <c:idx val="1"/>
          <c:order val="1"/>
          <c:tx>
            <c:strRef>
              <c:f>Sheet1!$C$1</c:f>
              <c:strCache>
                <c:ptCount val="1"/>
                <c:pt idx="0">
                  <c:v>当年</c:v>
                </c:pt>
              </c:strCache>
            </c:strRef>
          </c:tx>
          <c:spPr>
            <a:solidFill>
              <a:schemeClr val="accent2"/>
            </a:solidFill>
            <a:ln>
              <a:noFill/>
            </a:ln>
            <a:effectLst/>
          </c:spPr>
          <c:invertIfNegative val="0"/>
          <c:dLbls>
            <c:delete val="1"/>
          </c:dLbls>
          <c:cat>
            <c:strRef>
              <c:f>Sheet1!$A$2</c:f>
              <c:strCache>
                <c:ptCount val="1"/>
                <c:pt idx="0">
                  <c:v>收入</c:v>
                </c:pt>
              </c:strCache>
            </c:strRef>
          </c:cat>
          <c:val>
            <c:numRef>
              <c:f>Sheet1!$C$2</c:f>
              <c:numCache>
                <c:formatCode>General</c:formatCode>
                <c:ptCount val="1"/>
                <c:pt idx="0">
                  <c:v>795.44</c:v>
                </c:pt>
              </c:numCache>
            </c:numRef>
          </c:val>
        </c:ser>
        <c:dLbls>
          <c:showLegendKey val="0"/>
          <c:showVal val="0"/>
          <c:showCatName val="0"/>
          <c:showSerName val="0"/>
          <c:showPercent val="0"/>
          <c:showBubbleSize val="0"/>
        </c:dLbls>
        <c:gapWidth val="219"/>
        <c:overlap val="-27"/>
        <c:axId val="811850650"/>
        <c:axId val="698020238"/>
      </c:barChart>
      <c:catAx>
        <c:axId val="81185065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98020238"/>
        <c:crosses val="autoZero"/>
        <c:auto val="1"/>
        <c:lblAlgn val="ctr"/>
        <c:lblOffset val="100"/>
        <c:noMultiLvlLbl val="0"/>
      </c:catAx>
      <c:valAx>
        <c:axId val="69802023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1185065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nchor="t" rtlCol="false"/>
          <a:lstStyle/>
          <a:p>
            <a:pPr algn="l">
              <a:defRPr/>
            </a:pPr>
            <a:r>
              <a:rPr lang="en-US"/>
              <a:t>一般公共预算支出情况</a:t>
            </a:r>
            <a:endParaRPr lang="en-US" sz="1100"/>
          </a:p>
        </c:rich>
      </c:tx>
      <c:layout/>
      <c:overlay val="false"/>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barChart>
        <c:barDir val="bar"/>
        <c:grouping val="clustered"/>
        <c:varyColors val="0"/>
        <c:ser>
          <c:idx val="0"/>
          <c:order val="0"/>
          <c:tx>
            <c:strRef>
              <c:f>Sheet1!$B$1</c:f>
              <c:strCache>
                <c:ptCount val="1"/>
                <c:pt idx="0">
                  <c:v>基本支出</c:v>
                </c:pt>
              </c:strCache>
            </c:strRef>
          </c:tx>
          <c:spPr>
            <a:solidFill>
              <a:schemeClr val="accent1"/>
            </a:solidFill>
            <a:ln>
              <a:noFill/>
            </a:ln>
            <a:effectLst/>
          </c:spPr>
          <c:invertIfNegative val="0"/>
          <c:dLbls>
            <c:delete val="1"/>
          </c:dLbls>
          <c:cat>
            <c:strRef>
              <c:f>Sheet1!$A$2</c:f>
              <c:strCache>
                <c:ptCount val="1"/>
                <c:pt idx="0">
                  <c:v>当年</c:v>
                </c:pt>
              </c:strCache>
            </c:strRef>
          </c:cat>
          <c:val>
            <c:numRef>
              <c:f>Sheet1!$B$2</c:f>
              <c:numCache>
                <c:formatCode>General</c:formatCode>
                <c:ptCount val="1"/>
                <c:pt idx="0">
                  <c:v>445.44</c:v>
                </c:pt>
              </c:numCache>
            </c:numRef>
          </c:val>
        </c:ser>
        <c:ser>
          <c:idx val="1"/>
          <c:order val="1"/>
          <c:tx>
            <c:strRef>
              <c:f>Sheet1!$C$1</c:f>
              <c:strCache>
                <c:ptCount val="1"/>
                <c:pt idx="0">
                  <c:v>结转下年支出</c:v>
                </c:pt>
              </c:strCache>
            </c:strRef>
          </c:tx>
          <c:cat>
            <c:strRef>
              <c:f>Sheet1!$A$2</c:f>
              <c:strCache>
                <c:ptCount val="1"/>
                <c:pt idx="0">
                  <c:v>当年</c:v>
                </c:pt>
              </c:strCache>
            </c:strRef>
          </c:cat>
          <c:val>
            <c:numRef>
              <c:f>Sheet1!$C$2</c:f>
              <c:numCache>
                <c:ptCount val="1"/>
                <c:pt idx="0">
                  <c:v>0.0</c:v>
                </c:pt>
              </c:numCache>
            </c:numRef>
          </c:val>
        </c:ser>
        <c:ser>
          <c:idx val="2"/>
          <c:order val="2"/>
          <c:tx>
            <c:strRef>
              <c:f>Sheet1!$D$1</c:f>
              <c:strCache>
                <c:ptCount val="1"/>
                <c:pt idx="0">
                  <c:v>项目支出</c:v>
                </c:pt>
              </c:strCache>
            </c:strRef>
          </c:tx>
          <c:cat>
            <c:strRef>
              <c:f>Sheet1!$A$2</c:f>
              <c:strCache>
                <c:ptCount val="1"/>
                <c:pt idx="0">
                  <c:v>当年</c:v>
                </c:pt>
              </c:strCache>
            </c:strRef>
          </c:cat>
          <c:val>
            <c:numRef>
              <c:f>Sheet1!$D$2</c:f>
              <c:numCache>
                <c:ptCount val="1"/>
                <c:pt idx="0">
                  <c:v>350.0</c:v>
                </c:pt>
              </c:numCache>
            </c:numRef>
          </c:val>
        </c:ser>
        <c:ser>
          <c:idx val="3"/>
          <c:order val="3"/>
          <c:tx>
            <c:strRef>
              <c:f>Sheet1!$E$1</c:f>
              <c:strCache>
                <c:ptCount val="1"/>
                <c:pt idx="0">
                  <c:v>公用经费</c:v>
                </c:pt>
              </c:strCache>
            </c:strRef>
          </c:tx>
          <c:cat>
            <c:strRef>
              <c:f>Sheet1!$A$2</c:f>
              <c:strCache>
                <c:ptCount val="1"/>
                <c:pt idx="0">
                  <c:v>当年</c:v>
                </c:pt>
              </c:strCache>
            </c:strRef>
          </c:cat>
          <c:val>
            <c:numRef>
              <c:f>Sheet1!$E$2</c:f>
              <c:numCache>
                <c:ptCount val="1"/>
                <c:pt idx="0">
                  <c:v>34.91</c:v>
                </c:pt>
              </c:numCache>
            </c:numRef>
          </c:val>
        </c:ser>
        <c:ser>
          <c:idx val="4"/>
          <c:order val="4"/>
          <c:tx>
            <c:strRef>
              <c:f>Sheet1!$F$1</c:f>
              <c:strCache>
                <c:ptCount val="1"/>
                <c:pt idx="0">
                  <c:v>人员经费</c:v>
                </c:pt>
              </c:strCache>
            </c:strRef>
          </c:tx>
          <c:cat>
            <c:strRef>
              <c:f>Sheet1!$A$2</c:f>
              <c:strCache>
                <c:ptCount val="1"/>
                <c:pt idx="0">
                  <c:v>当年</c:v>
                </c:pt>
              </c:strCache>
            </c:strRef>
          </c:cat>
          <c:val>
            <c:numRef>
              <c:f>Sheet1!$F$2</c:f>
              <c:numCache>
                <c:ptCount val="1"/>
                <c:pt idx="0">
                  <c:v>410.53</c:v>
                </c:pt>
              </c:numCache>
            </c:numRef>
          </c:val>
        </c:ser>
        <c:dLbls>
          <c:showLegendKey val="0"/>
          <c:showVal val="0"/>
          <c:showCatName val="0"/>
          <c:showSerName val="0"/>
          <c:showPercent val="0"/>
          <c:showBubbleSize val="0"/>
        </c:dLbls>
        <c:gapWidth val="182"/>
        <c:overlap val="0"/>
        <c:axId val="691519273"/>
        <c:axId val="850134922"/>
      </c:barChart>
      <c:catAx>
        <c:axId val="691519273"/>
        <c:scaling>
          <c:orientation val="minMax"/>
        </c:scaling>
        <c:delete val="1"/>
        <c:axPos val="l"/>
        <c:majorTickMark val="none"/>
        <c:minorTickMark val="none"/>
        <c:tickLblPos val="nextTo"/>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50134922"/>
        <c:crosses val="autoZero"/>
        <c:auto val="1"/>
        <c:lblAlgn val="ctr"/>
        <c:lblOffset val="100"/>
        <c:noMultiLvlLbl val="0"/>
      </c:catAx>
      <c:valAx>
        <c:axId val="85013492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91519273"/>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nchor="t" rtlCol="false"/>
          <a:lstStyle/>
          <a:p>
            <a:pPr algn="l">
              <a:defRPr/>
            </a:pPr>
            <a:r>
              <a:rPr lang="en-US"/>
              <a:t>一般公共预算基本支出情况</a:t>
            </a:r>
            <a:endParaRPr lang="en-US" sz="1100"/>
          </a:p>
        </c:rich>
      </c:tx>
      <c:layout/>
      <c:overlay val="false"/>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countries</c:v>
                </c:pt>
              </c:strCache>
            </c:strRef>
          </c:tx>
          <c:spPr/>
          <c:explosion val="0"/>
          <c:dPt>
            <c:idx val="0"/>
            <c:bubble3D val="0"/>
            <c:spPr>
              <a:solidFill>
                <a:schemeClr val="accent1"/>
              </a:solidFill>
              <a:ln w="19050">
                <a:solidFill>
                  <a:schemeClr val="lt1"/>
                </a:solidFill>
              </a:ln>
              <a:effectLst/>
            </c:spPr>
          </c:dPt>
          <c:dLbls>
            <c:delete val="1"/>
          </c:dLbls>
          <c:cat>
            <c:strRef>
              <c:f>Sheet1!$A$2:$A$3</c:f>
              <c:strCache>
                <c:ptCount val="2"/>
                <c:pt idx="0">
                  <c:v>人员经费</c:v>
                </c:pt>
                <c:pt idx="1">
                  <c:v>公用经费</c:v>
                </c:pt>
              </c:strCache>
            </c:strRef>
          </c:cat>
          <c:val>
            <c:numRef>
              <c:f>Sheet1!$B$2:$B$3</c:f>
              <c:numCache>
                <c:ptCount val="2"/>
                <c:pt idx="0">
                  <c:v>410.53</c:v>
                </c:pt>
                <c:pt idx="1">
                  <c:v>34.91</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一般公共预算“三公”经费安排情况</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上年</c:v>
                </c:pt>
              </c:strCache>
            </c:strRef>
          </c:tx>
          <c:spPr>
            <a:solidFill>
              <a:schemeClr val="accent1"/>
            </a:solidFill>
            <a:ln>
              <a:noFill/>
            </a:ln>
            <a:effectLst/>
          </c:spPr>
          <c:invertIfNegative val="0"/>
          <c:dLbls>
            <c:delete val="1"/>
          </c:dLbls>
          <c:cat>
            <c:strRef>
              <c:f>Sheet1!$A$2:$A$4</c:f>
              <c:strCache>
                <c:ptCount val="3"/>
                <c:pt idx="0">
                  <c:v>因公出国（境）经费预算</c:v>
                </c:pt>
                <c:pt idx="1">
                  <c:v>公务接待费预算</c:v>
                </c:pt>
                <c:pt idx="2">
                  <c:v>公务用车购置及运行费预算</c:v>
                </c:pt>
              </c:strCache>
            </c:strRef>
          </c:cat>
          <c:val>
            <c:numRef>
              <c:f>Sheet1!$B$2:$B$4</c:f>
              <c:numCache>
                <c:formatCode>General</c:formatCode>
                <c:ptCount val="3"/>
                <c:pt idx="0">
                  <c:v>0.0</c:v>
                </c:pt>
                <c:pt idx="1">
                  <c:v>7.5</c:v>
                </c:pt>
                <c:pt idx="2">
                  <c:v>0.0</c:v>
                </c:pt>
              </c:numCache>
            </c:numRef>
          </c:val>
        </c:ser>
        <c:ser>
          <c:idx val="1"/>
          <c:order val="1"/>
          <c:tx>
            <c:strRef>
              <c:f>Sheet1!$C$1</c:f>
              <c:strCache>
                <c:ptCount val="1"/>
                <c:pt idx="0">
                  <c:v>当年</c:v>
                </c:pt>
              </c:strCache>
            </c:strRef>
          </c:tx>
          <c:invertIfNegative val="0"/>
          <c:dLbls>
            <c:delete val="1"/>
          </c:dLbls>
          <c:cat>
            <c:strRef>
              <c:f>Sheet1!$A$2:$A$4</c:f>
              <c:strCache>
                <c:ptCount val="3"/>
                <c:pt idx="0">
                  <c:v>因公出国（境）经费预算</c:v>
                </c:pt>
                <c:pt idx="1">
                  <c:v>公务接待费预算</c:v>
                </c:pt>
                <c:pt idx="2">
                  <c:v>公务用车购置及运行费预算</c:v>
                </c:pt>
              </c:strCache>
            </c:strRef>
          </c:cat>
          <c:val>
            <c:numRef>
              <c:f>Sheet1!$C$2:$C$4</c:f>
              <c:numCache>
                <c:formatCode>General</c:formatCode>
                <c:ptCount val="3"/>
                <c:pt idx="0">
                  <c:v>0.0</c:v>
                </c:pt>
                <c:pt idx="1">
                  <c:v>7.5</c:v>
                </c:pt>
                <c:pt idx="2">
                  <c:v>0.0</c:v>
                </c:pt>
              </c:numCache>
            </c:numRef>
          </c:val>
        </c:ser>
        <c:dLbls>
          <c:showLegendKey val="0"/>
          <c:showVal val="0"/>
          <c:showCatName val="0"/>
          <c:showSerName val="0"/>
          <c:showPercent val="0"/>
          <c:showBubbleSize val="0"/>
        </c:dLbls>
        <c:gapWidth val="182"/>
        <c:overlap val="0"/>
        <c:axId val="587647791"/>
        <c:axId val="468612210"/>
      </c:barChart>
      <c:catAx>
        <c:axId val="587647791"/>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68612210"/>
        <c:crosses val="autoZero"/>
        <c:auto val="1"/>
        <c:lblAlgn val="ctr"/>
        <c:lblOffset val="100"/>
        <c:noMultiLvlLbl val="0"/>
      </c:catAx>
      <c:valAx>
        <c:axId val="468612210"/>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87647791"/>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cp:coreProperties xmlns:cp="http://schemas.openxmlformats.org/package/2006/metadata/core-properties" xmlns:dc="http://purl.org/dc/elements/1.1/" xmlns:dcterms="http://purl.org/dc/terms/" xmlns:xsi="http://www.w3.org/2001/XMLSchema-instance">
  <dcterms:created xsi:type="dcterms:W3CDTF">2023-02-07T06:11:00Z</dcterms:created>
  <dc:creator>蔡冬冬</dc:creator>
  <cp:lastModifiedBy>秦杰</cp:lastModifiedBy>
  <dcterms:modified xsi:type="dcterms:W3CDTF">2024-03-04T09:04:55Z</dcterms:modified>
  <cp:revision>3</cp:revision>
</cp:coreProperties>
</file>

<file path=customXml/item2.xml><?xml version="1.0" encoding="utf-8"?>
<Properties xmlns="http://schemas.openxmlformats.org/officeDocument/2006/extended-properties" xmlns:vt="http://schemas.openxmlformats.org/officeDocument/2006/docPropsVTypes">
  <Template>Normal.dotm</Template>
  <Pages>35</Pages>
  <Words>8576</Words>
  <Characters>11046</Characters>
  <Lines>105</Lines>
  <Paragraphs>29</Paragraphs>
  <TotalTime>52</TotalTime>
  <ScaleCrop>false</ScaleCrop>
  <LinksUpToDate>false</LinksUpToDate>
  <CharactersWithSpaces>11333</CharactersWithSpaces>
  <Application>WPS Office_12.1.0.16364_F1E327BC-269C-435d-A152-05C5408002CA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2052-12.1.0.16364</vt:lpwstr>
  </property>
  <property fmtid="{D5CDD505-2E9C-101B-9397-08002B2CF9AE}" pid="3" name="ICV">
    <vt:lpwstr>D8E31EB85D0A49EFB79FE5D556DA0126_13</vt:lpwstr>
  </property>
</Properties>
</file>

<file path=customXml/item4.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emplate>Normal.dotm</Template>
  <TotalTime>52</TotalTime>
  <Pages>35</Pages>
  <Words>8576</Words>
  <Characters>11046</Characters>
  <Application>WPS Office_12.1.0.16364_F1E327BC-269C-435d-A152-05C5408002CA</Application>
  <DocSecurity>0</DocSecurity>
  <Lines>105</Lines>
  <Paragraphs>29</Paragraphs>
  <CharactersWithSpaces>11333</CharactersWithSpaces>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2023-02-07T06:11:00Z</dcterms:created>
  <dc:creator>蔡冬冬</dc:creator>
  <cp:lastModifiedBy>秦杰</cp:lastModifiedBy>
  <dcterms:modified xsi:type="dcterms:W3CDTF">2024-03-05T14:08:46Z</dcterms:modified>
  <cp:revision>3</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str>2052-12.1.0.16364</vt:lpstr>
  </property>
  <property fmtid="{D5CDD505-2E9C-101B-9397-08002B2CF9AE}" pid="3" name="ICV">
    <vt:lpstr>D8E31EB85D0A49EFB79FE5D556DA0126_13</vt:lpstr>
  </property>
</Properties>
</file>