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lang w:eastAsia="zh-CN"/>
        </w:rPr>
      </w:pPr>
      <w:r>
        <w:rPr>
          <w:rFonts w:hint="eastAsia"/>
          <w:lang w:eastAsia="zh-CN"/>
        </w:rPr>
        <w:t xml:space="preserve">环江毛南族自治县驯乐苗族乡财政所</w:t>
      </w:r>
    </w:p>
    <w:p>
      <w:pPr>
        <w:pStyle w:val="Bodytext|5"/>
        <w:jc w:val="center"/>
        <w:sectPr>
          <w:pgSz w:w="11900" w:h="16840" w:orient="portrait"/>
          <w:pgMar w:top="4713" w:right="1913" w:bottom="4713" w:left="2020" w:header="4285" w:footer="4285" w:gutter="0"/>
          <w:pgBorders>
            <w:top w:val="none" w:sz="0" w:space="0" w:color="auto"/>
            <w:left w:val="none" w:sz="0" w:space="0" w:color="auto"/>
            <w:bottom w:val="none" w:sz="0" w:space="0" w:color="auto"/>
            <w:right w:val="none" w:sz="0" w:space="0" w:color="auto"/>
          </w:pgBorders>
          <w:pgNumType w:start="1"/>
          <w:cols w:num="1" w:space="720">
            <w:col w:w="7967" w:space="720"/>
          </w:cols>
          <w:docGrid w:linePitch="360" w:charSpace="0"/>
        </w:sectPr>
      </w:pPr>
      <w:r>
        <w:rPr>
          <w:rFonts w:hint="eastAsia"/>
          <w:lang w:eastAsia="zh-CN"/>
        </w:rPr>
        <w:t xml:space="preserve">2024</w:t>
      </w:r>
      <w:r>
        <w:rPr>
          <w:rFonts w:ascii="Times New Roman" w:eastAsia="Times New Roman" w:hAnsi="Times New Roman" w:cs="Times New Roman"/>
          <w:sz w:val="56"/>
          <w:u w:color="auto"/>
        </w:rPr>
        <w:t xml:space="preserve">年</w:t>
      </w:r>
      <w:r>
        <w:t xml:space="preserve">度部门预算</w:t>
      </w:r>
    </w:p>
    <w:p>
      <w:pPr>
        <w:pStyle w:val="Heading#1|1"/>
        <w:keepNext/>
        <w:keepLines/>
        <w:spacing w:after="240"/>
        <w:jc w:val="center"/>
      </w:pPr>
      <w:bookmarkStart w:id="0" w:name="bookmark0"/>
      <w:bookmarkStart w:id="1" w:name="bookmark1"/>
      <w:bookmarkStart w:id="2" w:name="bookmark2"/>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环江毛南族自治县驯乐苗族乡财政所</w:t>
      </w:r>
      <w:r>
        <w:rPr>
          <w:u w:color="auto"/>
        </w:rPr>
        <w:t xml:space="preserve">单位</w:t>
      </w:r>
      <w:r>
        <w:t xml:space="preserve">概况</w:t>
      </w:r>
    </w:p>
    <w:p>
      <w:pPr>
        <w:pStyle w:val="Bodytext|2"/>
        <w:jc w:val="left"/>
      </w:pPr>
      <w:r>
        <w:rPr>
          <w:lang w:val="en-US" w:eastAsia="zh-CN" w:bidi="en-US"/>
        </w:rPr>
        <w:t xml:space="preserve">—</w:t>
      </w:r>
      <w:r>
        <w:t xml:space="preserve">、主要职责</w:t>
      </w:r>
    </w:p>
    <w:p>
      <w:pPr>
        <w:pStyle w:val="Bodytext|2"/>
        <w:jc w:val="left"/>
        <w:rPr>
          <w:rFonts w:hint="eastAsia"/>
        </w:rPr>
      </w:pPr>
      <w:r>
        <w:rPr>
          <w:rFonts w:hint="eastAsia"/>
          <w:lang w:val="en-US" w:eastAsia="zh-CN"/>
        </w:rPr>
        <w:t xml:space="preserve">二、</w:t>
      </w:r>
      <w:r>
        <w:rPr>
          <w:rFonts w:hint="eastAsia"/>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环江毛南族自治县驯乐苗族乡财政所</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环江毛南族自治县驯乐苗族乡财政所</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七、一般公开预算“三公”经费支出情况表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5"/>
          <w:pgSz w:w="11900" w:h="16840" w:orient="portrait"/>
          <w:pgMar w:top="1508" w:right="1674" w:bottom="1508" w:left="1851" w:header="1080" w:footer="3" w:gutter="0"/>
          <w:pgBorders>
            <w:top w:val="none" w:sz="0" w:space="0" w:color="auto"/>
            <w:left w:val="none" w:sz="0" w:space="0" w:color="auto"/>
            <w:bottom w:val="none" w:sz="0" w:space="0" w:color="auto"/>
            <w:right w:val="none" w:sz="0" w:space="0" w:color="auto"/>
          </w:pgBorders>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spacing w:after="560"/>
        <w:jc w:val="both"/>
      </w:pPr>
      <w:bookmarkStart w:id="3" w:name="bookmark13"/>
      <w:bookmarkStart w:id="4" w:name="bookmark14"/>
      <w:bookmarkStart w:id="5" w:name="bookmark12"/>
    </w:p>
    <w:p>
      <w:pPr>
        <w:pStyle w:val="Heading#1|1"/>
        <w:keepNext/>
        <w:keepLines/>
        <w:spacing w:after="560"/>
        <w:jc w:val="center"/>
        <w:rPr>
          <w:b/>
          <w:bCs/>
        </w:rPr>
      </w:pPr>
      <w:r>
        <w:rPr>
          <w:b/>
          <w:bCs/>
        </w:rPr>
        <w:t xml:space="preserve">第一部分</w:t>
      </w:r>
      <w:r>
        <w:rPr>
          <w:rFonts w:hint="eastAsia"/>
          <w:b/>
          <w:bCs/>
          <w:lang w:eastAsia="zh-CN"/>
        </w:rPr>
        <w:t xml:space="preserve">：</w:t>
      </w:r>
      <w:r>
        <w:rPr>
          <w:b/>
          <w:u w:color="auto"/>
        </w:rPr>
        <w:t xml:space="preserve">环江毛南族自治县驯乐苗族乡财政所</w:t>
      </w:r>
      <w:r>
        <w:rPr>
          <w:b/>
          <w:bCs/>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（一）负责本单位预决算编制、预算执行、预算调整和预算内外收支管理；</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（二）负责本单位的财务管理和核算；</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（三）负责管理本单位各项财政收支、编制年度本单位本级预决算并组织执行及负责本单位资产管理及预决算公开；</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（四）负责各项涉农补贴的兑付工作；</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（五）编制本单位国有资产管理情况报告；</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（六）完成自治县党委、自治县人民政府及驯乐苗族乡人民政府交办的其他任务。</w:t>
      </w:r>
    </w:p>
    <w:p>
      <w:pPr>
        <w:pStyle w:val="Bodytext|2"/>
        <w:tabs>
          <w:tab w:val="left" w:pos="1369"/>
        </w:tabs>
        <w:spacing w:after="0" w:line="623" w:lineRule="exact"/>
        <w:ind w:firstLine="620"/>
        <w:jc w:val="left"/>
        <w:rPr>
          <w:b/>
          <w:bCs/>
        </w:rPr>
      </w:pPr>
      <w:bookmarkStart w:id="6" w:name="bookmark24"/>
      <w:r>
        <w:rPr>
          <w:b/>
          <w:bCs/>
        </w:rPr>
        <w:t xml:space="preserve">二</w:t>
      </w:r>
      <w:bookmarkEnd w:id="6"/>
      <w:r>
        <w:rPr>
          <w:b/>
          <w:bCs/>
        </w:rPr>
        <w:t xml:space="preserve">、</w:t>
      </w:r>
      <w:r>
        <w:rPr>
          <w:b/>
          <w:bCs/>
        </w:rPr>
        <w:tab/>
      </w:r>
      <w:r>
        <w:rPr>
          <w:rFonts w:hint="eastAsia"/>
          <w:b/>
          <w:bCs/>
        </w:rPr>
        <w:t xml:space="preserve">机构设置情况</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环江毛南族自治县驯乐苗族乡财政所2023年共有县直单位1个。人员编制总数为8人，全部为参公编制，实有人数4人。</w:t>
      </w:r>
    </w:p>
    <w:p>
      <w:pPr>
        <w:pStyle w:val="Bodytext|1"/>
        <w:spacing w:line="623" w:lineRule="exact"/>
        <w:ind w:firstLine="1018" w:firstLineChars="0"/>
        <w:jc w:val="left"/>
        <w:rPr>
          <w:rFonts w:hint="eastAsia"/>
          <w:highlight w:val="none"/>
          <w:lang w:val="en-US" w:eastAsia="zh-CN"/>
        </w:rPr>
      </w:pPr>
    </w:p>
    <w:p>
      <w:pPr>
        <w:pStyle w:val="Bodytext|1"/>
        <w:spacing w:line="623" w:lineRule="exact"/>
        <w:ind w:firstLine="1018" w:firstLineChars="0"/>
        <w:jc w:val="left"/>
        <w:rPr>
          <w:rFonts w:hint="eastAsia"/>
          <w:highlight w:val="none"/>
          <w:lang w:val="en-US" w:eastAsia="zh-CN"/>
        </w:rPr>
      </w:pPr>
    </w:p>
    <w:p>
      <w:pPr/>
      <w:r>
        <w:br w:type="page"/>
      </w:r>
    </w:p>
    <w:p>
      <w:pPr>
        <w:pStyle w:val="Heading#1|1"/>
        <w:keepNext/>
        <w:keepLines/>
        <w:spacing w:before="120" w:after="0" w:line="629" w:lineRule="exact"/>
        <w:jc w:val="center"/>
        <w:rPr>
          <w:b/>
          <w:bCs/>
        </w:rPr>
      </w:pPr>
      <w:bookmarkStart w:id="7" w:name="bookmark70"/>
      <w:bookmarkStart w:id="8" w:name="bookmark68"/>
      <w:bookmarkStart w:id="9" w:name="bookmark69"/>
      <w:bookmarkStart w:id="10" w:name="bookmark28"/>
      <w:bookmarkStart w:id="11" w:name="bookmark27"/>
      <w:bookmarkStart w:id="12" w:name="bookmark26"/>
      <w:r>
        <w:rPr>
          <w:b/>
          <w:bCs/>
        </w:rPr>
        <w:t xml:space="preserve">第</w:t>
      </w:r>
      <w:r>
        <w:rPr>
          <w:rFonts w:hint="eastAsia"/>
          <w:b/>
          <w:bCs/>
          <w:lang w:val="en-US" w:eastAsia="zh-CN"/>
        </w:rPr>
        <w:t xml:space="preserve">二</w:t>
      </w:r>
      <w:r>
        <w:rPr>
          <w:b/>
          <w:bCs/>
        </w:rPr>
        <w:t xml:space="preserve">部分</w:t>
      </w:r>
      <w:r>
        <w:rPr>
          <w:rFonts w:hint="eastAsia"/>
          <w:b/>
          <w:bCs/>
          <w:lang w:eastAsia="zh-CN"/>
        </w:rPr>
        <w:t xml:space="preserve">：</w:t>
      </w:r>
      <w:bookmarkEnd w:id="7"/>
      <w:bookmarkEnd w:id="8"/>
      <w:bookmarkEnd w:id="9"/>
      <w:r>
        <w:rPr>
          <w:rFonts w:hint="eastAsia"/>
          <w:b/>
          <w:bCs/>
          <w:lang w:eastAsia="zh-CN"/>
        </w:rPr>
        <w:t xml:space="preserve">环江毛南族自治县驯乐苗族乡财政所</w:t>
      </w:r>
      <w:r>
        <w:rPr>
          <w:b/>
          <w:u w:color="auto"/>
        </w:rPr>
        <w:t xml:space="preserve">2024</w:t>
      </w:r>
      <w:r>
        <w:rPr>
          <w:b/>
          <w:u w:color="auto"/>
        </w:rPr>
        <w:t xml:space="preserve">年部门预算情况说明</w:t>
      </w:r>
    </w:p>
    <w:p>
      <w:pPr>
        <w:pStyle w:val="Bodytext|2"/>
        <w:tabs>
          <w:tab w:val="left" w:pos="1235"/>
        </w:tabs>
        <w:spacing w:after="0" w:line="624" w:lineRule="exact"/>
        <w:ind w:firstLine="580"/>
        <w:jc w:val="left"/>
        <w:rPr>
          <w:b/>
          <w:bCs/>
        </w:rPr>
      </w:pPr>
      <w:bookmarkStart w:id="13" w:name="bookmark71"/>
      <w:r>
        <w:rPr>
          <w:b/>
          <w:bCs/>
        </w:rPr>
        <w:t xml:space="preserve">一</w:t>
      </w:r>
      <w:bookmarkEnd w:id="13"/>
      <w:r>
        <w:rPr>
          <w:b/>
          <w:bCs/>
        </w:rPr>
        <w:t xml:space="preserve">、</w:t>
      </w:r>
      <w:r>
        <w:rPr>
          <w:b/>
          <w:bCs/>
        </w:rPr>
        <w:tab/>
      </w:r>
      <w:r>
        <w:rPr>
          <w:b/>
          <w:bCs/>
        </w:rPr>
        <w:t xml:space="preserve">部门预算收支总体情况说明</w:t>
      </w:r>
    </w:p>
    <w:p>
      <w:pPr>
        <w:pStyle w:val="Bodytext|1"/>
        <w:spacing w:line="623" w:lineRule="exact"/>
        <w:ind w:left="0" w:firstLine="560" w:leftChars="0" w:firstLineChars="200"/>
        <w:jc w:val="left"/>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60.13</w:t>
      </w:r>
      <w:r>
        <w:rPr>
          <w:rFonts w:hint="eastAsia"/>
          <w:b w:val="0"/>
          <w:bCs w:val="0"/>
          <w:sz w:val="28"/>
          <w:szCs w:val="28"/>
        </w:rPr>
        <w:t xml:space="preserve">万元，总支出</w:t>
      </w:r>
      <w:r>
        <w:rPr>
          <w:rFonts w:hint="eastAsia"/>
          <w:sz w:val="28"/>
          <w:szCs w:val="28"/>
          <w:lang w:val="en-US" w:eastAsia="zh-CN"/>
        </w:rPr>
        <w:t xml:space="preserve">60.13</w:t>
      </w:r>
      <w:r>
        <w:rPr>
          <w:rFonts w:hint="eastAsia"/>
          <w:b w:val="0"/>
          <w:bCs w:val="0"/>
          <w:sz w:val="28"/>
          <w:szCs w:val="28"/>
        </w:rPr>
        <w:t xml:space="preserve">万元。总收入较2023年度预算数</w:t>
      </w:r>
      <w:r>
        <w:rPr>
          <w:rFonts w:hint="eastAsia"/>
          <w:sz w:val="28"/>
          <w:szCs w:val="28"/>
          <w:lang w:val="en-US" w:eastAsia="zh-CN"/>
        </w:rPr>
        <w:t xml:space="preserve">70.47</w:t>
      </w:r>
      <w:r>
        <w:rPr>
          <w:rFonts w:hint="eastAsia"/>
          <w:b w:val="0"/>
          <w:bCs w:val="0"/>
          <w:sz w:val="28"/>
          <w:szCs w:val="28"/>
        </w:rPr>
        <w:t xml:space="preserve">万元，</w:t>
      </w:r>
      <w:r>
        <w:rPr>
          <w:rFonts w:hint="eastAsia"/>
          <w:sz w:val="28"/>
          <w:szCs w:val="28"/>
        </w:rPr>
        <w:t xml:space="preserve">减少10.34</w:t>
      </w:r>
      <w:r>
        <w:rPr>
          <w:rFonts w:hint="eastAsia"/>
          <w:b w:val="0"/>
          <w:bCs w:val="0"/>
          <w:sz w:val="28"/>
          <w:szCs w:val="28"/>
        </w:rPr>
        <w:t xml:space="preserve">万元，</w:t>
      </w:r>
      <w:r>
        <w:rPr>
          <w:rFonts w:hint="eastAsia"/>
          <w:sz w:val="28"/>
          <w:szCs w:val="28"/>
        </w:rPr>
        <w:t xml:space="preserve">下降14.67%</w:t>
      </w:r>
      <w:r>
        <w:rPr>
          <w:rFonts w:hint="eastAsia"/>
          <w:b w:val="0"/>
          <w:bCs w:val="0"/>
          <w:sz w:val="28"/>
          <w:szCs w:val="28"/>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hint="eastAsia"/>
          <w:b w:val="0"/>
          <w:bCs w:val="0"/>
          <w:sz w:val="28"/>
          <w:szCs w:val="28"/>
        </w:rPr>
        <w:t xml:space="preserve">。总支出较2023年度预算数</w:t>
      </w:r>
      <w:r>
        <w:rPr>
          <w:rFonts w:hint="eastAsia"/>
          <w:sz w:val="28"/>
          <w:szCs w:val="28"/>
          <w:lang w:val="en-US" w:eastAsia="zh-CN"/>
        </w:rPr>
        <w:t xml:space="preserve">70.47</w:t>
      </w:r>
      <w:r>
        <w:rPr>
          <w:rFonts w:hint="eastAsia"/>
          <w:b w:val="0"/>
          <w:bCs w:val="0"/>
          <w:sz w:val="28"/>
          <w:szCs w:val="28"/>
        </w:rPr>
        <w:t xml:space="preserve">万元，</w:t>
      </w:r>
      <w:r>
        <w:rPr>
          <w:rFonts w:hint="eastAsia"/>
          <w:sz w:val="28"/>
          <w:szCs w:val="28"/>
        </w:rPr>
        <w:t xml:space="preserve">减少10.34</w:t>
      </w:r>
      <w:r>
        <w:rPr>
          <w:rFonts w:hint="eastAsia"/>
          <w:b w:val="0"/>
          <w:bCs w:val="0"/>
          <w:sz w:val="28"/>
          <w:szCs w:val="28"/>
        </w:rPr>
        <w:t xml:space="preserve">万元，</w:t>
      </w:r>
      <w:r>
        <w:rPr>
          <w:rFonts w:hint="eastAsia"/>
          <w:sz w:val="28"/>
          <w:szCs w:val="28"/>
        </w:rPr>
        <w:t xml:space="preserve">下降14.67%</w:t>
      </w:r>
      <w:r>
        <w:rPr>
          <w:rFonts w:hint="eastAsia"/>
          <w:b w:val="0"/>
          <w:bCs w:val="0"/>
          <w:sz w:val="28"/>
          <w:szCs w:val="28"/>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hint="eastAsia"/>
          <w:b w:val="0"/>
          <w:bCs w:val="0"/>
          <w:sz w:val="28"/>
          <w:szCs w:val="28"/>
        </w:rPr>
        <w:t xml:space="preserve">。</w:t>
      </w:r>
    </w:p>
    <w:p>
      <w:pPr>
        <w:pStyle w:val="Bodytext|2"/>
        <w:tabs>
          <w:tab w:val="left" w:pos="1235"/>
        </w:tabs>
        <w:spacing w:after="0" w:line="624" w:lineRule="exact"/>
        <w:ind w:firstLine="580"/>
        <w:jc w:val="left"/>
        <w:rPr>
          <w:b/>
          <w:bCs/>
          <w:lang w:val="en-US" w:eastAsia="zh-CN"/>
        </w:rPr>
      </w:pPr>
      <w:r>
        <w:rPr>
          <w:rFonts w:hint="eastAsia"/>
          <w:b/>
          <w:bCs/>
          <w:lang w:val="en-US" w:eastAsia="zh-CN"/>
        </w:rPr>
        <w:t xml:space="preserve">二、</w:t>
      </w:r>
      <w:r>
        <w:rPr>
          <w:b/>
          <w:bCs/>
        </w:rPr>
        <w:t xml:space="preserve">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298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6"/>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60.13</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70.47</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减少10.34</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下降14.67%</w:t>
      </w:r>
      <w:r>
        <w:rPr>
          <w:rFonts w:ascii="宋体" w:eastAsia="宋体" w:hAnsi="宋体" w:cs="宋体" w:hint="eastAsia"/>
          <w:sz w:val="28"/>
          <w:szCs w:val="28"/>
          <w:u w:color="auto"/>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ascii="宋体" w:eastAsia="宋体" w:hAnsi="宋体" w:cs="宋体" w:hint="eastAsia"/>
          <w:sz w:val="28"/>
          <w:szCs w:val="28"/>
          <w:u w:color="auto"/>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三、</w:t>
      </w:r>
      <w:r>
        <w:rPr>
          <w:b/>
          <w:bCs/>
        </w:rPr>
        <w:t xml:space="preserve">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298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7"/>
              </a:graphicData>
            </a:graphic>
          </wp:inline>
        </w:drawing>
      </w:r>
    </w:p>
    <w:p>
      <w:pPr>
        <w:pStyle w:val="Bodytext|1"/>
        <w:spacing w:line="623" w:lineRule="exact"/>
        <w:ind w:left="0" w:firstLine="560" w:leftChars="0" w:firstLineChars="200"/>
        <w:jc w:val="left"/>
        <w:rPr>
          <w:rFonts w:ascii="Times New Roman" w:hAnsi="Times New Roman" w:cs="Times New Roman" w:hint="eastAsia"/>
          <w:sz w:val="30"/>
          <w:szCs w:val="30"/>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60.13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70.47</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减少10.34</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下降14.67%</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ascii="Times New Roman" w:hAnsi="Times New Roman" w:cs="Times New Roman" w:hint="eastAsia"/>
          <w:sz w:val="30"/>
          <w:szCs w:val="30"/>
          <w:lang w:eastAsia="zh-CN"/>
        </w:rPr>
        <w:t xml:space="preserve">。主要包括：</w:t>
      </w:r>
      <w:r>
        <w:rPr>
          <w:rFonts w:hint="eastAsia"/>
          <w:highlight w:val="none"/>
          <w:lang w:val="en-US" w:eastAsia="zh-CN"/>
        </w:rPr>
        <w:t xml:space="preserve">基本支出减少8.46万元，定额商品服务支出减少0.24，公务交通补贴减少0.9万元；通讯补贴减少0.156万元，上年结转0.07及工会经费0.5044</w:t>
      </w:r>
      <w:r>
        <w:rPr>
          <w:rFonts w:ascii="Times New Roman" w:hAnsi="Times New Roman" w:cs="Times New Roman" w:hint="eastAsia"/>
          <w:sz w:val="30"/>
          <w:szCs w:val="30"/>
          <w:lang w:eastAsia="zh-CN"/>
        </w:rPr>
        <w:t xml:space="preserve">。</w:t>
      </w:r>
    </w:p>
    <w:p>
      <w:pPr>
        <w:pStyle w:val="Bodytext|1"/>
        <w:spacing w:after="140" w:line="240" w:lineRule="auto"/>
        <w:ind w:firstLine="0"/>
        <w:jc w:val="left"/>
      </w:pPr>
      <w:r>
        <w:t xml:space="preserve">（一）按支出功能分类科目划分，共分为</w:t>
      </w:r>
      <w:r>
        <w:rPr>
          <w:rFonts w:hint="eastAsia"/>
          <w:lang w:val="en-US" w:eastAsia="zh-CN"/>
        </w:rPr>
        <w:t xml:space="preserve">4</w:t>
      </w:r>
      <w:r>
        <w:t xml:space="preserve">类，其中:</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1</w:t>
      </w:r>
      <w:r>
        <w:rPr>
          <w:u w:color="auto"/>
        </w:rPr>
        <w:t xml:space="preserve">)</w:t>
      </w:r>
      <w:r>
        <w:rPr>
          <w:u w:color="auto"/>
        </w:rPr>
        <w:t xml:space="preserve">一般公共服务支出</w:t>
      </w:r>
      <w:r>
        <w:rPr>
          <w:rFonts w:hint="eastAsia"/>
          <w:lang w:val="en-US" w:eastAsia="zh-CN"/>
        </w:rPr>
        <w:t xml:space="preserve">49.01</w:t>
      </w:r>
      <w:r>
        <w:rPr>
          <w:rFonts w:hint="eastAsia"/>
        </w:rPr>
        <w:t xml:space="preserve">万元，占支出总预算</w:t>
      </w:r>
      <w:r>
        <w:rPr>
          <w:rFonts w:hint="eastAsia"/>
          <w:lang w:val="en-US" w:eastAsia="zh-CN"/>
        </w:rPr>
        <w:t xml:space="preserve">81.51%</w:t>
      </w:r>
      <w:r>
        <w:rPr>
          <w:rFonts w:hint="eastAsia"/>
        </w:rPr>
        <w:t xml:space="preserve">,比上年</w:t>
      </w:r>
      <w:r>
        <w:rPr>
          <w:rFonts w:hint="eastAsia"/>
          <w:lang w:val="en-US" w:eastAsia="zh-CN"/>
        </w:rPr>
        <w:t xml:space="preserve">减少7.18</w:t>
      </w:r>
      <w:r>
        <w:rPr>
          <w:rFonts w:hint="eastAsia"/>
        </w:rPr>
        <w:t xml:space="preserve">万元，</w:t>
      </w:r>
      <w:r>
        <w:rPr>
          <w:rFonts w:hint="eastAsia"/>
          <w:lang w:val="en-US" w:eastAsia="zh-CN"/>
        </w:rPr>
        <w:t xml:space="preserve">减少12.78%</w:t>
      </w:r>
      <w:r>
        <w:rPr>
          <w:rFonts w:hint="eastAsia"/>
        </w:rPr>
        <w:t xml:space="preserve">,</w:t>
      </w:r>
      <w:r>
        <w:rPr>
          <w:rFonts w:hint="eastAsia"/>
          <w:highlight w:val="none"/>
        </w:rPr>
        <w:t xml:space="preserve">主要原因是：</w:t>
      </w:r>
      <w:r>
        <w:rPr>
          <w:rFonts w:hint="eastAsia"/>
          <w:highlight w:val="none"/>
          <w:lang w:val="en-US" w:eastAsia="zh-CN"/>
        </w:rPr>
        <w:t xml:space="preserve">一是人员减少，导至工资福利性支出减少余6.67万元。二是工会经费压减0.51万元</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2</w:t>
      </w:r>
      <w:r>
        <w:rPr>
          <w:u w:color="auto"/>
        </w:rPr>
        <w:t xml:space="preserve">)</w:t>
      </w:r>
      <w:r>
        <w:rPr>
          <w:u w:color="auto"/>
        </w:rPr>
        <w:t xml:space="preserve">住房保障支出</w:t>
      </w:r>
      <w:r>
        <w:rPr>
          <w:rFonts w:hint="eastAsia"/>
          <w:lang w:val="en-US" w:eastAsia="zh-CN"/>
        </w:rPr>
        <w:t xml:space="preserve">5.16</w:t>
      </w:r>
      <w:r>
        <w:rPr>
          <w:rFonts w:hint="eastAsia"/>
        </w:rPr>
        <w:t xml:space="preserve">万元，占支出总预算</w:t>
      </w:r>
      <w:r>
        <w:rPr>
          <w:rFonts w:hint="eastAsia"/>
          <w:lang w:val="en-US" w:eastAsia="zh-CN"/>
        </w:rPr>
        <w:t xml:space="preserve">8.58%</w:t>
      </w:r>
      <w:r>
        <w:rPr>
          <w:rFonts w:hint="eastAsia"/>
        </w:rPr>
        <w:t xml:space="preserve">,比上年</w:t>
      </w:r>
      <w:r>
        <w:rPr>
          <w:rFonts w:hint="eastAsia"/>
          <w:lang w:val="en-US" w:eastAsia="zh-CN"/>
        </w:rPr>
        <w:t xml:space="preserve">减少0.93</w:t>
      </w:r>
      <w:r>
        <w:rPr>
          <w:rFonts w:hint="eastAsia"/>
        </w:rPr>
        <w:t xml:space="preserve">万元，</w:t>
      </w:r>
      <w:r>
        <w:rPr>
          <w:rFonts w:hint="eastAsia"/>
          <w:lang w:val="en-US" w:eastAsia="zh-CN"/>
        </w:rPr>
        <w:t xml:space="preserve">减少15.27%</w:t>
      </w:r>
      <w:r>
        <w:rPr>
          <w:rFonts w:hint="eastAsia"/>
        </w:rPr>
        <w:t xml:space="preserve">,</w:t>
      </w:r>
      <w:r>
        <w:rPr>
          <w:rFonts w:hint="eastAsia"/>
          <w:highlight w:val="none"/>
        </w:rPr>
        <w:t xml:space="preserve">主要原因是：</w:t>
      </w:r>
      <w:r>
        <w:rPr>
          <w:rFonts w:hint="eastAsia"/>
          <w:highlight w:val="none"/>
          <w:lang w:val="en-US" w:eastAsia="zh-CN"/>
        </w:rPr>
        <w:t xml:space="preserve">人员减少，且基数变化，导致减少0.93万元</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3</w:t>
      </w:r>
      <w:r>
        <w:rPr>
          <w:u w:color="auto"/>
        </w:rPr>
        <w:t xml:space="preserve">)</w:t>
      </w:r>
      <w:r>
        <w:rPr>
          <w:u w:color="auto"/>
        </w:rPr>
        <w:t xml:space="preserve">社会保障和就业支出</w:t>
      </w:r>
      <w:r>
        <w:rPr>
          <w:rFonts w:hint="eastAsia"/>
          <w:lang w:val="en-US" w:eastAsia="zh-CN"/>
        </w:rPr>
        <w:t xml:space="preserve">5.96</w:t>
      </w:r>
      <w:r>
        <w:rPr>
          <w:rFonts w:hint="eastAsia"/>
        </w:rPr>
        <w:t xml:space="preserve">万元，占支出总预算</w:t>
      </w:r>
      <w:r>
        <w:rPr>
          <w:rFonts w:hint="eastAsia"/>
          <w:lang w:val="en-US" w:eastAsia="zh-CN"/>
        </w:rPr>
        <w:t xml:space="preserve">9.91%</w:t>
      </w:r>
      <w:r>
        <w:rPr>
          <w:rFonts w:hint="eastAsia"/>
        </w:rPr>
        <w:t xml:space="preserve">,比上年</w:t>
      </w:r>
      <w:r>
        <w:rPr>
          <w:rFonts w:hint="eastAsia"/>
          <w:lang w:val="en-US" w:eastAsia="zh-CN"/>
        </w:rPr>
        <w:t xml:space="preserve">减少2.16</w:t>
      </w:r>
      <w:r>
        <w:rPr>
          <w:rFonts w:hint="eastAsia"/>
        </w:rPr>
        <w:t xml:space="preserve">万元，</w:t>
      </w:r>
      <w:r>
        <w:rPr>
          <w:rFonts w:hint="eastAsia"/>
          <w:lang w:val="en-US" w:eastAsia="zh-CN"/>
        </w:rPr>
        <w:t xml:space="preserve">减少26.60%</w:t>
      </w:r>
      <w:r>
        <w:rPr>
          <w:rFonts w:hint="eastAsia"/>
        </w:rPr>
        <w:t xml:space="preserve">,</w:t>
      </w:r>
      <w:r>
        <w:rPr>
          <w:rFonts w:hint="eastAsia"/>
          <w:highlight w:val="none"/>
        </w:rPr>
        <w:t xml:space="preserve">主要原因是：</w:t>
      </w:r>
      <w:r>
        <w:rPr>
          <w:rFonts w:hint="eastAsia"/>
          <w:highlight w:val="none"/>
          <w:lang w:val="en-US" w:eastAsia="zh-CN"/>
        </w:rPr>
        <w:t xml:space="preserve">一是人员减少二是社保保障和就业支出的基数降低</w:t>
      </w:r>
      <w:r>
        <w:rPr>
          <w:rFonts w:hint="eastAsia"/>
          <w:highlight w:val="none"/>
        </w:rPr>
        <w:t xml:space="preserve">。</w:t>
      </w:r>
    </w:p>
    <w:p>
      <w:pPr>
        <w:pStyle w:val="Bodytext|1"/>
        <w:spacing w:line="623" w:lineRule="exact"/>
        <w:ind w:left="0" w:firstLine="560" w:leftChars="0" w:firstLineChars="200"/>
        <w:jc w:val="left"/>
        <w:rPr>
          <w:rFonts w:hint="eastAsia"/>
        </w:rPr>
      </w:pPr>
      <w:r>
        <w:rPr>
          <w:rFonts w:hint="eastAsia"/>
        </w:rPr>
        <w:t xml:space="preserve">(</w:t>
      </w:r>
      <w:r>
        <w:rPr>
          <w:u w:color="auto"/>
        </w:rPr>
        <w:t xml:space="preserve">4</w:t>
      </w:r>
      <w:r>
        <w:rPr>
          <w:u w:color="auto"/>
        </w:rPr>
        <w:t xml:space="preserve">)</w:t>
      </w:r>
      <w:r>
        <w:rPr>
          <w:u w:color="auto"/>
        </w:rPr>
        <w:t xml:space="preserve">农林水支出</w:t>
      </w:r>
      <w:r>
        <w:rPr>
          <w:rFonts w:hint="eastAsia"/>
          <w:lang w:val="en-US" w:eastAsia="zh-CN"/>
        </w:rPr>
        <w:t xml:space="preserve">0.00</w:t>
      </w:r>
      <w:r>
        <w:rPr>
          <w:rFonts w:hint="eastAsia"/>
        </w:rPr>
        <w:t xml:space="preserve">万元，占支出总预算</w:t>
      </w:r>
      <w:r>
        <w:rPr>
          <w:rFonts w:hint="eastAsia"/>
          <w:lang w:val="en-US" w:eastAsia="zh-CN"/>
        </w:rPr>
        <w:t xml:space="preserve">0.00%</w:t>
      </w:r>
      <w:r>
        <w:rPr>
          <w:rFonts w:hint="eastAsia"/>
        </w:rPr>
        <w:t xml:space="preserve">,比上年</w:t>
      </w:r>
      <w:r>
        <w:rPr>
          <w:rFonts w:hint="eastAsia"/>
          <w:lang w:val="en-US" w:eastAsia="zh-CN"/>
        </w:rPr>
        <w:t xml:space="preserve">减少0.07</w:t>
      </w:r>
      <w:r>
        <w:rPr>
          <w:rFonts w:hint="eastAsia"/>
        </w:rPr>
        <w:t xml:space="preserve">万元，</w:t>
      </w:r>
      <w:r>
        <w:rPr>
          <w:rFonts w:hint="eastAsia"/>
          <w:lang w:val="en-US" w:eastAsia="zh-CN"/>
        </w:rPr>
        <w:t xml:space="preserve">减少100.00%</w:t>
      </w:r>
      <w:r>
        <w:rPr>
          <w:rFonts w:hint="eastAsia"/>
        </w:rPr>
        <w:t xml:space="preserve">,</w:t>
      </w:r>
      <w:r>
        <w:rPr>
          <w:rFonts w:hint="eastAsia"/>
          <w:highlight w:val="none"/>
        </w:rPr>
        <w:t xml:space="preserve">主要原因是：</w:t>
      </w:r>
      <w:r>
        <w:rPr>
          <w:rFonts w:hint="eastAsia"/>
          <w:highlight w:val="none"/>
          <w:lang w:val="en-US" w:eastAsia="zh-CN"/>
        </w:rPr>
        <w:t xml:space="preserve">上年由于存在上年结转的稻谷生产者补贴，在上年已经执行完毕</w:t>
      </w:r>
      <w:r>
        <w:rPr>
          <w:rFonts w:hint="eastAsia"/>
          <w:highlight w:val="none"/>
        </w:rPr>
        <w:t xml:space="preserve">。</w:t>
      </w:r>
    </w:p>
    <w:p>
      <w:pPr>
        <w:pStyle w:val="Bodytext|1"/>
        <w:spacing w:line="635" w:lineRule="exact"/>
        <w:ind w:firstLine="740"/>
        <w:jc w:val="left"/>
      </w:pPr>
      <w:r>
        <w:t xml:space="preserve">(二)按支出结构分类划分，分为基本支出预算和项目支出预算。</w:t>
      </w:r>
    </w:p>
    <w:p>
      <w:pPr>
        <w:pStyle w:val="Bodytext|1"/>
        <w:spacing w:line="635" w:lineRule="exact"/>
        <w:ind w:firstLine="600"/>
        <w:jc w:val="left"/>
      </w:pPr>
      <w:r>
        <w:rPr>
          <w:rFonts w:ascii="Times New Roman" w:eastAsia="Times New Roman" w:hAnsi="Times New Roman" w:cs="Times New Roman"/>
          <w:sz w:val="30"/>
          <w:szCs w:val="30"/>
        </w:rPr>
        <w:t xml:space="preserve">1</w:t>
      </w:r>
      <w:r>
        <w:t xml:space="preserve">.基本支出预算。</w:t>
      </w:r>
    </w:p>
    <w:p>
      <w:pPr>
        <w:pStyle w:val="Bodytext|1"/>
        <w:spacing w:line="619" w:lineRule="exact"/>
        <w:ind w:firstLine="600"/>
        <w:jc w:val="left"/>
        <w:rPr>
          <w:rFonts w:hint="eastAsia"/>
          <w:lang w:val="en-US" w:eastAsia="zh-CN"/>
        </w:rPr>
      </w:pPr>
      <w:r>
        <w:rPr>
          <w:rFonts w:hint="eastAsia"/>
        </w:rPr>
        <w:t xml:space="preserve">基本支出预算</w:t>
      </w:r>
      <w:r>
        <w:rPr>
          <w:rFonts w:hint="eastAsia"/>
          <w:lang w:val="en-US" w:eastAsia="zh-CN"/>
        </w:rPr>
        <w:t xml:space="preserve">57.13</w:t>
      </w:r>
      <w:r>
        <w:rPr>
          <w:rFonts w:hint="eastAsia"/>
        </w:rPr>
        <w:t xml:space="preserve">万元，占支出预算</w:t>
      </w:r>
      <w:r>
        <w:rPr>
          <w:u w:color="auto"/>
        </w:rPr>
        <w:t xml:space="preserve">95.01%</w:t>
      </w:r>
      <w:r>
        <w:rPr>
          <w:u w:color="auto"/>
        </w:rPr>
        <w:t xml:space="preserve">,比上年</w:t>
      </w:r>
      <w:r>
        <w:rPr>
          <w:u w:color="auto"/>
        </w:rPr>
        <w:t xml:space="preserve">减少10.27</w:t>
      </w:r>
      <w:r>
        <w:rPr>
          <w:u w:color="auto"/>
        </w:rPr>
        <w:t xml:space="preserve">万元，</w:t>
      </w:r>
      <w:r>
        <w:rPr>
          <w:u w:color="auto"/>
        </w:rPr>
        <w:t xml:space="preserve">减少15.24%</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51.87</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90.79%</w:t>
      </w:r>
      <w:r>
        <w:rPr>
          <w:rFonts w:hint="eastAsia"/>
        </w:rPr>
        <w:t xml:space="preserve">,</w:t>
      </w:r>
      <w:r>
        <w:t xml:space="preserve">比上年</w:t>
      </w:r>
      <w:r>
        <w:rPr>
          <w:rFonts w:hint="eastAsia"/>
        </w:rPr>
        <w:t xml:space="preserve">减少8.46</w:t>
      </w:r>
      <w:r>
        <w:t xml:space="preserve">万元，</w:t>
      </w:r>
      <w:r>
        <w:rPr>
          <w:rFonts w:hint="eastAsia"/>
        </w:rPr>
        <w:t xml:space="preserve">减少14.02%</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一是人员减少，存在人员退休。二是社保基数降低及工会经费的压减</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5.27</w:t>
      </w:r>
      <w:r>
        <w:rPr>
          <w:rFonts w:ascii="宋体" w:eastAsia="宋体" w:hAnsi="宋体" w:cs="宋体" w:hint="eastAsia"/>
          <w:sz w:val="28"/>
          <w:szCs w:val="28"/>
        </w:rPr>
        <w:t xml:space="preserve">万</w:t>
      </w:r>
      <w:r>
        <w:rPr>
          <w:rFonts w:ascii="宋体" w:eastAsia="宋体" w:hAnsi="宋体" w:cs="宋体"/>
          <w:sz w:val="28"/>
          <w:szCs w:val="28"/>
        </w:rPr>
        <w:t xml:space="preserve">元，占基本支出总预算</w:t>
      </w:r>
      <w:r>
        <w:rPr>
          <w:rFonts w:ascii="宋体" w:eastAsia="宋体" w:hAnsi="宋体" w:cs="宋体" w:hint="eastAsia"/>
          <w:sz w:val="28"/>
          <w:szCs w:val="28"/>
          <w:lang w:val="en-US" w:eastAsia="zh-CN"/>
        </w:rPr>
        <w:t xml:space="preserve">9.22%</w:t>
      </w:r>
      <w:r>
        <w:rPr>
          <w:rFonts w:hint="eastAsia"/>
        </w:rPr>
        <w:t xml:space="preserve">,</w:t>
      </w:r>
      <w:r>
        <w:t xml:space="preserve">比上年</w:t>
      </w:r>
      <w:r>
        <w:rPr>
          <w:rFonts w:hint="eastAsia"/>
        </w:rPr>
        <w:t xml:space="preserve">减少1.81</w:t>
      </w:r>
      <w:r>
        <w:t xml:space="preserve">万元，</w:t>
      </w:r>
      <w:r>
        <w:rPr>
          <w:rFonts w:hint="eastAsia"/>
        </w:rPr>
        <w:t xml:space="preserve">减少25.56%</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一是人员减少，存在人员退休，导致定额商品服务支出、公务交通补贴、通讯补贴减少；二是工会经费的压减</w:t>
      </w:r>
      <w:r>
        <w:rPr>
          <w:rFonts w:hint="eastAsia"/>
          <w:highlight w:val="none"/>
          <w:lang w:val="en-US" w:eastAsia="zh-CN"/>
        </w:rPr>
        <w:t xml:space="preserve">。</w:t>
      </w:r>
    </w:p>
    <w:p>
      <w:pPr>
        <w:pStyle w:val="Bodytext|1"/>
        <w:numPr>
          <w:ilvl w:val="0"/>
          <w:numId w:val="3"/>
        </w:numPr>
        <w:spacing w:line="614" w:lineRule="exact"/>
        <w:ind w:firstLine="600"/>
        <w:jc w:val="left"/>
      </w:pPr>
      <w:r>
        <w:t xml:space="preserve">项目支出预算。</w:t>
      </w:r>
    </w:p>
    <w:p>
      <w:pPr>
        <w:pStyle w:val="Bodytext|1"/>
        <w:spacing w:line="619" w:lineRule="exact"/>
        <w:ind w:firstLine="600"/>
        <w:jc w:val="left"/>
        <w:rPr>
          <w:rFonts w:hint="eastAsia"/>
          <w:lang w:val="en-US" w:eastAsia="zh-CN"/>
        </w:rPr>
      </w:pPr>
      <w:r>
        <w:rPr>
          <w:rFonts w:hint="eastAsia"/>
        </w:rPr>
        <w:t xml:space="preserve">项目支出预算</w:t>
      </w:r>
      <w:r>
        <w:rPr>
          <w:rFonts w:hint="eastAsia"/>
          <w:lang w:val="en-US" w:eastAsia="zh-CN"/>
        </w:rPr>
        <w:t xml:space="preserve">3.00</w:t>
      </w:r>
      <w:r>
        <w:rPr>
          <w:rFonts w:hint="eastAsia"/>
        </w:rPr>
        <w:t xml:space="preserve">万元，占支出预算</w:t>
      </w:r>
      <w:r>
        <w:rPr>
          <w:u w:color="auto"/>
        </w:rPr>
        <w:t xml:space="preserve">4.99%</w:t>
      </w:r>
      <w:r>
        <w:rPr>
          <w:rFonts w:hint="eastAsia"/>
        </w:rPr>
        <w:t xml:space="preserve">,比上年</w:t>
      </w:r>
      <w:r>
        <w:rPr>
          <w:u w:color="auto"/>
        </w:rPr>
        <w:t xml:space="preserve">减少0.07</w:t>
      </w:r>
      <w:r>
        <w:rPr>
          <w:rFonts w:hint="eastAsia"/>
        </w:rPr>
        <w:t xml:space="preserve">万元，</w:t>
      </w:r>
      <w:r>
        <w:rPr>
          <w:u w:color="auto"/>
        </w:rPr>
        <w:t xml:space="preserve">减少2.28%</w:t>
      </w:r>
      <w:r>
        <w:t xml:space="preserve">。</w:t>
      </w:r>
      <w:r>
        <w:rPr>
          <w:rFonts w:hint="eastAsia"/>
          <w:lang w:val="en-US" w:eastAsia="zh-CN"/>
        </w:rPr>
        <w:t xml:space="preserve">其中：</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100.00%</w:t>
      </w:r>
      <w:r>
        <w:t xml:space="preserve">,比上年</w:t>
      </w:r>
      <w:r>
        <w:rPr>
          <w:rFonts w:hint="eastAsia"/>
        </w:rPr>
        <w:t xml:space="preserve">增长0.90</w:t>
      </w:r>
      <w:r>
        <w:t xml:space="preserve">万元，</w:t>
      </w:r>
      <w:r>
        <w:rPr>
          <w:rFonts w:hint="eastAsia"/>
        </w:rPr>
        <w:t xml:space="preserve">增长42.86%</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本年度尚未在项目经费里面工资福利性支出的项目，全部为商品和服务支出</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减少0.90</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本年度尚未在项目经费里面工资福利性支出的项目，全部为商品和服务支出</w:t>
      </w:r>
      <w:r>
        <w:rPr>
          <w:rFonts w:hint="eastAsia"/>
          <w:highlight w:val="none"/>
          <w:lang w:val="en-US" w:eastAsia="zh-CN"/>
        </w:rPr>
        <w:t xml:space="preserve">。</w:t>
      </w:r>
    </w:p>
    <w:p>
      <w:pPr>
        <w:pStyle w:val="Bodytext|3"/>
        <w:spacing w:after="0" w:line="619" w:lineRule="exact"/>
        <w:ind w:firstLine="740"/>
        <w:jc w:val="left"/>
        <w:rPr>
          <w:rFonts w:hint="eastAsia"/>
          <w:highlight w:val="none"/>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w:t>
      </w:r>
      <w:r>
        <w:rPr>
          <w:rFonts w:ascii="宋体" w:eastAsia="宋体" w:hAnsi="宋体" w:cs="宋体"/>
          <w:sz w:val="28"/>
          <w:szCs w:val="28"/>
        </w:rPr>
        <w:t xml:space="preserve">元，占</w:t>
      </w:r>
      <w:r>
        <w:rPr>
          <w:rFonts w:hint="eastAsia"/>
        </w:rPr>
        <w:t xml:space="preserve">项目</w:t>
      </w:r>
      <w:r>
        <w:rPr>
          <w:rFonts w:ascii="宋体" w:eastAsia="宋体" w:hAnsi="宋体" w:cs="宋体"/>
          <w:sz w:val="28"/>
          <w:szCs w:val="28"/>
        </w:rPr>
        <w:t xml:space="preserve">支出总预算</w:t>
      </w:r>
      <w:r>
        <w:rPr>
          <w:rFonts w:ascii="宋体" w:eastAsia="宋体" w:hAnsi="宋体" w:cs="宋体" w:hint="eastAsia"/>
          <w:sz w:val="28"/>
          <w:szCs w:val="28"/>
          <w:lang w:val="en-US" w:eastAsia="zh-CN"/>
        </w:rPr>
        <w:t xml:space="preserve">0.00%</w:t>
      </w:r>
      <w:r>
        <w:t xml:space="preserve">,比上年</w:t>
      </w:r>
      <w:r>
        <w:rPr>
          <w:rFonts w:hint="eastAsia"/>
        </w:rPr>
        <w:t xml:space="preserve">减少0.07</w:t>
      </w:r>
      <w:r>
        <w:t xml:space="preserve">万元，</w:t>
      </w:r>
      <w:r>
        <w:rPr>
          <w:rFonts w:hint="eastAsia"/>
        </w:rPr>
        <w:t xml:space="preserve">减少100.00%</w:t>
      </w:r>
      <w:r>
        <w:rPr>
          <w:rFonts w:ascii="Times New Roman" w:eastAsia="Times New Roman" w:hAnsi="Times New Roman" w:cs="Times New Roman"/>
          <w:sz w:val="30"/>
          <w:szCs w:val="30"/>
          <w:highlight w:val="none"/>
        </w:rPr>
        <w:t xml:space="preserve">,</w:t>
      </w:r>
      <w:r>
        <w:rPr>
          <w:highlight w:val="none"/>
        </w:rPr>
        <w:t xml:space="preserve">主要原因是：</w:t>
      </w:r>
      <w:r>
        <w:rPr>
          <w:rFonts w:hint="eastAsia"/>
          <w:highlight w:val="none"/>
        </w:rPr>
        <w:t xml:space="preserve">去年的对个人和家庭的补助是上年结转的指标，在上年已经执行完毕，故今年预算尚未有这方面的安排</w:t>
      </w:r>
      <w:r>
        <w:rPr>
          <w:rFonts w:hint="eastAsia"/>
          <w:highlight w:val="none"/>
          <w:lang w:val="en-US" w:eastAsia="zh-CN"/>
        </w:rPr>
        <w:t xml:space="preserve">。</w:t>
      </w:r>
    </w:p>
    <w:p>
      <w:pPr>
        <w:pStyle w:val="Bodytext|2"/>
        <w:numPr>
          <w:ilvl w:val="0"/>
          <w:numId w:val="0"/>
        </w:numPr>
        <w:tabs>
          <w:tab w:val="left" w:pos="1238"/>
        </w:tabs>
        <w:spacing w:after="0" w:line="625" w:lineRule="exact"/>
        <w:jc w:val="left"/>
        <w:rPr>
          <w:b/>
          <w:bCs/>
        </w:rPr>
      </w:pPr>
    </w:p>
    <w:p>
      <w:pPr>
        <w:pStyle w:val="Bodytext|2"/>
        <w:tabs>
          <w:tab w:val="left" w:pos="1235"/>
        </w:tabs>
        <w:spacing w:after="0" w:line="624" w:lineRule="exact"/>
        <w:ind w:firstLine="580"/>
        <w:jc w:val="left"/>
        <w:rPr>
          <w:b/>
          <w:bCs/>
        </w:rPr>
      </w:pPr>
      <w:r>
        <w:rPr>
          <w:rFonts w:hint="eastAsia"/>
          <w:b/>
          <w:bCs/>
          <w:lang w:val="en-US" w:eastAsia="zh-CN"/>
        </w:rPr>
        <w:t xml:space="preserve">四、</w:t>
      </w:r>
      <w:r>
        <w:rPr>
          <w:b/>
          <w:bCs/>
        </w:rPr>
        <w:t xml:space="preserve">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298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spacing w:line="624" w:lineRule="exact"/>
        <w:ind w:firstLine="6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60.13</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60.13</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70.47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减少10.34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下降14.67%</w:t>
      </w:r>
      <w:r>
        <w:rPr>
          <w:rFonts w:ascii="宋体" w:eastAsia="宋体" w:hAnsi="宋体" w:cs="宋体" w:hint="eastAsia"/>
          <w:sz w:val="28"/>
          <w:szCs w:val="28"/>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70.47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减少10.34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下降14.67%</w:t>
      </w:r>
      <w:r>
        <w:rPr>
          <w:rFonts w:ascii="宋体" w:eastAsia="宋体" w:hAnsi="宋体" w:cs="宋体" w:hint="eastAsia"/>
          <w:sz w:val="28"/>
          <w:szCs w:val="28"/>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ascii="宋体" w:eastAsia="宋体" w:hAnsi="宋体" w:cs="宋体" w:hint="eastAsia"/>
          <w:sz w:val="28"/>
          <w:szCs w:val="28"/>
        </w:rPr>
        <w:t xml:space="preserve">。</w:t>
      </w:r>
    </w:p>
    <w:p>
      <w:pPr>
        <w:pStyle w:val="Bodytext|2"/>
        <w:numPr>
          <w:ilvl w:val="0"/>
          <w:numId w:val="0"/>
        </w:numPr>
        <w:tabs>
          <w:tab w:val="left" w:pos="1238"/>
        </w:tabs>
        <w:spacing w:after="0" w:line="625" w:lineRule="exact"/>
        <w:ind w:firstLine="560" w:firstLineChars="200"/>
        <w:jc w:val="left"/>
        <w:rPr>
          <w:rFonts w:hint="eastAsia"/>
          <w:sz w:val="28"/>
          <w:szCs w:val="28"/>
        </w:rPr>
      </w:pPr>
    </w:p>
    <w:p>
      <w:pPr>
        <w:pStyle w:val="Bodytext|2"/>
        <w:tabs>
          <w:tab w:val="left" w:pos="1235"/>
        </w:tabs>
        <w:spacing w:after="0" w:line="624" w:lineRule="exact"/>
        <w:ind w:firstLine="580"/>
        <w:jc w:val="left"/>
        <w:rPr>
          <w:b/>
          <w:bCs/>
        </w:rPr>
      </w:pPr>
      <w:r>
        <w:rPr>
          <w:rFonts w:hint="eastAsia"/>
          <w:b/>
          <w:bCs/>
          <w:lang w:val="en-US" w:eastAsia="zh-CN"/>
        </w:rPr>
        <w:t xml:space="preserve">五、</w:t>
      </w:r>
      <w:r>
        <w:rPr>
          <w:b/>
          <w:bCs/>
        </w:rPr>
        <w:t xml:space="preserve">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298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60.13</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70.47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减少10.34</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下降14.67%</w:t>
      </w:r>
      <w:r>
        <w:rPr>
          <w:rFonts w:ascii="宋体" w:eastAsia="宋体" w:hAnsi="宋体" w:cs="宋体" w:hint="eastAsia"/>
          <w:sz w:val="28"/>
          <w:szCs w:val="28"/>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49.01</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81.51%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56.19</w:t>
      </w:r>
      <w:r>
        <w:rPr>
          <w:rFonts w:ascii="宋体" w:eastAsia="宋体" w:hAnsi="宋体" w:cs="宋体" w:hint="eastAsia"/>
          <w:sz w:val="28"/>
          <w:szCs w:val="28"/>
        </w:rPr>
        <w:t xml:space="preserve">万元，</w:t>
      </w:r>
      <w:r>
        <w:rPr>
          <w:rFonts w:ascii="宋体" w:eastAsia="宋体" w:hAnsi="宋体" w:cs="宋体"/>
          <w:sz w:val="28"/>
          <w:u w:color="auto"/>
        </w:rPr>
        <w:t xml:space="preserve">减少7.18</w:t>
      </w:r>
      <w:r>
        <w:rPr>
          <w:rFonts w:ascii="宋体" w:eastAsia="宋体" w:hAnsi="宋体" w:cs="宋体" w:hint="eastAsia"/>
          <w:sz w:val="28"/>
          <w:szCs w:val="28"/>
        </w:rPr>
        <w:t xml:space="preserve">万元，</w:t>
      </w:r>
      <w:r>
        <w:rPr>
          <w:rFonts w:ascii="宋体" w:eastAsia="宋体" w:hAnsi="宋体" w:cs="宋体"/>
          <w:sz w:val="28"/>
          <w:u w:color="auto"/>
        </w:rPr>
        <w:t xml:space="preserve">减少12.78%</w:t>
      </w:r>
      <w:r>
        <w:rPr>
          <w:rFonts w:ascii="宋体" w:eastAsia="宋体" w:hAnsi="宋体" w:cs="宋体" w:hint="eastAsia"/>
          <w:sz w:val="28"/>
          <w:szCs w:val="28"/>
        </w:rPr>
        <w:t xml:space="preserve">，主要原因是：</w:t>
      </w:r>
      <w:r>
        <w:rPr>
          <w:rFonts w:hint="eastAsia"/>
          <w:highlight w:val="none"/>
        </w:rPr>
        <w:t xml:space="preserve">一是人员减少，导至工资福利性支出减少余6.67万元。二是工会经费压减0.51万元</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5.16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8.58%</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6.09</w:t>
      </w:r>
      <w:r>
        <w:rPr>
          <w:rFonts w:ascii="宋体" w:eastAsia="宋体" w:hAnsi="宋体" w:cs="宋体" w:hint="eastAsia"/>
          <w:sz w:val="28"/>
          <w:szCs w:val="28"/>
        </w:rPr>
        <w:t xml:space="preserve">万元，</w:t>
      </w:r>
      <w:r>
        <w:rPr>
          <w:rFonts w:ascii="宋体" w:eastAsia="宋体" w:hAnsi="宋体" w:cs="宋体"/>
          <w:sz w:val="28"/>
          <w:u w:color="auto"/>
        </w:rPr>
        <w:t xml:space="preserve">减少0.93</w:t>
      </w:r>
      <w:r>
        <w:rPr>
          <w:rFonts w:ascii="宋体" w:eastAsia="宋体" w:hAnsi="宋体" w:cs="宋体" w:hint="eastAsia"/>
          <w:sz w:val="28"/>
          <w:szCs w:val="28"/>
        </w:rPr>
        <w:t xml:space="preserve">万元，</w:t>
      </w:r>
      <w:r>
        <w:rPr>
          <w:rFonts w:ascii="宋体" w:eastAsia="宋体" w:hAnsi="宋体" w:cs="宋体"/>
          <w:sz w:val="28"/>
          <w:u w:color="auto"/>
        </w:rPr>
        <w:t xml:space="preserve">减少15.27%</w:t>
      </w:r>
      <w:r>
        <w:rPr>
          <w:rFonts w:ascii="宋体" w:eastAsia="宋体" w:hAnsi="宋体" w:cs="宋体" w:hint="eastAsia"/>
          <w:sz w:val="28"/>
          <w:szCs w:val="28"/>
        </w:rPr>
        <w:t xml:space="preserve">，主要原因是：</w:t>
      </w:r>
      <w:r>
        <w:rPr>
          <w:rFonts w:hint="eastAsia"/>
          <w:highlight w:val="none"/>
        </w:rPr>
        <w:t xml:space="preserve">人员减少，且基数变化，导致减少0.93万元</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农林水支出</w:t>
      </w:r>
      <w:r>
        <w:rPr>
          <w:rFonts w:ascii="宋体" w:eastAsia="宋体" w:hAnsi="宋体" w:cs="宋体" w:hint="eastAsia"/>
          <w:sz w:val="28"/>
          <w:szCs w:val="28"/>
        </w:rPr>
        <w:t xml:space="preserve">（类）支出</w:t>
      </w:r>
      <w:r>
        <w:rPr>
          <w:rFonts w:ascii="宋体" w:eastAsia="宋体" w:hAnsi="宋体" w:cs="宋体"/>
          <w:sz w:val="28"/>
          <w:u w:color="auto"/>
        </w:rPr>
        <w:t xml:space="preserve">0.00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0.00%</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0.07</w:t>
      </w:r>
      <w:r>
        <w:rPr>
          <w:rFonts w:ascii="宋体" w:eastAsia="宋体" w:hAnsi="宋体" w:cs="宋体" w:hint="eastAsia"/>
          <w:sz w:val="28"/>
          <w:szCs w:val="28"/>
        </w:rPr>
        <w:t xml:space="preserve">万元，</w:t>
      </w:r>
      <w:r>
        <w:rPr>
          <w:rFonts w:ascii="宋体" w:eastAsia="宋体" w:hAnsi="宋体" w:cs="宋体"/>
          <w:sz w:val="28"/>
          <w:u w:color="auto"/>
        </w:rPr>
        <w:t xml:space="preserve">减少0.07</w:t>
      </w:r>
      <w:r>
        <w:rPr>
          <w:rFonts w:ascii="宋体" w:eastAsia="宋体" w:hAnsi="宋体" w:cs="宋体" w:hint="eastAsia"/>
          <w:sz w:val="28"/>
          <w:szCs w:val="28"/>
        </w:rPr>
        <w:t xml:space="preserve">万元，</w:t>
      </w:r>
      <w:r>
        <w:rPr>
          <w:rFonts w:ascii="宋体" w:eastAsia="宋体" w:hAnsi="宋体" w:cs="宋体"/>
          <w:sz w:val="28"/>
          <w:u w:color="auto"/>
        </w:rPr>
        <w:t xml:space="preserve">减少100.00%</w:t>
      </w:r>
      <w:r>
        <w:rPr>
          <w:rFonts w:ascii="宋体" w:eastAsia="宋体" w:hAnsi="宋体" w:cs="宋体" w:hint="eastAsia"/>
          <w:sz w:val="28"/>
          <w:szCs w:val="28"/>
        </w:rPr>
        <w:t xml:space="preserve">，主要原因是：</w:t>
      </w:r>
      <w:r>
        <w:rPr>
          <w:rFonts w:hint="eastAsia"/>
          <w:highlight w:val="none"/>
        </w:rPr>
        <w:t xml:space="preserve">上年由于存在上年结转的稻谷生产者补贴，在上年已经执行完毕</w:t>
      </w:r>
      <w:r>
        <w:rPr>
          <w:rFonts w:ascii="宋体" w:eastAsia="宋体" w:hAnsi="宋体" w:cs="宋体" w:hint="eastAsia"/>
          <w:sz w:val="28"/>
          <w:szCs w:val="28"/>
        </w:rPr>
        <w:t xml:space="preserve">。</w:t>
      </w:r>
    </w:p>
    <w:p>
      <w:pPr>
        <w:pStyle w:val="Bodytext|1"/>
        <w:spacing w:line="623" w:lineRule="exact"/>
        <w:ind w:left="0" w:firstLine="560" w:leftChars="0" w:firstLineChars="200"/>
        <w:jc w:val="left"/>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5.96</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9.91%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8.12</w:t>
      </w:r>
      <w:r>
        <w:rPr>
          <w:rFonts w:ascii="宋体" w:eastAsia="宋体" w:hAnsi="宋体" w:cs="宋体" w:hint="eastAsia"/>
          <w:sz w:val="28"/>
          <w:szCs w:val="28"/>
        </w:rPr>
        <w:t xml:space="preserve">万元，</w:t>
      </w:r>
      <w:r>
        <w:rPr>
          <w:rFonts w:ascii="宋体" w:eastAsia="宋体" w:hAnsi="宋体" w:cs="宋体"/>
          <w:sz w:val="28"/>
          <w:u w:color="auto"/>
        </w:rPr>
        <w:t xml:space="preserve">减少2.16</w:t>
      </w:r>
      <w:r>
        <w:rPr>
          <w:rFonts w:ascii="宋体" w:eastAsia="宋体" w:hAnsi="宋体" w:cs="宋体" w:hint="eastAsia"/>
          <w:sz w:val="28"/>
          <w:szCs w:val="28"/>
        </w:rPr>
        <w:t xml:space="preserve">万元，</w:t>
      </w:r>
      <w:r>
        <w:rPr>
          <w:rFonts w:ascii="宋体" w:eastAsia="宋体" w:hAnsi="宋体" w:cs="宋体"/>
          <w:sz w:val="28"/>
          <w:u w:color="auto"/>
        </w:rPr>
        <w:t xml:space="preserve">减少26.60%</w:t>
      </w:r>
      <w:r>
        <w:rPr>
          <w:rFonts w:ascii="宋体" w:eastAsia="宋体" w:hAnsi="宋体" w:cs="宋体" w:hint="eastAsia"/>
          <w:sz w:val="28"/>
          <w:szCs w:val="28"/>
        </w:rPr>
        <w:t xml:space="preserve">，主要原因是：</w:t>
      </w:r>
      <w:r>
        <w:rPr>
          <w:rFonts w:hint="eastAsia"/>
          <w:highlight w:val="none"/>
        </w:rPr>
        <w:t xml:space="preserve">一是人员减少二是社保保障和就业支出的基数降低</w:t>
      </w:r>
      <w:r>
        <w:rPr>
          <w:rFonts w:ascii="宋体" w:eastAsia="宋体" w:hAnsi="宋体" w:cs="宋体" w:hint="eastAsia"/>
          <w:sz w:val="28"/>
          <w:szCs w:val="28"/>
        </w:rPr>
        <w:t xml:space="preserve">。</w:t>
      </w:r>
    </w:p>
    <w:p>
      <w:pPr>
        <w:pStyle w:val="Bodytext|2"/>
        <w:tabs>
          <w:tab w:val="left" w:pos="1235"/>
        </w:tabs>
        <w:spacing w:after="0" w:line="624" w:lineRule="exact"/>
        <w:ind w:firstLine="580"/>
        <w:jc w:val="left"/>
        <w:rPr>
          <w:b/>
          <w:bCs/>
        </w:rPr>
      </w:pPr>
      <w:r>
        <w:rPr>
          <w:rFonts w:hint="eastAsia"/>
          <w:b/>
          <w:bCs/>
          <w:lang w:val="en-US" w:eastAsia="zh-CN"/>
        </w:rPr>
        <w:t xml:space="preserve">六、</w:t>
      </w:r>
      <w:r>
        <w:rPr>
          <w:b/>
          <w:bCs/>
        </w:rPr>
        <w:t xml:space="preserve">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298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spacing w:line="623" w:lineRule="exact"/>
        <w:ind w:left="0" w:firstLine="560" w:leftChars="0" w:firstLineChars="200"/>
        <w:jc w:val="left"/>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57.13</w:t>
      </w:r>
      <w:r>
        <w:rPr>
          <w:rFonts w:hint="eastAsia"/>
        </w:rPr>
        <w:t xml:space="preserve">万元，较2023年度预算数</w:t>
      </w:r>
      <w:r>
        <w:rPr>
          <w:rFonts w:hint="eastAsia"/>
          <w:lang w:val="en-US" w:eastAsia="zh-CN"/>
        </w:rPr>
        <w:t xml:space="preserve">67.40</w:t>
      </w:r>
      <w:r>
        <w:rPr>
          <w:rFonts w:hint="eastAsia"/>
        </w:rPr>
        <w:t xml:space="preserve">万元</w:t>
      </w:r>
      <w:r>
        <w:rPr>
          <w:rFonts w:hint="eastAsia"/>
          <w:lang w:val="en-US" w:eastAsia="zh-CN"/>
        </w:rPr>
        <w:t xml:space="preserve">,</w:t>
      </w:r>
      <w:r>
        <w:rPr>
          <w:u w:color="auto"/>
        </w:rPr>
        <w:t xml:space="preserve">减少10.27</w:t>
      </w:r>
      <w:r>
        <w:rPr>
          <w:rFonts w:hint="eastAsia"/>
        </w:rPr>
        <w:t xml:space="preserve">万元，</w:t>
      </w:r>
      <w:r>
        <w:rPr>
          <w:rFonts w:hint="eastAsia"/>
          <w:lang w:val="en-US" w:eastAsia="zh-CN"/>
        </w:rPr>
        <w:t xml:space="preserve">下降15.24%</w:t>
      </w:r>
      <w:r>
        <w:rPr>
          <w:rFonts w:hint="eastAsia"/>
        </w:rPr>
        <w:t xml:space="preserve">，主要原因是</w:t>
      </w:r>
      <w:r>
        <w:rPr>
          <w:rFonts w:hint="eastAsia"/>
          <w:highlight w:val="none"/>
          <w:lang w:val="en-US" w:eastAsia="zh-CN"/>
        </w:rPr>
        <w:t xml:space="preserve">一方面是有人员退休，导致人员相关经费减少，定额商品服务费减少，另一方面工会经费被压减</w:t>
      </w:r>
      <w:r>
        <w:rPr>
          <w:rFonts w:hint="eastAsia"/>
        </w:rPr>
        <w:t xml:space="preserve">。具体情况为：</w:t>
      </w:r>
    </w:p>
    <w:p>
      <w:pPr>
        <w:pStyle w:val="Bodytext|1"/>
        <w:spacing w:line="626" w:lineRule="exact"/>
        <w:ind w:firstLine="600"/>
        <w:jc w:val="left"/>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51.87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90.79%</w:t>
      </w:r>
      <w:r>
        <w:rPr>
          <w:rFonts w:hint="eastAsia"/>
        </w:rPr>
        <w:t xml:space="preserve">，较2023年度预算数</w:t>
      </w:r>
      <w:r>
        <w:rPr>
          <w:rFonts w:hint="eastAsia"/>
          <w:lang w:val="en-US" w:eastAsia="zh-CN"/>
        </w:rPr>
        <w:t xml:space="preserve">60.33</w:t>
      </w:r>
      <w:r>
        <w:rPr>
          <w:rFonts w:hint="eastAsia"/>
        </w:rPr>
        <w:t xml:space="preserve">万元，</w:t>
      </w:r>
      <w:r>
        <w:rPr>
          <w:rFonts w:hint="eastAsia"/>
          <w:lang w:val="en-US" w:eastAsia="zh-CN"/>
        </w:rPr>
        <w:t xml:space="preserve">减少8.46</w:t>
      </w:r>
      <w:r>
        <w:rPr>
          <w:rFonts w:hint="eastAsia"/>
        </w:rPr>
        <w:t xml:space="preserve">万元，</w:t>
      </w:r>
      <w:r>
        <w:rPr>
          <w:rFonts w:hint="eastAsia"/>
          <w:lang w:val="en-US" w:eastAsia="zh-CN"/>
        </w:rPr>
        <w:t xml:space="preserve">减少14.02%</w:t>
      </w:r>
      <w:r>
        <w:rPr>
          <w:rFonts w:hint="eastAsia"/>
        </w:rPr>
        <w:t xml:space="preserve">，主要原因是：</w:t>
      </w:r>
      <w:r>
        <w:rPr>
          <w:rFonts w:hint="eastAsia"/>
          <w:highlight w:val="none"/>
        </w:rPr>
        <w:t xml:space="preserve">一是人员减少，存在人员退休。二是社保基数降低及工会经费的压减</w:t>
      </w:r>
      <w:r>
        <w:rPr>
          <w:rFonts w:hint="eastAsia"/>
          <w:highlight w:val="none"/>
          <w:lang w:val="en-US" w:eastAsia="zh-CN"/>
        </w:rPr>
        <w:t xml:space="preserve">。</w:t>
      </w:r>
    </w:p>
    <w:p>
      <w:pPr>
        <w:pStyle w:val="Bodytext|1"/>
        <w:spacing w:line="626" w:lineRule="exact"/>
        <w:ind w:firstLine="600"/>
        <w:jc w:val="left"/>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5.27</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9.22%</w:t>
      </w:r>
      <w:r>
        <w:rPr>
          <w:rFonts w:hint="eastAsia"/>
        </w:rPr>
        <w:t xml:space="preserve">，较2023年度预算数</w:t>
      </w:r>
      <w:r>
        <w:rPr>
          <w:rFonts w:hint="eastAsia"/>
          <w:lang w:val="en-US" w:eastAsia="zh-CN"/>
        </w:rPr>
        <w:t xml:space="preserve">7.08</w:t>
      </w:r>
      <w:r>
        <w:rPr>
          <w:rFonts w:hint="eastAsia"/>
        </w:rPr>
        <w:t xml:space="preserve">万元，</w:t>
      </w:r>
      <w:r>
        <w:rPr>
          <w:rFonts w:hint="eastAsia"/>
          <w:lang w:val="en-US" w:eastAsia="zh-CN"/>
        </w:rPr>
        <w:t xml:space="preserve">减少1.81</w:t>
      </w:r>
      <w:r>
        <w:rPr>
          <w:rFonts w:hint="eastAsia"/>
        </w:rPr>
        <w:t xml:space="preserve">万元，</w:t>
      </w:r>
      <w:r>
        <w:rPr>
          <w:rFonts w:hint="eastAsia"/>
          <w:lang w:val="en-US" w:eastAsia="zh-CN"/>
        </w:rPr>
        <w:t xml:space="preserve">减少25.56%</w:t>
      </w:r>
      <w:r>
        <w:rPr>
          <w:rFonts w:hint="eastAsia"/>
        </w:rPr>
        <w:t xml:space="preserve">，主要原因是：</w:t>
      </w:r>
      <w:r>
        <w:rPr>
          <w:rFonts w:hint="eastAsia"/>
          <w:highlight w:val="none"/>
        </w:rPr>
        <w:t xml:space="preserve">一是人员减少，存在人员退休。二是定额商品服务支出、公务交通补贴、通讯补贴及工会经费的压减</w:t>
      </w:r>
      <w:r>
        <w:rPr>
          <w:rFonts w:hint="eastAsia"/>
          <w:highlight w:val="none"/>
          <w:lang w:val="en-US" w:eastAsia="zh-CN"/>
        </w:rPr>
        <w:t xml:space="preserve">。</w:t>
      </w:r>
    </w:p>
    <w:p>
      <w:pPr>
        <w:pStyle w:val="Bodytext|2"/>
        <w:tabs>
          <w:tab w:val="left" w:pos="1235"/>
        </w:tabs>
        <w:spacing w:after="0" w:line="624" w:lineRule="exact"/>
        <w:ind w:firstLine="580"/>
        <w:jc w:val="left"/>
        <w:rPr>
          <w:rFonts w:hint="eastAsia"/>
          <w:b/>
          <w:bCs/>
        </w:rPr>
      </w:pPr>
      <w:r>
        <w:rPr>
          <w:rFonts w:hint="eastAsia"/>
          <w:b/>
          <w:bCs/>
          <w:lang w:val="en-US" w:eastAsia="zh-CN"/>
        </w:rPr>
        <w:t xml:space="preserve">七、</w:t>
      </w:r>
      <w:r>
        <w:rPr>
          <w:b/>
          <w:bCs/>
        </w:rPr>
        <w:t xml:space="preserve">一般公共预算</w:t>
      </w:r>
      <w:r>
        <w:rPr>
          <w:b/>
          <w:bCs/>
          <w:lang w:val="zh-CN" w:eastAsia="zh-CN" w:bidi="zh-CN"/>
        </w:rPr>
        <w:t xml:space="preserve">“三</w:t>
      </w:r>
      <w:r>
        <w:rPr>
          <w:b/>
          <w:bCs/>
        </w:rPr>
        <w:t xml:space="preserve">公”</w:t>
      </w:r>
      <w:r>
        <w:rPr>
          <w:rFonts w:hint="eastAsia"/>
          <w:b/>
          <w:bCs/>
        </w:rPr>
        <w:t xml:space="preserve">经费支出情况说明</w:t>
      </w:r>
    </w:p>
    <w:p>
      <w:pPr>
        <w:pStyle w:val="Bodytext|2"/>
        <w:numPr>
          <w:ilvl w:val="0"/>
          <w:numId w:val="0"/>
        </w:numPr>
        <w:spacing w:after="0"/>
        <w:jc w:val="left"/>
        <w:rPr>
          <w:rFonts w:hint="eastAsia"/>
          <w:b/>
          <w:bCs/>
        </w:rPr>
      </w:pP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298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2"/>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本单位无因公出国（境）费的预算</w:t>
      </w:r>
      <w:r>
        <w:rPr>
          <w:rFonts w:hint="eastAsia"/>
          <w:b w:val="0"/>
          <w:bCs w:val="0"/>
          <w:sz w:val="28"/>
          <w:szCs w:val="28"/>
        </w:rPr>
        <w:t xml:space="preserve">。</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本单位无公务接待费的预算</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tabs>
          <w:tab w:val="left" w:pos="1253"/>
        </w:tabs>
        <w:spacing w:after="0" w:line="629" w:lineRule="exact"/>
        <w:ind w:firstLine="600"/>
        <w:jc w:val="left"/>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本单位无公务用车购置费2的预算</w:t>
      </w:r>
      <w:r>
        <w:rPr>
          <w:rFonts w:hint="eastAsia"/>
          <w:b w:val="0"/>
          <w:bCs w:val="0"/>
          <w:sz w:val="28"/>
          <w:szCs w:val="28"/>
        </w:rPr>
        <w:t xml:space="preserve">。</w:t>
      </w:r>
    </w:p>
    <w:p>
      <w:pPr>
        <w:pStyle w:val="Bodytext|2"/>
        <w:tabs>
          <w:tab w:val="left" w:pos="1253"/>
        </w:tabs>
        <w:spacing w:after="0" w:line="629" w:lineRule="exact"/>
        <w:ind w:firstLine="600"/>
        <w:jc w:val="left"/>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highlight w:val="none"/>
          <w:lang w:val="en-US" w:eastAsia="zh-CN"/>
        </w:rPr>
        <w:t xml:space="preserve">本单位无公务用车运行维护费的预算</w:t>
      </w:r>
      <w:r>
        <w:rPr>
          <w:rFonts w:hint="eastAsia"/>
          <w:b w:val="0"/>
          <w:bCs w:val="0"/>
          <w:sz w:val="28"/>
          <w:szCs w:val="28"/>
        </w:rPr>
        <w:t xml:space="preserve">。</w:t>
      </w:r>
    </w:p>
    <w:p>
      <w:pPr>
        <w:pStyle w:val="Bodytext|2"/>
        <w:tabs>
          <w:tab w:val="left" w:pos="1235"/>
        </w:tabs>
        <w:spacing w:after="0" w:line="624" w:lineRule="exact"/>
        <w:ind w:firstLine="580"/>
        <w:jc w:val="left"/>
        <w:rPr>
          <w:b/>
          <w:bCs/>
        </w:rPr>
      </w:pPr>
      <w:r>
        <w:rPr>
          <w:b/>
          <w:bCs/>
        </w:rPr>
        <w:t xml:space="preserve">八</w:t>
      </w:r>
      <w:bookmarkEnd w:id="14"/>
      <w:r>
        <w:rPr>
          <w:b/>
          <w:bCs/>
        </w:rPr>
        <w:t xml:space="preserve">、</w:t>
      </w:r>
      <w:r>
        <w:rPr>
          <w:b/>
          <w:bCs/>
        </w:rPr>
        <w:tab/>
      </w:r>
      <w:r>
        <w:rPr>
          <w:b/>
          <w:bCs/>
        </w:rPr>
        <w:t xml:space="preserve">政府性基金预算支出情况说明</w:t>
      </w:r>
    </w:p>
    <w:p>
      <w:pPr>
        <w:pStyle w:val="Bodytext|1"/>
        <w:spacing w:line="629" w:lineRule="exact"/>
        <w:ind w:firstLine="600"/>
        <w:jc w:val="left"/>
        <w:rPr>
          <w:rFonts w:eastAsia="宋体" w:hint="eastAsia"/>
          <w:lang w:eastAsia="zh-CN"/>
        </w:rPr>
      </w:pPr>
      <w:r>
        <w:rPr>
          <w:rFonts w:hint="eastAsia"/>
        </w:rPr>
        <w:t xml:space="preserve">我部门</w:t>
      </w:r>
      <w:r>
        <w:rPr>
          <w:rFonts w:hint="eastAsia"/>
          <w:b w:val="0"/>
          <w:bCs w:val="0"/>
          <w:sz w:val="28"/>
          <w:szCs w:val="28"/>
          <w:lang w:eastAsia="zh-CN"/>
        </w:rPr>
        <w:t xml:space="preserve">2024</w:t>
      </w:r>
      <w:r>
        <w:rPr>
          <w:rFonts w:hint="eastAsia"/>
        </w:rPr>
        <w:t xml:space="preserve">年政府性基金预算支出共</w:t>
      </w:r>
      <w:r>
        <w:rPr>
          <w:rFonts w:hint="eastAsia"/>
          <w:b w:val="0"/>
          <w:bCs w:val="0"/>
          <w:sz w:val="28"/>
          <w:szCs w:val="28"/>
          <w:lang w:eastAsia="zh-CN"/>
        </w:rPr>
        <w:t xml:space="preserve">0.00</w:t>
      </w:r>
      <w:r>
        <w:rPr>
          <w:rFonts w:hint="eastAsia"/>
        </w:rPr>
        <w:t xml:space="preserve">万元，较2023年度预算数</w:t>
      </w:r>
      <w:r>
        <w:rPr>
          <w:rFonts w:hint="eastAsia"/>
          <w:b w:val="0"/>
          <w:bCs w:val="0"/>
          <w:sz w:val="28"/>
          <w:szCs w:val="28"/>
          <w:lang w:eastAsia="zh-CN"/>
        </w:rPr>
        <w:t xml:space="preserve">0.00</w:t>
      </w:r>
      <w:r>
        <w:rPr>
          <w:rFonts w:hint="eastAsia"/>
        </w:rPr>
        <w:t xml:space="preserve">万元，</w:t>
      </w:r>
      <w:r>
        <w:rPr>
          <w:rFonts w:hint="eastAsia"/>
          <w:b w:val="0"/>
          <w:bCs w:val="0"/>
          <w:sz w:val="28"/>
          <w:szCs w:val="28"/>
          <w:lang w:eastAsia="zh-CN"/>
        </w:rPr>
        <w:t xml:space="preserve">增加0.00</w:t>
      </w:r>
      <w:r>
        <w:rPr>
          <w:rFonts w:hint="eastAsia"/>
        </w:rPr>
        <w:t xml:space="preserve">万元，</w:t>
      </w:r>
      <w:r>
        <w:rPr>
          <w:rFonts w:hint="eastAsia"/>
          <w:b w:val="0"/>
          <w:bCs w:val="0"/>
          <w:sz w:val="28"/>
          <w:szCs w:val="28"/>
          <w:lang w:eastAsia="zh-CN"/>
        </w:rPr>
        <w:t xml:space="preserve">增长0%</w:t>
      </w:r>
      <w:r>
        <w:rPr>
          <w:rFonts w:hint="eastAsia"/>
        </w:rPr>
        <w:t xml:space="preserve">，主要原因是</w:t>
      </w:r>
      <w:r>
        <w:rPr>
          <w:rFonts w:hint="eastAsia"/>
          <w:highlight w:val="none"/>
          <w:lang w:val="en-US" w:eastAsia="zh-CN"/>
        </w:rPr>
        <w:t xml:space="preserve">本单位无政府性基金的预算</w:t>
      </w:r>
      <w:r>
        <w:rPr>
          <w:rFonts w:hint="eastAsia"/>
        </w:rPr>
        <w:t xml:space="preserve">。</w:t>
      </w:r>
    </w:p>
    <w:p>
      <w:pPr>
        <w:pStyle w:val="Bodytext|2"/>
        <w:tabs>
          <w:tab w:val="left" w:pos="1235"/>
        </w:tabs>
        <w:spacing w:after="0" w:line="624" w:lineRule="exact"/>
        <w:ind w:firstLine="580"/>
        <w:jc w:val="left"/>
        <w:rPr>
          <w:b/>
          <w:bCs/>
        </w:rPr>
      </w:pPr>
      <w:bookmarkStart w:id="15" w:name="bookmark91"/>
      <w:r>
        <w:rPr>
          <w:b/>
          <w:bCs/>
        </w:rPr>
        <w:t xml:space="preserve">九</w:t>
      </w:r>
      <w:bookmarkEnd w:id="15"/>
      <w:r>
        <w:rPr>
          <w:b/>
          <w:bCs/>
        </w:rPr>
        <w:t xml:space="preserve">、</w:t>
      </w:r>
      <w:r>
        <w:rPr>
          <w:b/>
          <w:bCs/>
        </w:rPr>
        <w:tab/>
      </w:r>
      <w:r>
        <w:rPr>
          <w:b/>
          <w:bCs/>
        </w:rPr>
        <w:t xml:space="preserve">国有资本经营预算支出情况说明</w:t>
      </w:r>
    </w:p>
    <w:p>
      <w:pPr>
        <w:pStyle w:val="Bodytext|1"/>
        <w:spacing w:line="437" w:lineRule="auto"/>
        <w:ind w:firstLine="600"/>
        <w:jc w:val="left"/>
        <w:rPr>
          <w:rFonts w:eastAsia="宋体" w:hint="eastAsia"/>
          <w:lang w:eastAsia="zh-CN"/>
        </w:rPr>
      </w:pPr>
      <w:r>
        <w:rPr>
          <w:rFonts w:hint="eastAsia"/>
        </w:rPr>
        <w:t xml:space="preserve">我部门</w:t>
      </w:r>
      <w:r>
        <w:rPr>
          <w:rFonts w:hint="eastAsia"/>
          <w:lang w:eastAsia="zh-CN"/>
        </w:rPr>
        <w:t xml:space="preserve">2024</w:t>
      </w:r>
      <w:r>
        <w:rPr>
          <w:rFonts w:hint="eastAsia"/>
        </w:rPr>
        <w:t xml:space="preserve">年国有资本经营预算支出共</w:t>
      </w:r>
      <w:r>
        <w:rPr>
          <w:rFonts w:hint="eastAsia"/>
          <w:lang w:eastAsia="zh-CN"/>
        </w:rPr>
        <w:t xml:space="preserve">0.00</w:t>
      </w:r>
      <w:r>
        <w:rPr>
          <w:rFonts w:hint="eastAsia"/>
        </w:rPr>
        <w:t xml:space="preserve">万元，较2023年度预算数</w:t>
      </w:r>
      <w:r>
        <w:rPr>
          <w:rFonts w:hint="eastAsia"/>
          <w:lang w:eastAsia="zh-CN"/>
        </w:rPr>
        <w:t xml:space="preserve">0.00</w:t>
      </w:r>
      <w:r>
        <w:rPr>
          <w:rFonts w:hint="eastAsia"/>
        </w:rPr>
        <w:t xml:space="preserve">万元，</w:t>
      </w:r>
      <w:r>
        <w:rPr>
          <w:rFonts w:hint="eastAsia"/>
          <w:lang w:eastAsia="zh-CN"/>
        </w:rPr>
        <w:t xml:space="preserve">增加0.00</w:t>
      </w:r>
      <w:r>
        <w:rPr>
          <w:rFonts w:hint="eastAsia"/>
        </w:rPr>
        <w:t xml:space="preserve">万元，</w:t>
      </w:r>
      <w:r>
        <w:rPr>
          <w:rFonts w:hint="eastAsia"/>
          <w:lang w:eastAsia="zh-CN"/>
        </w:rPr>
        <w:t xml:space="preserve">增长0%</w:t>
      </w:r>
      <w:r>
        <w:rPr>
          <w:rFonts w:hint="eastAsia"/>
        </w:rPr>
        <w:t xml:space="preserve">，主要原因是</w:t>
      </w:r>
      <w:r>
        <w:rPr>
          <w:rFonts w:hint="eastAsia"/>
          <w:lang w:val="en-US" w:eastAsia="zh-CN"/>
        </w:rPr>
        <w:t xml:space="preserve">本单位无国有资本经营的预算</w:t>
      </w:r>
      <w:r>
        <w:rPr>
          <w:rFonts w:hint="eastAsia"/>
        </w:rPr>
        <w:t xml:space="preserve">。</w:t>
      </w:r>
    </w:p>
    <w:p>
      <w:pPr>
        <w:pStyle w:val="Bodytext|2"/>
        <w:tabs>
          <w:tab w:val="left" w:pos="1235"/>
        </w:tabs>
        <w:spacing w:after="0" w:line="624" w:lineRule="exact"/>
        <w:ind w:firstLine="580"/>
        <w:jc w:val="left"/>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b w:val="0"/>
          <w:bCs w:val="0"/>
          <w:sz w:val="28"/>
          <w:szCs w:val="28"/>
          <w:lang w:eastAsia="zh-CN"/>
        </w:rPr>
        <w:t xml:space="preserve">2024</w:t>
      </w:r>
      <w:r>
        <w:rPr>
          <w:rFonts w:ascii="宋体" w:eastAsia="宋体" w:hAnsi="宋体" w:cs="宋体" w:hint="eastAsia"/>
          <w:sz w:val="28"/>
          <w:szCs w:val="28"/>
          <w:lang w:eastAsia="zh-CN"/>
        </w:rPr>
        <w:t xml:space="preserve">年本部门机关运行经费预算</w:t>
      </w:r>
      <w:r>
        <w:rPr>
          <w:rFonts w:ascii="宋体" w:eastAsia="宋体" w:hAnsi="宋体" w:cs="宋体" w:hint="eastAsia"/>
          <w:sz w:val="28"/>
          <w:szCs w:val="28"/>
          <w:lang w:val="en-US" w:eastAsia="zh-CN"/>
        </w:rPr>
        <w:t xml:space="preserve">5.27</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7.08</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减少1.81</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下降25.56%</w:t>
      </w:r>
      <w:r>
        <w:rPr>
          <w:rFonts w:ascii="宋体" w:eastAsia="宋体" w:hAnsi="宋体" w:cs="宋体" w:hint="eastAsia"/>
          <w:sz w:val="28"/>
          <w:szCs w:val="28"/>
          <w:lang w:eastAsia="zh-CN"/>
        </w:rPr>
        <w:t xml:space="preserve">，主要原因是：</w:t>
      </w:r>
      <w:r>
        <w:rPr>
          <w:rFonts w:hint="eastAsia"/>
          <w:highlight w:val="none"/>
          <w:lang w:val="en-US" w:eastAsia="zh-CN"/>
        </w:rPr>
        <w:t xml:space="preserve">一是人员减少，存在人员退休，导致定额商品服务支出、公务交通补贴、通讯补贴减少；二是工会经费的压减</w:t>
      </w:r>
      <w:r>
        <w:rPr>
          <w:rFonts w:ascii="宋体" w:eastAsia="宋体" w:hAnsi="宋体" w:cs="宋体" w:hint="eastAsia"/>
          <w:sz w:val="28"/>
          <w:szCs w:val="28"/>
          <w:lang w:eastAsia="zh-CN"/>
        </w:rPr>
        <w:t xml:space="preserve">。</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spacing w:line="624" w:lineRule="exact"/>
        <w:ind w:firstLine="600"/>
        <w:jc w:val="left"/>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hint="eastAsia"/>
          <w:highlight w:val="none"/>
          <w:lang w:val="en-US" w:eastAsia="zh-CN"/>
        </w:rPr>
        <w:t xml:space="preserve">0</w:t>
      </w:r>
      <w:r>
        <w:rPr>
          <w:rFonts w:ascii="宋体" w:eastAsia="宋体" w:hAnsi="宋体" w:cs="宋体" w:hint="eastAsia"/>
          <w:sz w:val="28"/>
          <w:szCs w:val="28"/>
          <w:lang w:eastAsia="zh-CN"/>
        </w:rPr>
        <w:t xml:space="preserve">万元。其中：货物类采购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万元、工程类采购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万元、服务类采购</w:t>
      </w:r>
      <w:r>
        <w:rPr>
          <w:rFonts w:hint="eastAsia"/>
          <w:highlight w:val="none"/>
          <w:lang w:val="en-US" w:eastAsia="zh-CN"/>
        </w:rPr>
        <w:t xml:space="preserve">0</w:t>
      </w:r>
      <w:r>
        <w:rPr>
          <w:rFonts w:ascii="宋体" w:eastAsia="宋体" w:hAnsi="宋体" w:cs="宋体" w:hint="eastAsia"/>
          <w:sz w:val="28"/>
          <w:szCs w:val="28"/>
          <w:lang w:eastAsia="zh-CN"/>
        </w:rPr>
        <w:t xml:space="preserve">万元。</w:t>
      </w:r>
      <w:r>
        <w:rPr>
          <w:rFonts w:cs="宋体" w:hint="eastAsia"/>
          <w:sz w:val="28"/>
          <w:szCs w:val="28"/>
          <w:lang w:val="en-US" w:eastAsia="zh-CN"/>
        </w:rPr>
        <w:t xml:space="preserve">主要用于：</w:t>
      </w:r>
      <w:r>
        <w:rPr>
          <w:rFonts w:hint="eastAsia"/>
          <w:highlight w:val="none"/>
          <w:lang w:val="en-US" w:eastAsia="zh-CN"/>
        </w:rPr>
        <w:t xml:space="preserve">本单位无政府采购预算。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highlight w:val="none"/>
          <w:lang w:val="en-US" w:eastAsia="zh-CN"/>
        </w:rPr>
        <w:t xml:space="preserve">0</w:t>
      </w:r>
      <w:r>
        <w:rPr>
          <w:rFonts w:ascii="宋体" w:eastAsia="宋体" w:hAnsi="宋体" w:cs="宋体" w:hint="eastAsia"/>
          <w:sz w:val="28"/>
          <w:szCs w:val="28"/>
          <w:lang w:eastAsia="zh-CN"/>
        </w:rPr>
        <w:t xml:space="preserve">台（套）。</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highlight w:val="none"/>
          <w:lang w:val="en-US" w:eastAsia="zh-CN"/>
        </w:rPr>
        <w:t xml:space="preserve">1</w:t>
      </w:r>
      <w:r>
        <w:rPr>
          <w:rFonts w:ascii="宋体" w:eastAsia="宋体" w:hAnsi="宋体" w:cs="宋体" w:hint="eastAsia"/>
          <w:sz w:val="28"/>
          <w:szCs w:val="28"/>
          <w:lang w:eastAsia="zh-CN"/>
        </w:rPr>
        <w:t xml:space="preserve">个，预算资金</w:t>
      </w:r>
      <w:r>
        <w:rPr>
          <w:rFonts w:hint="eastAsia"/>
          <w:highlight w:val="none"/>
          <w:lang w:val="en-US" w:eastAsia="zh-CN"/>
        </w:rPr>
        <w:t xml:space="preserve">3</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spacing w:line="624" w:lineRule="exact"/>
        <w:ind w:firstLine="600"/>
        <w:jc w:val="left"/>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spacing w:line="624" w:lineRule="exact"/>
        <w:ind w:firstLine="600"/>
        <w:jc w:val="left"/>
        <w:rPr>
          <w:rFonts w:hint="eastAsia"/>
          <w:highlight w:val="none"/>
          <w:lang w:val="en-US" w:eastAsia="zh-CN"/>
        </w:rPr>
      </w:pPr>
      <w:r>
        <w:rPr>
          <w:rFonts w:hint="eastAsia"/>
          <w:highlight w:val="none"/>
          <w:lang w:val="en-US" w:eastAsia="zh-CN"/>
        </w:rPr>
        <w:t xml:space="preserve">本单位不涉及重点项目预算。</w:t>
      </w:r>
    </w:p>
    <w:p>
      <w:pPr>
        <w:pStyle w:val="Bodytext|1"/>
        <w:spacing w:line="624" w:lineRule="exact"/>
        <w:ind w:firstLine="600"/>
        <w:jc w:val="left"/>
        <w:rPr>
          <w:rFonts w:hint="eastAsia"/>
          <w:highlight w:val="none"/>
          <w:lang w:val="en-US" w:eastAsia="zh-CN"/>
        </w:rPr>
      </w:pPr>
    </w:p>
    <w:p>
      <w:pPr>
        <w:pStyle w:val="Bodytext|1"/>
        <w:spacing w:line="624" w:lineRule="exact"/>
        <w:ind w:firstLine="600"/>
        <w:jc w:val="left"/>
        <w:rPr>
          <w:rFonts w:hint="default"/>
          <w:highlight w:val="none"/>
          <w:lang w:val="en-US" w:eastAsia="zh-CN"/>
        </w:rPr>
        <w:sectPr>
          <w:headerReference w:type="default" r:id="rId12"/>
          <w:footerReference w:type="default" r:id="rId13"/>
          <w:pgSz w:w="11900" w:h="16840" w:orient="portrait"/>
          <w:pgMar w:top="1440" w:right="1800" w:bottom="1440" w:left="1800" w:header="0" w:footer="3" w:gutter="0"/>
          <w:pgBorders>
            <w:top w:val="none" w:sz="0" w:space="0" w:color="auto"/>
            <w:left w:val="none" w:sz="0" w:space="0" w:color="auto"/>
            <w:bottom w:val="none" w:sz="0" w:space="0" w:color="auto"/>
            <w:right w:val="none" w:sz="0" w:space="0" w:color="auto"/>
          </w:pgBorders>
          <w:cols w:num="1" w:space="720">
            <w:col w:w="8300" w:space="720"/>
          </w:cols>
          <w:docGrid w:linePitch="360" w:charSpace="0"/>
        </w:sectPr>
      </w:pPr>
    </w:p>
    <w:p>
      <w:pPr>
        <w:pStyle w:val="Heading#1|1"/>
        <w:keepNext/>
        <w:keepLines/>
        <w:spacing w:after="980"/>
        <w:jc w:val="center"/>
      </w:pPr>
      <w:bookmarkEnd w:id="10"/>
      <w:bookmarkEnd w:id="11"/>
      <w:bookmarkEnd w:id="12"/>
      <w:r>
        <w:t xml:space="preserve">第</w:t>
      </w:r>
      <w:r>
        <w:rPr>
          <w:rFonts w:hint="eastAsia"/>
          <w:lang w:val="en-US" w:eastAsia="zh-CN"/>
        </w:rPr>
        <w:t xml:space="preserve">三</w:t>
      </w:r>
      <w:r>
        <w:t xml:space="preserve">部分</w:t>
      </w:r>
      <w:r>
        <w:rPr>
          <w:rFonts w:hint="eastAsia"/>
          <w:lang w:eastAsia="zh-CN"/>
        </w:rPr>
        <w:t xml:space="preserve">环江毛南族自治县驯乐苗族乡财政所</w:t>
      </w:r>
      <w:r>
        <w:rPr>
          <w:rFonts w:ascii="Times New Roman" w:hAnsi="Times New Roman" w:cs="Times New Roman" w:hint="eastAsia"/>
          <w:sz w:val="42"/>
          <w:szCs w:val="42"/>
          <w:lang w:eastAsia="zh-CN"/>
        </w:rPr>
        <w:t xml:space="preserve">2024</w:t>
      </w:r>
      <w:r>
        <w:rPr>
          <w:rFonts w:ascii="Times New Roman" w:hAnsi="Times New Roman" w:cs="Times New Roman"/>
          <w:sz w:val="42"/>
          <w:u w:color="auto"/>
        </w:rPr>
        <w:t xml:space="preserve">年</w:t>
      </w:r>
      <w:r>
        <w:t xml:space="preserve">部门预算表</w:t>
      </w:r>
    </w:p>
    <w:p>
      <w:pPr>
        <w:pStyle w:val="Heading#2|1"/>
        <w:keepNext/>
        <w:keepLines/>
        <w:spacing w:after="240"/>
        <w:jc w:val="center"/>
      </w:pPr>
      <w:bookmarkStart w:id="16" w:name="bookmark29"/>
      <w:bookmarkStart w:id="17" w:name="bookmark30"/>
      <w:bookmarkStart w:id="18" w:name="bookmark31"/>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环江毛南族自治县驯乐苗族乡财政所</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49.01</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5.96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5.16</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60.13</w:t>
            </w:r>
          </w:p>
        </w:tc>
      </w:tr>
    </w:tbl>
    <w:p>
      <w:pPr>
        <w:pStyle w:val="Tablecaption|1"/>
        <w:ind w:left="101"/>
        <w:jc w:val="left"/>
      </w:pPr>
      <w:r>
        <w:t xml:space="preserve">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w:type="default" r:id="rId14"/>
          <w:footerReference w:type="default" r:id="rId15"/>
          <w:pgSz w:w="16840" w:h="11900" w:orient="landscape"/>
          <w:pgMar w:top="2397" w:right="761" w:bottom="1966" w:left="739" w:header="0" w:footer="3" w:gutter="0"/>
          <w:pgBorders>
            <w:top w:val="none" w:sz="0" w:space="0" w:color="auto"/>
            <w:left w:val="none" w:sz="0" w:space="0" w:color="auto"/>
            <w:bottom w:val="none" w:sz="0" w:space="0" w:color="auto"/>
            <w:right w:val="none" w:sz="0" w:space="0" w:color="auto"/>
          </w:pgBorders>
          <w:cols w:num="1" w:space="720">
            <w:col w:w="15340" w:space="720"/>
          </w:cols>
          <w:docGrid w:linePitch="360" w:charSpace="0"/>
        </w:sectPr>
      </w:pP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环江毛南族自治县驯乐苗族乡财政所</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Merge w:val="restart"/>
          </w:tcPr>
          <w:p>
            <w:pPr>
              <w:tabs>
                <w:tab w:val="left" w:pos="859"/>
              </w:tabs>
              <w:jc w:val="both"/>
              <w:rPr>
                <w:rFonts w:eastAsia="宋体" w:hint="eastAsia"/>
                <w:vertAlign w:val="baseline"/>
                <w:lang w:val="en-US" w:eastAsia="zh-CN"/>
              </w:rPr>
            </w:pPr>
            <w:r>
              <w:rPr>
                <w:sz w:val="17"/>
                <w:szCs w:val="17"/>
              </w:rPr>
              <w:t xml:space="preserve">部门（单位）代码</w:t>
            </w:r>
          </w:p>
        </w:tc>
        <w:tc>
          <w:tcPr>
            <w:tcW w:w="1279" w:type="dxa"/>
            <w:vMerge w:val="restart"/>
          </w:tcPr>
          <w:p>
            <w:pPr>
              <w:tabs>
                <w:tab w:val="left" w:pos="859"/>
              </w:tabs>
              <w:jc w:val="both"/>
              <w:rPr>
                <w:rFonts w:eastAsia="宋体" w:hint="eastAsia"/>
                <w:vertAlign w:val="baseline"/>
                <w:lang w:val="en-US" w:eastAsia="zh-CN"/>
              </w:rPr>
            </w:pPr>
            <w:r>
              <w:rPr>
                <w:sz w:val="17"/>
                <w:szCs w:val="17"/>
              </w:rPr>
              <w:t xml:space="preserve">部门（单位）名称</w:t>
            </w:r>
          </w:p>
        </w:tc>
        <w:tc>
          <w:tcPr>
            <w:tcW w:w="990" w:type="dxa"/>
            <w:vMerge w:val="restart"/>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4871" w:type="dxa"/>
            <w:gridSpan w:val="5"/>
          </w:tcPr>
          <w:p>
            <w:pPr>
              <w:tabs>
                <w:tab w:val="left" w:pos="859"/>
              </w:tabs>
              <w:jc w:val="both"/>
              <w:rPr>
                <w:rFonts w:eastAsia="宋体" w:hint="eastAsia"/>
                <w:vertAlign w:val="baseline"/>
                <w:lang w:val="en-US" w:eastAsia="zh-CN"/>
              </w:rPr>
            </w:pPr>
            <w:r>
              <w:rPr>
                <w:sz w:val="17"/>
                <w:szCs w:val="17"/>
              </w:rPr>
              <w:t xml:space="preserve">本年收入</w:t>
            </w:r>
          </w:p>
        </w:tc>
        <w:tc>
          <w:tcPr>
            <w:tcW w:w="6781" w:type="dxa"/>
            <w:gridSpan w:val="8"/>
          </w:tcPr>
          <w:p>
            <w:pPr>
              <w:tabs>
                <w:tab w:val="left" w:pos="859"/>
              </w:tabs>
              <w:jc w:val="both"/>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058"/>
        </w:trPr>
        <w:tc>
          <w:tcPr>
            <w:tcW w:w="1636" w:type="dxa"/>
            <w:vMerge/>
          </w:tcPr>
          <w:p>
            <w:pPr>
              <w:tabs>
                <w:tab w:val="left" w:pos="859"/>
              </w:tabs>
              <w:jc w:val="both"/>
              <w:rPr>
                <w:rFonts w:eastAsia="宋体" w:hint="eastAsia"/>
                <w:vertAlign w:val="baseline"/>
                <w:lang w:val="en-US" w:eastAsia="zh-CN"/>
              </w:rPr>
            </w:pPr>
          </w:p>
        </w:tc>
        <w:tc>
          <w:tcPr>
            <w:tcW w:w="1279" w:type="dxa"/>
            <w:vMerge/>
          </w:tcPr>
          <w:p>
            <w:pPr>
              <w:tabs>
                <w:tab w:val="left" w:pos="859"/>
              </w:tabs>
              <w:jc w:val="both"/>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left"/>
              <w:rPr>
                <w:rFonts w:eastAsia="宋体" w:hint="eastAsia"/>
                <w:vertAlign w:val="baseline"/>
                <w:lang w:val="en-US" w:eastAsia="zh-CN"/>
              </w:rPr>
            </w:pP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116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3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44"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firstLine="0" w:firstLineChars="0"/>
              <w:jc w:val="left"/>
              <w:rPr>
                <w:rFonts w:eastAsia="宋体" w:hint="eastAsia"/>
                <w:vertAlign w:val="baseline"/>
                <w:lang w:val="en-US" w:eastAsia="zh-CN"/>
              </w:rPr>
            </w:pPr>
            <w:r>
              <w:rPr>
                <w:sz w:val="17"/>
                <w:szCs w:val="17"/>
              </w:rPr>
              <w:t xml:space="preserve">收入</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sz w:val="17"/>
                <w:szCs w:val="17"/>
              </w:rPr>
              <w:t xml:space="preserve">单位资金</w:t>
            </w:r>
          </w:p>
        </w:tc>
        <w:tc>
          <w:tcPr>
            <w:tcW w:w="1035" w:type="dxa"/>
            <w:vAlign w:val="center"/>
          </w:tcPr>
          <w:p>
            <w:pPr>
              <w:pStyle w:val="Other|1"/>
              <w:spacing w:line="240" w:lineRule="auto"/>
              <w:ind w:firstLine="300" w:firstLineChars="0"/>
              <w:jc w:val="left"/>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left"/>
              <w:rPr>
                <w:rFonts w:eastAsia="宋体" w:hint="eastAsia"/>
                <w:vertAlign w:val="baseline"/>
                <w:lang w:val="en-US" w:eastAsia="zh-CN"/>
              </w:rPr>
            </w:pPr>
            <w:r>
              <w:rPr>
                <w:sz w:val="17"/>
                <w:szCs w:val="17"/>
              </w:rPr>
              <w:t xml:space="preserve">国有资本经营预算</w:t>
            </w:r>
          </w:p>
        </w:tc>
        <w:tc>
          <w:tcPr>
            <w:tcW w:w="872" w:type="dxa"/>
          </w:tcPr>
          <w:p>
            <w:pPr>
              <w:pStyle w:val="Other|1"/>
              <w:spacing w:line="312" w:lineRule="exact"/>
              <w:ind w:firstLine="0"/>
              <w:jc w:val="left"/>
              <w:rPr>
                <w:sz w:val="17"/>
                <w:szCs w:val="17"/>
              </w:rPr>
            </w:pPr>
            <w:r>
              <w:rPr>
                <w:sz w:val="17"/>
                <w:szCs w:val="17"/>
              </w:rPr>
              <w:t xml:space="preserve">财政专户管理资金</w:t>
            </w:r>
          </w:p>
          <w:p>
            <w:pPr>
              <w:pStyle w:val="Other|1"/>
              <w:spacing w:line="312" w:lineRule="exact"/>
              <w:ind w:right="280" w:firstLine="0" w:rightChars="0" w:firstLineChars="0"/>
              <w:jc w:val="left"/>
              <w:rPr>
                <w:rFonts w:eastAsia="宋体" w:hint="eastAsia"/>
                <w:vertAlign w:val="baseline"/>
                <w:lang w:val="en-US" w:eastAsia="zh-CN"/>
              </w:rPr>
            </w:pPr>
            <w:r>
              <w:rPr>
                <w:sz w:val="17"/>
                <w:szCs w:val="17"/>
              </w:rPr>
              <w:t xml:space="preserve">收入</w:t>
            </w:r>
          </w:p>
        </w:tc>
        <w:tc>
          <w:tcPr>
            <w:tcW w:w="1054" w:type="dxa"/>
            <w:vAlign w:val="center"/>
          </w:tcPr>
          <w:p>
            <w:pPr>
              <w:pStyle w:val="Other|1"/>
              <w:spacing w:line="240" w:lineRule="auto"/>
              <w:ind w:firstLine="140" w:firstLineChars="0"/>
              <w:jc w:val="left"/>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1161"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103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844"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856"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1035" w:type="dxa"/>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firstLine="42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firstLine="44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872" w:type="dxa"/>
            <w:vAlign w:val="center"/>
          </w:tcPr>
          <w:p>
            <w:pPr>
              <w:pStyle w:val="Other|1"/>
              <w:spacing w:line="240" w:lineRule="auto"/>
              <w:ind w:right="38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1054" w:type="dxa"/>
            <w:vAlign w:val="center"/>
          </w:tcPr>
          <w:p>
            <w:pPr>
              <w:pStyle w:val="Other|1"/>
              <w:spacing w:line="240" w:lineRule="auto"/>
              <w:ind w:right="420" w:firstLine="0" w:rightChars="0" w:firstLineChars="0"/>
              <w:jc w:val="left"/>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 </w:t>
            </w:r>
          </w:p>
        </w:tc>
        <w:tc>
          <w:tcPr>
            <w:tcW w:w="1279" w:type="dxa"/>
          </w:tcPr>
          <w:p>
            <w:pPr>
              <w:pStyle w:val="Other|1"/>
              <w:spacing w:line="326" w:lineRule="exact"/>
              <w:ind w:firstLine="0" w:firstLineChars="0"/>
              <w:jc w:val="left"/>
              <w:rPr>
                <w:rFonts w:eastAsia="宋体" w:hint="eastAsia"/>
                <w:vertAlign w:val="baseline"/>
                <w:lang w:val="en-US" w:eastAsia="zh-CN"/>
              </w:rPr>
            </w:pPr>
            <w:r>
              <w:rPr>
                <w:rFonts w:hint="eastAsia"/>
                <w:sz w:val="17"/>
                <w:szCs w:val="17"/>
                <w:lang w:val="en-US" w:eastAsia="zh-CN"/>
              </w:rPr>
              <w:t xml:space="preserve">合计</w:t>
            </w: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60.13</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60.13</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60.13</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63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rPr>
              <w:t xml:space="preserve">712002</w:t>
            </w:r>
          </w:p>
        </w:tc>
        <w:tc>
          <w:tcPr>
            <w:tcW w:w="1279" w:type="dxa"/>
          </w:tcPr>
          <w:p>
            <w:pPr>
              <w:pStyle w:val="Other|1"/>
              <w:spacing w:line="326" w:lineRule="exact"/>
              <w:ind w:firstLine="0" w:firstLineChars="0"/>
              <w:jc w:val="left"/>
              <w:rPr>
                <w:rFonts w:eastAsia="宋体" w:hint="eastAsia"/>
                <w:vertAlign w:val="baseline"/>
                <w:lang w:val="en-US" w:eastAsia="zh-CN"/>
              </w:rPr>
            </w:pPr>
          </w:p>
        </w:tc>
        <w:tc>
          <w:tcPr>
            <w:tcW w:w="990"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60.13</w:t>
            </w:r>
          </w:p>
        </w:tc>
        <w:tc>
          <w:tcPr>
            <w:tcW w:w="926" w:type="dxa"/>
            <w:vAlign w:val="center"/>
          </w:tcPr>
          <w:p>
            <w:pPr>
              <w:pStyle w:val="Other|1"/>
              <w:spacing w:line="240" w:lineRule="auto"/>
              <w:ind w:firstLine="300" w:firstLineChars="0"/>
              <w:jc w:val="left"/>
              <w:rPr>
                <w:rFonts w:eastAsia="宋体" w:hint="eastAsia"/>
                <w:vertAlign w:val="baseline"/>
                <w:lang w:val="en-US" w:eastAsia="zh-CN"/>
              </w:rPr>
            </w:pPr>
            <w:r>
              <w:rPr>
                <w:rFonts w:hint="eastAsia"/>
                <w:sz w:val="17"/>
                <w:szCs w:val="17"/>
                <w:lang w:val="en-US" w:eastAsia="zh-CN"/>
              </w:rPr>
              <w:t xml:space="preserve">60.13</w:t>
            </w:r>
          </w:p>
        </w:tc>
        <w:tc>
          <w:tcPr>
            <w:tcW w:w="909" w:type="dxa"/>
            <w:vAlign w:val="center"/>
          </w:tcPr>
          <w:p>
            <w:pPr>
              <w:pStyle w:val="Other|1"/>
              <w:spacing w:line="240" w:lineRule="auto"/>
              <w:ind w:firstLine="2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60.13</w:t>
            </w:r>
          </w:p>
        </w:tc>
        <w:tc>
          <w:tcPr>
            <w:tcW w:w="1161" w:type="dxa"/>
            <w:vAlign w:val="center"/>
          </w:tcPr>
          <w:p>
            <w:pPr>
              <w:pStyle w:val="Other|1"/>
              <w:spacing w:line="240" w:lineRule="auto"/>
              <w:ind w:firstLine="520" w:firstLineChars="0"/>
              <w:jc w:val="left"/>
              <w:rPr>
                <w:rFonts w:eastAsia="宋体" w:hint="eastAsia"/>
                <w:vertAlign w:val="baseline"/>
                <w:lang w:val="en-US" w:eastAsia="zh-CN"/>
              </w:rPr>
            </w:pPr>
            <w:r>
              <w:rPr>
                <w:rFonts w:hint="eastAsia"/>
                <w:sz w:val="17"/>
                <w:szCs w:val="17"/>
                <w:lang w:val="en-US" w:eastAsia="zh-CN"/>
              </w:rPr>
              <w:t xml:space="preserve">0.00</w:t>
            </w:r>
          </w:p>
        </w:tc>
        <w:tc>
          <w:tcPr>
            <w:tcW w:w="103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44"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856"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hAnsi="Times New Roman" w:cs="Times New Roman" w:hint="eastAsia"/>
                <w:b/>
                <w:bCs/>
                <w:sz w:val="17"/>
                <w:szCs w:val="17"/>
                <w:lang w:val="en-US" w:eastAsia="zh-CN" w:bidi="en-US"/>
              </w:rPr>
              <w:t xml:space="preserve">0.00</w:t>
            </w:r>
          </w:p>
        </w:tc>
        <w:tc>
          <w:tcPr>
            <w:tcW w:w="1035" w:type="dxa"/>
            <w:vAlign w:val="center"/>
          </w:tcPr>
          <w:p>
            <w:pPr>
              <w:pStyle w:val="Other|1"/>
              <w:spacing w:line="240" w:lineRule="auto"/>
              <w:ind w:firstLine="52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11" w:type="dxa"/>
            <w:vAlign w:val="center"/>
          </w:tcPr>
          <w:p>
            <w:pPr>
              <w:pStyle w:val="Other|1"/>
              <w:spacing w:line="240" w:lineRule="auto"/>
              <w:ind w:firstLine="4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59"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94" w:type="dxa"/>
            <w:gridSpan w:val="2"/>
            <w:vAlign w:val="center"/>
          </w:tcPr>
          <w:p>
            <w:pPr>
              <w:pStyle w:val="Other|1"/>
              <w:spacing w:line="240" w:lineRule="auto"/>
              <w:ind w:firstLine="58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872" w:type="dxa"/>
            <w:vAlign w:val="center"/>
          </w:tcPr>
          <w:p>
            <w:pPr>
              <w:pStyle w:val="Other|1"/>
              <w:spacing w:line="240" w:lineRule="auto"/>
              <w:ind w:firstLine="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1054" w:type="dxa"/>
            <w:vAlign w:val="center"/>
          </w:tcPr>
          <w:p>
            <w:pPr>
              <w:pStyle w:val="Other|1"/>
              <w:spacing w:line="240" w:lineRule="auto"/>
              <w:ind w:firstLine="540" w:firstLineChars="0"/>
              <w:jc w:val="left"/>
              <w:rPr>
                <w:rFonts w:eastAsia="宋体" w:hint="eastAsia"/>
                <w:vertAlign w:val="baseline"/>
                <w:lang w:val="en-US" w:eastAsia="zh-CN"/>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5557" w:type="dxa"/>
            <w:gridSpan w:val="16"/>
            <w:tcBorders>
              <w:left w:val="nil"/>
              <w:bottom w:val="nil"/>
              <w:right w:val="nil"/>
            </w:tcBorders>
          </w:tcPr>
          <w:p>
            <w:pPr>
              <w:pStyle w:val="Tablecaption|1"/>
              <w:jc w:val="left"/>
              <w:rPr>
                <w:rFonts w:eastAsia="宋体" w:hint="eastAsia"/>
                <w:vertAlign w:val="baseline"/>
                <w:lang w:val="en-US" w:eastAsia="zh-CN"/>
              </w:rPr>
            </w:pPr>
            <w:r>
              <w:t xml:space="preserve">注：本报表金额单位转换时可能存在四舍五入尾数误差。</w:t>
            </w:r>
          </w:p>
        </w:tc>
      </w:tr>
    </w:tbl>
    <w:p>
      <w:pPr>
        <w:tabs>
          <w:tab w:val="left" w:pos="859"/>
        </w:tabs>
        <w:jc w:val="both"/>
        <w:rPr>
          <w:rFonts w:eastAsia="宋体" w:hint="eastAsia"/>
          <w:lang w:val="en-US" w:eastAsia="zh-CN"/>
        </w:rPr>
      </w:pPr>
    </w:p>
    <w:p>
      <w:pPr>
        <w:tabs>
          <w:tab w:val="left" w:pos="859"/>
        </w:tabs>
        <w:jc w:val="center"/>
        <w:rPr>
          <w:rFonts w:eastAsia="宋体" w:hint="eastAsia"/>
          <w:lang w:val="en-US" w:eastAsia="zh-CN"/>
        </w:rPr>
      </w:pPr>
    </w:p>
    <w:p>
      <w:pPr>
        <w:tabs>
          <w:tab w:val="left" w:pos="859"/>
        </w:tabs>
        <w:jc w:val="both"/>
        <w:rPr>
          <w:rFonts w:eastAsia="宋体" w:hint="eastAsia"/>
          <w:lang w:val="en-US" w:eastAsia="zh-CN"/>
        </w:rPr>
      </w:pPr>
    </w:p>
    <w:p>
      <w:pPr>
        <w:spacing w:line="1" w:lineRule="exact"/>
        <w:jc w:val="left"/>
        <w:rPr>
          <w:lang w:eastAsia="zh-CN"/>
        </w:rPr>
        <w:sectPr>
          <w:headerReference w:type="default" r:id="rId16"/>
          <w:footerReference w:type="default" r:id="rId17"/>
          <w:pgSz w:w="16840" w:h="11900" w:orient="landscape"/>
          <w:pgMar w:top="2709" w:right="764" w:bottom="2709" w:left="735" w:header="2281"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2|1"/>
        <w:keepNext/>
        <w:keepLines/>
        <w:spacing w:after="240"/>
        <w:jc w:val="center"/>
      </w:pPr>
      <w:bookmarkStart w:id="19" w:name="bookmark41"/>
      <w:bookmarkStart w:id="20" w:name="bookmark42"/>
      <w:bookmarkStart w:id="21" w:name="bookmark43"/>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环江毛南族自治县驯乐苗族乡财政所</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60.13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57.13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712002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60.13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57.13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2010601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行政运行</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48.51</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45.51</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3.00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5.96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5.16</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5.16</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Times New Roman" w:eastAsia="Times New Roman" w:hAnsi="Times New Roman" w:cs="Times New Roman" w:hint="default"/>
                <w:b/>
                <w:bCs/>
                <w:sz w:val="17"/>
                <w:szCs w:val="17"/>
                <w:lang w:val="en-US" w:eastAsia="zh-CN"/>
              </w:rPr>
            </w:pPr>
            <w:r>
              <w:rPr>
                <w:rFonts w:ascii="Times New Roman" w:eastAsia="Times New Roman" w:hAnsi="Times New Roman" w:cs="Times New Roman" w:hint="eastAsia"/>
                <w:b/>
                <w:bCs/>
                <w:sz w:val="17"/>
                <w:szCs w:val="17"/>
                <w:lang w:val="en-US" w:eastAsia="zh-CN"/>
              </w:rPr>
              <w:t xml:space="preserve">0</w:t>
            </w:r>
          </w:p>
        </w:tc>
      </w:tr>
    </w:tbl>
    <w:p>
      <w:pPr>
        <w:pStyle w:val="Tablecaption|1"/>
        <w:ind w:left="672"/>
        <w:jc w:val="left"/>
      </w:pPr>
      <w: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环江毛南族自治县驯乐苗族乡财政所</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49.01</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5.96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5.16</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60.13</w:t>
            </w:r>
          </w:p>
        </w:tc>
      </w:tr>
      <w:tr>
        <w:tblPrEx>
          <w:tblW w:w="0" w:type="auto"/>
          <w:tblInd w:w="0" w:type="dxa"/>
          <w:tblLayout w:type="fixed"/>
          <w:tblCellMar>
            <w:top w:w="0" w:type="dxa"/>
            <w:left w:w="10" w:type="dxa"/>
            <w:bottom w:w="0" w:type="dxa"/>
            <w:right w:w="10" w:type="dxa"/>
          </w:tblCellMar>
        </w:tblPrEx>
        <w:trPr>
          <w:trHeight w:hRule="exact" w:val="352"/>
        </w:trPr>
        <w:tc>
          <w:tcPr>
            <w:tcW w:w="15342" w:type="dxa"/>
            <w:gridSpan w:val="6"/>
            <w:tcBorders>
              <w:top w:val="single" w:sz="4" w:space="0" w:color="auto"/>
            </w:tcBorders>
            <w:shd w:val="clear" w:color="auto" w:fill="FFFFFF"/>
          </w:tcPr>
          <w:p>
            <w:pPr>
              <w:jc w:val="left"/>
              <w:rPr>
                <w:sz w:val="10"/>
                <w:szCs w:val="10"/>
                <w:lang w:eastAsia="zh-CN"/>
              </w:rPr>
            </w:pPr>
            <w:r>
              <w:rPr>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trHeight w:hRule="exact" w:val="274"/>
        </w:trPr>
        <w:tc>
          <w:tcPr>
            <w:tcW w:w="15342" w:type="dxa"/>
            <w:gridSpan w:val="6"/>
            <w:shd w:val="clear" w:color="auto" w:fill="FFFFFF"/>
            <w:vAlign w:val="bottom"/>
          </w:tcPr>
          <w:p>
            <w:pPr>
              <w:jc w:val="left"/>
              <w:rPr>
                <w:sz w:val="10"/>
                <w:szCs w:val="10"/>
                <w:lang w:eastAsia="zh-CN"/>
              </w:rPr>
            </w:pPr>
            <w:r>
              <w:rPr>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环江毛南族自治县驯乐苗族乡财政所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p>
        </w:tc>
        <w:tc>
          <w:tcPr>
            <w:tcW w:w="1676"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712002</w:t>
            </w:r>
          </w:p>
        </w:tc>
        <w:tc>
          <w:tcPr>
            <w:tcW w:w="1662" w:type="dxa"/>
            <w:vAlign w:val="center"/>
          </w:tcPr>
          <w:p>
            <w:pPr>
              <w:pStyle w:val="Other|1"/>
              <w:spacing w:line="240" w:lineRule="auto"/>
              <w:ind w:firstLine="0" w:firstLineChars="0"/>
              <w:jc w:val="center"/>
              <w:rPr>
                <w:rFonts w:hint="eastAsia"/>
                <w:vertAlign w:val="baseline"/>
                <w:lang w:eastAsia="zh-CN"/>
              </w:rPr>
            </w:pP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60.13</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57.14</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51.87</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5.27</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2010601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行政运行</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48.51</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45.50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40.74</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4.76</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3.00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2012999</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其他群众团体事务支出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0.50</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0.50</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0.50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2080505</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机关事业单位基本养老保险缴费支出</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5.96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5.96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715" w:type="dxa"/>
            <w:vAlign w:val="center"/>
          </w:tcPr>
          <w:p>
            <w:pPr>
              <w:pStyle w:val="Other|1"/>
              <w:spacing w:line="240" w:lineRule="auto"/>
              <w:ind w:firstLine="0" w:firstLineChars="0"/>
              <w:jc w:val="center"/>
              <w:rPr>
                <w:rFonts w:hint="eastAsia"/>
                <w:vertAlign w:val="baseline"/>
                <w:lang w:eastAsia="zh-CN"/>
              </w:rPr>
            </w:pPr>
            <w:r>
              <w:rPr>
                <w:rFonts w:ascii="Times New Roman" w:hAnsi="Times New Roman" w:cs="Times New Roman" w:hint="eastAsia"/>
                <w:b/>
                <w:bCs/>
                <w:sz w:val="17"/>
                <w:szCs w:val="17"/>
                <w:lang w:val="en-US" w:eastAsia="zh-CN"/>
              </w:rPr>
              <w:t xml:space="preserve">2210201</w:t>
            </w:r>
          </w:p>
        </w:tc>
        <w:tc>
          <w:tcPr>
            <w:tcW w:w="1676" w:type="dxa"/>
            <w:vAlign w:val="center"/>
          </w:tcPr>
          <w:p>
            <w:pPr>
              <w:pStyle w:val="Other|1"/>
              <w:spacing w:line="240" w:lineRule="auto"/>
              <w:ind w:firstLine="0" w:firstLineChars="0"/>
              <w:jc w:val="center"/>
              <w:rPr>
                <w:rFonts w:hint="eastAsia"/>
                <w:vertAlign w:val="baseline"/>
                <w:lang w:eastAsia="zh-CN"/>
              </w:rPr>
            </w:pPr>
          </w:p>
        </w:tc>
        <w:tc>
          <w:tcPr>
            <w:tcW w:w="1662" w:type="dxa"/>
            <w:vAlign w:val="center"/>
          </w:tcPr>
          <w:p>
            <w:pPr>
              <w:pStyle w:val="Other|1"/>
              <w:spacing w:line="240" w:lineRule="auto"/>
              <w:ind w:firstLine="0" w:firstLineChars="0"/>
              <w:jc w:val="center"/>
              <w:rPr>
                <w:rFonts w:hint="eastAsia"/>
                <w:vertAlign w:val="baseline"/>
                <w:lang w:eastAsia="zh-CN"/>
              </w:rPr>
            </w:pPr>
            <w:r>
              <w:rPr>
                <w:rFonts w:hint="eastAsia"/>
                <w:sz w:val="17"/>
                <w:szCs w:val="17"/>
                <w:lang w:val="en-US" w:eastAsia="zh-CN"/>
              </w:rPr>
              <w:t xml:space="preserve">住房公积金</w:t>
            </w:r>
          </w:p>
        </w:tc>
        <w:tc>
          <w:tcPr>
            <w:tcW w:w="1717" w:type="dxa"/>
            <w:vAlign w:val="center"/>
          </w:tcPr>
          <w:p>
            <w:pPr>
              <w:pStyle w:val="Other|1"/>
              <w:spacing w:line="240" w:lineRule="auto"/>
              <w:ind w:left="106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5.16</w:t>
            </w:r>
          </w:p>
        </w:tc>
        <w:tc>
          <w:tcPr>
            <w:tcW w:w="1879" w:type="dxa"/>
            <w:vAlign w:val="center"/>
          </w:tcPr>
          <w:p>
            <w:pPr>
              <w:pStyle w:val="Other|1"/>
              <w:spacing w:line="240" w:lineRule="auto"/>
              <w:ind w:left="1320" w:firstLine="0" w:leftChars="0" w:firstLineChars="0"/>
              <w:jc w:val="center"/>
              <w:rPr>
                <w:rFonts w:hint="eastAsia"/>
                <w:vertAlign w:val="baseline"/>
                <w:lang w:eastAsia="zh-CN"/>
              </w:rPr>
            </w:pPr>
            <w:r>
              <w:rPr>
                <w:rFonts w:hint="eastAsia"/>
                <w:b/>
                <w:bCs/>
                <w:sz w:val="17"/>
                <w:szCs w:val="17"/>
                <w:lang w:val="en-US" w:eastAsia="zh-CN"/>
              </w:rPr>
              <w:t xml:space="preserve">5.16</w:t>
            </w:r>
          </w:p>
        </w:tc>
        <w:tc>
          <w:tcPr>
            <w:tcW w:w="1729" w:type="dxa"/>
            <w:vAlign w:val="center"/>
          </w:tcPr>
          <w:p>
            <w:pPr>
              <w:pStyle w:val="Other|1"/>
              <w:spacing w:line="240" w:lineRule="auto"/>
              <w:ind w:left="1120" w:firstLine="0" w:leftChars="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5.16</w:t>
            </w:r>
          </w:p>
        </w:tc>
        <w:tc>
          <w:tcPr>
            <w:tcW w:w="1790" w:type="dxa"/>
            <w:gridSpan w:val="2"/>
            <w:vAlign w:val="center"/>
          </w:tcPr>
          <w:p>
            <w:pPr>
              <w:pStyle w:val="Other|1"/>
              <w:spacing w:line="240" w:lineRule="auto"/>
              <w:ind w:left="1060" w:firstLine="0" w:leftChars="0" w:firstLineChars="0"/>
              <w:jc w:val="center"/>
              <w:rPr>
                <w:rFonts w:hint="eastAsia"/>
                <w:vertAlign w:val="baseline"/>
                <w:lang w:eastAsia="zh-CN"/>
              </w:rPr>
            </w:pPr>
            <w:r>
              <w:rPr>
                <w:rFonts w:hint="eastAsia"/>
                <w:b/>
                <w:bCs/>
                <w:sz w:val="17"/>
                <w:szCs w:val="17"/>
                <w:lang w:val="en-US" w:eastAsia="zh-CN"/>
              </w:rPr>
              <w:t xml:space="preserve">0.00</w:t>
            </w:r>
          </w:p>
        </w:tc>
        <w:tc>
          <w:tcPr>
            <w:tcW w:w="1694" w:type="dxa"/>
            <w:vAlign w:val="center"/>
          </w:tcPr>
          <w:p>
            <w:pPr>
              <w:pStyle w:val="Other|1"/>
              <w:spacing w:line="240" w:lineRule="auto"/>
              <w:ind w:firstLine="400" w:firstLineChars="0"/>
              <w:jc w:val="center"/>
              <w:rPr>
                <w:rFonts w:hint="eastAsia"/>
                <w:vertAlign w:val="baseline"/>
                <w:lang w:eastAsia="zh-CN"/>
              </w:rPr>
            </w:pPr>
            <w:r>
              <w:rPr>
                <w:rFonts w:ascii="Times New Roman" w:hAnsi="Times New Roman" w:cs="Times New Roman" w:hint="eastAsia"/>
                <w:b/>
                <w:bCs/>
                <w:sz w:val="17"/>
                <w:szCs w:val="17"/>
                <w:lang w:val="en-US" w:eastAsia="zh-CN" w:bidi="en-US"/>
              </w:rPr>
              <w:t xml:space="preserve">0.00</w:t>
            </w:r>
          </w:p>
        </w:tc>
        <w:tc>
          <w:tcPr>
            <w:tcW w:w="1695" w:type="dxa"/>
            <w:vAlign w:val="center"/>
          </w:tcPr>
          <w:p>
            <w:pPr>
              <w:pStyle w:val="Other|1"/>
              <w:spacing w:line="240" w:lineRule="auto"/>
              <w:ind w:firstLine="400" w:firstLineChars="0"/>
              <w:jc w:val="center"/>
              <w:rPr>
                <w:rFonts w:hint="eastAsia"/>
                <w:vertAlign w:val="baseline"/>
                <w:lang w:eastAsia="zh-CN"/>
              </w:rPr>
            </w:pPr>
            <w:r>
              <w:rPr>
                <w:rFonts w:hint="eastAsia"/>
                <w:b/>
                <w:bCs/>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10"/>
            <w:tcBorders>
              <w:left w:val="nil"/>
              <w:bottom w:val="nil"/>
              <w:right w:val="nil"/>
            </w:tcBorders>
          </w:tcPr>
          <w:p>
            <w:pPr>
              <w:jc w:val="left"/>
              <w:rPr>
                <w:rFonts w:hint="eastAsia"/>
                <w:vertAlign w:val="baseline"/>
                <w:lang w:eastAsia="zh-CN"/>
              </w:rPr>
            </w:pPr>
            <w:r>
              <w:rPr>
                <w:sz w:val="16"/>
                <w:szCs w:val="16"/>
              </w:rPr>
              <w:t xml:space="preserve">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环江毛南族自治县驯乐苗族乡财政所</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 </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合计</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57.14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51.87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工资福利支出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51.87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51.87</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基本工资</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15.11</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15.11</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津贴补贴</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10.28</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10.28</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奖金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12.93</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12.93</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30108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5.96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30110</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2.39</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2.39</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30113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住房公积金</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5.16</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5.16</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5.27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办公费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30205</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水费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0.05</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0.05</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30206</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30207</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邮电费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30209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物业管理费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30211</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差旅费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30213</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维修（护）费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0.37</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0.37</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30228</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工会经费</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0.50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rPr>
        <w:tc>
          <w:tcPr>
            <w:tcW w:w="3110" w:type="dxa"/>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30239</w:t>
            </w:r>
          </w:p>
        </w:tc>
        <w:tc>
          <w:tcPr>
            <w:tcW w:w="3111" w:type="dxa"/>
            <w:vAlign w:val="center"/>
          </w:tcPr>
          <w:p>
            <w:pPr>
              <w:pStyle w:val="Other|1"/>
              <w:spacing w:line="240" w:lineRule="auto"/>
              <w:ind w:firstLine="0" w:firstLineChars="0"/>
              <w:jc w:val="left"/>
              <w:rPr>
                <w:vertAlign w:val="baseline"/>
                <w:lang w:eastAsia="zh-CN"/>
              </w:rPr>
            </w:pPr>
            <w:r>
              <w:rPr>
                <w:rFonts w:ascii="Times New Roman" w:eastAsia="Times New Roman" w:hAnsi="Times New Roman" w:cs="Times New Roman" w:hint="eastAsia"/>
                <w:b/>
                <w:bCs/>
                <w:sz w:val="17"/>
                <w:szCs w:val="17"/>
                <w:lang w:val="en-US" w:eastAsia="zh-CN"/>
              </w:rPr>
              <w:t xml:space="preserve">其他交通费用</w:t>
            </w:r>
          </w:p>
        </w:tc>
        <w:tc>
          <w:tcPr>
            <w:tcW w:w="3111"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3.30</w:t>
            </w:r>
          </w:p>
        </w:tc>
        <w:tc>
          <w:tcPr>
            <w:tcW w:w="3112"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0.00</w:t>
            </w:r>
          </w:p>
        </w:tc>
        <w:tc>
          <w:tcPr>
            <w:tcW w:w="3113" w:type="dxa"/>
            <w:vAlign w:val="center"/>
          </w:tcPr>
          <w:p>
            <w:pPr>
              <w:pStyle w:val="Other|1"/>
              <w:spacing w:line="240" w:lineRule="auto"/>
              <w:ind w:firstLine="0" w:firstLineChars="0"/>
              <w:jc w:val="right"/>
              <w:rPr>
                <w:vertAlign w:val="baseline"/>
                <w:lang w:eastAsia="zh-CN"/>
              </w:rPr>
            </w:pPr>
            <w:r>
              <w:rPr>
                <w:rFonts w:ascii="Times New Roman" w:eastAsia="Times New Roman" w:hAnsi="Times New Roman" w:cs="Times New Roman" w:hint="eastAsia"/>
                <w:b/>
                <w:bCs/>
                <w:sz w:val="17"/>
                <w:szCs w:val="17"/>
                <w:lang w:val="en-US" w:eastAsia="zh-CN"/>
              </w:rPr>
              <w:t xml:space="preserve">3.30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 xml:space="preserve">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Heading#2|1"/>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环江毛南族自治县驯乐苗族乡财政所</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val="restart"/>
          </w:tcPr>
          <w:p>
            <w:pPr>
              <w:pStyle w:val="Tablecaption|1"/>
              <w:bidi w:val="0"/>
              <w:jc w:val="center"/>
              <w:rPr>
                <w:rFonts w:hint="eastAsia"/>
                <w:vertAlign w:val="baseline"/>
                <w:lang w:val="en-US" w:eastAsia="zh-CN"/>
              </w:rPr>
            </w:pP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296" w:type="dxa"/>
            <w:vAlign w:val="center"/>
          </w:tcPr>
          <w:p>
            <w:pPr>
              <w:pStyle w:val="Other|1"/>
              <w:spacing w:line="240" w:lineRule="auto"/>
              <w:ind w:firstLine="0" w:firstLineChars="0"/>
              <w:jc w:val="lef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712002</w:t>
            </w:r>
          </w:p>
        </w:tc>
        <w:tc>
          <w:tcPr>
            <w:tcW w:w="1918" w:type="dxa"/>
            <w:vAlign w:val="center"/>
          </w:tcPr>
          <w:p>
            <w:pPr>
              <w:pStyle w:val="Other|1"/>
              <w:spacing w:line="240" w:lineRule="auto"/>
              <w:ind w:firstLine="0" w:firstLineChars="0"/>
              <w:jc w:val="left"/>
              <w:rPr>
                <w:rFonts w:hint="eastAsia"/>
                <w:vertAlign w:val="baseline"/>
                <w:lang w:val="en-US" w:eastAsia="zh-CN"/>
              </w:rPr>
            </w:pPr>
          </w:p>
        </w:tc>
        <w:tc>
          <w:tcPr>
            <w:tcW w:w="1884"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5"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8"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0"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c>
          <w:tcPr>
            <w:tcW w:w="1889" w:type="dxa"/>
            <w:vAlign w:val="center"/>
          </w:tcPr>
          <w:p>
            <w:pPr>
              <w:pStyle w:val="Other|1"/>
              <w:spacing w:line="240" w:lineRule="auto"/>
              <w:ind w:firstLine="0" w:firstLineChars="0"/>
              <w:jc w:val="right"/>
              <w:rPr>
                <w:rFonts w:hint="eastAsia"/>
                <w:vertAlign w:val="baseline"/>
                <w:lang w:val="en-US" w:eastAsia="zh-CN"/>
              </w:rPr>
            </w:pPr>
            <w:r>
              <w:rPr>
                <w:rFonts w:ascii="Times New Roman" w:eastAsia="Times New Roman" w:hAnsi="Times New Roman" w:cs="Times New Roman" w:hint="eastAsia"/>
                <w:b/>
                <w:bCs/>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6"/>
                <w:szCs w:val="16"/>
              </w:rPr>
              <w:t xml:space="preserve">注：本报表金额单位转换时可能存在四舍五入尾数误差</w:t>
            </w:r>
          </w:p>
        </w:tc>
      </w:tr>
    </w:tbl>
    <w:p>
      <w:pPr>
        <w:pStyle w:val="Tablecaption|1"/>
        <w:bidi w:val="0"/>
        <w:rPr>
          <w:rFonts w:hint="eastAsia"/>
          <w:lang w:val="en-US" w:eastAsia="zh-CN"/>
        </w:rP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Heading#2|1"/>
        <w:keepNext/>
        <w:keepLines/>
        <w:spacing w:after="240"/>
        <w:jc w:val="center"/>
      </w:pPr>
    </w:p>
    <w:p>
      <w:pPr>
        <w:pStyle w:val="Tablecaption|1"/>
        <w:bidi w:val="0"/>
      </w:pP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5"/>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环江毛南族自治县驯乐苗族乡财政所</w:t>
            </w:r>
            <w:r>
              <w:tab/>
            </w:r>
            <w:r>
              <w:t xml:space="preserve">单位：万元</w:t>
            </w:r>
          </w:p>
        </w:tc>
        <w:tc>
          <w:tcPr>
            <w:tcW w:w="2163"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pStyle w:val="Tablecaption|1"/>
              <w:bidi w:val="0"/>
              <w:jc w:val="center"/>
              <w:rPr>
                <w:vertAlign w:val="baseline"/>
              </w:rPr>
            </w:pPr>
            <w:r>
              <w:rPr>
                <w:sz w:val="17"/>
                <w:szCs w:val="17"/>
              </w:rPr>
              <w:t xml:space="preserve">科目编码</w:t>
            </w:r>
          </w:p>
        </w:tc>
        <w:tc>
          <w:tcPr>
            <w:tcW w:w="2161" w:type="dxa"/>
          </w:tcPr>
          <w:p>
            <w:pPr>
              <w:pStyle w:val="Tablecaption|1"/>
              <w:bidi w:val="0"/>
              <w:jc w:val="center"/>
              <w:rPr>
                <w:vertAlign w:val="baseline"/>
              </w:rPr>
            </w:pPr>
            <w:r>
              <w:rPr>
                <w:sz w:val="17"/>
                <w:szCs w:val="17"/>
              </w:rPr>
              <w:t xml:space="preserve">部门（单位）代码</w:t>
            </w:r>
          </w:p>
        </w:tc>
        <w:tc>
          <w:tcPr>
            <w:tcW w:w="2162" w:type="dxa"/>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bidi w:val="0"/>
              <w:jc w:val="both"/>
              <w:rPr>
                <w:vertAlign w:val="baseline"/>
              </w:rPr>
            </w:pPr>
            <w:r>
              <w:t xml:space="preserve">注：本报表金额单位转换时可能存在四舍五入尾数误差</w:t>
            </w:r>
          </w:p>
        </w:tc>
      </w:tr>
    </w:tbl>
    <w:p>
      <w:pPr>
        <w:pStyle w:val="Tablecaption|1"/>
        <w:bidi w:val="0"/>
      </w:pPr>
    </w:p>
    <w:p>
      <w:pPr>
        <w:pStyle w:val="Tablecaption|1"/>
        <w:bidi w:val="0"/>
      </w:pPr>
      <w:bookmarkStart w:id="31" w:name="_GoBack"/>
      <w:bookmarkEnd w:id="31"/>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pPr>
    </w:p>
    <w:p>
      <w:pPr>
        <w:pStyle w:val="Tablecaption|1"/>
        <w:bidi w:val="0"/>
        <w:jc w:val="center"/>
        <w:rPr>
          <w:sz w:val="28"/>
          <w:szCs w:val="28"/>
        </w:rPr>
      </w:pPr>
      <w:r>
        <w:rPr>
          <w:sz w:val="28"/>
          <w:szCs w:val="28"/>
        </w:rPr>
        <w:t xml:space="preserve">国有资本经营预算支出情况表</w:t>
      </w:r>
    </w:p>
    <w:p>
      <w:pPr>
        <w:pStyle w:val="Tablecaption|1"/>
        <w:bidi w:val="0"/>
        <w:jc w:val="center"/>
        <w:rPr>
          <w:sz w:val="28"/>
          <w:szCs w:val="28"/>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27"/>
        <w:gridCol w:w="2161"/>
        <w:gridCol w:w="2162"/>
        <w:gridCol w:w="2222"/>
        <w:gridCol w:w="2161"/>
        <w:gridCol w:w="2161"/>
        <w:gridCol w:w="216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3394"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环江毛南族自治县驯乐苗族乡财政所</w:t>
            </w:r>
            <w:r>
              <w:tab/>
            </w:r>
            <w:r>
              <w:t xml:space="preserve">单位：万元</w:t>
            </w:r>
          </w:p>
        </w:tc>
        <w:tc>
          <w:tcPr>
            <w:tcW w:w="2163" w:type="dxa"/>
            <w:tcBorders>
              <w:top w:val="nil"/>
              <w:left w:val="nil"/>
              <w:right w:val="nil"/>
            </w:tcBorders>
          </w:tcPr>
          <w:p>
            <w:pPr>
              <w:pStyle w:val="Tablecaption|1"/>
              <w:tabs>
                <w:tab w:val="left" w:pos="14213"/>
              </w:tabs>
              <w:ind w:left="101"/>
              <w:jc w:val="left"/>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val="restart"/>
          </w:tcPr>
          <w:p>
            <w:pPr>
              <w:pStyle w:val="Tablecaption|1"/>
              <w:bidi w:val="0"/>
              <w:jc w:val="center"/>
              <w:rPr>
                <w:vertAlign w:val="baseline"/>
              </w:rPr>
            </w:pPr>
            <w:r>
              <w:rPr>
                <w:sz w:val="17"/>
                <w:szCs w:val="17"/>
              </w:rPr>
              <w:t xml:space="preserve">科目编码</w:t>
            </w:r>
          </w:p>
        </w:tc>
        <w:tc>
          <w:tcPr>
            <w:tcW w:w="2161" w:type="dxa"/>
            <w:vMerge w:val="restart"/>
          </w:tcPr>
          <w:p>
            <w:pPr>
              <w:pStyle w:val="Tablecaption|1"/>
              <w:bidi w:val="0"/>
              <w:jc w:val="center"/>
              <w:rPr>
                <w:vertAlign w:val="baseline"/>
              </w:rPr>
            </w:pPr>
            <w:r>
              <w:rPr>
                <w:sz w:val="17"/>
                <w:szCs w:val="17"/>
              </w:rPr>
              <w:t xml:space="preserve">部门（单位）代码</w:t>
            </w:r>
          </w:p>
        </w:tc>
        <w:tc>
          <w:tcPr>
            <w:tcW w:w="2162" w:type="dxa"/>
            <w:vMerge w:val="restart"/>
          </w:tcPr>
          <w:p>
            <w:pPr>
              <w:pStyle w:val="Tablecaption|1"/>
              <w:bidi w:val="0"/>
              <w:jc w:val="center"/>
              <w:rPr>
                <w:vertAlign w:val="baseline"/>
              </w:rPr>
            </w:pPr>
            <w:r>
              <w:rPr>
                <w:sz w:val="17"/>
                <w:szCs w:val="17"/>
              </w:rPr>
              <w:t xml:space="preserve">部门（单位）名称（功能分类科目名称）</w:t>
            </w:r>
          </w:p>
        </w:tc>
        <w:tc>
          <w:tcPr>
            <w:tcW w:w="2222" w:type="dxa"/>
            <w:vAlign w:val="center"/>
          </w:tcPr>
          <w:p>
            <w:pPr>
              <w:pStyle w:val="Other|1"/>
              <w:spacing w:line="240" w:lineRule="auto"/>
              <w:ind w:firstLine="0" w:firstLineChars="0"/>
              <w:jc w:val="center"/>
              <w:rPr>
                <w:vertAlign w:val="baseline"/>
              </w:rPr>
            </w:pPr>
            <w:r>
              <w:rPr>
                <w:sz w:val="17"/>
                <w:szCs w:val="17"/>
              </w:rPr>
              <w:t xml:space="preserve">合计</w:t>
            </w:r>
          </w:p>
        </w:tc>
        <w:tc>
          <w:tcPr>
            <w:tcW w:w="2161"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61"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63"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vMerge/>
          </w:tcPr>
          <w:p>
            <w:pPr>
              <w:pStyle w:val="Tablecaption|1"/>
              <w:bidi w:val="0"/>
              <w:jc w:val="both"/>
              <w:rPr>
                <w:vertAlign w:val="baseline"/>
              </w:rPr>
            </w:pPr>
          </w:p>
        </w:tc>
        <w:tc>
          <w:tcPr>
            <w:tcW w:w="2161" w:type="dxa"/>
            <w:vMerge/>
          </w:tcPr>
          <w:p>
            <w:pPr>
              <w:pStyle w:val="Tablecaption|1"/>
              <w:bidi w:val="0"/>
              <w:jc w:val="both"/>
              <w:rPr>
                <w:vertAlign w:val="baseline"/>
              </w:rPr>
            </w:pPr>
          </w:p>
        </w:tc>
        <w:tc>
          <w:tcPr>
            <w:tcW w:w="2162" w:type="dxa"/>
            <w:vMerge/>
          </w:tcPr>
          <w:p>
            <w:pPr>
              <w:pStyle w:val="Tablecaption|1"/>
              <w:bidi w:val="0"/>
              <w:jc w:val="both"/>
              <w:rPr>
                <w:vertAlign w:val="baseline"/>
              </w:rPr>
            </w:pPr>
          </w:p>
        </w:tc>
        <w:tc>
          <w:tcPr>
            <w:tcW w:w="2222"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1</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2</w:t>
            </w:r>
          </w:p>
        </w:tc>
        <w:tc>
          <w:tcPr>
            <w:tcW w:w="2161"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3</w:t>
            </w:r>
          </w:p>
        </w:tc>
        <w:tc>
          <w:tcPr>
            <w:tcW w:w="2163" w:type="dxa"/>
            <w:vAlign w:val="center"/>
          </w:tcPr>
          <w:p>
            <w:pPr>
              <w:pStyle w:val="Other|1"/>
              <w:spacing w:line="240" w:lineRule="auto"/>
              <w:ind w:firstLine="0" w:firstLineChars="0"/>
              <w:jc w:val="center"/>
              <w:rPr>
                <w:vertAlign w:val="baseline"/>
              </w:rPr>
            </w:pPr>
            <w:r>
              <w:rPr>
                <w:rFonts w:ascii="Times New Roman" w:eastAsia="Times New Roman" w:hAnsi="Times New Roman" w:cs="Times New Roman"/>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Other|1"/>
              <w:spacing w:line="240" w:lineRule="auto"/>
              <w:ind w:firstLine="0" w:firstLineChars="0"/>
              <w:jc w:val="left"/>
              <w:rPr>
                <w:vertAlign w:val="baseline"/>
              </w:rPr>
            </w:pPr>
            <w:r>
              <w:rPr>
                <w:sz w:val="17"/>
                <w:szCs w:val="17"/>
              </w:rPr>
              <w:t xml:space="preserve">合计</w:t>
            </w:r>
          </w:p>
        </w:tc>
        <w:tc>
          <w:tcPr>
            <w:tcW w:w="2222" w:type="dxa"/>
            <w:vAlign w:val="center"/>
          </w:tcPr>
          <w:p>
            <w:pPr>
              <w:pStyle w:val="Other|1"/>
              <w:spacing w:line="240" w:lineRule="auto"/>
              <w:ind w:left="1700" w:firstLine="0" w:leftChars="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1"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c>
          <w:tcPr>
            <w:tcW w:w="2163" w:type="dxa"/>
            <w:vAlign w:val="center"/>
          </w:tcPr>
          <w:p>
            <w:pPr>
              <w:pStyle w:val="Other|1"/>
              <w:spacing w:line="240" w:lineRule="auto"/>
              <w:ind w:firstLine="0" w:firstLineChars="0"/>
              <w:jc w:val="right"/>
              <w:rPr>
                <w:vertAlign w:val="baseline"/>
              </w:rPr>
            </w:pPr>
            <w:r>
              <w:rPr>
                <w:rFonts w:ascii="Times New Roman" w:eastAsia="Times New Roman" w:hAnsi="Times New Roman" w:cs="Times New Roman"/>
                <w:b/>
                <w:bCs/>
                <w:sz w:val="17"/>
                <w:szCs w:val="17"/>
                <w:lang w:val="en-US" w:eastAsia="en-US" w:bidi="en-US"/>
              </w:rPr>
              <w:t xml:space="preserve">0.</w:t>
            </w:r>
            <w:r>
              <w:rPr>
                <w:rFonts w:ascii="Times New Roman" w:eastAsia="Times New Roman" w:hAnsi="Times New Roman" w:cs="Times New Roman"/>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c>
          <w:tcPr>
            <w:tcW w:w="15557" w:type="dxa"/>
            <w:gridSpan w:val="7"/>
            <w:tcBorders>
              <w:left w:val="nil"/>
              <w:bottom w:val="nil"/>
              <w:right w:val="nil"/>
            </w:tcBorders>
          </w:tcPr>
          <w:p>
            <w:pPr>
              <w:pStyle w:val="Tablecaption|1"/>
              <w:spacing w:line="302" w:lineRule="exact"/>
              <w:ind w:left="672"/>
              <w:jc w:val="left"/>
            </w:pPr>
            <w:r>
              <w:t xml:space="preserve">注：本报表金额单位转换时可能存在四舍五入尾数误差。本部门</w:t>
            </w:r>
            <w:r>
              <w:rPr>
                <w:rFonts w:ascii="Times New Roman" w:hAnsi="Times New Roman" w:cs="Times New Roman" w:hint="eastAsia"/>
                <w:b/>
                <w:bCs/>
                <w:lang w:eastAsia="zh-CN"/>
              </w:rPr>
              <w:t xml:space="preserve">2024</w:t>
            </w:r>
            <w:r>
              <w:rPr>
                <w:rFonts w:ascii="Times New Roman" w:hAnsi="Times New Roman" w:cs="Times New Roman"/>
                <w:b/>
                <w:u w:color="auto"/>
              </w:rPr>
              <w:t xml:space="preserve">年</w:t>
            </w:r>
            <w:r>
              <w:t xml:space="preserve">度没有国有资本经营预算支出，故本表无数据</w:t>
            </w:r>
          </w:p>
          <w:p>
            <w:pPr>
              <w:pStyle w:val="Tablecaption|1"/>
              <w:bidi w:val="0"/>
              <w:jc w:val="both"/>
              <w:rPr>
                <w:vertAlign w:val="baseline"/>
              </w:rPr>
            </w:pPr>
          </w:p>
        </w:tc>
      </w:tr>
    </w:tbl>
    <w:p>
      <w:pPr>
        <w:pStyle w:val="Tablecaption|1"/>
        <w:bidi w:val="0"/>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trHeight w:hRule="exact" w:val="346"/>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环江毛南族自治县驯乐苗族乡财政所</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712002</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环江毛南族自治县驯乐苗族乡财政所</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工作经费</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3.00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right"/>
              <w:rPr>
                <w:rFonts w:ascii="宋体" w:eastAsia="宋体" w:hAnsi="宋体" w:cs="宋体" w:hint="eastAsia"/>
                <w:b/>
                <w:bCs/>
                <w:sz w:val="17"/>
                <w:szCs w:val="17"/>
                <w:lang w:val="en-US" w:eastAsia="zh-CN"/>
              </w:rPr>
            </w:pPr>
            <w:r>
              <w:rPr>
                <w:rFonts w:ascii="宋体" w:eastAsia="宋体" w:hAnsi="宋体" w:cs="宋体" w:hint="eastAsia"/>
                <w:b/>
                <w:bCs/>
                <w:sz w:val="17"/>
                <w:szCs w:val="17"/>
                <w:lang w:val="en-US" w:eastAsia="zh-CN"/>
              </w:rPr>
              <w:t xml:space="preserve">1.按时完成单位残保金的兑付。2.每月按时缴水电费。3.及时报销下乡工作差旅。4.执行进度完成达90％。</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18"/>
          <w:footerReference w:type="default" r:id="rId19"/>
          <w:pgSz w:w="16840" w:h="11900" w:orient="landscape"/>
          <w:pgMar w:top="2714" w:right="764" w:bottom="2714" w:left="735" w:header="2286" w:footer="3" w:gutter="0"/>
          <w:pgBorders>
            <w:top w:val="none" w:sz="0" w:space="0" w:color="auto"/>
            <w:left w:val="none" w:sz="0" w:space="0" w:color="auto"/>
            <w:bottom w:val="none" w:sz="0" w:space="0" w:color="auto"/>
            <w:right w:val="none" w:sz="0" w:space="0" w:color="auto"/>
          </w:pgBorders>
          <w:cols w:num="1" w:space="720">
            <w:col w:w="15341" w:space="720"/>
          </w:cols>
          <w:docGrid w:linePitch="360" w:charSpace="0"/>
        </w:sectPr>
      </w:pPr>
    </w:p>
    <w:p>
      <w:pPr>
        <w:pStyle w:val="Heading#1|1"/>
        <w:keepNext/>
        <w:keepLines/>
        <w:spacing w:before="200" w:after="0"/>
        <w:jc w:val="center"/>
      </w:pPr>
      <w:bookmarkStart w:id="32" w:name="bookmark95"/>
      <w:bookmarkStart w:id="33" w:name="bookmark96"/>
      <w:bookmarkStart w:id="34" w:name="bookmark94"/>
      <w:r>
        <w:t xml:space="preserve">第四部分名词解释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0"/>
      <w:footerReference w:type="default" r:id="rId21"/>
      <w:type w:val="continuous"/>
      <w:pgSz w:w="11900" w:h="16840" w:orient="portrait"/>
      <w:pgMar w:top="1302" w:right="1735" w:bottom="1568" w:left="1793" w:header="874" w:footer="3" w:gutter="0"/>
      <w:pgBorders>
        <w:top w:val="none" w:sz="0" w:space="0" w:color="auto"/>
        <w:left w:val="none" w:sz="0" w:space="0" w:color="auto"/>
        <w:bottom w:val="none" w:sz="0" w:space="0" w:color="auto"/>
        <w:right w:val="none" w:sz="0" w:space="0" w:color="auto"/>
      </w:pgBorders>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99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601"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2991"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560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2"/>
      <w:numFmt w:val="decimal"/>
      <w:suff w:val="tab"/>
      <w:lvlText w:val="%1."/>
      <w:lvlJc w:val="left"/>
      <w:pPr>
        <w:tabs>
          <w:tab w:val="left" w:pos="312"/>
        </w:tabs>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20"/>
  <w:doNotDisplayPageBoundaries/>
  <w:bordersDoNotSurroundFooter w:val="0"/>
  <w:bordersDoNotSurroundHeader w:val="0"/>
  <w:doNotTrackMoves/>
  <w:documentProtection w:enforcement="1" w:edit="readOnly" w:salt="zFtte09Bw2YWrk1QVJwcgQ==" w:hash="xzcToJ3kxdgr7HHBgQU6FzEsSdkkQpw7I+1ec9VF0sGmEDyFy4ZRBZIoaZVhRa6oMFYbeqmuNBqS/V5qka55s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GMwZTIwMjA5OTI4N2MwODc2NzEzYWVkMzg3YjQ5N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5.xml" Type="http://schemas.openxmlformats.org/officeDocument/2006/relationships/chart"/><Relationship Id="rId11" Target="charts/chart6.xml" Type="http://schemas.openxmlformats.org/officeDocument/2006/relationships/chart"/><Relationship Id="rId12" Target="header1.xml" Type="http://schemas.openxmlformats.org/officeDocument/2006/relationships/header"/><Relationship Id="rId13" Target="footer2.xml" Type="http://schemas.openxmlformats.org/officeDocument/2006/relationships/footer"/><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theme/theme1.xml" Type="http://schemas.openxmlformats.org/officeDocument/2006/relationships/theme"/><Relationship Id="rId23" Target="styles.xml" Type="http://schemas.openxmlformats.org/officeDocument/2006/relationships/styles"/><Relationship Id="rId24" Target="webSettings.xml" Type="http://schemas.openxmlformats.org/officeDocument/2006/relationships/webSettings"/><Relationship Id="rId25" Target="numbering.xml" Type="http://schemas.openxmlformats.org/officeDocument/2006/relationships/numbering"/><Relationship Id="rId26" Target="fontTable.xml" Type="http://schemas.openxmlformats.org/officeDocument/2006/relationships/fontTable"/><Relationship Id="rId27"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footer1.xml" Type="http://schemas.openxmlformats.org/officeDocument/2006/relationships/footer"/><Relationship Id="rId6" Target="charts/chart1.xml" Type="http://schemas.openxmlformats.org/officeDocument/2006/relationships/chart"/><Relationship Id="rId7" Target="charts/chart2.xml" Type="http://schemas.openxmlformats.org/officeDocument/2006/relationships/chart"/><Relationship Id="rId8" Target="charts/chart3.xml" Type="http://schemas.openxmlformats.org/officeDocument/2006/relationships/chart"/><Relationship Id="rId9" Target="charts/chart4.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60.13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Sheet1!$A$2:$A$4</c:f>
              <c:strCache>
                <c:ptCount val="3"/>
                <c:pt idx="0">
                  <c:v>一般公共服务支出</c:v>
                </c:pt>
                <c:pt idx="1">
                  <c:v>社会保障和就业支出</c:v>
                </c:pt>
                <c:pt idx="2">
                  <c:v>住房保障支出</c:v>
                </c:pt>
              </c:strCache>
            </c:strRef>
          </c:cat>
          <c:val>
            <c:numRef>
              <c:f>Sheet1!$B$2:$B$4</c:f>
              <c:numCache>
                <c:ptCount val="3"/>
                <c:pt idx="0">
                  <c:v>49.01</c:v>
                </c:pt>
                <c:pt idx="1">
                  <c:v>5.96</c:v>
                </c:pt>
                <c:pt idx="2">
                  <c:v>5.16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支出</c:v>
                </c:pt>
                <c:pt idx="1">
                  <c:v>收入</c:v>
                </c:pt>
              </c:strCache>
            </c:strRef>
          </c:cat>
          <c:val>
            <c:numRef>
              <c:f>Sheet1!$B$2:$B$3</c:f>
              <c:numCache>
                <c:formatCode>General</c:formatCode>
                <c:ptCount val="2"/>
                <c:pt idx="0">
                  <c:v>70.4</c:v>
                </c:pt>
                <c:pt idx="1">
                  <c:v>70.4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支出</c:v>
                </c:pt>
                <c:pt idx="1">
                  <c:v>收入</c:v>
                </c:pt>
              </c:strCache>
            </c:strRef>
          </c:cat>
          <c:val>
            <c:numRef>
              <c:f>Sheet1!$C$2:$C$3</c:f>
              <c:numCache>
                <c:formatCode>General</c:formatCode>
                <c:ptCount val="2"/>
                <c:pt idx="0">
                  <c:v>60.13</c:v>
                </c:pt>
                <c:pt idx="1">
                  <c:v>60.13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57.13</c:v>
                </c:pt>
              </c:numCache>
            </c:numRef>
          </c:val>
        </c:ser>
        <c:ser>
          <c:idx val="1"/>
          <c:order val="1"/>
          <c:tx>
            <c:strRef>
              <c:f>Sheet1!$C$1</c:f>
              <c:strCache>
                <c:ptCount val="1"/>
                <c:pt idx="0">
                  <c:v>结转下年支出</c:v>
                </c:pt>
              </c:strCache>
            </c:strRef>
          </c:tx>
          <c:cat>
            <c:strRef>
              <c:f>Sheet1!$A$2</c:f>
              <c:strCache>
                <c:ptCount val="1"/>
                <c:pt idx="0">
                  <c:v>上年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上年</c:v>
                </c:pt>
              </c:strCache>
            </c:strRef>
          </c:cat>
          <c:val>
            <c:numRef>
              <c:f>Sheet1!$D$2</c:f>
              <c:numCache>
                <c:ptCount val="1"/>
                <c:pt idx="0">
                  <c:v>3.0</c:v>
                </c:pt>
              </c:numCache>
            </c:numRef>
          </c:val>
        </c:ser>
        <c:ser>
          <c:idx val="3"/>
          <c:order val="3"/>
          <c:tx>
            <c:strRef>
              <c:f>Sheet1!$E$1</c:f>
              <c:strCache>
                <c:ptCount val="1"/>
                <c:pt idx="0">
                  <c:v>公用经费</c:v>
                </c:pt>
              </c:strCache>
            </c:strRef>
          </c:tx>
          <c:cat>
            <c:strRef>
              <c:f>Sheet1!$A$2</c:f>
              <c:strCache>
                <c:ptCount val="1"/>
                <c:pt idx="0">
                  <c:v>上年</c:v>
                </c:pt>
              </c:strCache>
            </c:strRef>
          </c:cat>
          <c:val>
            <c:numRef>
              <c:f>Sheet1!$E$2</c:f>
              <c:numCache>
                <c:ptCount val="1"/>
                <c:pt idx="0">
                  <c:v>5.27</c:v>
                </c:pt>
              </c:numCache>
            </c:numRef>
          </c:val>
        </c:ser>
        <c:ser>
          <c:idx val="4"/>
          <c:order val="4"/>
          <c:tx>
            <c:strRef>
              <c:f>Sheet1!$F$1</c:f>
              <c:strCache>
                <c:ptCount val="1"/>
                <c:pt idx="0">
                  <c:v>人员经费</c:v>
                </c:pt>
              </c:strCache>
            </c:strRef>
          </c:tx>
          <c:cat>
            <c:strRef>
              <c:f>Sheet1!$A$2</c:f>
              <c:strCache>
                <c:ptCount val="1"/>
                <c:pt idx="0">
                  <c:v>上年</c:v>
                </c:pt>
              </c:strCache>
            </c:strRef>
          </c:cat>
          <c:val>
            <c:numRef>
              <c:f>Sheet1!$F$2</c:f>
              <c:numCache>
                <c:ptCount val="1"/>
                <c:pt idx="0">
                  <c:v>51.87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Sheet1!$A$2:$A$4</c:f>
              <c:strCache>
                <c:ptCount val="3"/>
                <c:pt idx="0">
                  <c:v>AGENCY_CODE</c:v>
                </c:pt>
                <c:pt idx="1">
                  <c:v>人员经费</c:v>
                </c:pt>
                <c:pt idx="2">
                  <c:v>公用经费</c:v>
                </c:pt>
              </c:strCache>
            </c:strRef>
          </c:cat>
          <c:val>
            <c:numRef>
              <c:f>Sheet1!$B$2:$B$4</c:f>
              <c:numCache>
                <c:ptCount val="3"/>
                <c:pt idx="0">
                  <c:v>712002.0</c:v>
                </c:pt>
                <c:pt idx="1">
                  <c:v>51.87</c:v>
                </c:pt>
                <c:pt idx="2">
                  <c:v>5.27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2024-02-26T10:01:48Z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FE193AB58C2A4C168D34CB3A6F7CE640_13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10</TotalTime>
  <Pages>35</Pages>
  <Words>8576</Words>
  <Characters>11046</Characters>
  <Application>WPS Office_12.1.0.16388_F1E327BC-269C-435d-A152-05C5408002CA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2024-02-28T04:08:13Z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2052-12.1.0.16388</vt:lpstr>
  </property>
  <property fmtid="{D5CDD505-2E9C-101B-9397-08002B2CF9AE}" pid="3" name="ICV">
    <vt:lpstr>FE193AB58C2A4C168D34CB3A6F7CE640_13</vt:lpstr>
  </property>
</Properties>
</file>