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环江毛南族自治县龙岩乡财政所</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环江毛南族自治县龙岩乡财政所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环江毛南族自治县龙岩乡财政所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环江毛南族自治县龙岩乡财政所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4"/>
      <w:bookmarkStart w:id="4" w:name="bookmark12"/>
      <w:bookmarkStart w:id="5" w:name="bookmark13"/>
    </w:p>
    <w:p>
      <w:pPr>
        <w:pStyle w:val="Heading#1|1"/>
        <w:keepNext/>
        <w:keepLines/>
        <w:spacing w:after="560"/>
        <w:jc w:val="center"/>
        <w:rPr>
          <w:b/>
          <w:bCs/>
          <w:sz w:val="40"/>
          <w:szCs w:val="40"/>
        </w:rPr>
      </w:pPr>
      <w:r>
        <w:rPr>
          <w:b/>
          <w:bCs/>
          <w:sz w:val="40"/>
          <w:szCs w:val="40"/>
        </w:rPr>
        <w:t xml:space="preserve">第一部分</w:t>
      </w:r>
      <w:r>
        <w:rPr>
          <w:rFonts w:hint="eastAsia"/>
          <w:b/>
          <w:bCs/>
          <w:sz w:val="40"/>
          <w:szCs w:val="40"/>
          <w:lang w:eastAsia="zh-CN"/>
        </w:rPr>
        <w:t xml:space="preserve">：</w:t>
      </w:r>
      <w:r>
        <w:rPr>
          <w:b/>
          <w:sz w:val="40"/>
          <w:u w:color="auto"/>
        </w:rPr>
        <w:t xml:space="preserve">环江毛南族自治县龙岩乡财政所</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本部门是环江毛南族自治县龙岩乡财政所，隶属于环江毛南族自治县财政局，是参照公务员法的事业单位。主要职能为财政预算、决算；财务管理和财政监督，预算外资金管理</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本部门为二级预算，经县级财政单独审批，独立公开预算</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sz w:val="40"/>
          <w:szCs w:val="40"/>
        </w:rPr>
      </w:pPr>
      <w:bookmarkStart w:id="7" w:name="bookmark68"/>
      <w:bookmarkStart w:id="8" w:name="bookmark69"/>
      <w:bookmarkStart w:id="9" w:name="bookmark70"/>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环江毛南族自治县龙岩乡财政所</w:t>
      </w:r>
      <w:r>
        <w:rPr>
          <w:b/>
          <w:sz w:val="40"/>
          <w:u w:color="auto"/>
        </w:rPr>
        <w:t xml:space="preserve">2024</w:t>
      </w:r>
      <w:r>
        <w:rPr>
          <w:b/>
          <w:sz w:val="40"/>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30.11</w:t>
      </w:r>
      <w:r>
        <w:rPr>
          <w:rFonts w:hint="eastAsia"/>
          <w:b w:val="0"/>
          <w:bCs w:val="0"/>
          <w:sz w:val="28"/>
          <w:szCs w:val="28"/>
        </w:rPr>
        <w:t xml:space="preserve">万元，总支出</w:t>
      </w:r>
      <w:r>
        <w:rPr>
          <w:rFonts w:hint="eastAsia"/>
          <w:sz w:val="28"/>
          <w:szCs w:val="28"/>
          <w:lang w:val="en-US" w:eastAsia="zh-CN"/>
        </w:rPr>
        <w:t xml:space="preserve">30.11</w:t>
      </w:r>
      <w:r>
        <w:rPr>
          <w:rFonts w:hint="eastAsia"/>
          <w:b w:val="0"/>
          <w:bCs w:val="0"/>
          <w:sz w:val="28"/>
          <w:szCs w:val="28"/>
        </w:rPr>
        <w:t xml:space="preserve">万元。总收入较2023年度预算数</w:t>
      </w:r>
      <w:r>
        <w:rPr>
          <w:rFonts w:hint="eastAsia"/>
          <w:sz w:val="28"/>
          <w:szCs w:val="28"/>
          <w:lang w:val="en-US" w:eastAsia="zh-CN"/>
        </w:rPr>
        <w:t xml:space="preserve">26.30</w:t>
      </w:r>
      <w:r>
        <w:rPr>
          <w:rFonts w:hint="eastAsia"/>
          <w:b w:val="0"/>
          <w:bCs w:val="0"/>
          <w:sz w:val="28"/>
          <w:szCs w:val="28"/>
        </w:rPr>
        <w:t xml:space="preserve">万元，</w:t>
      </w:r>
      <w:r>
        <w:rPr>
          <w:rFonts w:hint="eastAsia"/>
          <w:sz w:val="28"/>
          <w:szCs w:val="28"/>
        </w:rPr>
        <w:t xml:space="preserve">增加3.81</w:t>
      </w:r>
      <w:r>
        <w:rPr>
          <w:rFonts w:hint="eastAsia"/>
          <w:b w:val="0"/>
          <w:bCs w:val="0"/>
          <w:sz w:val="28"/>
          <w:szCs w:val="28"/>
        </w:rPr>
        <w:t xml:space="preserve">万元，</w:t>
      </w:r>
      <w:r>
        <w:rPr>
          <w:rFonts w:hint="eastAsia"/>
          <w:sz w:val="28"/>
          <w:szCs w:val="28"/>
        </w:rPr>
        <w:t xml:space="preserve">增长14.49%</w:t>
      </w:r>
      <w:r>
        <w:rPr>
          <w:rFonts w:hint="eastAsia"/>
          <w:b w:val="0"/>
          <w:bCs w:val="0"/>
          <w:sz w:val="28"/>
          <w:szCs w:val="28"/>
        </w:rPr>
        <w:t xml:space="preserve">，主要原因是</w:t>
      </w:r>
      <w:r>
        <w:rPr>
          <w:rFonts w:hint="eastAsia"/>
          <w:highlight w:val="none"/>
          <w:lang w:val="en-US" w:eastAsia="zh-CN"/>
        </w:rPr>
        <w:t xml:space="preserve">主要原因是基础绩效奖随工资发放，造成工资福利支出提高</w:t>
      </w:r>
      <w:r>
        <w:rPr>
          <w:rFonts w:hint="eastAsia"/>
          <w:b w:val="0"/>
          <w:bCs w:val="0"/>
          <w:sz w:val="28"/>
          <w:szCs w:val="28"/>
        </w:rPr>
        <w:t xml:space="preserve">。总支出较2023年度预算数</w:t>
      </w:r>
      <w:r>
        <w:rPr>
          <w:rFonts w:hint="eastAsia"/>
          <w:sz w:val="28"/>
          <w:szCs w:val="28"/>
          <w:lang w:val="en-US" w:eastAsia="zh-CN"/>
        </w:rPr>
        <w:t xml:space="preserve">26.30</w:t>
      </w:r>
      <w:r>
        <w:rPr>
          <w:rFonts w:hint="eastAsia"/>
          <w:b w:val="0"/>
          <w:bCs w:val="0"/>
          <w:sz w:val="28"/>
          <w:szCs w:val="28"/>
        </w:rPr>
        <w:t xml:space="preserve">万元，</w:t>
      </w:r>
      <w:r>
        <w:rPr>
          <w:rFonts w:hint="eastAsia"/>
          <w:sz w:val="28"/>
          <w:szCs w:val="28"/>
        </w:rPr>
        <w:t xml:space="preserve">增加3.81</w:t>
      </w:r>
      <w:r>
        <w:rPr>
          <w:rFonts w:hint="eastAsia"/>
          <w:b w:val="0"/>
          <w:bCs w:val="0"/>
          <w:sz w:val="28"/>
          <w:szCs w:val="28"/>
        </w:rPr>
        <w:t xml:space="preserve">万元，</w:t>
      </w:r>
      <w:r>
        <w:rPr>
          <w:rFonts w:hint="eastAsia"/>
          <w:sz w:val="28"/>
          <w:szCs w:val="28"/>
        </w:rPr>
        <w:t xml:space="preserve">增长14.49%</w:t>
      </w:r>
      <w:r>
        <w:rPr>
          <w:rFonts w:hint="eastAsia"/>
          <w:b w:val="0"/>
          <w:bCs w:val="0"/>
          <w:sz w:val="28"/>
          <w:szCs w:val="28"/>
        </w:rPr>
        <w:t xml:space="preserve">，主要原因是</w:t>
      </w:r>
      <w:r>
        <w:rPr>
          <w:rFonts w:hint="eastAsia"/>
          <w:highlight w:val="none"/>
          <w:lang w:val="en-US" w:eastAsia="zh-CN"/>
        </w:rPr>
        <w:t xml:space="preserve">主要原因是基础绩效奖随工资发放，造成工资福利支出提高</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221"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30.11</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26.30</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增加3.81</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增长14.49%</w:t>
      </w:r>
      <w:r>
        <w:rPr>
          <w:rFonts w:ascii="宋体" w:eastAsia="宋体" w:hAnsi="宋体" w:cs="宋体" w:hint="eastAsia"/>
          <w:sz w:val="28"/>
          <w:szCs w:val="28"/>
          <w:u w:color="auto"/>
        </w:rPr>
        <w:t xml:space="preserve">，主要原因是</w:t>
      </w:r>
      <w:r>
        <w:rPr>
          <w:rFonts w:hint="eastAsia"/>
          <w:highlight w:val="none"/>
          <w:lang w:val="en-US" w:eastAsia="zh-CN"/>
        </w:rPr>
        <w:t xml:space="preserve">主要原因是基础绩效奖随工资发放，造成工资福利支出提高</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3222"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30.11</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26.30</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增加3.81</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增长14.49%</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主要原因是基础绩效奖随工资发放，造成工资福利支出提高</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一般公共服务支出24.9万元；社会保障和就业支出2.43万元；住房保障支出2.78万元</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3</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一般公共服务支出</w:t>
      </w:r>
      <w:r>
        <w:rPr>
          <w:rFonts w:hint="eastAsia"/>
          <w:lang w:val="en-US" w:eastAsia="zh-CN"/>
        </w:rPr>
        <w:t xml:space="preserve">24.90</w:t>
      </w:r>
      <w:r>
        <w:rPr>
          <w:rFonts w:hint="eastAsia"/>
        </w:rPr>
        <w:t xml:space="preserve">万元，占支出总预算</w:t>
      </w:r>
      <w:r>
        <w:rPr>
          <w:rFonts w:hint="eastAsia"/>
          <w:lang w:val="en-US" w:eastAsia="zh-CN"/>
        </w:rPr>
        <w:t xml:space="preserve">82.70%</w:t>
      </w:r>
      <w:r>
        <w:rPr>
          <w:rFonts w:hint="eastAsia"/>
        </w:rPr>
        <w:t xml:space="preserve">,比上年</w:t>
      </w:r>
      <w:r>
        <w:rPr>
          <w:rFonts w:hint="eastAsia"/>
          <w:lang w:val="en-US" w:eastAsia="zh-CN"/>
        </w:rPr>
        <w:t xml:space="preserve">增长3.60</w:t>
      </w:r>
      <w:r>
        <w:rPr>
          <w:rFonts w:hint="eastAsia"/>
        </w:rPr>
        <w:t xml:space="preserve">万元，</w:t>
      </w:r>
      <w:r>
        <w:rPr>
          <w:rFonts w:hint="eastAsia"/>
          <w:lang w:val="en-US" w:eastAsia="zh-CN"/>
        </w:rPr>
        <w:t xml:space="preserve">增长16.90%</w:t>
      </w:r>
      <w:r>
        <w:rPr>
          <w:rFonts w:hint="eastAsia"/>
        </w:rPr>
        <w:t xml:space="preserve">,</w:t>
      </w:r>
      <w:r>
        <w:rPr>
          <w:rFonts w:hint="eastAsia"/>
          <w:highlight w:val="none"/>
        </w:rPr>
        <w:t xml:space="preserve">主要原因是：</w:t>
      </w:r>
      <w:r>
        <w:rPr>
          <w:rFonts w:hint="eastAsia"/>
          <w:highlight w:val="none"/>
          <w:lang w:val="en-US" w:eastAsia="zh-CN"/>
        </w:rPr>
        <w:t xml:space="preserve">主要原因是：基础绩效奖随工资发放，造成工资福利支出提高</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住房保障支出</w:t>
      </w:r>
      <w:r>
        <w:rPr>
          <w:rFonts w:hint="eastAsia"/>
          <w:lang w:val="en-US" w:eastAsia="zh-CN"/>
        </w:rPr>
        <w:t xml:space="preserve">2.43</w:t>
      </w:r>
      <w:r>
        <w:rPr>
          <w:rFonts w:hint="eastAsia"/>
        </w:rPr>
        <w:t xml:space="preserve">万元，占支出总预算</w:t>
      </w:r>
      <w:r>
        <w:rPr>
          <w:rFonts w:hint="eastAsia"/>
          <w:lang w:val="en-US" w:eastAsia="zh-CN"/>
        </w:rPr>
        <w:t xml:space="preserve">8.07%</w:t>
      </w:r>
      <w:r>
        <w:rPr>
          <w:rFonts w:hint="eastAsia"/>
        </w:rPr>
        <w:t xml:space="preserve">,比上年</w:t>
      </w:r>
      <w:r>
        <w:rPr>
          <w:rFonts w:hint="eastAsia"/>
          <w:lang w:val="en-US" w:eastAsia="zh-CN"/>
        </w:rPr>
        <w:t xml:space="preserve">增长0.28</w:t>
      </w:r>
      <w:r>
        <w:rPr>
          <w:rFonts w:hint="eastAsia"/>
        </w:rPr>
        <w:t xml:space="preserve">万元，</w:t>
      </w:r>
      <w:r>
        <w:rPr>
          <w:rFonts w:hint="eastAsia"/>
          <w:lang w:val="en-US" w:eastAsia="zh-CN"/>
        </w:rPr>
        <w:t xml:space="preserve">增长13.02%</w:t>
      </w:r>
      <w:r>
        <w:rPr>
          <w:rFonts w:hint="eastAsia"/>
        </w:rPr>
        <w:t xml:space="preserve">,</w:t>
      </w:r>
      <w:r>
        <w:rPr>
          <w:rFonts w:hint="eastAsia"/>
          <w:highlight w:val="none"/>
        </w:rPr>
        <w:t xml:space="preserve">主要原因是：</w:t>
      </w:r>
      <w:r>
        <w:rPr>
          <w:rFonts w:hint="eastAsia"/>
          <w:highlight w:val="none"/>
          <w:lang w:val="en-US" w:eastAsia="zh-CN"/>
        </w:rPr>
        <w:t xml:space="preserve">主要原因是：2024年人员较2023年减少一人，造成社会保障和就业预算减少</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社会保障和就业支出</w:t>
      </w:r>
      <w:r>
        <w:rPr>
          <w:rFonts w:hint="eastAsia"/>
          <w:lang w:val="en-US" w:eastAsia="zh-CN"/>
        </w:rPr>
        <w:t xml:space="preserve">2.78</w:t>
      </w:r>
      <w:r>
        <w:rPr>
          <w:rFonts w:hint="eastAsia"/>
        </w:rPr>
        <w:t xml:space="preserve">万元，占支出总预算</w:t>
      </w:r>
      <w:r>
        <w:rPr>
          <w:rFonts w:hint="eastAsia"/>
          <w:lang w:val="en-US" w:eastAsia="zh-CN"/>
        </w:rPr>
        <w:t xml:space="preserve">9.23%</w:t>
      </w:r>
      <w:r>
        <w:rPr>
          <w:rFonts w:hint="eastAsia"/>
        </w:rPr>
        <w:t xml:space="preserve">,比上年</w:t>
      </w:r>
      <w:r>
        <w:rPr>
          <w:rFonts w:hint="eastAsia"/>
          <w:lang w:val="en-US" w:eastAsia="zh-CN"/>
        </w:rPr>
        <w:t xml:space="preserve">减少0.08</w:t>
      </w:r>
      <w:r>
        <w:rPr>
          <w:rFonts w:hint="eastAsia"/>
        </w:rPr>
        <w:t xml:space="preserve">万元，</w:t>
      </w:r>
      <w:r>
        <w:rPr>
          <w:rFonts w:hint="eastAsia"/>
          <w:lang w:val="en-US" w:eastAsia="zh-CN"/>
        </w:rPr>
        <w:t xml:space="preserve">减少2.80%</w:t>
      </w:r>
      <w:r>
        <w:rPr>
          <w:rFonts w:hint="eastAsia"/>
        </w:rPr>
        <w:t xml:space="preserve">,</w:t>
      </w:r>
      <w:r>
        <w:rPr>
          <w:rFonts w:hint="eastAsia"/>
          <w:highlight w:val="none"/>
        </w:rPr>
        <w:t xml:space="preserve">主要原因是：</w:t>
      </w:r>
      <w:r>
        <w:rPr>
          <w:rFonts w:hint="eastAsia"/>
          <w:highlight w:val="none"/>
          <w:lang w:val="en-US" w:eastAsia="zh-CN"/>
        </w:rPr>
        <w:t xml:space="preserve">主要原因是：2024年人员较2023年减少一人，造成社会保障和就业预算减少</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27.11</w:t>
      </w:r>
      <w:r>
        <w:rPr>
          <w:rFonts w:hint="eastAsia"/>
        </w:rPr>
        <w:t xml:space="preserve">万元，占支出预算</w:t>
      </w:r>
      <w:r>
        <w:rPr>
          <w:u w:color="auto"/>
        </w:rPr>
        <w:t xml:space="preserve">90.04%</w:t>
      </w:r>
      <w:r>
        <w:rPr>
          <w:u w:color="auto"/>
        </w:rPr>
        <w:t xml:space="preserve">,比上年</w:t>
      </w:r>
      <w:r>
        <w:rPr>
          <w:u w:color="auto"/>
        </w:rPr>
        <w:t xml:space="preserve">增长3.81</w:t>
      </w:r>
      <w:r>
        <w:rPr>
          <w:u w:color="auto"/>
        </w:rPr>
        <w:t xml:space="preserve">万元，</w:t>
      </w:r>
      <w:r>
        <w:rPr>
          <w:u w:color="auto"/>
        </w:rPr>
        <w:t xml:space="preserve">增长16.35%</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24.65</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90.93%</w:t>
      </w:r>
      <w:r>
        <w:rPr>
          <w:rFonts w:hint="eastAsia"/>
        </w:rPr>
        <w:t xml:space="preserve">,</w:t>
      </w:r>
      <w:r>
        <w:t xml:space="preserve">比上年</w:t>
      </w:r>
      <w:r>
        <w:rPr>
          <w:rFonts w:hint="eastAsia"/>
        </w:rPr>
        <w:t xml:space="preserve">增长3.94</w:t>
      </w:r>
      <w:r>
        <w:t xml:space="preserve">万元，</w:t>
      </w:r>
      <w:r>
        <w:rPr>
          <w:rFonts w:hint="eastAsia"/>
        </w:rPr>
        <w:t xml:space="preserve">增长19.02%</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基础绩效奖随工资发放，造成工资福利支出提高</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2.46</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9.07%</w:t>
      </w:r>
      <w:r>
        <w:rPr>
          <w:rFonts w:hint="eastAsia"/>
        </w:rPr>
        <w:t xml:space="preserve">,</w:t>
      </w:r>
      <w:r>
        <w:t xml:space="preserve">比上年</w:t>
      </w:r>
      <w:r>
        <w:rPr>
          <w:rFonts w:hint="eastAsia"/>
        </w:rPr>
        <w:t xml:space="preserve">减少0.13</w:t>
      </w:r>
      <w:r>
        <w:t xml:space="preserve">万元，</w:t>
      </w:r>
      <w:r>
        <w:rPr>
          <w:rFonts w:hint="eastAsia"/>
        </w:rPr>
        <w:t xml:space="preserve">减少5.02%</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2024年人员较2023年减少一人，造成商品和服务支出预算减少</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3.00</w:t>
      </w:r>
      <w:r>
        <w:rPr>
          <w:rFonts w:hint="eastAsia"/>
        </w:rPr>
        <w:t xml:space="preserve">万元，占支出预算</w:t>
      </w:r>
      <w:r>
        <w:rPr>
          <w:u w:color="auto"/>
        </w:rPr>
        <w:t xml:space="preserve">9.96%</w:t>
      </w:r>
      <w:r>
        <w:rPr>
          <w:rFonts w:hint="eastAsia"/>
        </w:rPr>
        <w:t xml:space="preserve">,比上年</w:t>
      </w:r>
      <w:r>
        <w:rPr>
          <w:u w:color="auto"/>
        </w:rPr>
        <w:t xml:space="preserve">增长0.00</w:t>
      </w:r>
      <w:r>
        <w:rPr>
          <w:rFonts w:hint="eastAsia"/>
        </w:rPr>
        <w:t xml:space="preserve">万元，</w:t>
      </w:r>
      <w:r>
        <w:rPr>
          <w:u w:color="auto"/>
        </w:rPr>
        <w:t xml:space="preserve">增长0.00%</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100.00%</w:t>
      </w:r>
      <w:r>
        <w:t xml:space="preserve">,比上年</w:t>
      </w:r>
      <w:r>
        <w:rPr>
          <w:rFonts w:hint="eastAsia"/>
        </w:rPr>
        <w:t xml:space="preserve">增长0.50</w:t>
      </w:r>
      <w:r>
        <w:t xml:space="preserve">万元，</w:t>
      </w:r>
      <w:r>
        <w:rPr>
          <w:rFonts w:hint="eastAsia"/>
        </w:rPr>
        <w:t xml:space="preserve">增长20.00%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预算安排的项目工作经费，用以保障本部门开展各项工作的正常运转，较上年无变动</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0.00%</w:t>
      </w:r>
      <w:r>
        <w:t xml:space="preserve">,比上年</w:t>
      </w:r>
      <w:r>
        <w:rPr>
          <w:rFonts w:hint="eastAsia"/>
        </w:rPr>
        <w:t xml:space="preserve">减少0.50</w:t>
      </w:r>
      <w:r>
        <w:t xml:space="preserve">万元，</w:t>
      </w:r>
      <w:r>
        <w:rPr>
          <w:rFonts w:hint="eastAsia"/>
        </w:rPr>
        <w:t xml:space="preserve">减少100.00%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预算安排的项目工作经费，用以保障本部门开展各项工作的正常运转，较上年无变动</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3223"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30.11</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30.11</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26.30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增加3.81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增长14.49%</w:t>
      </w:r>
      <w:r>
        <w:rPr>
          <w:rFonts w:ascii="宋体" w:eastAsia="宋体" w:hAnsi="宋体" w:cs="宋体" w:hint="eastAsia"/>
          <w:sz w:val="28"/>
          <w:szCs w:val="28"/>
        </w:rPr>
        <w:t xml:space="preserve">，主要原因是</w:t>
      </w:r>
      <w:r>
        <w:rPr>
          <w:rFonts w:hint="eastAsia"/>
          <w:highlight w:val="none"/>
          <w:lang w:val="en-US" w:eastAsia="zh-CN"/>
        </w:rPr>
        <w:t xml:space="preserve">基础绩效奖随工资发放，造成工资福利支出提高</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26.30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增加3.81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增长14.49%</w:t>
      </w:r>
      <w:r>
        <w:rPr>
          <w:rFonts w:ascii="宋体" w:eastAsia="宋体" w:hAnsi="宋体" w:cs="宋体" w:hint="eastAsia"/>
          <w:sz w:val="28"/>
          <w:szCs w:val="28"/>
        </w:rPr>
        <w:t xml:space="preserve">，主要原因是</w:t>
      </w:r>
      <w:r>
        <w:rPr>
          <w:rFonts w:hint="eastAsia"/>
          <w:highlight w:val="none"/>
          <w:lang w:val="en-US" w:eastAsia="zh-CN"/>
        </w:rPr>
        <w:t xml:space="preserve">基础绩效奖随工资发放，造成工资福利支出提高</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3224"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30.11</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26.30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增加3.81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增长14.49%</w:t>
      </w:r>
      <w:r>
        <w:rPr>
          <w:rFonts w:ascii="宋体" w:eastAsia="宋体" w:hAnsi="宋体" w:cs="宋体" w:hint="eastAsia"/>
          <w:sz w:val="28"/>
          <w:szCs w:val="28"/>
        </w:rPr>
        <w:t xml:space="preserve">，主要原因是</w:t>
      </w:r>
      <w:r>
        <w:rPr>
          <w:rFonts w:hint="eastAsia"/>
          <w:highlight w:val="none"/>
          <w:lang w:val="en-US" w:eastAsia="zh-CN"/>
        </w:rPr>
        <w:t xml:space="preserve">基础绩效奖随工资发放，造成工资福利支出提高</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24.90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82.70%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21.30</w:t>
      </w:r>
      <w:r>
        <w:rPr>
          <w:rFonts w:ascii="宋体" w:eastAsia="宋体" w:hAnsi="宋体" w:cs="宋体" w:hint="eastAsia"/>
          <w:sz w:val="28"/>
          <w:szCs w:val="28"/>
        </w:rPr>
        <w:t xml:space="preserve">万元，</w:t>
      </w:r>
      <w:r>
        <w:rPr>
          <w:rFonts w:ascii="宋体" w:eastAsia="宋体" w:hAnsi="宋体" w:cs="宋体"/>
          <w:sz w:val="28"/>
          <w:u w:color="auto"/>
        </w:rPr>
        <w:t xml:space="preserve">增长3.60</w:t>
      </w:r>
      <w:r>
        <w:rPr>
          <w:rFonts w:ascii="宋体" w:eastAsia="宋体" w:hAnsi="宋体" w:cs="宋体" w:hint="eastAsia"/>
          <w:sz w:val="28"/>
          <w:szCs w:val="28"/>
        </w:rPr>
        <w:t xml:space="preserve">万元，</w:t>
      </w:r>
      <w:r>
        <w:rPr>
          <w:rFonts w:ascii="宋体" w:eastAsia="宋体" w:hAnsi="宋体" w:cs="宋体"/>
          <w:sz w:val="28"/>
          <w:u w:color="auto"/>
        </w:rPr>
        <w:t xml:space="preserve">增长16.90%</w:t>
      </w:r>
      <w:r>
        <w:rPr>
          <w:rFonts w:ascii="宋体" w:eastAsia="宋体" w:hAnsi="宋体" w:cs="宋体" w:hint="eastAsia"/>
          <w:sz w:val="28"/>
          <w:szCs w:val="28"/>
        </w:rPr>
        <w:t xml:space="preserve">，主要原因是：</w:t>
      </w:r>
      <w:r>
        <w:rPr>
          <w:rFonts w:hint="eastAsia"/>
          <w:highlight w:val="none"/>
        </w:rPr>
        <w:t xml:space="preserve">基础绩效奖随工资发放，造成工资福利支出提高</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2.43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8.07%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2.15</w:t>
      </w:r>
      <w:r>
        <w:rPr>
          <w:rFonts w:ascii="宋体" w:eastAsia="宋体" w:hAnsi="宋体" w:cs="宋体" w:hint="eastAsia"/>
          <w:sz w:val="28"/>
          <w:szCs w:val="28"/>
        </w:rPr>
        <w:t xml:space="preserve">万元，</w:t>
      </w:r>
      <w:r>
        <w:rPr>
          <w:rFonts w:ascii="宋体" w:eastAsia="宋体" w:hAnsi="宋体" w:cs="宋体"/>
          <w:sz w:val="28"/>
          <w:u w:color="auto"/>
        </w:rPr>
        <w:t xml:space="preserve">增长0.28</w:t>
      </w:r>
      <w:r>
        <w:rPr>
          <w:rFonts w:ascii="宋体" w:eastAsia="宋体" w:hAnsi="宋体" w:cs="宋体" w:hint="eastAsia"/>
          <w:sz w:val="28"/>
          <w:szCs w:val="28"/>
        </w:rPr>
        <w:t xml:space="preserve">万元，</w:t>
      </w:r>
      <w:r>
        <w:rPr>
          <w:rFonts w:ascii="宋体" w:eastAsia="宋体" w:hAnsi="宋体" w:cs="宋体"/>
          <w:sz w:val="28"/>
          <w:u w:color="auto"/>
        </w:rPr>
        <w:t xml:space="preserve">增长13.02%</w:t>
      </w:r>
      <w:r>
        <w:rPr>
          <w:rFonts w:ascii="宋体" w:eastAsia="宋体" w:hAnsi="宋体" w:cs="宋体" w:hint="eastAsia"/>
          <w:sz w:val="28"/>
          <w:szCs w:val="28"/>
        </w:rPr>
        <w:t xml:space="preserve">，主要原因是：</w:t>
      </w:r>
      <w:r>
        <w:rPr>
          <w:rFonts w:hint="eastAsia"/>
          <w:highlight w:val="none"/>
        </w:rPr>
        <w:t xml:space="preserve">2024年人员较2023年减少一人，造成住房保障支出（类）支出预算减少</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2.78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9.23%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2.86</w:t>
      </w:r>
      <w:r>
        <w:rPr>
          <w:rFonts w:ascii="宋体" w:eastAsia="宋体" w:hAnsi="宋体" w:cs="宋体" w:hint="eastAsia"/>
          <w:sz w:val="28"/>
          <w:szCs w:val="28"/>
        </w:rPr>
        <w:t xml:space="preserve">万元，</w:t>
      </w:r>
      <w:r>
        <w:rPr>
          <w:rFonts w:ascii="宋体" w:eastAsia="宋体" w:hAnsi="宋体" w:cs="宋体"/>
          <w:sz w:val="28"/>
          <w:u w:color="auto"/>
        </w:rPr>
        <w:t xml:space="preserve">减少0.08</w:t>
      </w:r>
      <w:r>
        <w:rPr>
          <w:rFonts w:ascii="宋体" w:eastAsia="宋体" w:hAnsi="宋体" w:cs="宋体" w:hint="eastAsia"/>
          <w:sz w:val="28"/>
          <w:szCs w:val="28"/>
        </w:rPr>
        <w:t xml:space="preserve">万元，</w:t>
      </w:r>
      <w:r>
        <w:rPr>
          <w:rFonts w:ascii="宋体" w:eastAsia="宋体" w:hAnsi="宋体" w:cs="宋体"/>
          <w:sz w:val="28"/>
          <w:u w:color="auto"/>
        </w:rPr>
        <w:t xml:space="preserve">减少2.80%</w:t>
      </w:r>
      <w:r>
        <w:rPr>
          <w:rFonts w:ascii="宋体" w:eastAsia="宋体" w:hAnsi="宋体" w:cs="宋体" w:hint="eastAsia"/>
          <w:sz w:val="28"/>
          <w:szCs w:val="28"/>
        </w:rPr>
        <w:t xml:space="preserve">，主要原因是：</w:t>
      </w:r>
      <w:r>
        <w:rPr>
          <w:rFonts w:hint="eastAsia"/>
          <w:highlight w:val="none"/>
        </w:rPr>
        <w:t xml:space="preserve">2024年人员较2023年减少一人，造成住房保障支出（类）支出预算减少</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225"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27.11</w:t>
      </w:r>
      <w:r>
        <w:rPr>
          <w:rFonts w:hint="eastAsia"/>
        </w:rPr>
        <w:t xml:space="preserve">万元，较2023年度预算数</w:t>
      </w:r>
      <w:r>
        <w:rPr>
          <w:rFonts w:hint="eastAsia"/>
          <w:lang w:val="en-US" w:eastAsia="zh-CN"/>
        </w:rPr>
        <w:t xml:space="preserve">23.30</w:t>
      </w:r>
      <w:r>
        <w:rPr>
          <w:rFonts w:hint="eastAsia"/>
        </w:rPr>
        <w:t xml:space="preserve">万元</w:t>
      </w:r>
      <w:r>
        <w:rPr>
          <w:rFonts w:hint="eastAsia"/>
          <w:lang w:val="en-US" w:eastAsia="zh-CN"/>
        </w:rPr>
        <w:t xml:space="preserve">,</w:t>
      </w:r>
      <w:r>
        <w:rPr>
          <w:u w:color="auto"/>
        </w:rPr>
        <w:t xml:space="preserve">增加3.81</w:t>
      </w:r>
      <w:r>
        <w:rPr>
          <w:rFonts w:hint="eastAsia"/>
        </w:rPr>
        <w:t xml:space="preserve">万元，</w:t>
      </w:r>
      <w:r>
        <w:rPr>
          <w:rFonts w:hint="eastAsia"/>
          <w:lang w:val="en-US" w:eastAsia="zh-CN"/>
        </w:rPr>
        <w:t xml:space="preserve">增长16.35%</w:t>
      </w:r>
      <w:r>
        <w:rPr>
          <w:rFonts w:hint="eastAsia"/>
        </w:rPr>
        <w:t xml:space="preserve">，主要原因是</w:t>
      </w:r>
      <w:r>
        <w:rPr>
          <w:rFonts w:hint="eastAsia"/>
          <w:highlight w:val="none"/>
          <w:lang w:val="en-US" w:eastAsia="zh-CN"/>
        </w:rPr>
        <w:t xml:space="preserve">基础绩效奖随工资发放，造成工资福利支出提高</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24.65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90.93%</w:t>
      </w:r>
      <w:r>
        <w:rPr>
          <w:rFonts w:hint="eastAsia"/>
        </w:rPr>
        <w:t xml:space="preserve">，较2023年度预算数</w:t>
      </w:r>
      <w:r>
        <w:rPr>
          <w:rFonts w:hint="eastAsia"/>
          <w:lang w:val="en-US" w:eastAsia="zh-CN"/>
        </w:rPr>
        <w:t xml:space="preserve">20.71</w:t>
      </w:r>
      <w:r>
        <w:rPr>
          <w:rFonts w:hint="eastAsia"/>
        </w:rPr>
        <w:t xml:space="preserve">万元，</w:t>
      </w:r>
      <w:r>
        <w:rPr>
          <w:rFonts w:hint="eastAsia"/>
          <w:lang w:val="en-US" w:eastAsia="zh-CN"/>
        </w:rPr>
        <w:t xml:space="preserve">增长3.94</w:t>
      </w:r>
      <w:r>
        <w:rPr>
          <w:rFonts w:hint="eastAsia"/>
        </w:rPr>
        <w:t xml:space="preserve">万元，</w:t>
      </w:r>
      <w:r>
        <w:rPr>
          <w:rFonts w:hint="eastAsia"/>
          <w:lang w:val="en-US" w:eastAsia="zh-CN"/>
        </w:rPr>
        <w:t xml:space="preserve">增长19.02%</w:t>
      </w:r>
      <w:r>
        <w:rPr>
          <w:rFonts w:hint="eastAsia"/>
        </w:rPr>
        <w:t xml:space="preserve">，主要原因是：</w:t>
      </w:r>
      <w:r>
        <w:rPr>
          <w:rFonts w:hint="eastAsia"/>
          <w:highlight w:val="none"/>
        </w:rPr>
        <w:t xml:space="preserve">基础绩效奖随工资发放，造成工资福利支出提高</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2.46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9.07%</w:t>
      </w:r>
      <w:r>
        <w:rPr>
          <w:rFonts w:hint="eastAsia"/>
        </w:rPr>
        <w:t xml:space="preserve">，较2023年度预算数</w:t>
      </w:r>
      <w:r>
        <w:rPr>
          <w:rFonts w:hint="eastAsia"/>
          <w:lang w:val="en-US" w:eastAsia="zh-CN"/>
        </w:rPr>
        <w:t xml:space="preserve">2.59</w:t>
      </w:r>
      <w:r>
        <w:rPr>
          <w:rFonts w:hint="eastAsia"/>
        </w:rPr>
        <w:t xml:space="preserve">万元，</w:t>
      </w:r>
      <w:r>
        <w:rPr>
          <w:rFonts w:hint="eastAsia"/>
          <w:lang w:val="en-US" w:eastAsia="zh-CN"/>
        </w:rPr>
        <w:t xml:space="preserve">减少0.13</w:t>
      </w:r>
      <w:r>
        <w:rPr>
          <w:rFonts w:hint="eastAsia"/>
        </w:rPr>
        <w:t xml:space="preserve">万元，</w:t>
      </w:r>
      <w:r>
        <w:rPr>
          <w:rFonts w:hint="eastAsia"/>
          <w:lang w:val="en-US" w:eastAsia="zh-CN"/>
        </w:rPr>
        <w:t xml:space="preserve">减少5.02%</w:t>
      </w:r>
      <w:r>
        <w:rPr>
          <w:rFonts w:hint="eastAsia"/>
        </w:rPr>
        <w:t xml:space="preserve">，主要原因是：</w:t>
      </w:r>
      <w:r>
        <w:rPr>
          <w:rFonts w:hint="eastAsia"/>
          <w:highlight w:val="none"/>
        </w:rPr>
        <w:t xml:space="preserve">2024年人员较2023年减少一人，造成定额商品服务支出、其他交通费用及其他群众团体事务支出同步减少</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226"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本部门2024年无因公出国（境）费预算安排</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本部门2024年无公务接待费预算安排</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本部门2024年无务用车购置费预算安排</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本部门2024年无务用车购置费预算安排</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本部门2024年所有预算资金均为一般公共预算资金，无政府性基金预算支出</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本部门2024年部门预算无国有资本经营预算支出</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2.46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2.59</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减少0.13</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下降5.02%</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2024年人员较2023年减少一人，造成定额商品服务支出、其他交通费用及其他群众团体事务支出同步减少</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0</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本部门2024年无政府采购预算安排</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1</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3</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项目名称工资经费，预算资金3万元，2024年度绩效目标为：维持本部门各项工作基本运转。设1条数量指标：工作经费指标额度=30000元；设1条质量指标：是否严格按照经费支出标准执行支付-定性-是；设1条时效指标：经费支出的时效范围-定性-2024年内；设1条成本指标：严格控制资金的使用额度≥30000元；设1条效益指标：可持续影响指标：用于保障水源财政所日常的运转-定性-高效；设1条满意度指标：服务对象满意度：维护日常公用，提升干部工作满意度≥95%</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环江毛南族自治县龙岩乡财政所</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29"/>
      <w:bookmarkStart w:id="18" w:name="bookmark30"/>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环江毛南族自治县龙岩乡财政所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30.11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24.90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30.11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2.78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2.43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30.11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30.11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30.11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30.11</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环江毛南族自治县龙岩乡财政所</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30.11</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30.11</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30.11</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711002</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30.11</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30.11</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30.11</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3"/>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环江毛南族自治县龙岩乡财政所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30.11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27.11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711002</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30.11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27.11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2010601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24.67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21.67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0.23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2.43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2.43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4"/>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环江毛南族自治县龙岩乡财政所</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30.11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24.90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30.11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2.78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2.43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30.11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30.11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30.11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30.11</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环江毛南族自治县龙岩乡财政所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711002</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30.11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27.11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24.65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2.46</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2010601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24.67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21.67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19.44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2.23</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0.23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0.23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0.23</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2.78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2.78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2.78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2.43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2.43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2.43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8"/>
      <w:bookmarkStart w:id="26" w:name="bookmark56"/>
      <w:bookmarkStart w:id="27" w:name="bookmark57"/>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环江毛南族自治县龙岩乡财政所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27.11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24.65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24.65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24.65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6.82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6.82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6.02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6.02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0.30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0.30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环江毛南族自治县龙岩乡财政所</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711002</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环江毛南族自治县龙岩乡财政所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2010601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环江毛南族自治县龙岩乡财政所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环江毛南族自治县龙岩乡财政所</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711002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环江毛南族自治县龙岩乡财政所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工作经费。</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rPr>
          <w:sz w:val="40"/>
          <w:szCs w:val="40"/>
        </w:rPr>
      </w:pPr>
      <w:bookmarkStart w:id="31" w:name="bookmark95"/>
      <w:bookmarkStart w:id="32" w:name="bookmark94"/>
      <w:bookmarkStart w:id="33" w:name="bookmark96"/>
      <w:r>
        <w:rPr>
          <w:sz w:val="40"/>
          <w:szCs w:val="40"/>
        </w:rPr>
        <w:t xml:space="preserve">第四部</w:t>
      </w:r>
      <w:r>
        <w:rPr>
          <w:rFonts w:hint="eastAsia"/>
          <w:sz w:val="40"/>
          <w:szCs w:val="40"/>
          <w:lang w:val="en-US" w:eastAsia="zh-CN"/>
        </w:rPr>
        <w:t xml:space="preserve">  </w:t>
      </w:r>
      <w:bookmarkStart w:id="34" w:name="_GoBack"/>
      <w:bookmarkEnd w:id="34"/>
      <w:r>
        <w:rPr>
          <w:sz w:val="40"/>
          <w:szCs w:val="40"/>
        </w:rPr>
        <w:t xml:space="preserve">分名词解释</w:t>
      </w:r>
      <w:bookmarkEnd w:id="31"/>
      <w:bookmarkEnd w:id="32"/>
      <w:bookmarkEnd w:id="33"/>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227"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5925"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22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592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val="0"/>
  <w:bordersDoNotSurroundHeader w:val="0"/>
  <w:doNotTrackMoves/>
  <w:documentProtection w:enforcement="1" w:edit="readOnly" w:salt="Z1X1Zrf5ed+uwQGky51ReA==" w:hash="tNDSv8dVW2tPBO7IaoVrty6oTCcBoQaWQnJhW4PUv7aj47BBdCBDkxFE82o+TwzCrE3KaOdDBQIVcn/scLnE4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DFiOTZkYjkwN2Q1MTBhY2U1NDI3ZmEwNzcyMDM4OG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30.11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24.9</c:v>
                </c:pt>
                <c:pt idx="1">
                  <c:v>2.78</c:v>
                </c:pt>
                <c:pt idx="2">
                  <c:v>2.43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26.3</c:v>
                </c:pt>
                <c:pt idx="1">
                  <c:v>26.3</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30.11</c:v>
                </c:pt>
                <c:pt idx="1">
                  <c:v>30.11</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27.11</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3.0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2.46</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24.65</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24.65</c:v>
                </c:pt>
                <c:pt idx="1">
                  <c:v>2.46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公务接待费预算</c:v>
                </c:pt>
                <c:pt idx="1">
                  <c:v>公务用车购置及运行费预算</c:v>
                </c:pt>
                <c:pt idx="2">
                  <c:v>因公出国（境）经费预算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公务接待费预算</c:v>
                </c:pt>
                <c:pt idx="1">
                  <c:v>公务用车购置及运行费预算</c:v>
                </c:pt>
                <c:pt idx="2">
                  <c:v>因公出国（境）经费预算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Office_12.1.0.16120_F1E327BC-269C-435d-A152-05C5408002CA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2024-02-28T05:47:50Z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2052-12.1.0.16120</vt:lpstr>
  </property>
  <property fmtid="{D5CDD505-2E9C-101B-9397-08002B2CF9AE}" pid="3" name="ICV">
    <vt:lpstr>88404FF73E4A4D02B71DC44154D3F401_13</vt:lpstr>
  </property>
</Properties>
</file>