
<file path=[Content_Types].xml><?xml version="1.0" encoding="utf-8"?>
<Types xmlns="http://schemas.openxmlformats.org/package/2006/content-types">
  <Default ContentType="application/vnd.openxmlformats-package.relationships+xml" Extension="rels"/>
  <Default ContentType="application/vnd.openxmlformats-officedocument.spreadsheetml.sheet" Extension="xlsx"/>
  <Default ContentType="application/xml" Extension="xml"/>
  <Override ContentType="application/xml" PartName="/customXml/item1.xml"/>
  <Override ContentType="application/xml" PartName="/customXml/item2.xml"/>
  <Override ContentType="application/xml" PartName="/customXml/item3.xml"/>
  <Override ContentType="application/xml" PartName="/customXml/item4.xml"/>
  <Override ContentType="application/vnd.openxmlformats-officedocument.customXmlProperties+xml" PartName="/customXml/itemProps1.xml"/>
  <Override ContentType="application/vnd.openxmlformats-officedocument.customXmlProperties+xml" PartName="/customXml/itemProps2.xml"/>
  <Override ContentType="application/vnd.openxmlformats-officedocument.customXmlProperties+xml" PartName="/customXml/itemProps3.xml"/>
  <Override ContentType="application/vnd.openxmlformats-officedocument.customXmlProperties+xml" PartName="/customXml/itemProps4.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drawingml.chart+xml" PartName="/word/charts/chart1.xml"/>
  <Override ContentType="application/vnd.openxmlformats-officedocument.drawingml.chart+xml" PartName="/word/charts/chart2.xml"/>
  <Override ContentType="application/vnd.openxmlformats-officedocument.drawingml.chart+xml" PartName="/word/charts/chart3.xml"/>
  <Override ContentType="application/vnd.openxmlformats-officedocument.drawingml.chart+xml" PartName="/word/charts/chart4.xml"/>
  <Override ContentType="application/vnd.openxmlformats-officedocument.drawingml.chart+xml" PartName="/word/charts/chart5.xml"/>
  <Override ContentType="application/vnd.openxmlformats-officedocument.drawingml.chart+xml" PartName="/word/charts/chart6.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 Id="rId4" Target="docProps/custom.xml" Type="http://schemas.openxmlformats.org/officeDocument/2006/relationships/custom-properties"/></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wpc="http://schemas.microsoft.com/office/word/2010/wordprocessingCanvas" xmlns:wp14="http://schemas.microsoft.com/office/word/2010/wordprocessingDrawing" xmlns:w14="http://schemas.microsoft.com/office/word/2010/wordml" xmlns:wpg="http://schemas.microsoft.com/office/word/2010/wordprocessingGroup" xmlns:wpi="http://schemas.microsoft.com/office/word/2010/wordprocessingInk" xmlns:wps="http://schemas.microsoft.com/office/word/2010/wordprocessingShape" xmlns:w15="http://schemas.microsoft.com/office/word/2012/wordml" mc:Ignorable="w14 w15">
  <!-- Generated by Spire.Doc -->
  <w:body>
    <w:p>
      <w:pPr>
        <w:pStyle w:val="Bodytext|5"/>
        <w:jc w:val="center"/>
        <w:rPr>
          <w:rFonts w:hint="eastAsia"/>
          <w:sz w:val="56"/>
          <w:szCs w:val="56"/>
          <w:lang w:eastAsia="zh-CN"/>
        </w:rPr>
      </w:pPr>
      <w:r>
        <w:rPr>
          <w:rFonts w:hint="eastAsia"/>
          <w:sz w:val="56"/>
          <w:szCs w:val="56"/>
          <w:lang w:eastAsia="zh-CN"/>
        </w:rPr>
        <w:t xml:space="preserve">环江毛南族自治县东兴镇水利站</w:t>
      </w:r>
    </w:p>
    <w:p>
      <w:pPr>
        <w:pStyle w:val="Bodytext|5"/>
        <w:jc w:val="center"/>
        <w:rPr>
          <w:sz w:val="56"/>
          <w:szCs w:val="56"/>
        </w:rPr>
        <w:sectPr>
          <w:pgSz w:w="11900" w:h="16840" w:orient="portrait"/>
          <w:pgMar w:top="4713" w:right="1913" w:bottom="4713" w:left="2020" w:header="4285" w:footer="2381" w:gutter="0"/>
          <w:pgBorders>
            <w:top w:val="none" w:sz="0" w:space="0" w:color="auto"/>
            <w:left w:val="none" w:sz="0" w:space="0" w:color="auto"/>
            <w:bottom w:val="none" w:sz="0" w:space="0" w:color="auto"/>
            <w:right w:val="none" w:sz="0" w:space="0" w:color="auto"/>
          </w:pgBorders>
          <w:pgNumType w:fmt="decimal" w:start="1"/>
          <w:cols w:num="1" w:space="720">
            <w:col w:w="7967" w:space="720"/>
          </w:cols>
          <w:docGrid w:linePitch="360" w:charSpace="0"/>
        </w:sectPr>
      </w:pPr>
      <w:r>
        <w:rPr>
          <w:rFonts w:hint="eastAsia"/>
          <w:sz w:val="56"/>
          <w:szCs w:val="56"/>
          <w:lang w:eastAsia="zh-CN"/>
        </w:rPr>
        <w:t xml:space="preserve">2024</w:t>
      </w:r>
      <w:r>
        <w:rPr>
          <w:rFonts w:ascii="宋体" w:eastAsia="宋体" w:hAnsi="宋体" w:asciiTheme="majorEastAsia" w:eastAsiaTheme="majorEastAsia" w:hAnsiTheme="majorEastAsia" w:cs="Times New Roman" w:cstheme="majorEastAsia" w:hint="eastAsia"/>
          <w:sz w:val="56"/>
          <w:szCs w:val="56"/>
          <w:u w:color="auto"/>
        </w:rPr>
        <w:t xml:space="preserve">年</w:t>
      </w:r>
      <w:r>
        <w:rPr>
          <w:rFonts w:ascii="宋体" w:eastAsia="宋体" w:hAnsi="宋体" w:asciiTheme="majorEastAsia" w:eastAsiaTheme="majorEastAsia" w:hAnsiTheme="majorEastAsia" w:cs="Times New Roman" w:cstheme="majorEastAsia" w:hint="eastAsia"/>
          <w:sz w:val="56"/>
          <w:szCs w:val="56"/>
        </w:rPr>
        <w:t xml:space="preserve">度部门预算</w:t>
      </w:r>
    </w:p>
    <w:p>
      <w:pPr>
        <w:pStyle w:val="Heading#1|1"/>
        <w:keepNext/>
        <w:keepLines/>
        <w:spacing w:after="240"/>
        <w:jc w:val="center"/>
      </w:pPr>
      <w:bookmarkStart w:id="0" w:name="bookmark0"/>
      <w:bookmarkStart w:id="1" w:name="bookmark1"/>
      <w:bookmarkStart w:id="2" w:name="bookmark2"/>
      <w:r>
        <w:t xml:space="preserve">目录</w:t>
      </w:r>
      <w:bookmarkEnd w:id="0"/>
      <w:bookmarkEnd w:id="1"/>
      <w:bookmarkEnd w:id="2"/>
    </w:p>
    <w:p>
      <w:pPr>
        <w:pStyle w:val="Bodytext|2"/>
        <w:ind w:left="0" w:firstLine="320" w:leftChars="0" w:firstLineChars="100"/>
        <w:jc w:val="left"/>
      </w:pPr>
      <w:r>
        <w:t xml:space="preserve">第一部分</w:t>
      </w:r>
      <w:r>
        <w:rPr>
          <w:rFonts w:hint="eastAsia"/>
          <w:lang w:eastAsia="zh-CN"/>
        </w:rPr>
        <w:t xml:space="preserve">：</w:t>
      </w:r>
      <w:r>
        <w:rPr>
          <w:u w:color="auto"/>
        </w:rPr>
        <w:t xml:space="preserve">环江毛南族自治县东兴镇水利站</w:t>
      </w:r>
      <w:r>
        <w:rPr>
          <w:u w:color="auto"/>
        </w:rPr>
        <w:t xml:space="preserve">单位</w:t>
      </w:r>
      <w:r>
        <w:t xml:space="preserve">概况</w:t>
      </w:r>
    </w:p>
    <w:p>
      <w:pPr>
        <w:pStyle w:val="Bodytext|2"/>
        <w:jc w:val="left"/>
      </w:pPr>
      <w:r>
        <w:rPr>
          <w:lang w:val="en-US" w:eastAsia="zh-CN" w:bidi="en-US"/>
        </w:rPr>
        <w:t xml:space="preserve">—</w:t>
      </w:r>
      <w:r>
        <w:t xml:space="preserve">、主要职责</w:t>
      </w:r>
    </w:p>
    <w:p>
      <w:pPr>
        <w:pStyle w:val="Bodytext|2"/>
        <w:jc w:val="left"/>
        <w:rPr>
          <w:rFonts w:hint="eastAsia"/>
        </w:rPr>
      </w:pPr>
      <w:r>
        <w:rPr>
          <w:rFonts w:hint="eastAsia"/>
          <w:lang w:val="en-US" w:eastAsia="zh-CN"/>
        </w:rPr>
        <w:t xml:space="preserve">二、</w:t>
      </w:r>
      <w:r>
        <w:rPr>
          <w:rFonts w:hint="eastAsia"/>
        </w:rPr>
        <w:t xml:space="preserve">机构设置情况</w:t>
      </w:r>
    </w:p>
    <w:p>
      <w:pPr>
        <w:pStyle w:val="Bodytext|2"/>
        <w:ind w:left="0" w:firstLine="320" w:leftChars="0" w:firstLineChars="100"/>
        <w:jc w:val="left"/>
      </w:pPr>
      <w:r>
        <w:t xml:space="preserve">第二部分</w:t>
      </w:r>
      <w:r>
        <w:rPr>
          <w:rFonts w:hint="eastAsia"/>
          <w:lang w:eastAsia="zh-CN"/>
        </w:rPr>
        <w:t xml:space="preserve">：</w:t>
      </w:r>
      <w:r>
        <w:rPr>
          <w:u w:color="auto"/>
        </w:rPr>
        <w:t xml:space="preserve">环江毛南族自治县东兴镇水利站</w:t>
      </w:r>
      <w:r>
        <w:rPr>
          <w:u w:color="auto"/>
        </w:rPr>
        <w:t xml:space="preserve">2024</w:t>
      </w:r>
      <w:r>
        <w:t xml:space="preserve">部门预算情况说明</w:t>
      </w:r>
    </w:p>
    <w:p>
      <w:pPr>
        <w:pStyle w:val="Bodytext|2"/>
        <w:numPr>
          <w:ilvl w:val="0"/>
          <w:numId w:val="0"/>
        </w:numPr>
        <w:ind w:firstLine="640" w:firstLineChars="200"/>
        <w:jc w:val="left"/>
        <w:rPr>
          <w:rFonts w:hint="eastAsia"/>
        </w:rPr>
      </w:pPr>
      <w:r>
        <w:rPr>
          <w:rFonts w:hint="eastAsia"/>
        </w:rPr>
        <w:t xml:space="preserve">一、部门收支总体情况说明</w:t>
      </w:r>
    </w:p>
    <w:p>
      <w:pPr>
        <w:pStyle w:val="Bodytext|2"/>
        <w:numPr>
          <w:ilvl w:val="0"/>
          <w:numId w:val="0"/>
        </w:numPr>
        <w:ind w:firstLine="640" w:firstLineChars="200"/>
        <w:jc w:val="left"/>
        <w:rPr>
          <w:rFonts w:hint="eastAsia"/>
        </w:rPr>
      </w:pPr>
      <w:r>
        <w:rPr>
          <w:rFonts w:hint="eastAsia"/>
        </w:rPr>
        <w:t xml:space="preserve">二、部门收入总体情况说明</w:t>
      </w:r>
    </w:p>
    <w:p>
      <w:pPr>
        <w:pStyle w:val="Bodytext|2"/>
        <w:numPr>
          <w:ilvl w:val="0"/>
          <w:numId w:val="0"/>
        </w:numPr>
        <w:ind w:firstLine="640" w:firstLineChars="200"/>
        <w:jc w:val="left"/>
        <w:rPr>
          <w:rFonts w:hint="eastAsia"/>
        </w:rPr>
      </w:pPr>
      <w:r>
        <w:rPr>
          <w:rFonts w:hint="eastAsia"/>
        </w:rPr>
        <w:t xml:space="preserve">三、部门支出总体情况说明</w:t>
      </w:r>
    </w:p>
    <w:p>
      <w:pPr>
        <w:pStyle w:val="Bodytext|2"/>
        <w:numPr>
          <w:ilvl w:val="0"/>
          <w:numId w:val="0"/>
        </w:numPr>
        <w:ind w:firstLine="640" w:firstLineChars="200"/>
        <w:jc w:val="left"/>
        <w:rPr>
          <w:rFonts w:hint="eastAsia"/>
        </w:rPr>
      </w:pPr>
      <w:r>
        <w:rPr>
          <w:rFonts w:hint="eastAsia"/>
        </w:rPr>
        <w:t xml:space="preserve">四、财政拨款收支总体情况说明</w:t>
      </w:r>
    </w:p>
    <w:p>
      <w:pPr>
        <w:pStyle w:val="Bodytext|2"/>
        <w:numPr>
          <w:ilvl w:val="0"/>
          <w:numId w:val="0"/>
        </w:numPr>
        <w:ind w:firstLine="640" w:firstLineChars="200"/>
        <w:jc w:val="left"/>
        <w:rPr>
          <w:rFonts w:hint="eastAsia"/>
        </w:rPr>
      </w:pPr>
      <w:r>
        <w:rPr>
          <w:rFonts w:hint="eastAsia"/>
        </w:rPr>
        <w:t xml:space="preserve">五、一般公共预算支出情况说明</w:t>
      </w:r>
    </w:p>
    <w:p>
      <w:pPr>
        <w:pStyle w:val="Bodytext|2"/>
        <w:numPr>
          <w:ilvl w:val="0"/>
          <w:numId w:val="0"/>
        </w:numPr>
        <w:ind w:firstLine="640" w:firstLineChars="200"/>
        <w:jc w:val="left"/>
        <w:rPr>
          <w:rFonts w:hint="eastAsia"/>
        </w:rPr>
      </w:pPr>
      <w:r>
        <w:rPr>
          <w:rFonts w:hint="eastAsia"/>
        </w:rPr>
        <w:t xml:space="preserve">六、一般公共预算基本支出情况说明</w:t>
      </w:r>
    </w:p>
    <w:p>
      <w:pPr>
        <w:pStyle w:val="Bodytext|2"/>
        <w:numPr>
          <w:ilvl w:val="0"/>
          <w:numId w:val="0"/>
        </w:numPr>
        <w:ind w:firstLine="640" w:firstLineChars="200"/>
        <w:jc w:val="left"/>
        <w:rPr>
          <w:rFonts w:hint="eastAsia"/>
        </w:rPr>
      </w:pPr>
      <w:r>
        <w:rPr>
          <w:rFonts w:hint="eastAsia"/>
        </w:rPr>
        <w:t xml:space="preserve">七、一般公共预算“三公”经费支出情况说明</w:t>
      </w:r>
    </w:p>
    <w:p>
      <w:pPr>
        <w:pStyle w:val="Bodytext|2"/>
        <w:numPr>
          <w:ilvl w:val="0"/>
          <w:numId w:val="0"/>
        </w:numPr>
        <w:ind w:firstLine="640" w:firstLineChars="200"/>
        <w:jc w:val="left"/>
        <w:rPr>
          <w:rFonts w:hint="eastAsia"/>
        </w:rPr>
      </w:pPr>
      <w:r>
        <w:rPr>
          <w:rFonts w:hint="eastAsia"/>
        </w:rPr>
        <w:t xml:space="preserve">八、政府性基金预算支出情况说明</w:t>
      </w:r>
    </w:p>
    <w:p>
      <w:pPr>
        <w:pStyle w:val="Bodytext|2"/>
        <w:numPr>
          <w:ilvl w:val="0"/>
          <w:numId w:val="0"/>
        </w:numPr>
        <w:ind w:firstLine="640" w:firstLineChars="200"/>
        <w:jc w:val="left"/>
        <w:rPr>
          <w:rFonts w:hint="eastAsia"/>
        </w:rPr>
      </w:pPr>
      <w:r>
        <w:rPr>
          <w:rFonts w:hint="eastAsia"/>
        </w:rPr>
        <w:t xml:space="preserve">九、国有资本经营预算支出情况说明</w:t>
      </w:r>
    </w:p>
    <w:p>
      <w:pPr>
        <w:pStyle w:val="Bodytext|2"/>
        <w:numPr>
          <w:ilvl w:val="0"/>
          <w:numId w:val="0"/>
        </w:numPr>
        <w:ind w:firstLine="640" w:firstLineChars="200"/>
        <w:jc w:val="left"/>
      </w:pPr>
      <w:r>
        <w:rPr>
          <w:rFonts w:hint="eastAsia"/>
        </w:rPr>
        <w:t xml:space="preserve">十、其他重要事项情况说明</w:t>
      </w:r>
    </w:p>
    <w:p>
      <w:pPr>
        <w:pStyle w:val="Bodytext|2"/>
        <w:ind w:left="0" w:firstLine="320" w:leftChars="0" w:firstLineChars="100"/>
        <w:jc w:val="left"/>
      </w:pPr>
      <w:r>
        <w:t xml:space="preserve">第三部分</w:t>
      </w:r>
      <w:r>
        <w:rPr>
          <w:rFonts w:hint="eastAsia"/>
          <w:lang w:eastAsia="zh-CN"/>
        </w:rPr>
        <w:t xml:space="preserve">：</w:t>
      </w:r>
      <w:r>
        <w:rPr>
          <w:u w:color="auto"/>
        </w:rPr>
        <w:t xml:space="preserve">环江毛南族自治县东兴镇水利站</w:t>
      </w:r>
      <w:r>
        <w:rPr>
          <w:u w:color="auto"/>
        </w:rPr>
        <w:t xml:space="preserve">2024</w:t>
      </w:r>
      <w:r>
        <w:rPr>
          <w:rFonts w:ascii="Times New Roman" w:hAnsi="Times New Roman" w:cs="Times New Roman"/>
          <w:u w:color="auto"/>
        </w:rPr>
        <w:t xml:space="preserve">年</w:t>
      </w:r>
      <w:r>
        <w:t xml:space="preserve">部门预算</w:t>
      </w:r>
      <w:r>
        <w:rPr>
          <w:rFonts w:hint="eastAsia"/>
          <w:lang w:val="en-US" w:eastAsia="zh-CN"/>
        </w:rPr>
        <w:t xml:space="preserve">相关报</w:t>
      </w:r>
      <w:r>
        <w:t xml:space="preserve">表</w:t>
      </w:r>
    </w:p>
    <w:p>
      <w:pPr>
        <w:pStyle w:val="Bodytext|2"/>
        <w:jc w:val="left"/>
        <w:rPr>
          <w:rFonts w:hint="eastAsia"/>
        </w:rPr>
      </w:pPr>
      <w:r>
        <w:rPr>
          <w:rFonts w:hint="eastAsia"/>
        </w:rPr>
        <w:t xml:space="preserve">一、部门收支总体情况表</w:t>
      </w:r>
    </w:p>
    <w:p>
      <w:pPr>
        <w:pStyle w:val="Bodytext|2"/>
        <w:jc w:val="left"/>
        <w:rPr>
          <w:rFonts w:hint="eastAsia"/>
        </w:rPr>
      </w:pPr>
      <w:r>
        <w:rPr>
          <w:rFonts w:hint="eastAsia"/>
        </w:rPr>
        <w:t xml:space="preserve">二、部门收入总体情况表</w:t>
      </w:r>
    </w:p>
    <w:p>
      <w:pPr>
        <w:pStyle w:val="Bodytext|2"/>
        <w:jc w:val="left"/>
        <w:rPr>
          <w:rFonts w:hint="eastAsia"/>
        </w:rPr>
      </w:pPr>
      <w:r>
        <w:rPr>
          <w:rFonts w:hint="eastAsia"/>
        </w:rPr>
        <w:t xml:space="preserve">三、部门支出总体情况表</w:t>
      </w:r>
    </w:p>
    <w:p>
      <w:pPr>
        <w:pStyle w:val="Bodytext|2"/>
        <w:jc w:val="left"/>
        <w:rPr>
          <w:rFonts w:hint="eastAsia"/>
        </w:rPr>
      </w:pPr>
      <w:r>
        <w:rPr>
          <w:rFonts w:hint="eastAsia"/>
        </w:rPr>
        <w:t xml:space="preserve">四、财政拨款收支总体情况表</w:t>
      </w:r>
    </w:p>
    <w:p>
      <w:pPr>
        <w:pStyle w:val="Bodytext|2"/>
        <w:jc w:val="left"/>
        <w:rPr>
          <w:rFonts w:hint="eastAsia"/>
        </w:rPr>
      </w:pPr>
      <w:r>
        <w:rPr>
          <w:rFonts w:hint="eastAsia"/>
        </w:rPr>
        <w:t xml:space="preserve">五、一般公共预算支出情况表</w:t>
      </w:r>
    </w:p>
    <w:p>
      <w:pPr>
        <w:pStyle w:val="Bodytext|2"/>
        <w:jc w:val="left"/>
        <w:rPr>
          <w:rFonts w:hint="eastAsia"/>
        </w:rPr>
      </w:pPr>
      <w:r>
        <w:rPr>
          <w:rFonts w:hint="eastAsia"/>
        </w:rPr>
        <w:t xml:space="preserve">六、一般公共预算基本支出情况表</w:t>
      </w:r>
    </w:p>
    <w:p>
      <w:pPr>
        <w:pStyle w:val="Bodytext|2"/>
        <w:jc w:val="left"/>
        <w:rPr>
          <w:rFonts w:hint="eastAsia"/>
        </w:rPr>
      </w:pPr>
      <w:r>
        <w:rPr>
          <w:rFonts w:hint="eastAsia"/>
        </w:rPr>
        <w:t xml:space="preserve">七、一般公开预算“三公”经费支出情况表</w:t>
      </w:r>
    </w:p>
    <w:p>
      <w:pPr>
        <w:pStyle w:val="Bodytext|2"/>
        <w:jc w:val="left"/>
        <w:rPr>
          <w:rFonts w:hint="eastAsia"/>
        </w:rPr>
      </w:pPr>
      <w:r>
        <w:rPr>
          <w:rFonts w:hint="eastAsia"/>
        </w:rPr>
        <w:t xml:space="preserve">八、政府性基金预算支出情况表</w:t>
      </w:r>
    </w:p>
    <w:p>
      <w:pPr>
        <w:pStyle w:val="Bodytext|2"/>
        <w:jc w:val="left"/>
        <w:rPr>
          <w:rFonts w:hint="eastAsia"/>
        </w:rPr>
      </w:pPr>
      <w:r>
        <w:rPr>
          <w:rFonts w:hint="eastAsia"/>
        </w:rPr>
        <w:t xml:space="preserve">九、国有资本经营预算支出情况表</w:t>
      </w:r>
    </w:p>
    <w:p>
      <w:pPr>
        <w:pStyle w:val="Bodytext|2"/>
        <w:jc w:val="left"/>
        <w:rPr>
          <w:rFonts w:eastAsia="宋体" w:hint="eastAsia"/>
          <w:lang w:eastAsia="zh-CN"/>
        </w:rPr>
      </w:pPr>
      <w:r>
        <w:rPr>
          <w:rFonts w:hint="eastAsia"/>
        </w:rPr>
        <w:t xml:space="preserve">十、2024年度预算项目绩效目标公开表</w:t>
      </w:r>
    </w:p>
    <w:p>
      <w:pPr>
        <w:pStyle w:val="Bodytext|2"/>
        <w:ind w:left="0" w:firstLine="320" w:leftChars="0" w:firstLineChars="100"/>
        <w:jc w:val="left"/>
        <w:rPr>
          <w:rFonts w:eastAsia="宋体" w:hint="eastAsia"/>
          <w:lang w:eastAsia="zh-CN"/>
        </w:rPr>
        <w:sectPr>
          <w:footerReference w:type="default" r:id="rId5"/>
          <w:pgSz w:w="11900" w:h="16840" w:orient="portrait"/>
          <w:pgMar w:top="1508" w:right="1674" w:bottom="1508" w:left="1851" w:header="0" w:footer="1077" w:gutter="0"/>
          <w:pgBorders>
            <w:top w:val="none" w:sz="0" w:space="0" w:color="auto"/>
            <w:left w:val="none" w:sz="0" w:space="0" w:color="auto"/>
            <w:bottom w:val="none" w:sz="0" w:space="0" w:color="auto"/>
            <w:right w:val="none" w:sz="0" w:space="0" w:color="auto"/>
          </w:pgBorders>
          <w:pgNumType w:fmt="decimal"/>
          <w:cols w:num="1" w:space="720">
            <w:col w:w="8375" w:space="720"/>
          </w:cols>
          <w:docGrid w:linePitch="360" w:charSpace="0"/>
        </w:sectPr>
      </w:pPr>
      <w:r>
        <w:t xml:space="preserve">第四部分</w:t>
      </w:r>
      <w:r>
        <w:rPr>
          <w:rFonts w:hint="eastAsia"/>
          <w:lang w:eastAsia="zh-CN"/>
        </w:rPr>
        <w:t xml:space="preserve">：</w:t>
      </w:r>
      <w:r>
        <w:t xml:space="preserve">名词</w:t>
      </w:r>
      <w:r>
        <w:rPr>
          <w:rFonts w:hint="eastAsia"/>
          <w:lang w:val="en-US" w:eastAsia="zh-CN"/>
        </w:rPr>
        <w:t xml:space="preserve">解释</w:t>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both"/>
        <w:textAlignment w:val="auto"/>
        <w:rPr>
          <w:b/>
          <w:bCs/>
          <w:sz w:val="40"/>
          <w:szCs w:val="40"/>
        </w:rPr>
      </w:pPr>
      <w:bookmarkStart w:id="3" w:name="bookmark14"/>
      <w:bookmarkStart w:id="4" w:name="bookmark12"/>
      <w:bookmarkStart w:id="5" w:name="bookmark13"/>
      <w:r>
        <w:rPr>
          <w:b/>
          <w:bCs/>
          <w:sz w:val="40"/>
          <w:szCs w:val="40"/>
        </w:rPr>
        <w:t xml:space="preserve">第一部分</w:t>
      </w:r>
      <w:r>
        <w:rPr>
          <w:rFonts w:hint="eastAsia"/>
          <w:b/>
          <w:bCs/>
          <w:sz w:val="40"/>
          <w:szCs w:val="40"/>
          <w:lang w:eastAsia="zh-CN"/>
        </w:rPr>
        <w:t xml:space="preserve">：</w:t>
      </w:r>
      <w:r>
        <w:rPr>
          <w:b/>
          <w:sz w:val="40"/>
          <w:u w:color="auto"/>
        </w:rPr>
        <w:t xml:space="preserve">环江毛南族自治县东兴镇水利站</w:t>
      </w:r>
      <w:r>
        <w:rPr>
          <w:b/>
          <w:bCs/>
          <w:sz w:val="40"/>
          <w:szCs w:val="40"/>
        </w:rPr>
        <w:t xml:space="preserve">概况</w:t>
      </w:r>
      <w:bookmarkEnd w:id="3"/>
      <w:bookmarkEnd w:id="4"/>
      <w:bookmarkEnd w:id="5"/>
    </w:p>
    <w:p>
      <w:pPr>
        <w:pStyle w:val="Bodytext|2"/>
        <w:spacing w:after="0" w:line="619" w:lineRule="exact"/>
        <w:ind w:firstLine="620"/>
        <w:jc w:val="left"/>
        <w:rPr>
          <w:b/>
          <w:bCs/>
        </w:rPr>
      </w:pPr>
      <w:r>
        <w:rPr>
          <w:rFonts w:hint="eastAsia"/>
          <w:b/>
          <w:bCs/>
          <w:lang w:val="en-US" w:eastAsia="zh-CN"/>
        </w:rPr>
        <w:t xml:space="preserve">一、</w:t>
      </w:r>
      <w:r>
        <w:rPr>
          <w:b/>
          <w:bCs/>
        </w:rPr>
        <w:t xml:space="preserve">主要职责</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一）学习、宣传、贯彻实施《水法》、《水土保持法》、《防洪法》等法律法规和党中央、国务院及各级党委政府有关水利改革发展的方针、政策；负责本乡镇水利行业管理，组织并监督实施水利行业技术质量标准和水利工程的规程、规范。</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二）组织制订本乡镇水利建设总体规划、水利中长期发展规划、近期水利发展规划和年度计划，河流、沟渠和流域（区域）综合规划，防洪、排涝、水电、节水、水资源保护、水土保持、河道整治等专业规划，并监督实施。</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三）统一监督管理本乡镇水资源；组织制订本乡镇水量分配方案并监督实施；制订节约用水政策，编制计划用水、节约用水规划，制定有关标准，并监督实施；组织水功能区的划分和安全饮用水区等水域排污的控制；监测河流和水库的水量、水质，审定水域纳污能力，提出限制排污总量的意见。管理、保护滩涂资源。</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（四）组织、指导本乡镇水政监察和水行政执法；协助实施水行政审批制度，协助管理取水许可，协助依法征收水利规费；依法查处水事违法案件，调查处理水事纠纷。</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五）负责本乡镇水利基本建设的行业管理；实施水利、水电建设项目的建设管理；对水利、水电工程建设招标投标活动和工程质量实施监察；审查水利、水电建设项目建议书、可行性研究报告和初步设计；协助县水务局做好具有控制性的重要水利、水电工程的建设。</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六）组织、指导本乡镇各类水利设施、水域（包括河道、水库、塘坝）及其岸线的管理与保护；管理河道采砂，在县河道采砂管理领导组的领导下实施河道采砂许可制度；组织和指导河道、水库及塘坝的综合治理和开发；组织和指导水库、水电站大坝的安全监管。</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（七）指导本乡镇农村农田水利工作；组织和协调农田水利基本建设、水库除险加固、农村安全饮水、塘坝扩挖、沟渠清淤及小流域治理工作；组织实施农村电气化建设；指导农村水利服务体系建设。</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（八）组织、指导本乡镇水土保持工作；监督检查开发建设项目水土保持方案落实实施情况，对水土流失的监测和综合防治进行监督管理。</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九）指导本乡镇水利经济工作；指导水利行业的供水、水电及多种经营工作；研究提出有关水利的价格、收费、税收、财务等方面的经济调节意见；研究水利投入机制和筹资政策；指导水利行业国有资产的监督管理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（十）负责管理水利科技、教育、对外合作；组织指导水利科技的研究和推广；组织指导水利信息化工作；组织指导水利队伍建设。</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一）承担本乡镇防汛防旱指挥部的日常工作。组织、协调、监督、指导本乡镇防汛防旱工作，对重要河道和重要水利工作实施防汛抗旱调度。贯彻落实水库堤防巡查制度；及时掌握本乡镇区域内的水情、雨情、工情、汛情；积极开展灾情、水毁工程情况调查；按照乡镇落实好各项度汛措施，做好群众转移等工作。</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（十二）承办县水务局和镇政府交办的其他事项。</w:t>
      </w:r>
    </w:p>
    <w:p>
      <w:pPr>
        <w:pStyle w:val="Bodytext|2"/>
        <w:spacing w:after="0" w:line="619" w:lineRule="exact"/>
        <w:ind w:firstLine="620"/>
        <w:jc w:val="left"/>
        <w:rPr>
          <w:rFonts w:hint="eastAsia"/>
          <w:b/>
          <w:bCs/>
          <w:lang w:val="en-US" w:eastAsia="zh-CN"/>
        </w:rPr>
      </w:pPr>
      <w:bookmarkStart w:id="6" w:name="bookmark24"/>
      <w:r>
        <w:rPr>
          <w:rFonts w:hint="eastAsia"/>
          <w:b/>
          <w:bCs/>
          <w:lang w:val="en-US" w:eastAsia="zh-CN"/>
        </w:rPr>
        <w:t xml:space="preserve">二</w:t>
      </w:r>
      <w:bookmarkEnd w:id="6"/>
      <w:r>
        <w:rPr>
          <w:rFonts w:hint="eastAsia"/>
          <w:b/>
          <w:bCs/>
          <w:lang w:val="en-US" w:eastAsia="zh-CN"/>
        </w:rPr>
        <w:t xml:space="preserve">、机构设置情况</w:t>
      </w:r>
    </w:p>
    <w:p>
      <w:pPr>
        <w:pStyle w:val="Bodytext|1"/>
        <w:spacing w:line="623" w:lineRule="exact"/>
        <w:ind w:left="0" w:firstLine="560" w:leftChars="0" w:firstLineChars="200"/>
        <w:jc w:val="left"/>
        <w:rPr>
          <w:rFonts w:hint="default"/>
          <w:highlight w:val="yellow"/>
          <w:lang w:val="en-US" w:eastAsia="zh-CN"/>
        </w:rPr>
      </w:pPr>
      <w:r>
        <w:rPr>
          <w:rFonts w:hint="eastAsia"/>
          <w:highlight w:val="none"/>
          <w:lang w:val="en-US" w:eastAsia="zh-CN"/>
        </w:rPr>
        <w:t xml:space="preserve">本部门的上级主管部门是环江毛南族自治县东兴镇人民政府，是财政全额拨款的事业单位，人员编制共2名，在职人员2人。本部门无内设机构。</w:t>
      </w:r>
    </w:p>
    <w:p>
      <w:pPr>
        <w:pStyle w:val="Bodytext|1"/>
        <w:spacing w:line="623" w:lineRule="exact"/>
        <w:ind w:firstLine="1018" w:firstLineChars="0"/>
        <w:jc w:val="left"/>
        <w:rPr>
          <w:rFonts w:hint="eastAsia"/>
          <w:highlight w:val="none"/>
          <w:lang w:val="en-US" w:eastAsia="zh-CN"/>
        </w:rPr>
      </w:pPr>
    </w:p>
    <w:p>
      <w:pPr>
        <w:pStyle w:val="Bodytext|1"/>
        <w:spacing w:line="623" w:lineRule="exact"/>
        <w:ind w:firstLine="1018" w:firstLineChars="0"/>
        <w:jc w:val="left"/>
        <w:rPr>
          <w:rFonts w:hint="eastAsia"/>
          <w:highlight w:val="none"/>
          <w:lang w:val="en-US" w:eastAsia="zh-CN"/>
        </w:rPr>
      </w:pPr>
    </w:p>
    <w:p>
      <w:pPr/>
      <w:r>
        <w:br w:type="page"/>
      </w:r>
    </w:p>
    <w:p>
      <w:pPr>
        <w:pStyle w:val="Heading#1|1"/>
        <w:keepNext/>
        <w:keepLines/>
        <w:pageBreakBefore w:val="0"/>
        <w:widowControl w:val="0"/>
        <w:kinsoku/>
        <w:wordWrap/>
        <w:overflowPunct/>
        <w:topLinePunct w:val="0"/>
        <w:autoSpaceDE/>
        <w:autoSpaceDN/>
        <w:bidi w:val="0"/>
        <w:adjustRightInd/>
        <w:snapToGrid/>
        <w:spacing w:before="120" w:after="0" w:line="600" w:lineRule="exact"/>
        <w:jc w:val="center"/>
        <w:textAlignment w:val="auto"/>
        <w:rPr>
          <w:b/>
          <w:bCs/>
          <w:sz w:val="40"/>
          <w:szCs w:val="40"/>
        </w:rPr>
      </w:pPr>
      <w:bookmarkStart w:id="7" w:name="bookmark70"/>
      <w:bookmarkStart w:id="8" w:name="bookmark69"/>
      <w:bookmarkStart w:id="9" w:name="bookmark68"/>
      <w:bookmarkStart w:id="10" w:name="bookmark28"/>
      <w:bookmarkStart w:id="11" w:name="bookmark27"/>
      <w:bookmarkStart w:id="12" w:name="bookmark26"/>
      <w:r>
        <w:rPr>
          <w:b/>
          <w:bCs/>
          <w:sz w:val="40"/>
          <w:szCs w:val="40"/>
        </w:rPr>
        <w:t xml:space="preserve">第</w:t>
      </w:r>
      <w:r>
        <w:rPr>
          <w:rFonts w:hint="eastAsia"/>
          <w:b/>
          <w:bCs/>
          <w:sz w:val="40"/>
          <w:szCs w:val="40"/>
          <w:lang w:val="en-US" w:eastAsia="zh-CN"/>
        </w:rPr>
        <w:t xml:space="preserve">二</w:t>
      </w:r>
      <w:r>
        <w:rPr>
          <w:b/>
          <w:bCs/>
          <w:sz w:val="40"/>
          <w:szCs w:val="40"/>
        </w:rPr>
        <w:t xml:space="preserve">部分</w:t>
      </w:r>
      <w:r>
        <w:rPr>
          <w:rFonts w:hint="eastAsia"/>
          <w:b/>
          <w:bCs/>
          <w:sz w:val="40"/>
          <w:szCs w:val="40"/>
          <w:lang w:eastAsia="zh-CN"/>
        </w:rPr>
        <w:t xml:space="preserve">：</w:t>
      </w:r>
      <w:bookmarkEnd w:id="7"/>
      <w:bookmarkEnd w:id="8"/>
      <w:bookmarkEnd w:id="9"/>
      <w:r>
        <w:rPr>
          <w:rFonts w:hint="eastAsia"/>
          <w:b/>
          <w:bCs/>
          <w:sz w:val="40"/>
          <w:szCs w:val="40"/>
          <w:lang w:eastAsia="zh-CN"/>
        </w:rPr>
        <w:t xml:space="preserve">环江毛南族自治县东兴镇水利站</w:t>
      </w:r>
      <w:r>
        <w:rPr>
          <w:b/>
          <w:sz w:val="40"/>
          <w:u w:color="auto"/>
        </w:rPr>
        <w:t xml:space="preserve">2024</w:t>
      </w:r>
      <w:r>
        <w:rPr>
          <w:b/>
          <w:sz w:val="40"/>
          <w:u w:color="auto"/>
        </w:rPr>
        <w:t xml:space="preserve">年部门预算情况说明</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3" w:name="bookmark71"/>
      <w:r>
        <w:rPr>
          <w:rFonts w:hint="eastAsia"/>
          <w:b/>
          <w:bCs/>
          <w:lang w:val="en-US" w:eastAsia="zh-CN"/>
        </w:rPr>
        <w:t xml:space="preserve">一</w:t>
      </w:r>
      <w:bookmarkEnd w:id="13"/>
      <w:r>
        <w:rPr>
          <w:rFonts w:hint="eastAsia"/>
          <w:b/>
          <w:bCs/>
          <w:lang w:val="en-US" w:eastAsia="zh-CN"/>
        </w:rPr>
        <w:t xml:space="preserve">、部门预算收支总体情况说明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Times New Roman" w:hAnsi="Times New Roman" w:cs="Times New Roman"/>
          <w:b/>
          <w:bCs/>
          <w:sz w:val="28"/>
          <w:szCs w:val="28"/>
          <w:lang w:val="en-US" w:eastAsia="zh-CN"/>
        </w:rPr>
      </w:pPr>
      <w:r>
        <w:rPr>
          <w:rFonts w:hint="eastAsia"/>
          <w:b w:val="0"/>
          <w:bCs w:val="0"/>
          <w:sz w:val="28"/>
          <w:szCs w:val="28"/>
        </w:rPr>
        <w:t xml:space="preserve">我部门总收入</w:t>
      </w:r>
      <w:r>
        <w:rPr>
          <w:rFonts w:hint="eastAsia"/>
          <w:sz w:val="28"/>
          <w:szCs w:val="28"/>
          <w:lang w:val="en-US" w:eastAsia="zh-CN"/>
        </w:rPr>
        <w:t xml:space="preserve">24.72</w:t>
      </w:r>
      <w:r>
        <w:rPr>
          <w:rFonts w:hint="eastAsia"/>
          <w:b w:val="0"/>
          <w:bCs w:val="0"/>
          <w:sz w:val="28"/>
          <w:szCs w:val="28"/>
        </w:rPr>
        <w:t xml:space="preserve">万元，总支出</w:t>
      </w:r>
      <w:r>
        <w:rPr>
          <w:rFonts w:hint="eastAsia"/>
          <w:sz w:val="28"/>
          <w:szCs w:val="28"/>
          <w:lang w:val="en-US" w:eastAsia="zh-CN"/>
        </w:rPr>
        <w:t xml:space="preserve">24.72</w:t>
      </w:r>
      <w:r>
        <w:rPr>
          <w:rFonts w:hint="eastAsia"/>
          <w:b w:val="0"/>
          <w:bCs w:val="0"/>
          <w:sz w:val="28"/>
          <w:szCs w:val="28"/>
        </w:rPr>
        <w:t xml:space="preserve">万元。总收入较2023年度预算数</w:t>
      </w:r>
      <w:r>
        <w:rPr>
          <w:rFonts w:hint="eastAsia"/>
          <w:sz w:val="28"/>
          <w:szCs w:val="28"/>
          <w:lang w:val="en-US" w:eastAsia="zh-CN"/>
        </w:rPr>
        <w:t xml:space="preserve">11.15</w:t>
      </w:r>
      <w:r>
        <w:rPr>
          <w:rFonts w:hint="eastAsia"/>
          <w:b w:val="0"/>
          <w:bCs w:val="0"/>
          <w:sz w:val="28"/>
          <w:szCs w:val="28"/>
        </w:rPr>
        <w:t xml:space="preserve">万元，</w:t>
      </w:r>
      <w:r>
        <w:rPr>
          <w:rFonts w:hint="eastAsia"/>
          <w:sz w:val="28"/>
          <w:szCs w:val="28"/>
        </w:rPr>
        <w:t xml:space="preserve">增加13.57</w:t>
      </w:r>
      <w:r>
        <w:rPr>
          <w:rFonts w:hint="eastAsia"/>
          <w:b w:val="0"/>
          <w:bCs w:val="0"/>
          <w:sz w:val="28"/>
          <w:szCs w:val="28"/>
        </w:rPr>
        <w:t xml:space="preserve">万元，</w:t>
      </w:r>
      <w:r>
        <w:rPr>
          <w:rFonts w:hint="eastAsia"/>
          <w:sz w:val="28"/>
          <w:szCs w:val="28"/>
        </w:rPr>
        <w:t xml:space="preserve">增长121.70%</w:t>
      </w:r>
      <w:r>
        <w:rPr>
          <w:rFonts w:hint="eastAsia"/>
          <w:b w:val="0"/>
          <w:bCs w:val="0"/>
          <w:sz w:val="28"/>
          <w:szCs w:val="28"/>
        </w:rPr>
        <w:t xml:space="preserve">，主要原因是</w:t>
      </w:r>
      <w:r>
        <w:rPr>
          <w:rFonts w:hint="eastAsia"/>
          <w:highlight w:val="none"/>
          <w:lang w:val="en-US" w:eastAsia="zh-CN"/>
        </w:rPr>
        <w:t xml:space="preserve">人员增加调整，相关经费增加</w:t>
      </w:r>
      <w:r>
        <w:rPr>
          <w:rFonts w:hint="eastAsia"/>
          <w:b w:val="0"/>
          <w:bCs w:val="0"/>
          <w:sz w:val="28"/>
          <w:szCs w:val="28"/>
        </w:rPr>
        <w:t xml:space="preserve">。总支出较2023年度预算数</w:t>
      </w:r>
      <w:r>
        <w:rPr>
          <w:rFonts w:hint="eastAsia"/>
          <w:sz w:val="28"/>
          <w:szCs w:val="28"/>
          <w:lang w:val="en-US" w:eastAsia="zh-CN"/>
        </w:rPr>
        <w:t xml:space="preserve">11.15</w:t>
      </w:r>
      <w:r>
        <w:rPr>
          <w:rFonts w:hint="eastAsia"/>
          <w:b w:val="0"/>
          <w:bCs w:val="0"/>
          <w:sz w:val="28"/>
          <w:szCs w:val="28"/>
        </w:rPr>
        <w:t xml:space="preserve">万元，</w:t>
      </w:r>
      <w:r>
        <w:rPr>
          <w:rFonts w:hint="eastAsia"/>
          <w:sz w:val="28"/>
          <w:szCs w:val="28"/>
        </w:rPr>
        <w:t xml:space="preserve">增加13.57</w:t>
      </w:r>
      <w:r>
        <w:rPr>
          <w:rFonts w:hint="eastAsia"/>
          <w:b w:val="0"/>
          <w:bCs w:val="0"/>
          <w:sz w:val="28"/>
          <w:szCs w:val="28"/>
        </w:rPr>
        <w:t xml:space="preserve">万元，</w:t>
      </w:r>
      <w:r>
        <w:rPr>
          <w:rFonts w:hint="eastAsia"/>
          <w:sz w:val="28"/>
          <w:szCs w:val="28"/>
        </w:rPr>
        <w:t xml:space="preserve">增长121.70%</w:t>
      </w:r>
      <w:r>
        <w:rPr>
          <w:rFonts w:hint="eastAsia"/>
          <w:b w:val="0"/>
          <w:bCs w:val="0"/>
          <w:sz w:val="28"/>
          <w:szCs w:val="28"/>
        </w:rPr>
        <w:t xml:space="preserve">，主要原因是</w:t>
      </w:r>
      <w:r>
        <w:rPr>
          <w:rFonts w:hint="eastAsia"/>
          <w:highlight w:val="none"/>
          <w:lang w:val="en-US" w:eastAsia="zh-CN"/>
        </w:rPr>
        <w:t xml:space="preserve">人员增加调整，相关经费增加</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二、部门收入总体情况说明</w:t>
      </w:r>
    </w:p>
    <w:p>
      <w:pPr>
        <w:pStyle w:val="Bodytext|1"/>
        <w:spacing w:line="240" w:lineRule="auto"/>
        <w:ind w:firstLine="0"/>
        <w:jc w:val="left"/>
        <w:rPr>
          <w:rFonts w:ascii="Times New Roman" w:hAnsi="Times New Roman" w:cs="Times New Roman"/>
          <w:sz w:val="30"/>
          <w:szCs w:val="30"/>
          <w:lang w:val="en-US" w:eastAsia="zh-CN"/>
        </w:rPr>
      </w:pPr>
      <w:r>
        <w:rPr>
          <w:rFonts w:ascii="Times New Roman" w:hAnsi="Times New Roman" w:cs="Times New Roman"/>
          <w:sz w:val="30"/>
          <w:szCs w:val="30"/>
          <w:lang w:val="en-US" w:eastAsia="zh-CN"/>
        </w:rPr>
        <w:drawing>
          <wp:inline distT="0" distB="0" distL="114300" distR="114300">
            <wp:extent cx="4257040" cy="3139440"/>
            <wp:effectExtent l="4445" t="4445" r="5715" b="18415"/>
            <wp:docPr id="580" name="图表 6" title="{{img_rs_table}}"/>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6"/>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u w:color="auto"/>
          <w:lang w:eastAsia="zh-CN"/>
        </w:rPr>
        <w:t xml:space="preserve">2024</w:t>
      </w:r>
      <w:r>
        <w:rPr>
          <w:rFonts w:ascii="宋体" w:eastAsia="宋体" w:hAnsi="宋体" w:cs="宋体" w:hint="eastAsia"/>
          <w:sz w:val="28"/>
          <w:szCs w:val="28"/>
          <w:u w:color="auto"/>
        </w:rPr>
        <w:t xml:space="preserve">年我部门总收入</w:t>
      </w:r>
      <w:r>
        <w:rPr>
          <w:rFonts w:ascii="宋体" w:eastAsia="宋体" w:hAnsi="宋体" w:cs="宋体" w:hint="eastAsia"/>
          <w:sz w:val="28"/>
          <w:szCs w:val="28"/>
          <w:lang w:val="en-US" w:eastAsia="zh-CN"/>
        </w:rPr>
        <w:t xml:space="preserve">24.72</w:t>
      </w:r>
      <w:r>
        <w:rPr>
          <w:rFonts w:ascii="宋体" w:eastAsia="宋体" w:hAnsi="宋体" w:cs="宋体" w:hint="eastAsia"/>
          <w:sz w:val="28"/>
          <w:szCs w:val="28"/>
          <w:u w:color="auto"/>
        </w:rPr>
        <w:t xml:space="preserve">万元，较2023年度预算数</w:t>
      </w:r>
      <w:r>
        <w:rPr>
          <w:rFonts w:ascii="宋体" w:eastAsia="宋体" w:hAnsi="宋体" w:cs="宋体" w:hint="eastAsia"/>
          <w:sz w:val="28"/>
          <w:szCs w:val="28"/>
          <w:lang w:val="en-US" w:eastAsia="zh-CN"/>
        </w:rPr>
        <w:t xml:space="preserve">11.15</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增加13.57</w:t>
      </w:r>
      <w:r>
        <w:rPr>
          <w:rFonts w:ascii="宋体" w:eastAsia="宋体" w:hAnsi="宋体" w:cs="宋体" w:hint="eastAsia"/>
          <w:sz w:val="28"/>
          <w:szCs w:val="28"/>
          <w:u w:color="auto"/>
        </w:rPr>
        <w:t xml:space="preserve">万元，</w:t>
      </w:r>
      <w:r>
        <w:rPr>
          <w:rFonts w:ascii="宋体" w:eastAsia="宋体" w:hAnsi="宋体" w:cs="宋体" w:hint="eastAsia"/>
          <w:sz w:val="28"/>
          <w:szCs w:val="28"/>
        </w:rPr>
        <w:t xml:space="preserve">增长121.70%</w:t>
      </w:r>
      <w:r>
        <w:rPr>
          <w:rFonts w:ascii="宋体" w:eastAsia="宋体" w:hAnsi="宋体" w:cs="宋体" w:hint="eastAsia"/>
          <w:sz w:val="28"/>
          <w:szCs w:val="28"/>
          <w:u w:color="auto"/>
        </w:rPr>
        <w:t xml:space="preserve">，主要原因是</w:t>
      </w:r>
      <w:r>
        <w:rPr>
          <w:rFonts w:hint="eastAsia"/>
          <w:highlight w:val="none"/>
          <w:lang w:val="en-US" w:eastAsia="zh-CN"/>
        </w:rPr>
        <w:t xml:space="preserve">人员增加调整，相关经费增加</w:t>
      </w:r>
      <w:r>
        <w:rPr>
          <w:rFonts w:ascii="宋体" w:eastAsia="宋体" w:hAnsi="宋体" w:cs="宋体" w:hint="eastAsia"/>
          <w:sz w:val="28"/>
          <w:szCs w:val="28"/>
          <w:u w:color="auto"/>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三、部门支出总体情况说明</w:t>
      </w:r>
    </w:p>
    <w:p>
      <w:pPr>
        <w:pStyle w:val="Bodytext|1"/>
        <w:spacing w:line="240" w:lineRule="auto"/>
        <w:ind w:firstLine="0"/>
        <w:jc w:val="left"/>
        <w:rPr>
          <w:rFonts w:ascii="Times New Roman" w:eastAsia="Times New Roman" w:hAnsi="Times New Roman" w:cs="Times New Roman"/>
          <w:sz w:val="30"/>
          <w:szCs w:val="30"/>
        </w:rPr>
      </w:pPr>
      <w:r>
        <w:rPr>
          <w:rFonts w:ascii="Times New Roman" w:eastAsia="Times New Roman" w:hAnsi="Times New Roman" w:cs="Times New Roman"/>
          <w:sz w:val="30"/>
          <w:szCs w:val="30"/>
        </w:rPr>
        <w:drawing>
          <wp:inline distT="0" distB="0" distL="114300" distR="114300">
            <wp:extent cx="5080000" cy="3810000"/>
            <wp:effectExtent l="4445" t="4445" r="20955" b="14605"/>
            <wp:docPr id="581" name="图表 14" title="{{img_gnkm_zc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7"/>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年我部门总支出</w:t>
      </w:r>
      <w:r>
        <w:rPr>
          <w:rFonts w:ascii="宋体" w:eastAsia="宋体" w:hAnsi="宋体" w:cs="宋体" w:hint="eastAsia"/>
          <w:sz w:val="28"/>
          <w:szCs w:val="28"/>
          <w:lang w:val="en-US" w:eastAsia="zh-CN"/>
        </w:rPr>
        <w:t xml:space="preserve">24.72</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11.15</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增加13.57</w:t>
      </w:r>
      <w:r>
        <w:rPr>
          <w:rFonts w:ascii="宋体" w:eastAsia="宋体" w:hAnsi="宋体" w:cs="宋体" w:hint="eastAsia"/>
          <w:sz w:val="28"/>
          <w:szCs w:val="28"/>
          <w:lang w:eastAsia="zh-CN"/>
        </w:rPr>
        <w:t xml:space="preserve">万元，</w:t>
      </w:r>
      <w:r>
        <w:rPr>
          <w:rFonts w:ascii="宋体" w:eastAsia="宋体" w:hAnsi="宋体" w:cs="宋体" w:hint="eastAsia"/>
          <w:sz w:val="28"/>
          <w:szCs w:val="28"/>
        </w:rPr>
        <w:t xml:space="preserve">增长121.70%</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highlight w:val="none"/>
          <w:lang w:val="en-US" w:eastAsia="zh-CN"/>
        </w:rPr>
        <w:t xml:space="preserve">人员增加调整，相关经费增加</w:t>
      </w:r>
      <w:r>
        <w:rPr>
          <w:rFonts w:ascii="宋体" w:eastAsia="宋体" w:hAnsi="宋体" w:cs="宋体" w:hint="eastAsia"/>
          <w:sz w:val="28"/>
          <w:szCs w:val="28"/>
          <w:lang w:eastAsia="zh-CN"/>
        </w:rPr>
        <w:t xml:space="preserve">。主要包括：</w:t>
      </w:r>
      <w:r>
        <w:rPr>
          <w:rFonts w:ascii="宋体" w:eastAsia="宋体" w:hAnsi="宋体" w:cs="宋体" w:hint="eastAsia"/>
          <w:sz w:val="28"/>
          <w:szCs w:val="28"/>
          <w:highlight w:val="none"/>
          <w:lang w:val="en-US" w:eastAsia="zh-CN"/>
        </w:rPr>
        <w:t xml:space="preserve">一般公共服务支出0.23万元；社会保障和就业支出2.83万元；农林水支出19.18万元</w:t>
      </w: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after="140" w:line="600" w:lineRule="exact"/>
        <w:ind w:firstLine="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（一）按支出功能分类科目划分，共分为</w:t>
      </w:r>
      <w:r>
        <w:rPr>
          <w:rFonts w:ascii="宋体" w:eastAsia="宋体" w:hAnsi="宋体" w:cs="宋体" w:hint="eastAsia"/>
          <w:sz w:val="28"/>
          <w:szCs w:val="28"/>
          <w:lang w:val="en-US" w:eastAsia="zh-CN"/>
        </w:rPr>
        <w:t xml:space="preserve">4</w:t>
      </w:r>
      <w:r>
        <w:rPr>
          <w:rFonts w:ascii="宋体" w:eastAsia="宋体" w:hAnsi="宋体" w:cs="宋体" w:hint="eastAsia"/>
          <w:sz w:val="28"/>
          <w:szCs w:val="28"/>
        </w:rPr>
        <w:t xml:space="preserve">类，其中:</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住房保障支出</w:t>
      </w:r>
      <w:r>
        <w:rPr>
          <w:rFonts w:ascii="宋体" w:eastAsia="宋体" w:hAnsi="宋体" w:cs="宋体" w:hint="eastAsia"/>
          <w:sz w:val="28"/>
          <w:szCs w:val="28"/>
          <w:lang w:val="en-US" w:eastAsia="zh-CN"/>
        </w:rPr>
        <w:t xml:space="preserve">2.47</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9.99%</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增长1.28</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增长107.56%</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人员增加，缴纳基数调整</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农林水支出</w:t>
      </w:r>
      <w:r>
        <w:rPr>
          <w:rFonts w:ascii="宋体" w:eastAsia="宋体" w:hAnsi="宋体" w:cs="宋体" w:hint="eastAsia"/>
          <w:sz w:val="28"/>
          <w:szCs w:val="28"/>
          <w:lang w:val="en-US" w:eastAsia="zh-CN"/>
        </w:rPr>
        <w:t xml:space="preserve">19.18</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77.59%</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增长11.01</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增长134.76%</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扶贫项目的增加。主要用于各项扶贫项目的资金投入</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3</w:t>
      </w:r>
      <w:r>
        <w:rPr>
          <w:rFonts w:ascii="宋体" w:eastAsia="宋体" w:hAnsi="宋体" w:cs="宋体"/>
          <w:sz w:val="28"/>
          <w:u w:color="auto"/>
        </w:rPr>
        <w:t xml:space="preserve">)</w:t>
      </w:r>
      <w:r>
        <w:rPr>
          <w:rFonts w:ascii="宋体" w:eastAsia="宋体" w:hAnsi="宋体" w:cs="宋体"/>
          <w:sz w:val="28"/>
          <w:u w:color="auto"/>
        </w:rPr>
        <w:t xml:space="preserve">一般公共服务支出</w:t>
      </w:r>
      <w:r>
        <w:rPr>
          <w:rFonts w:ascii="宋体" w:eastAsia="宋体" w:hAnsi="宋体" w:cs="宋体" w:hint="eastAsia"/>
          <w:sz w:val="28"/>
          <w:szCs w:val="28"/>
          <w:lang w:val="en-US" w:eastAsia="zh-CN"/>
        </w:rPr>
        <w:t xml:space="preserve">0.23</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0.93%</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增长0.03</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增长15.00%</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人员增加，各项开支增加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w:t>
      </w:r>
      <w:r>
        <w:rPr>
          <w:rFonts w:ascii="宋体" w:eastAsia="宋体" w:hAnsi="宋体" w:cs="宋体"/>
          <w:sz w:val="28"/>
          <w:u w:color="auto"/>
        </w:rPr>
        <w:t xml:space="preserve">4</w:t>
      </w:r>
      <w:r>
        <w:rPr>
          <w:rFonts w:ascii="宋体" w:eastAsia="宋体" w:hAnsi="宋体" w:cs="宋体"/>
          <w:sz w:val="28"/>
          <w:u w:color="auto"/>
        </w:rPr>
        <w:t xml:space="preserve">)</w:t>
      </w:r>
      <w:r>
        <w:rPr>
          <w:rFonts w:ascii="宋体" w:eastAsia="宋体" w:hAnsi="宋体" w:cs="宋体"/>
          <w:sz w:val="28"/>
          <w:u w:color="auto"/>
        </w:rPr>
        <w:t xml:space="preserve">社会保障和就业支出</w:t>
      </w:r>
      <w:r>
        <w:rPr>
          <w:rFonts w:ascii="宋体" w:eastAsia="宋体" w:hAnsi="宋体" w:cs="宋体" w:hint="eastAsia"/>
          <w:sz w:val="28"/>
          <w:szCs w:val="28"/>
          <w:lang w:val="en-US" w:eastAsia="zh-CN"/>
        </w:rPr>
        <w:t xml:space="preserve">2.83</w:t>
      </w:r>
      <w:r>
        <w:rPr>
          <w:rFonts w:ascii="宋体" w:eastAsia="宋体" w:hAnsi="宋体" w:cs="宋体" w:hint="eastAsia"/>
          <w:sz w:val="28"/>
          <w:szCs w:val="28"/>
        </w:rPr>
        <w:t xml:space="preserve">万元，占支出总预算</w:t>
      </w:r>
      <w:r>
        <w:rPr>
          <w:rFonts w:ascii="宋体" w:eastAsia="宋体" w:hAnsi="宋体" w:cs="宋体" w:hint="eastAsia"/>
          <w:sz w:val="28"/>
          <w:szCs w:val="28"/>
          <w:lang w:val="en-US" w:eastAsia="zh-CN"/>
        </w:rPr>
        <w:t xml:space="preserve">11.45%</w:t>
      </w:r>
      <w:r>
        <w:rPr>
          <w:rFonts w:ascii="宋体" w:eastAsia="宋体" w:hAnsi="宋体" w:cs="宋体" w:hint="eastAsia"/>
          <w:sz w:val="28"/>
          <w:szCs w:val="28"/>
        </w:rPr>
        <w:t xml:space="preserve">,比上年</w:t>
      </w:r>
      <w:r>
        <w:rPr>
          <w:rFonts w:ascii="宋体" w:eastAsia="宋体" w:hAnsi="宋体" w:cs="宋体" w:hint="eastAsia"/>
          <w:sz w:val="28"/>
          <w:szCs w:val="28"/>
          <w:lang w:val="en-US" w:eastAsia="zh-CN"/>
        </w:rPr>
        <w:t xml:space="preserve">增长1.24</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增长77.99%</w:t>
      </w:r>
      <w:r>
        <w:rPr>
          <w:rFonts w:ascii="宋体" w:eastAsia="宋体" w:hAnsi="宋体" w:cs="宋体" w:hint="eastAsia"/>
          <w:sz w:val="28"/>
          <w:szCs w:val="28"/>
        </w:rPr>
        <w:t xml:space="preserve">,</w:t>
      </w:r>
      <w:r>
        <w:rPr>
          <w:rFonts w:ascii="宋体" w:eastAsia="宋体" w:hAnsi="宋体" w:cs="宋体" w:hint="eastAsia"/>
          <w:sz w:val="28"/>
          <w:szCs w:val="28"/>
          <w:highlight w:val="none"/>
        </w:rPr>
        <w:t xml:space="preserve">主要原因是：</w:t>
      </w:r>
      <w:r>
        <w:rPr>
          <w:rFonts w:ascii="宋体" w:eastAsia="宋体" w:hAnsi="宋体" w:cs="宋体" w:hint="eastAsia"/>
          <w:sz w:val="28"/>
          <w:szCs w:val="28"/>
          <w:highlight w:val="none"/>
          <w:lang w:val="en-US" w:eastAsia="zh-CN"/>
        </w:rPr>
        <w:t xml:space="preserve">人员增加</w:t>
      </w:r>
      <w:r>
        <w:rPr>
          <w:rFonts w:ascii="宋体" w:eastAsia="宋体" w:hAnsi="宋体" w:cs="宋体" w:hint="eastAsia"/>
          <w:sz w:val="28"/>
          <w:szCs w:val="28"/>
          <w:highlight w:val="none"/>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740"/>
        <w:jc w:val="left"/>
        <w:textAlignment w:val="auto"/>
        <w:rPr>
          <w:rFonts w:ascii="宋体" w:eastAsia="宋体" w:hAnsi="宋体" w:cs="宋体" w:hint="eastAsia"/>
          <w:sz w:val="28"/>
          <w:szCs w:val="28"/>
        </w:rPr>
      </w:pPr>
      <w:bookmarkStart w:id="14" w:name="_GoBack"/>
      <w:r>
        <w:rPr>
          <w:rFonts w:ascii="宋体" w:eastAsia="宋体" w:hAnsi="宋体" w:cs="宋体" w:hint="eastAsia"/>
          <w:sz w:val="28"/>
          <w:szCs w:val="28"/>
        </w:rPr>
        <w:t xml:space="preserve">(二)按支出结构分类划分，分为基本支出预算和项目支出预算。</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基本支出预算。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基本支出预算</w:t>
      </w:r>
      <w:r>
        <w:rPr>
          <w:rFonts w:ascii="宋体" w:eastAsia="宋体" w:hAnsi="宋体" w:cs="宋体" w:hint="eastAsia"/>
          <w:sz w:val="28"/>
          <w:szCs w:val="28"/>
          <w:lang w:val="en-US" w:eastAsia="zh-CN"/>
        </w:rPr>
        <w:t xml:space="preserve">24.72</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100.00%</w:t>
      </w:r>
      <w:r>
        <w:rPr>
          <w:rFonts w:ascii="宋体" w:eastAsia="宋体" w:hAnsi="宋体" w:cs="宋体"/>
          <w:sz w:val="28"/>
          <w:u w:color="auto"/>
        </w:rPr>
        <w:t xml:space="preserve">,比上年</w:t>
      </w:r>
      <w:r>
        <w:rPr>
          <w:rFonts w:ascii="宋体" w:eastAsia="宋体" w:hAnsi="宋体" w:cs="宋体"/>
          <w:sz w:val="28"/>
          <w:u w:color="auto"/>
        </w:rPr>
        <w:t xml:space="preserve">增长13.57</w:t>
      </w:r>
      <w:r>
        <w:rPr>
          <w:rFonts w:ascii="宋体" w:eastAsia="宋体" w:hAnsi="宋体" w:cs="宋体"/>
          <w:sz w:val="28"/>
          <w:u w:color="auto"/>
        </w:rPr>
        <w:t xml:space="preserve">万元，</w:t>
      </w:r>
      <w:r>
        <w:rPr>
          <w:rFonts w:ascii="宋体" w:eastAsia="宋体" w:hAnsi="宋体" w:cs="宋体"/>
          <w:sz w:val="28"/>
          <w:u w:color="auto"/>
        </w:rPr>
        <w:t xml:space="preserve">增长121.70%</w:t>
      </w:r>
      <w:r>
        <w:rPr>
          <w:rFonts w:ascii="宋体" w:eastAsia="宋体" w:hAnsi="宋体" w:cs="宋体" w:hint="eastAsia"/>
          <w:sz w:val="28"/>
          <w:szCs w:val="28"/>
        </w:rPr>
        <w:t xml:space="preserve">。</w:t>
      </w:r>
      <w:r>
        <w:rPr>
          <w:rFonts w:ascii="宋体" w:eastAsia="宋体" w:hAnsi="宋体" w:cs="宋体" w:hint="eastAsia"/>
          <w:sz w:val="28"/>
          <w:szCs w:val="28"/>
          <w:lang w:val="en-US" w:eastAsia="zh-CN"/>
        </w:rPr>
        <w:t xml:space="preserve">其中：</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1</w:t>
      </w:r>
      <w:r>
        <w:rPr>
          <w:rFonts w:ascii="宋体" w:eastAsia="宋体" w:hAnsi="宋体" w:cs="宋体"/>
          <w:sz w:val="28"/>
          <w:u w:color="auto"/>
        </w:rPr>
        <w:t xml:space="preserve">)</w:t>
      </w:r>
      <w:r>
        <w:rPr>
          <w:rFonts w:ascii="宋体" w:eastAsia="宋体" w:hAnsi="宋体" w:cs="宋体"/>
          <w:sz w:val="28"/>
          <w:u w:color="auto"/>
        </w:rPr>
        <w:t xml:space="preserve">工资福利支出</w:t>
      </w:r>
      <w:r>
        <w:rPr>
          <w:rFonts w:ascii="宋体" w:eastAsia="宋体" w:hAnsi="宋体" w:cs="宋体" w:hint="eastAsia"/>
          <w:sz w:val="28"/>
          <w:szCs w:val="28"/>
          <w:lang w:val="en-US" w:eastAsia="zh-CN"/>
        </w:rPr>
        <w:t xml:space="preserve">24.00</w:t>
      </w:r>
      <w:r>
        <w:rPr>
          <w:rFonts w:ascii="宋体" w:eastAsia="宋体" w:hAnsi="宋体" w:cs="宋体" w:hint="eastAsia"/>
          <w:sz w:val="28"/>
          <w:szCs w:val="28"/>
        </w:rPr>
        <w:t xml:space="preserve">万元，占基本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97.09%</w:t>
      </w:r>
      <w:r>
        <w:rPr>
          <w:rFonts w:ascii="宋体" w:eastAsia="宋体" w:hAnsi="宋体" w:cs="宋体" w:hint="eastAsia"/>
          <w:sz w:val="28"/>
          <w:szCs w:val="28"/>
        </w:rPr>
        <w:t xml:space="preserve">,比上年</w:t>
      </w:r>
      <w:r>
        <w:rPr>
          <w:rFonts w:ascii="宋体" w:eastAsia="宋体" w:hAnsi="宋体" w:cs="宋体"/>
          <w:sz w:val="28"/>
          <w:u w:color="auto"/>
        </w:rPr>
        <w:t xml:space="preserve">增长13.29</w:t>
      </w:r>
      <w:r>
        <w:rPr>
          <w:rFonts w:ascii="宋体" w:eastAsia="宋体" w:hAnsi="宋体" w:cs="宋体"/>
          <w:sz w:val="28"/>
          <w:u w:color="auto"/>
        </w:rPr>
        <w:t xml:space="preserve">万元，</w:t>
      </w:r>
      <w:r>
        <w:rPr>
          <w:rFonts w:ascii="宋体" w:eastAsia="宋体" w:hAnsi="宋体" w:cs="宋体"/>
          <w:sz w:val="28"/>
          <w:u w:color="auto"/>
        </w:rPr>
        <w:t xml:space="preserve">增长124.09%</w:t>
      </w:r>
      <w:r>
        <w:rPr>
          <w:rFonts w:ascii="宋体" w:eastAsia="宋体" w:hAnsi="宋体" w:cs="宋体"/>
          <w:sz w:val="28"/>
          <w:u w:color="auto"/>
        </w:rPr>
        <w:t xml:space="preserve">,主要原因是：人员增加</w:t>
      </w:r>
      <w:r>
        <w:rPr>
          <w:rFonts w:ascii="宋体" w:eastAsia="宋体" w:hAnsi="宋体" w:cs="宋体" w:hint="eastAsia"/>
          <w:sz w:val="28"/>
          <w:szCs w:val="28"/>
          <w:lang w:val="en-US" w:eastAsia="zh-CN"/>
        </w:rPr>
        <w:t xml:space="preserve">。</w:t>
      </w:r>
    </w:p>
    <w:p>
      <w:pPr>
        <w:pStyle w:val="Bodytext|3"/>
        <w:keepNext w:val="0"/>
        <w:keepLines w:val="0"/>
        <w:pageBreakBefore w:val="0"/>
        <w:widowControl w:val="0"/>
        <w:kinsoku/>
        <w:wordWrap/>
        <w:overflowPunct/>
        <w:topLinePunct w:val="0"/>
        <w:autoSpaceDE/>
        <w:autoSpaceDN/>
        <w:bidi w:val="0"/>
        <w:adjustRightInd/>
        <w:snapToGrid/>
        <w:spacing w:after="0" w:line="600" w:lineRule="exact"/>
        <w:ind w:firstLine="74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w:t>
      </w:r>
      <w:r>
        <w:rPr>
          <w:rFonts w:ascii="宋体" w:eastAsia="宋体" w:hAnsi="宋体" w:cs="宋体"/>
          <w:sz w:val="28"/>
          <w:u w:color="auto"/>
        </w:rPr>
        <w:t xml:space="preserve">2</w:t>
      </w:r>
      <w:r>
        <w:rPr>
          <w:rFonts w:ascii="宋体" w:eastAsia="宋体" w:hAnsi="宋体" w:cs="宋体"/>
          <w:sz w:val="28"/>
          <w:u w:color="auto"/>
        </w:rPr>
        <w:t xml:space="preserve">)</w:t>
      </w:r>
      <w:r>
        <w:rPr>
          <w:rFonts w:ascii="宋体" w:eastAsia="宋体" w:hAnsi="宋体" w:cs="宋体"/>
          <w:sz w:val="28"/>
          <w:u w:color="auto"/>
        </w:rPr>
        <w:t xml:space="preserve">商品和服务支出</w:t>
      </w:r>
      <w:r>
        <w:rPr>
          <w:rFonts w:ascii="宋体" w:eastAsia="宋体" w:hAnsi="宋体" w:cs="宋体" w:hint="eastAsia"/>
          <w:sz w:val="28"/>
          <w:szCs w:val="28"/>
          <w:lang w:val="en-US" w:eastAsia="zh-CN"/>
        </w:rPr>
        <w:t xml:space="preserve">0.71</w:t>
      </w:r>
      <w:r>
        <w:rPr>
          <w:rFonts w:ascii="宋体" w:eastAsia="宋体" w:hAnsi="宋体" w:cs="宋体" w:hint="eastAsia"/>
          <w:sz w:val="28"/>
          <w:szCs w:val="28"/>
        </w:rPr>
        <w:t xml:space="preserve">万元，占基本</w:t>
      </w:r>
      <w:r>
        <w:rPr>
          <w:rFonts w:ascii="宋体" w:eastAsia="宋体" w:hAnsi="宋体" w:cs="宋体" w:hint="eastAsia"/>
          <w:sz w:val="28"/>
          <w:szCs w:val="28"/>
        </w:rPr>
        <w:t xml:space="preserve">支出总预算</w:t>
      </w:r>
      <w:r>
        <w:rPr>
          <w:rFonts w:ascii="宋体" w:eastAsia="宋体" w:hAnsi="宋体" w:cs="宋体" w:hint="eastAsia"/>
          <w:sz w:val="28"/>
          <w:szCs w:val="28"/>
          <w:lang w:val="en-US" w:eastAsia="zh-CN"/>
        </w:rPr>
        <w:t xml:space="preserve">2.87%</w:t>
      </w:r>
      <w:r>
        <w:rPr>
          <w:rFonts w:ascii="宋体" w:eastAsia="宋体" w:hAnsi="宋体" w:cs="宋体" w:hint="eastAsia"/>
          <w:sz w:val="28"/>
          <w:szCs w:val="28"/>
        </w:rPr>
        <w:t xml:space="preserve">,比上年</w:t>
      </w:r>
      <w:r>
        <w:rPr>
          <w:rFonts w:ascii="宋体" w:eastAsia="宋体" w:hAnsi="宋体" w:cs="宋体"/>
          <w:sz w:val="28"/>
          <w:u w:color="auto"/>
        </w:rPr>
        <w:t xml:space="preserve">增长0.27</w:t>
      </w:r>
      <w:r>
        <w:rPr>
          <w:rFonts w:ascii="宋体" w:eastAsia="宋体" w:hAnsi="宋体" w:cs="宋体"/>
          <w:sz w:val="28"/>
          <w:u w:color="auto"/>
        </w:rPr>
        <w:t xml:space="preserve">万元，</w:t>
      </w:r>
      <w:r>
        <w:rPr>
          <w:rFonts w:ascii="宋体" w:eastAsia="宋体" w:hAnsi="宋体" w:cs="宋体"/>
          <w:sz w:val="28"/>
          <w:u w:color="auto"/>
        </w:rPr>
        <w:t xml:space="preserve">增长61.36%</w:t>
      </w:r>
      <w:r>
        <w:rPr>
          <w:rFonts w:ascii="宋体" w:eastAsia="宋体" w:hAnsi="宋体" w:cs="宋体"/>
          <w:sz w:val="28"/>
          <w:u w:color="auto"/>
        </w:rPr>
        <w:t xml:space="preserve">,主要原因是：人员增加，相关经费增加</w:t>
      </w:r>
      <w:r>
        <w:rPr>
          <w:rFonts w:ascii="宋体" w:eastAsia="宋体" w:hAnsi="宋体" w:cs="宋体" w:hint="eastAsia"/>
          <w:sz w:val="28"/>
          <w:szCs w:val="28"/>
          <w:lang w:val="en-US" w:eastAsia="zh-CN"/>
        </w:rPr>
        <w:t xml:space="preserve">。</w:t>
      </w:r>
    </w:p>
    <w:p>
      <w:pPr>
        <w:pStyle w:val="Bodytext|1"/>
        <w:keepNext w:val="0"/>
        <w:keepLines w:val="0"/>
        <w:pageBreakBefore w:val="0"/>
        <w:widowControl w:val="0"/>
        <w:numPr>
          <w:ilvl w:val="0"/>
          <w:numId w:val="3"/>
        </w:numPr>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b w:val="0"/>
          <w:bCs w:val="0"/>
          <w:color w:val="000000"/>
          <w:sz w:val="28"/>
          <w:szCs w:val="28"/>
          <w:lang w:val="zh-TW" w:eastAsia="zh-TW" w:bidi="zh-TW"/>
        </w:rPr>
      </w:pPr>
      <w:r>
        <w:rPr>
          <w:rFonts w:ascii="宋体" w:eastAsia="宋体" w:hAnsi="宋体" w:cs="宋体" w:hint="eastAsia"/>
          <w:b w:val="0"/>
          <w:bCs w:val="0"/>
          <w:color w:val="000000"/>
          <w:sz w:val="28"/>
          <w:szCs w:val="28"/>
          <w:lang w:val="zh-TW" w:eastAsia="zh-TW" w:bidi="zh-TW"/>
        </w:rPr>
        <w:t xml:space="preserve">项目支出预算。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ascii="宋体" w:eastAsia="宋体" w:hAnsi="宋体" w:cs="宋体" w:hint="eastAsia"/>
          <w:sz w:val="28"/>
          <w:szCs w:val="28"/>
          <w:lang w:val="en-US" w:eastAsia="zh-CN"/>
        </w:rPr>
      </w:pPr>
      <w:r>
        <w:rPr>
          <w:rFonts w:ascii="宋体" w:eastAsia="宋体" w:hAnsi="宋体" w:cs="宋体" w:hint="eastAsia"/>
          <w:sz w:val="28"/>
          <w:szCs w:val="28"/>
        </w:rPr>
        <w:t xml:space="preserve">项目支出预算</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万元，占支出预算</w:t>
      </w:r>
      <w:r>
        <w:rPr>
          <w:rFonts w:ascii="宋体" w:eastAsia="宋体" w:hAnsi="宋体" w:cs="宋体"/>
          <w:sz w:val="28"/>
          <w:u w:color="auto"/>
        </w:rPr>
        <w:t xml:space="preserve">0.00%</w:t>
      </w:r>
      <w:r>
        <w:rPr>
          <w:rFonts w:ascii="宋体" w:eastAsia="宋体" w:hAnsi="宋体" w:cs="宋体" w:hint="eastAsia"/>
          <w:sz w:val="28"/>
          <w:szCs w:val="28"/>
        </w:rPr>
        <w:t xml:space="preserve">,比上年</w:t>
      </w:r>
      <w:r>
        <w:rPr>
          <w:rFonts w:ascii="宋体" w:eastAsia="宋体" w:hAnsi="宋体" w:cs="宋体"/>
          <w:sz w:val="28"/>
          <w:u w:color="auto"/>
        </w:rPr>
        <w:t xml:space="preserve">增长0.00</w:t>
      </w:r>
      <w:r>
        <w:rPr>
          <w:rFonts w:ascii="宋体" w:eastAsia="宋体" w:hAnsi="宋体" w:cs="宋体" w:hint="eastAsia"/>
          <w:sz w:val="28"/>
          <w:szCs w:val="28"/>
        </w:rPr>
        <w:t xml:space="preserve">万元，</w:t>
      </w:r>
      <w:r>
        <w:rPr>
          <w:rFonts w:ascii="宋体" w:eastAsia="宋体" w:hAnsi="宋体" w:cs="宋体"/>
          <w:sz w:val="28"/>
          <w:u w:color="auto"/>
        </w:rPr>
        <w:t xml:space="preserve">增长0%</w:t>
      </w:r>
      <w:r>
        <w:rPr>
          <w:rFonts w:ascii="宋体" w:eastAsia="宋体" w:hAnsi="宋体" w:cs="宋体" w:hint="eastAsia"/>
          <w:sz w:val="28"/>
          <w:szCs w:val="28"/>
        </w:rPr>
        <w:t xml:space="preserve">。</w:t>
      </w:r>
      <w:bookmarkEnd w:id="14"/>
    </w:p>
    <w:p>
      <w:pPr>
        <w:pStyle w:val="Bodytext|2"/>
        <w:spacing w:after="0" w:line="619" w:lineRule="exact"/>
        <w:ind w:firstLine="620"/>
        <w:jc w:val="left"/>
        <w:rPr>
          <w:rFonts w:hint="eastAsia"/>
          <w:b/>
          <w:bCs/>
          <w:lang w:val="en-US" w:eastAsia="zh-CN"/>
        </w:rPr>
      </w:pPr>
      <w:r>
        <w:rPr>
          <w:rFonts w:hint="eastAsia"/>
          <w:b/>
          <w:bCs/>
          <w:lang w:val="en-US" w:eastAsia="zh-CN"/>
        </w:rPr>
        <w:t xml:space="preserve">四、财政拨款收支总体情况说明</w:t>
      </w:r>
    </w:p>
    <w:p>
      <w:pPr>
        <w:pStyle w:val="Bodytext|1"/>
        <w:spacing w:line="240" w:lineRule="auto"/>
        <w:ind w:firstLine="0"/>
        <w:jc w:val="left"/>
        <w:rPr>
          <w:lang w:val="en-US" w:eastAsia="zh-CN"/>
        </w:rPr>
      </w:pPr>
      <w:r>
        <w:rPr>
          <w:rFonts w:hint="eastAsia"/>
          <w:lang w:val="en-US" w:eastAsia="zh-CN"/>
        </w:rPr>
        <w:drawing>
          <wp:inline distT="0" distB="0" distL="114300" distR="114300">
            <wp:extent cx="5080000" cy="3810000"/>
            <wp:effectExtent l="4445" t="4445" r="5715" b="10795"/>
            <wp:docPr id="582" name="图表 13" title="{{img_sz_c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8"/>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u w:color="auto"/>
        </w:rPr>
        <w:t xml:space="preserve">年</w:t>
      </w:r>
      <w:r>
        <w:rPr>
          <w:rFonts w:ascii="宋体" w:eastAsia="宋体" w:hAnsi="宋体" w:cs="宋体" w:hint="eastAsia"/>
          <w:sz w:val="28"/>
          <w:szCs w:val="28"/>
        </w:rPr>
        <w:t xml:space="preserve">财政拨款收入我部门财政拨款总收入</w:t>
      </w:r>
      <w:r>
        <w:rPr>
          <w:rFonts w:ascii="宋体" w:eastAsia="宋体" w:hAnsi="宋体" w:cs="宋体" w:hint="eastAsia"/>
          <w:sz w:val="28"/>
          <w:szCs w:val="28"/>
          <w:lang w:val="en-US" w:eastAsia="zh-CN" w:bidi="en-US"/>
        </w:rPr>
        <w:t xml:space="preserve">24.72</w:t>
      </w:r>
      <w:r>
        <w:rPr>
          <w:rFonts w:ascii="宋体" w:eastAsia="宋体" w:hAnsi="宋体" w:cs="宋体" w:hint="eastAsia"/>
          <w:sz w:val="28"/>
          <w:szCs w:val="28"/>
        </w:rPr>
        <w:t xml:space="preserve">万元，总支出</w:t>
      </w:r>
      <w:r>
        <w:rPr>
          <w:rFonts w:ascii="宋体" w:eastAsia="宋体" w:hAnsi="宋体" w:cs="宋体" w:hint="eastAsia"/>
          <w:sz w:val="28"/>
          <w:szCs w:val="28"/>
          <w:lang w:val="en-US" w:eastAsia="zh-CN" w:bidi="en-US"/>
        </w:rPr>
        <w:t xml:space="preserve">24.72</w:t>
      </w:r>
      <w:r>
        <w:rPr>
          <w:rFonts w:ascii="宋体" w:eastAsia="宋体" w:hAnsi="宋体" w:cs="宋体" w:hint="eastAsia"/>
          <w:sz w:val="28"/>
          <w:szCs w:val="28"/>
        </w:rPr>
        <w:t xml:space="preserve">万元。财政拨款总收入较2023年度预算数</w:t>
      </w:r>
      <w:r>
        <w:rPr>
          <w:rFonts w:ascii="宋体" w:eastAsia="宋体" w:hAnsi="宋体" w:cs="宋体" w:hint="eastAsia"/>
          <w:sz w:val="28"/>
          <w:szCs w:val="28"/>
          <w:lang w:val="en-US" w:eastAsia="zh-CN" w:bidi="en-US"/>
        </w:rPr>
        <w:t xml:space="preserve">11.15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增加13.57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增长121.70%</w:t>
      </w:r>
      <w:r>
        <w:rPr>
          <w:rFonts w:ascii="宋体" w:eastAsia="宋体" w:hAnsi="宋体" w:cs="宋体" w:hint="eastAsia"/>
          <w:sz w:val="28"/>
          <w:szCs w:val="28"/>
        </w:rPr>
        <w:t xml:space="preserve">，主要原因是</w:t>
      </w:r>
      <w:r>
        <w:rPr>
          <w:rFonts w:hint="eastAsia"/>
          <w:highlight w:val="none"/>
          <w:lang w:val="en-US" w:eastAsia="zh-CN"/>
        </w:rPr>
        <w:t xml:space="preserve">人员增加调整，相关经费增加</w:t>
      </w:r>
      <w:r>
        <w:rPr>
          <w:rFonts w:ascii="宋体" w:eastAsia="宋体" w:hAnsi="宋体" w:cs="宋体" w:hint="eastAsia"/>
          <w:sz w:val="28"/>
          <w:szCs w:val="28"/>
        </w:rPr>
        <w:t xml:space="preserve">。财政拨款总支出较2023年度预算数</w:t>
      </w:r>
      <w:r>
        <w:rPr>
          <w:rFonts w:ascii="宋体" w:eastAsia="宋体" w:hAnsi="宋体" w:cs="宋体" w:hint="eastAsia"/>
          <w:sz w:val="28"/>
          <w:szCs w:val="28"/>
          <w:lang w:val="en-US" w:eastAsia="zh-CN" w:bidi="en-US"/>
        </w:rPr>
        <w:t xml:space="preserve">11.15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增加13.57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bidi="en-US"/>
        </w:rPr>
        <w:t xml:space="preserve">增长121.70%</w:t>
      </w:r>
      <w:r>
        <w:rPr>
          <w:rFonts w:ascii="宋体" w:eastAsia="宋体" w:hAnsi="宋体" w:cs="宋体" w:hint="eastAsia"/>
          <w:sz w:val="28"/>
          <w:szCs w:val="28"/>
        </w:rPr>
        <w:t xml:space="preserve">，主要原因是</w:t>
      </w:r>
      <w:r>
        <w:rPr>
          <w:rFonts w:hint="eastAsia"/>
          <w:highlight w:val="none"/>
          <w:lang w:val="en-US" w:eastAsia="zh-CN"/>
        </w:rPr>
        <w:t xml:space="preserve">人员增加调整，相关经费增加</w:t>
      </w:r>
      <w:r>
        <w:rPr>
          <w:rFonts w:ascii="宋体" w:eastAsia="宋体" w:hAnsi="宋体" w:cs="宋体" w:hint="eastAsia"/>
          <w:sz w:val="28"/>
          <w:szCs w:val="28"/>
        </w:rPr>
        <w:t xml:space="preserve">。</w:t>
      </w:r>
    </w:p>
    <w:p>
      <w:pPr>
        <w:pStyle w:val="Bodytext|2"/>
        <w:spacing w:after="0" w:line="619" w:lineRule="exact"/>
        <w:ind w:firstLine="620"/>
        <w:jc w:val="left"/>
        <w:rPr>
          <w:rFonts w:hint="eastAsia"/>
          <w:b/>
          <w:bCs/>
          <w:lang w:val="en-US" w:eastAsia="zh-CN"/>
        </w:rPr>
      </w:pPr>
      <w:r>
        <w:rPr>
          <w:rFonts w:hint="eastAsia"/>
          <w:b/>
          <w:bCs/>
          <w:lang w:val="en-US" w:eastAsia="zh-CN"/>
        </w:rPr>
        <w:t xml:space="preserve">五、一般公共预算支出情况说明</w:t>
      </w:r>
    </w:p>
    <w:p>
      <w:pPr>
        <w:pStyle w:val="Bodytext|1"/>
        <w:spacing w:line="240" w:lineRule="auto"/>
        <w:ind w:firstLine="0"/>
        <w:jc w:val="left"/>
        <w:rPr>
          <w:lang w:eastAsia="zh-CN"/>
        </w:rPr>
      </w:pPr>
      <w:r>
        <w:rPr>
          <w:lang w:eastAsia="zh-CN"/>
        </w:rPr>
        <w:drawing>
          <wp:inline distT="0" distB="0" distL="114300" distR="114300">
            <wp:extent cx="5080000" cy="3810000"/>
            <wp:effectExtent l="4445" t="4445" r="20955" b="14605"/>
            <wp:docPr id="583" name="图表 10" title="{{img_zc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9"/>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lang w:eastAsia="zh-CN"/>
        </w:rPr>
        <w:t xml:space="preserve">2024</w:t>
      </w:r>
      <w:r>
        <w:rPr>
          <w:rFonts w:ascii="宋体" w:eastAsia="宋体" w:hAnsi="宋体" w:cs="宋体" w:hint="eastAsia"/>
          <w:sz w:val="28"/>
          <w:szCs w:val="28"/>
          <w:lang w:val="en-US" w:eastAsia="zh-CN"/>
        </w:rPr>
        <w:t xml:space="preserve">年</w:t>
      </w:r>
      <w:r>
        <w:rPr>
          <w:rFonts w:ascii="宋体" w:eastAsia="宋体" w:hAnsi="宋体" w:cs="宋体" w:hint="eastAsia"/>
          <w:sz w:val="28"/>
          <w:szCs w:val="28"/>
        </w:rPr>
        <w:t xml:space="preserve">一般公共预算支出共</w:t>
      </w:r>
      <w:r>
        <w:rPr>
          <w:rFonts w:ascii="宋体" w:eastAsia="宋体" w:hAnsi="宋体" w:cs="宋体" w:hint="eastAsia"/>
          <w:sz w:val="28"/>
          <w:szCs w:val="28"/>
          <w:lang w:val="en-US" w:eastAsia="zh-CN"/>
        </w:rPr>
        <w:t xml:space="preserve">24.72</w:t>
      </w:r>
      <w:r>
        <w:rPr>
          <w:rFonts w:ascii="宋体" w:eastAsia="宋体" w:hAnsi="宋体" w:cs="宋体" w:hint="eastAsia"/>
          <w:sz w:val="28"/>
          <w:szCs w:val="28"/>
        </w:rPr>
        <w:t xml:space="preserve">万元，较2023年度预算数</w:t>
      </w:r>
      <w:r>
        <w:rPr>
          <w:rFonts w:ascii="宋体" w:eastAsia="宋体" w:hAnsi="宋体" w:cs="宋体" w:hint="eastAsia"/>
          <w:sz w:val="28"/>
          <w:szCs w:val="28"/>
          <w:lang w:val="en-US" w:eastAsia="zh-CN"/>
        </w:rPr>
        <w:t xml:space="preserve">11.15</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增加13.57</w:t>
      </w:r>
      <w:r>
        <w:rPr>
          <w:rFonts w:ascii="宋体" w:eastAsia="宋体" w:hAnsi="宋体" w:cs="宋体" w:hint="eastAsia"/>
          <w:sz w:val="28"/>
          <w:szCs w:val="28"/>
        </w:rPr>
        <w:t xml:space="preserve">万元，</w:t>
      </w:r>
      <w:r>
        <w:rPr>
          <w:rFonts w:ascii="宋体" w:eastAsia="宋体" w:hAnsi="宋体" w:cs="宋体" w:hint="eastAsia"/>
          <w:sz w:val="28"/>
          <w:szCs w:val="28"/>
          <w:lang w:val="en-US" w:eastAsia="zh-CN"/>
        </w:rPr>
        <w:t xml:space="preserve">增长121.70%</w:t>
      </w:r>
      <w:r>
        <w:rPr>
          <w:rFonts w:ascii="宋体" w:eastAsia="宋体" w:hAnsi="宋体" w:cs="宋体" w:hint="eastAsia"/>
          <w:sz w:val="28"/>
          <w:szCs w:val="28"/>
        </w:rPr>
        <w:t xml:space="preserve">，主要原因是</w:t>
      </w:r>
      <w:r>
        <w:rPr>
          <w:rFonts w:hint="eastAsia"/>
          <w:highlight w:val="none"/>
          <w:lang w:val="en-US" w:eastAsia="zh-CN"/>
        </w:rPr>
        <w:t xml:space="preserve">人员增加调整，相关经费增加</w:t>
      </w:r>
      <w:r>
        <w:rPr>
          <w:rFonts w:ascii="宋体" w:eastAsia="宋体" w:hAnsi="宋体" w:cs="宋体" w:hint="eastAsia"/>
          <w:sz w:val="28"/>
          <w:szCs w:val="28"/>
        </w:rPr>
        <w:t xml:space="preserve">。中央提前下达2024年一般公共预算转移支付资金安排的支出</w:t>
      </w:r>
      <w:r>
        <w:rPr>
          <w:rFonts w:ascii="宋体" w:eastAsia="宋体" w:hAnsi="宋体" w:cs="宋体" w:hint="eastAsia"/>
          <w:sz w:val="28"/>
          <w:szCs w:val="28"/>
          <w:lang w:val="en-US" w:eastAsia="zh-CN"/>
        </w:rPr>
        <w:t xml:space="preserve">0.00</w:t>
      </w:r>
      <w:r>
        <w:rPr>
          <w:rFonts w:ascii="宋体" w:eastAsia="宋体" w:hAnsi="宋体" w:cs="宋体" w:hint="eastAsia"/>
          <w:sz w:val="28"/>
          <w:szCs w:val="28"/>
        </w:rPr>
        <w:t xml:space="preserve">万元。具体情况为：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一般公共服务支出</w:t>
      </w:r>
      <w:r>
        <w:rPr>
          <w:rFonts w:ascii="宋体" w:eastAsia="宋体" w:hAnsi="宋体" w:cs="宋体" w:hint="eastAsia"/>
          <w:sz w:val="28"/>
          <w:szCs w:val="28"/>
        </w:rPr>
        <w:t xml:space="preserve">（类）支出</w:t>
      </w:r>
      <w:r>
        <w:rPr>
          <w:rFonts w:ascii="宋体" w:eastAsia="宋体" w:hAnsi="宋体" w:cs="宋体"/>
          <w:sz w:val="28"/>
          <w:u w:color="auto"/>
        </w:rPr>
        <w:t xml:space="preserve">0.23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0.93%</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0.20</w:t>
      </w:r>
      <w:r>
        <w:rPr>
          <w:rFonts w:ascii="宋体" w:eastAsia="宋体" w:hAnsi="宋体" w:cs="宋体" w:hint="eastAsia"/>
          <w:sz w:val="28"/>
          <w:szCs w:val="28"/>
        </w:rPr>
        <w:t xml:space="preserve">万元，</w:t>
      </w:r>
      <w:r>
        <w:rPr>
          <w:rFonts w:ascii="宋体" w:eastAsia="宋体" w:hAnsi="宋体" w:cs="宋体"/>
          <w:sz w:val="28"/>
          <w:u w:color="auto"/>
        </w:rPr>
        <w:t xml:space="preserve">增长0.03</w:t>
      </w:r>
      <w:r>
        <w:rPr>
          <w:rFonts w:ascii="宋体" w:eastAsia="宋体" w:hAnsi="宋体" w:cs="宋体" w:hint="eastAsia"/>
          <w:sz w:val="28"/>
          <w:szCs w:val="28"/>
        </w:rPr>
        <w:t xml:space="preserve">万元，</w:t>
      </w:r>
      <w:r>
        <w:rPr>
          <w:rFonts w:ascii="宋体" w:eastAsia="宋体" w:hAnsi="宋体" w:cs="宋体"/>
          <w:sz w:val="28"/>
          <w:u w:color="auto"/>
        </w:rPr>
        <w:t xml:space="preserve">增长15.00%</w:t>
      </w:r>
      <w:r>
        <w:rPr>
          <w:rFonts w:ascii="宋体" w:eastAsia="宋体" w:hAnsi="宋体" w:cs="宋体" w:hint="eastAsia"/>
          <w:sz w:val="28"/>
          <w:szCs w:val="28"/>
        </w:rPr>
        <w:t xml:space="preserve">，主要原因是：</w:t>
      </w:r>
      <w:r>
        <w:rPr>
          <w:rFonts w:hint="eastAsia"/>
          <w:highlight w:val="none"/>
        </w:rPr>
        <w:t xml:space="preserve">人员经费增加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住房保障支出</w:t>
      </w:r>
      <w:r>
        <w:rPr>
          <w:rFonts w:ascii="宋体" w:eastAsia="宋体" w:hAnsi="宋体" w:cs="宋体" w:hint="eastAsia"/>
          <w:sz w:val="28"/>
          <w:szCs w:val="28"/>
        </w:rPr>
        <w:t xml:space="preserve">（类）支出</w:t>
      </w:r>
      <w:r>
        <w:rPr>
          <w:rFonts w:ascii="宋体" w:eastAsia="宋体" w:hAnsi="宋体" w:cs="宋体"/>
          <w:sz w:val="28"/>
          <w:u w:color="auto"/>
        </w:rPr>
        <w:t xml:space="preserve">2.47</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9.99%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1.19</w:t>
      </w:r>
      <w:r>
        <w:rPr>
          <w:rFonts w:ascii="宋体" w:eastAsia="宋体" w:hAnsi="宋体" w:cs="宋体" w:hint="eastAsia"/>
          <w:sz w:val="28"/>
          <w:szCs w:val="28"/>
        </w:rPr>
        <w:t xml:space="preserve">万元，</w:t>
      </w:r>
      <w:r>
        <w:rPr>
          <w:rFonts w:ascii="宋体" w:eastAsia="宋体" w:hAnsi="宋体" w:cs="宋体"/>
          <w:sz w:val="28"/>
          <w:u w:color="auto"/>
        </w:rPr>
        <w:t xml:space="preserve">增长1.28</w:t>
      </w:r>
      <w:r>
        <w:rPr>
          <w:rFonts w:ascii="宋体" w:eastAsia="宋体" w:hAnsi="宋体" w:cs="宋体" w:hint="eastAsia"/>
          <w:sz w:val="28"/>
          <w:szCs w:val="28"/>
        </w:rPr>
        <w:t xml:space="preserve">万元，</w:t>
      </w:r>
      <w:r>
        <w:rPr>
          <w:rFonts w:ascii="宋体" w:eastAsia="宋体" w:hAnsi="宋体" w:cs="宋体"/>
          <w:sz w:val="28"/>
          <w:u w:color="auto"/>
        </w:rPr>
        <w:t xml:space="preserve">增长107.56%</w:t>
      </w:r>
      <w:r>
        <w:rPr>
          <w:rFonts w:ascii="宋体" w:eastAsia="宋体" w:hAnsi="宋体" w:cs="宋体" w:hint="eastAsia"/>
          <w:sz w:val="28"/>
          <w:szCs w:val="28"/>
        </w:rPr>
        <w:t xml:space="preserve">，主要原因是：</w:t>
      </w:r>
      <w:r>
        <w:rPr>
          <w:rFonts w:hint="eastAsia"/>
          <w:highlight w:val="none"/>
        </w:rPr>
        <w:t xml:space="preserve">人员增加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农林水支出</w:t>
      </w:r>
      <w:r>
        <w:rPr>
          <w:rFonts w:ascii="宋体" w:eastAsia="宋体" w:hAnsi="宋体" w:cs="宋体" w:hint="eastAsia"/>
          <w:sz w:val="28"/>
          <w:szCs w:val="28"/>
        </w:rPr>
        <w:t xml:space="preserve">（类）支出</w:t>
      </w:r>
      <w:r>
        <w:rPr>
          <w:rFonts w:ascii="宋体" w:eastAsia="宋体" w:hAnsi="宋体" w:cs="宋体"/>
          <w:sz w:val="28"/>
          <w:u w:color="auto"/>
        </w:rPr>
        <w:t xml:space="preserve">19.18</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77.59%</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8.17</w:t>
      </w:r>
      <w:r>
        <w:rPr>
          <w:rFonts w:ascii="宋体" w:eastAsia="宋体" w:hAnsi="宋体" w:cs="宋体" w:hint="eastAsia"/>
          <w:sz w:val="28"/>
          <w:szCs w:val="28"/>
        </w:rPr>
        <w:t xml:space="preserve">万元，</w:t>
      </w:r>
      <w:r>
        <w:rPr>
          <w:rFonts w:ascii="宋体" w:eastAsia="宋体" w:hAnsi="宋体" w:cs="宋体"/>
          <w:sz w:val="28"/>
          <w:u w:color="auto"/>
        </w:rPr>
        <w:t xml:space="preserve">增长11.01</w:t>
      </w:r>
      <w:r>
        <w:rPr>
          <w:rFonts w:ascii="宋体" w:eastAsia="宋体" w:hAnsi="宋体" w:cs="宋体" w:hint="eastAsia"/>
          <w:sz w:val="28"/>
          <w:szCs w:val="28"/>
        </w:rPr>
        <w:t xml:space="preserve">万元，</w:t>
      </w:r>
      <w:r>
        <w:rPr>
          <w:rFonts w:ascii="宋体" w:eastAsia="宋体" w:hAnsi="宋体" w:cs="宋体"/>
          <w:sz w:val="28"/>
          <w:u w:color="auto"/>
        </w:rPr>
        <w:t xml:space="preserve">增长134.76%</w:t>
      </w:r>
      <w:r>
        <w:rPr>
          <w:rFonts w:ascii="宋体" w:eastAsia="宋体" w:hAnsi="宋体" w:cs="宋体" w:hint="eastAsia"/>
          <w:sz w:val="28"/>
          <w:szCs w:val="28"/>
        </w:rPr>
        <w:t xml:space="preserve">，主要原因是：</w:t>
      </w:r>
      <w:r>
        <w:rPr>
          <w:rFonts w:hint="eastAsia"/>
          <w:highlight w:val="none"/>
        </w:rPr>
        <w:t xml:space="preserve">人员增加</w:t>
      </w:r>
      <w:r>
        <w:rPr>
          <w:rFonts w:ascii="宋体" w:eastAsia="宋体" w:hAnsi="宋体" w:cs="宋体" w:hint="eastAsia"/>
          <w:sz w:val="28"/>
          <w:szCs w:val="28"/>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ascii="宋体" w:eastAsia="宋体" w:hAnsi="宋体" w:cs="宋体" w:hint="eastAsia"/>
          <w:sz w:val="28"/>
          <w:szCs w:val="28"/>
        </w:rPr>
      </w:pPr>
      <w:r>
        <w:rPr>
          <w:rFonts w:ascii="宋体" w:eastAsia="宋体" w:hAnsi="宋体" w:cs="宋体" w:hint="eastAsia"/>
          <w:sz w:val="28"/>
          <w:szCs w:val="28"/>
        </w:rPr>
        <w:t xml:space="preserve">社会保障和就业支出</w:t>
      </w:r>
      <w:r>
        <w:rPr>
          <w:rFonts w:ascii="宋体" w:eastAsia="宋体" w:hAnsi="宋体" w:cs="宋体" w:hint="eastAsia"/>
          <w:sz w:val="28"/>
          <w:szCs w:val="28"/>
        </w:rPr>
        <w:t xml:space="preserve">（类）支出</w:t>
      </w:r>
      <w:r>
        <w:rPr>
          <w:rFonts w:ascii="宋体" w:eastAsia="宋体" w:hAnsi="宋体" w:cs="宋体"/>
          <w:sz w:val="28"/>
          <w:u w:color="auto"/>
        </w:rPr>
        <w:t xml:space="preserve">2.83</w:t>
      </w:r>
      <w:r>
        <w:rPr>
          <w:rFonts w:ascii="宋体" w:eastAsia="宋体" w:hAnsi="宋体" w:cs="宋体" w:hint="eastAsia"/>
          <w:sz w:val="28"/>
          <w:szCs w:val="28"/>
        </w:rPr>
        <w:t xml:space="preserve">万元，占支出总预算的</w:t>
      </w:r>
      <w:r>
        <w:rPr>
          <w:rFonts w:ascii="宋体" w:eastAsia="宋体" w:hAnsi="宋体" w:cs="宋体"/>
          <w:sz w:val="28"/>
          <w:u w:color="auto"/>
        </w:rPr>
        <w:t xml:space="preserve">11.45%</w:t>
      </w:r>
      <w:r>
        <w:rPr>
          <w:rFonts w:ascii="宋体" w:eastAsia="宋体" w:hAnsi="宋体" w:cs="宋体" w:hint="eastAsia"/>
          <w:sz w:val="28"/>
          <w:szCs w:val="28"/>
          <w:lang w:eastAsia="zh-CN"/>
        </w:rPr>
        <w:t xml:space="preserve">，</w:t>
      </w:r>
      <w:r>
        <w:rPr>
          <w:rFonts w:ascii="宋体" w:eastAsia="宋体" w:hAnsi="宋体" w:cs="宋体" w:hint="eastAsia"/>
          <w:sz w:val="28"/>
          <w:szCs w:val="28"/>
        </w:rPr>
        <w:t xml:space="preserve">较2023年度预算数</w:t>
      </w:r>
      <w:r>
        <w:rPr>
          <w:rFonts w:ascii="宋体" w:eastAsia="宋体" w:hAnsi="宋体" w:cs="宋体"/>
          <w:sz w:val="28"/>
          <w:u w:color="auto"/>
        </w:rPr>
        <w:t xml:space="preserve">1.59</w:t>
      </w:r>
      <w:r>
        <w:rPr>
          <w:rFonts w:ascii="宋体" w:eastAsia="宋体" w:hAnsi="宋体" w:cs="宋体" w:hint="eastAsia"/>
          <w:sz w:val="28"/>
          <w:szCs w:val="28"/>
        </w:rPr>
        <w:t xml:space="preserve">万元，</w:t>
      </w:r>
      <w:r>
        <w:rPr>
          <w:rFonts w:ascii="宋体" w:eastAsia="宋体" w:hAnsi="宋体" w:cs="宋体"/>
          <w:sz w:val="28"/>
          <w:u w:color="auto"/>
        </w:rPr>
        <w:t xml:space="preserve">增长1.24</w:t>
      </w:r>
      <w:r>
        <w:rPr>
          <w:rFonts w:ascii="宋体" w:eastAsia="宋体" w:hAnsi="宋体" w:cs="宋体" w:hint="eastAsia"/>
          <w:sz w:val="28"/>
          <w:szCs w:val="28"/>
        </w:rPr>
        <w:t xml:space="preserve">万元，</w:t>
      </w:r>
      <w:r>
        <w:rPr>
          <w:rFonts w:ascii="宋体" w:eastAsia="宋体" w:hAnsi="宋体" w:cs="宋体"/>
          <w:sz w:val="28"/>
          <w:u w:color="auto"/>
        </w:rPr>
        <w:t xml:space="preserve">增长77.99%</w:t>
      </w:r>
      <w:r>
        <w:rPr>
          <w:rFonts w:ascii="宋体" w:eastAsia="宋体" w:hAnsi="宋体" w:cs="宋体" w:hint="eastAsia"/>
          <w:sz w:val="28"/>
          <w:szCs w:val="28"/>
        </w:rPr>
        <w:t xml:space="preserve">，主要原因是：</w:t>
      </w:r>
      <w:r>
        <w:rPr>
          <w:rFonts w:hint="eastAsia"/>
          <w:highlight w:val="none"/>
        </w:rPr>
        <w:t xml:space="preserve">人员增加</w:t>
      </w:r>
      <w:r>
        <w:rPr>
          <w:rFonts w:ascii="宋体" w:eastAsia="宋体" w:hAnsi="宋体" w:cs="宋体"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六、一般公共预算基本支出情况说明</w:t>
      </w:r>
    </w:p>
    <w:p>
      <w:pPr>
        <w:pStyle w:val="Bodytext|2"/>
        <w:spacing w:after="0"/>
        <w:ind w:firstLine="0"/>
        <w:jc w:val="left"/>
        <w:rPr>
          <w:highlight w:val="yellow"/>
          <w:lang w:val="en-US" w:eastAsia="zh-CN"/>
        </w:rPr>
      </w:pPr>
      <w:r>
        <w:rPr>
          <w:highlight w:val="none"/>
          <w:lang w:val="en-US" w:eastAsia="zh-CN"/>
        </w:rPr>
        <w:drawing>
          <wp:inline distT="0" distB="0" distL="114300" distR="114300">
            <wp:extent cx="5080000" cy="3810000"/>
            <wp:effectExtent l="4445" t="4445" r="20955" b="14605"/>
            <wp:docPr id="584" name="图表 3" title="{{rep6_yb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0"/>
              </a:graphicData>
            </a:graphic>
          </wp:inline>
        </w:drawing>
      </w:r>
    </w:p>
    <w:p>
      <w:pPr>
        <w:pStyle w:val="Bodytext|1"/>
        <w:keepNext w:val="0"/>
        <w:keepLines w:val="0"/>
        <w:pageBreakBefore w:val="0"/>
        <w:widowControl w:val="0"/>
        <w:kinsoku/>
        <w:wordWrap/>
        <w:overflowPunct/>
        <w:topLinePunct w:val="0"/>
        <w:autoSpaceDE/>
        <w:autoSpaceDN/>
        <w:bidi w:val="0"/>
        <w:adjustRightInd/>
        <w:snapToGrid/>
        <w:spacing w:line="600" w:lineRule="exact"/>
        <w:ind w:left="0" w:firstLine="560" w:leftChars="0" w:firstLineChars="200"/>
        <w:jc w:val="left"/>
        <w:textAlignment w:val="auto"/>
        <w:rPr>
          <w:rFonts w:hint="eastAsia"/>
          <w:lang w:val="en-US" w:eastAsia="zh-CN"/>
        </w:rPr>
      </w:pPr>
      <w:r>
        <w:rPr>
          <w:rFonts w:hint="eastAsia"/>
          <w:lang w:val="en-US" w:eastAsia="zh-CN"/>
        </w:rPr>
        <w:t xml:space="preserve">2024</w:t>
      </w:r>
      <w:r>
        <w:rPr>
          <w:u w:color="auto"/>
        </w:rPr>
        <w:t xml:space="preserve">年</w:t>
      </w:r>
      <w:r>
        <w:rPr>
          <w:rFonts w:hint="eastAsia"/>
        </w:rPr>
        <w:t xml:space="preserve">一般公共预算基本支出共</w:t>
      </w:r>
      <w:r>
        <w:rPr>
          <w:rFonts w:hint="eastAsia"/>
          <w:lang w:val="en-US" w:eastAsia="zh-CN"/>
        </w:rPr>
        <w:t xml:space="preserve">24.72</w:t>
      </w:r>
      <w:r>
        <w:rPr>
          <w:rFonts w:hint="eastAsia"/>
        </w:rPr>
        <w:t xml:space="preserve">万元，较2023年度预算数</w:t>
      </w:r>
      <w:r>
        <w:rPr>
          <w:rFonts w:hint="eastAsia"/>
          <w:lang w:val="en-US" w:eastAsia="zh-CN"/>
        </w:rPr>
        <w:t xml:space="preserve">11.15</w:t>
      </w:r>
      <w:r>
        <w:rPr>
          <w:rFonts w:hint="eastAsia"/>
        </w:rPr>
        <w:t xml:space="preserve">万元</w:t>
      </w:r>
      <w:r>
        <w:rPr>
          <w:rFonts w:hint="eastAsia"/>
          <w:lang w:val="en-US" w:eastAsia="zh-CN"/>
        </w:rPr>
        <w:t xml:space="preserve">,</w:t>
      </w:r>
      <w:r>
        <w:rPr>
          <w:u w:color="auto"/>
        </w:rPr>
        <w:t xml:space="preserve">增加13.57</w:t>
      </w:r>
      <w:r>
        <w:rPr>
          <w:rFonts w:hint="eastAsia"/>
        </w:rPr>
        <w:t xml:space="preserve">万元，</w:t>
      </w:r>
      <w:r>
        <w:rPr>
          <w:rFonts w:hint="eastAsia"/>
          <w:lang w:val="en-US" w:eastAsia="zh-CN"/>
        </w:rPr>
        <w:t xml:space="preserve">增长121.70%</w:t>
      </w:r>
      <w:r>
        <w:rPr>
          <w:rFonts w:hint="eastAsia"/>
        </w:rPr>
        <w:t xml:space="preserve">，主要原因是</w:t>
      </w:r>
      <w:r>
        <w:rPr>
          <w:rFonts w:hint="eastAsia"/>
          <w:highlight w:val="none"/>
          <w:lang w:val="en-US" w:eastAsia="zh-CN"/>
        </w:rPr>
        <w:t xml:space="preserve">人员增加相关经费增加</w:t>
      </w:r>
      <w:r>
        <w:rPr>
          <w:rFonts w:hint="eastAsia"/>
        </w:rPr>
        <w:t xml:space="preserve">。具体情况为：</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工资福利支出</w:t>
      </w:r>
      <w:r>
        <w:rPr>
          <w:rFonts w:hint="eastAsia"/>
        </w:rPr>
        <w:t xml:space="preserve">支出预算</w:t>
      </w:r>
      <w:r>
        <w:rPr>
          <w:rFonts w:hint="eastAsia"/>
          <w:lang w:val="en-US" w:eastAsia="zh-CN"/>
        </w:rPr>
        <w:t xml:space="preserve">24.00</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97.09%</w:t>
      </w:r>
      <w:r>
        <w:rPr>
          <w:rFonts w:hint="eastAsia"/>
        </w:rPr>
        <w:t xml:space="preserve">，较2023年度预算数</w:t>
      </w:r>
      <w:r>
        <w:rPr>
          <w:rFonts w:hint="eastAsia"/>
          <w:lang w:val="en-US" w:eastAsia="zh-CN"/>
        </w:rPr>
        <w:t xml:space="preserve">10.71</w:t>
      </w:r>
      <w:r>
        <w:rPr>
          <w:rFonts w:hint="eastAsia"/>
        </w:rPr>
        <w:t xml:space="preserve">万元，</w:t>
      </w:r>
      <w:r>
        <w:rPr>
          <w:rFonts w:hint="eastAsia"/>
          <w:lang w:val="en-US" w:eastAsia="zh-CN"/>
        </w:rPr>
        <w:t xml:space="preserve">增长13.29</w:t>
      </w:r>
      <w:r>
        <w:rPr>
          <w:rFonts w:hint="eastAsia"/>
        </w:rPr>
        <w:t xml:space="preserve">万元，</w:t>
      </w:r>
      <w:r>
        <w:rPr>
          <w:rFonts w:hint="eastAsia"/>
          <w:lang w:val="en-US" w:eastAsia="zh-CN"/>
        </w:rPr>
        <w:t xml:space="preserve">增长124.09%</w:t>
      </w:r>
      <w:r>
        <w:rPr>
          <w:rFonts w:hint="eastAsia"/>
        </w:rPr>
        <w:t xml:space="preserve">，主要原因是：</w:t>
      </w:r>
      <w:r>
        <w:rPr>
          <w:rFonts w:hint="eastAsia"/>
          <w:highlight w:val="none"/>
        </w:rPr>
        <w:t xml:space="preserve">人员增加</w:t>
      </w:r>
      <w:r>
        <w:rPr>
          <w:rFonts w:hint="eastAsia"/>
          <w:highlight w:val="none"/>
          <w:lang w:val="en-US"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0"/>
        <w:jc w:val="left"/>
        <w:textAlignment w:val="auto"/>
        <w:rPr>
          <w:rFonts w:hint="default"/>
          <w:lang w:val="en-US" w:eastAsia="zh-CN"/>
        </w:rPr>
      </w:pPr>
      <w:r>
        <w:rPr>
          <w:rFonts w:hint="eastAsia"/>
          <w:lang w:val="en-US" w:eastAsia="zh-CN"/>
        </w:rPr>
        <w:t xml:space="preserve">商品和服务支出</w:t>
      </w:r>
      <w:r>
        <w:rPr>
          <w:rFonts w:hint="eastAsia"/>
        </w:rPr>
        <w:t xml:space="preserve">支出预算</w:t>
      </w:r>
      <w:r>
        <w:rPr>
          <w:rFonts w:hint="eastAsia"/>
          <w:lang w:val="en-US" w:eastAsia="zh-CN"/>
        </w:rPr>
        <w:t xml:space="preserve">0.71</w:t>
      </w:r>
      <w:r>
        <w:t xml:space="preserve">万元</w:t>
      </w:r>
      <w:r>
        <w:rPr>
          <w:rFonts w:hint="eastAsia"/>
          <w:lang w:eastAsia="zh-CN"/>
        </w:rPr>
        <w:t xml:space="preserve">，</w:t>
      </w:r>
      <w:r>
        <w:rPr>
          <w:rFonts w:hint="eastAsia"/>
        </w:rPr>
        <w:t xml:space="preserve">占基本支出预算的</w:t>
      </w:r>
      <w:r>
        <w:rPr>
          <w:rFonts w:hint="eastAsia"/>
          <w:lang w:val="en-US" w:eastAsia="zh-CN"/>
        </w:rPr>
        <w:t xml:space="preserve">2.87%</w:t>
      </w:r>
      <w:r>
        <w:rPr>
          <w:rFonts w:hint="eastAsia"/>
        </w:rPr>
        <w:t xml:space="preserve">，较2023年度预算数</w:t>
      </w:r>
      <w:r>
        <w:rPr>
          <w:rFonts w:hint="eastAsia"/>
          <w:lang w:val="en-US" w:eastAsia="zh-CN"/>
        </w:rPr>
        <w:t xml:space="preserve">0.44</w:t>
      </w:r>
      <w:r>
        <w:rPr>
          <w:rFonts w:hint="eastAsia"/>
        </w:rPr>
        <w:t xml:space="preserve">万元，</w:t>
      </w:r>
      <w:r>
        <w:rPr>
          <w:rFonts w:hint="eastAsia"/>
          <w:lang w:val="en-US" w:eastAsia="zh-CN"/>
        </w:rPr>
        <w:t xml:space="preserve">增长0.27</w:t>
      </w:r>
      <w:r>
        <w:rPr>
          <w:rFonts w:hint="eastAsia"/>
        </w:rPr>
        <w:t xml:space="preserve">万元，</w:t>
      </w:r>
      <w:r>
        <w:rPr>
          <w:rFonts w:hint="eastAsia"/>
          <w:lang w:val="en-US" w:eastAsia="zh-CN"/>
        </w:rPr>
        <w:t xml:space="preserve">增长61.36%</w:t>
      </w:r>
      <w:r>
        <w:rPr>
          <w:rFonts w:hint="eastAsia"/>
        </w:rPr>
        <w:t xml:space="preserve">，主要原因是：</w:t>
      </w:r>
      <w:r>
        <w:rPr>
          <w:rFonts w:hint="eastAsia"/>
          <w:highlight w:val="none"/>
        </w:rPr>
        <w:t xml:space="preserve">人员增加</w:t>
      </w:r>
      <w:r>
        <w:rPr>
          <w:rFonts w:hint="eastAsia"/>
          <w:highlight w:val="none"/>
          <w:lang w:val="en-US" w:eastAsia="zh-CN"/>
        </w:rPr>
        <w:t xml:space="preserve">。</w:t>
      </w:r>
    </w:p>
    <w:p>
      <w:pPr>
        <w:pStyle w:val="Bodytext|2"/>
        <w:spacing w:after="0" w:line="619" w:lineRule="exact"/>
        <w:ind w:firstLine="620"/>
        <w:jc w:val="left"/>
        <w:rPr>
          <w:rFonts w:hint="eastAsia"/>
          <w:b/>
          <w:bCs/>
        </w:rPr>
      </w:pPr>
      <w:r>
        <w:rPr>
          <w:rFonts w:hint="eastAsia"/>
          <w:b/>
          <w:bCs/>
          <w:lang w:val="en-US" w:eastAsia="zh-CN"/>
        </w:rPr>
        <w:t xml:space="preserve">七、一般公共预算</w:t>
      </w:r>
      <w:r>
        <w:rPr>
          <w:rFonts w:hint="eastAsia"/>
          <w:b/>
          <w:bCs/>
          <w:lang w:val="zh-CN" w:eastAsia="zh-CN"/>
        </w:rPr>
        <w:t xml:space="preserve">“三</w:t>
      </w:r>
      <w:r>
        <w:rPr>
          <w:rFonts w:hint="eastAsia"/>
          <w:b/>
          <w:bCs/>
          <w:lang w:val="en-US" w:eastAsia="zh-CN"/>
        </w:rPr>
        <w:t xml:space="preserve">公”经费支出情况说明</w:t>
      </w:r>
    </w:p>
    <w:p>
      <w:pPr>
        <w:pStyle w:val="Bodytext|2"/>
        <w:spacing w:after="0"/>
        <w:ind w:firstLine="0"/>
        <w:jc w:val="left"/>
        <w:rPr>
          <w:highlight w:val="yellow"/>
          <w:lang w:val="en-US" w:eastAsia="zh-CN"/>
        </w:rPr>
      </w:pPr>
      <w:r>
        <w:rPr>
          <w:rFonts w:hint="eastAsia"/>
          <w:highlight w:val="none"/>
          <w:lang w:val="en-US" w:eastAsia="zh-CN"/>
        </w:rPr>
        <w:drawing>
          <wp:inline distT="0" distB="0" distL="114300" distR="114300">
            <wp:extent cx="5080000" cy="3810000"/>
            <wp:effectExtent l="4445" t="4445" r="5715" b="10795"/>
            <wp:docPr id="585" name="图表 23" title="{{img_sgzc_ys_data}}"/>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r:id="rId11"/>
              </a:graphicData>
            </a:graphic>
          </wp:inline>
        </w:drawing>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lang w:eastAsia="zh-CN"/>
        </w:rPr>
      </w:pPr>
      <w:bookmarkStart w:id="15" w:name="bookmark90"/>
      <w:r>
        <w:rPr>
          <w:rFonts w:hint="eastAsia"/>
          <w:b w:val="0"/>
          <w:bCs w:val="0"/>
          <w:sz w:val="28"/>
          <w:szCs w:val="28"/>
          <w:lang w:eastAsia="zh-CN"/>
        </w:rPr>
        <w:t xml:space="preserve">（</w:t>
      </w:r>
      <w:r>
        <w:rPr>
          <w:rFonts w:hint="eastAsia"/>
          <w:b w:val="0"/>
          <w:bCs w:val="0"/>
          <w:sz w:val="28"/>
          <w:szCs w:val="28"/>
          <w:lang w:val="en-US" w:eastAsia="zh-CN"/>
        </w:rPr>
        <w:t xml:space="preserve">一</w:t>
      </w:r>
      <w:r>
        <w:rPr>
          <w:rFonts w:hint="eastAsia"/>
          <w:b w:val="0"/>
          <w:bCs w:val="0"/>
          <w:sz w:val="28"/>
          <w:szCs w:val="28"/>
          <w:lang w:eastAsia="zh-CN"/>
        </w:rPr>
        <w:t xml:space="preserve">）</w:t>
      </w:r>
      <w:r>
        <w:rPr>
          <w:sz w:val="28"/>
          <w:u w:color="auto"/>
        </w:rPr>
        <w:t xml:space="preserve">2024</w:t>
      </w:r>
      <w:r>
        <w:rPr>
          <w:sz w:val="28"/>
          <w:u w:color="auto"/>
        </w:rPr>
        <w:t xml:space="preserve">年部门预算共安排</w:t>
      </w:r>
      <w:r>
        <w:rPr>
          <w:rFonts w:hint="eastAsia"/>
          <w:b w:val="0"/>
          <w:bCs w:val="0"/>
          <w:sz w:val="28"/>
          <w:szCs w:val="28"/>
          <w:lang w:val="zh-CN" w:eastAsia="zh-CN"/>
        </w:rPr>
        <w:t xml:space="preserve">“三公</w:t>
      </w:r>
      <w:r>
        <w:rPr>
          <w:rFonts w:hint="eastAsia"/>
          <w:b w:val="0"/>
          <w:bCs w:val="0"/>
          <w:sz w:val="28"/>
          <w:szCs w:val="28"/>
          <w:lang w:val="en-US" w:eastAsia="zh-CN"/>
        </w:rPr>
        <w:t xml:space="preserve">"</w:t>
      </w:r>
      <w:r>
        <w:rPr>
          <w:rFonts w:hint="eastAsia"/>
          <w:b w:val="0"/>
          <w:bCs w:val="0"/>
          <w:sz w:val="28"/>
          <w:szCs w:val="28"/>
          <w:lang w:eastAsia="zh-CN"/>
        </w:rPr>
        <w:t xml:space="preserve">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万元（全口径），其中：因公出国（境）经费支出预算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万元，公务接待费支出预算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万元，公务用车购置及运行费支出预算</w:t>
      </w:r>
      <w:r>
        <w:rPr>
          <w:rFonts w:hint="eastAsia"/>
          <w:b w:val="0"/>
          <w:bCs w:val="0"/>
          <w:sz w:val="28"/>
          <w:szCs w:val="28"/>
          <w:lang w:val="en-US" w:eastAsia="zh-CN"/>
        </w:rPr>
        <w:t xml:space="preserve">0.00</w:t>
      </w:r>
      <w:r>
        <w:rPr>
          <w:rFonts w:hint="eastAsia"/>
          <w:b w:val="0"/>
          <w:bCs w:val="0"/>
          <w:sz w:val="28"/>
          <w:szCs w:val="28"/>
          <w:lang w:eastAsia="zh-CN"/>
        </w:rPr>
        <w:t xml:space="preserve">万元（公务用车购置费</w:t>
      </w:r>
      <w:r>
        <w:rPr>
          <w:rFonts w:hint="eastAsia"/>
          <w:b w:val="0"/>
          <w:bCs w:val="0"/>
          <w:sz w:val="28"/>
          <w:szCs w:val="28"/>
          <w:lang w:val="en-US" w:eastAsia="zh-CN"/>
        </w:rPr>
        <w:t xml:space="preserve">0.00</w:t>
      </w:r>
      <w:r>
        <w:rPr>
          <w:rFonts w:hint="eastAsia"/>
          <w:b w:val="0"/>
          <w:bCs w:val="0"/>
          <w:sz w:val="28"/>
          <w:szCs w:val="28"/>
          <w:lang w:eastAsia="zh-CN"/>
        </w:rPr>
        <w:t xml:space="preserve">万元,公务用车运行维护费</w:t>
      </w:r>
      <w:r>
        <w:rPr>
          <w:rFonts w:hint="eastAsia"/>
          <w:b w:val="0"/>
          <w:bCs w:val="0"/>
          <w:sz w:val="28"/>
          <w:szCs w:val="28"/>
          <w:lang w:val="en-US" w:eastAsia="zh-CN"/>
        </w:rPr>
        <w:t xml:space="preserve">0.00</w:t>
      </w:r>
      <w:r>
        <w:rPr>
          <w:rFonts w:hint="eastAsia"/>
          <w:b w:val="0"/>
          <w:bCs w:val="0"/>
          <w:sz w:val="28"/>
          <w:szCs w:val="28"/>
          <w:lang w:eastAsia="zh-CN"/>
        </w:rPr>
        <w:t xml:space="preserve">万元）。</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lang w:eastAsia="zh-CN"/>
        </w:rPr>
        <w:t xml:space="preserve">（</w:t>
      </w:r>
      <w:r>
        <w:rPr>
          <w:rFonts w:hint="eastAsia"/>
          <w:b w:val="0"/>
          <w:bCs w:val="0"/>
          <w:sz w:val="28"/>
          <w:szCs w:val="28"/>
          <w:lang w:val="en-US" w:eastAsia="zh-CN"/>
        </w:rPr>
        <w:t xml:space="preserve">二</w:t>
      </w:r>
      <w:r>
        <w:rPr>
          <w:rFonts w:hint="eastAsia"/>
          <w:b w:val="0"/>
          <w:bCs w:val="0"/>
          <w:sz w:val="28"/>
          <w:szCs w:val="28"/>
          <w:lang w:eastAsia="zh-CN"/>
        </w:rPr>
        <w:t xml:space="preserve">）</w:t>
      </w:r>
      <w:r>
        <w:rPr>
          <w:sz w:val="28"/>
          <w:u w:color="auto"/>
        </w:rPr>
        <w:t xml:space="preserve">2024</w:t>
      </w:r>
      <w:r>
        <w:rPr>
          <w:rFonts w:hint="eastAsia"/>
          <w:b w:val="0"/>
          <w:bCs w:val="0"/>
          <w:sz w:val="28"/>
          <w:szCs w:val="28"/>
        </w:rPr>
        <w:t xml:space="preserve">年一般公共预算安排的“三公”经费支出预算</w:t>
      </w:r>
      <w:r>
        <w:rPr>
          <w:rFonts w:hint="eastAsia"/>
          <w:b w:val="0"/>
          <w:bCs w:val="0"/>
          <w:sz w:val="28"/>
          <w:szCs w:val="28"/>
          <w:lang w:val="en-US" w:eastAsia="zh-CN"/>
        </w:rPr>
        <w:t xml:space="preserve">0.00</w:t>
      </w:r>
      <w:r>
        <w:rPr>
          <w:rFonts w:hint="eastAsia"/>
          <w:b w:val="0"/>
          <w:bCs w:val="0"/>
          <w:sz w:val="28"/>
          <w:szCs w:val="28"/>
        </w:rPr>
        <w:t xml:space="preserve">万元，同口径较2023年度预算数</w:t>
      </w:r>
      <w:r>
        <w:rPr>
          <w:rFonts w:hint="eastAsia"/>
          <w:b w:val="0"/>
          <w:bCs w:val="0"/>
          <w:sz w:val="28"/>
          <w:szCs w:val="28"/>
          <w:lang w:val="en-US" w:eastAsia="zh-CN"/>
        </w:rPr>
        <w:t xml:space="preserve">0.00</w:t>
      </w:r>
      <w:r>
        <w:rPr>
          <w:rFonts w:hint="eastAsia"/>
          <w:b w:val="0"/>
          <w:bCs w:val="0"/>
          <w:sz w:val="28"/>
          <w:szCs w:val="28"/>
        </w:rPr>
        <w:t xml:space="preserve">万元，</w:t>
      </w:r>
      <w:r>
        <w:rPr>
          <w:rFonts w:hint="eastAsia"/>
          <w:b w:val="0"/>
          <w:bCs w:val="0"/>
          <w:sz w:val="28"/>
          <w:szCs w:val="28"/>
          <w:lang w:val="en-US" w:eastAsia="zh-CN"/>
        </w:rPr>
        <w:t xml:space="preserve">增长0.00</w:t>
      </w:r>
      <w:r>
        <w:rPr>
          <w:rFonts w:hint="eastAsia"/>
          <w:b w:val="0"/>
          <w:bCs w:val="0"/>
          <w:sz w:val="28"/>
          <w:szCs w:val="28"/>
        </w:rPr>
        <w:t xml:space="preserve">万元，</w:t>
      </w:r>
      <w:r>
        <w:rPr>
          <w:rFonts w:hint="eastAsia"/>
          <w:b w:val="0"/>
          <w:bCs w:val="0"/>
          <w:sz w:val="28"/>
          <w:szCs w:val="28"/>
          <w:lang w:val="en-US" w:eastAsia="zh-CN"/>
        </w:rPr>
        <w:t xml:space="preserve">增长0%</w:t>
      </w:r>
      <w:r>
        <w:rPr>
          <w:rFonts w:hint="eastAsia"/>
          <w:b w:val="0"/>
          <w:bCs w:val="0"/>
          <w:sz w:val="28"/>
          <w:szCs w:val="28"/>
        </w:rPr>
        <w:t xml:space="preserve">，具体如下：</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1.因公出国（境）费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我部门无此项支出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2.公务接待费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我部门无此项支出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3.公务用车购置及运行费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，其中：</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eastAsia="宋体" w:hint="eastAsia"/>
          <w:b w:val="0"/>
          <w:bCs w:val="0"/>
          <w:sz w:val="28"/>
          <w:szCs w:val="28"/>
          <w:lang w:eastAsia="zh-CN"/>
        </w:rPr>
      </w:pPr>
      <w:r>
        <w:rPr>
          <w:rFonts w:hint="eastAsia"/>
          <w:b w:val="0"/>
          <w:bCs w:val="0"/>
          <w:sz w:val="28"/>
          <w:szCs w:val="28"/>
        </w:rPr>
        <w:t xml:space="preserve">公务用车购置费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我部门无此项支出</w:t>
      </w:r>
      <w:r>
        <w:rPr>
          <w:rFonts w:hint="eastAsia"/>
          <w:b w:val="0"/>
          <w:bCs w:val="0"/>
          <w:sz w:val="28"/>
          <w:szCs w:val="28"/>
        </w:rPr>
        <w:t xml:space="preserve">。</w:t>
      </w:r>
    </w:p>
    <w:p>
      <w:pPr>
        <w:pStyle w:val="Bodytext|2"/>
        <w:keepNext w:val="0"/>
        <w:keepLines w:val="0"/>
        <w:pageBreakBefore w:val="0"/>
        <w:widowControl w:val="0"/>
        <w:tabs>
          <w:tab w:val="left" w:pos="1253"/>
        </w:tabs>
        <w:kinsoku/>
        <w:wordWrap/>
        <w:overflowPunct/>
        <w:topLinePunct w:val="0"/>
        <w:autoSpaceDE/>
        <w:autoSpaceDN/>
        <w:bidi w:val="0"/>
        <w:adjustRightInd/>
        <w:snapToGrid/>
        <w:spacing w:after="0" w:line="600" w:lineRule="exact"/>
        <w:ind w:firstLine="601"/>
        <w:jc w:val="left"/>
        <w:textAlignment w:val="auto"/>
        <w:rPr>
          <w:rFonts w:hint="eastAsia"/>
          <w:b w:val="0"/>
          <w:bCs w:val="0"/>
          <w:sz w:val="28"/>
          <w:szCs w:val="28"/>
        </w:rPr>
      </w:pPr>
      <w:r>
        <w:rPr>
          <w:rFonts w:hint="eastAsia"/>
          <w:b w:val="0"/>
          <w:bCs w:val="0"/>
          <w:sz w:val="28"/>
          <w:szCs w:val="28"/>
        </w:rPr>
        <w:t xml:space="preserve">公务用车运行维护费</w:t>
      </w:r>
      <w:r>
        <w:rPr>
          <w:rFonts w:hint="eastAsia"/>
          <w:b w:val="0"/>
          <w:bCs w:val="0"/>
          <w:sz w:val="28"/>
          <w:szCs w:val="28"/>
          <w:lang w:eastAsia="zh-CN"/>
        </w:rPr>
        <w:t xml:space="preserve">2024</w:t>
      </w:r>
      <w:r>
        <w:rPr>
          <w:rFonts w:hint="eastAsia"/>
          <w:b w:val="0"/>
          <w:bCs w:val="0"/>
          <w:sz w:val="28"/>
          <w:szCs w:val="28"/>
        </w:rPr>
        <w:t xml:space="preserve">年预算安排</w:t>
      </w:r>
      <w:r>
        <w:rPr>
          <w:sz w:val="28"/>
          <w:u w:color="auto"/>
        </w:rPr>
        <w:t xml:space="preserve">0.00</w:t>
      </w:r>
      <w:r>
        <w:rPr>
          <w:rFonts w:hint="eastAsia"/>
          <w:b w:val="0"/>
          <w:bCs w:val="0"/>
          <w:sz w:val="28"/>
          <w:szCs w:val="28"/>
        </w:rPr>
        <w:t xml:space="preserve">万元，较2023年度预算数</w:t>
      </w:r>
      <w:r>
        <w:rPr>
          <w:sz w:val="28"/>
          <w:u w:color="auto"/>
        </w:rPr>
        <w:t xml:space="preserve">0.00</w:t>
      </w:r>
      <w:r>
        <w:rPr>
          <w:rFonts w:hint="eastAsia"/>
          <w:b w:val="0"/>
          <w:bCs w:val="0"/>
          <w:sz w:val="28"/>
          <w:szCs w:val="28"/>
        </w:rPr>
        <w:t xml:space="preserve">万元，</w:t>
      </w:r>
      <w:r>
        <w:rPr>
          <w:sz w:val="28"/>
          <w:u w:color="auto"/>
        </w:rPr>
        <w:t xml:space="preserve">增长0.00</w:t>
      </w:r>
      <w:r>
        <w:rPr>
          <w:rFonts w:hint="eastAsia"/>
          <w:b w:val="0"/>
          <w:bCs w:val="0"/>
          <w:sz w:val="28"/>
          <w:szCs w:val="28"/>
        </w:rPr>
        <w:t xml:space="preserve">万元，</w:t>
      </w:r>
      <w:r>
        <w:rPr>
          <w:sz w:val="28"/>
          <w:u w:color="auto"/>
        </w:rPr>
        <w:t xml:space="preserve">增长0%</w:t>
      </w:r>
      <w:r>
        <w:rPr>
          <w:rFonts w:hint="eastAsia"/>
          <w:b w:val="0"/>
          <w:bCs w:val="0"/>
          <w:sz w:val="28"/>
          <w:szCs w:val="28"/>
        </w:rPr>
        <w:t xml:space="preserve">，主要原因是</w:t>
      </w:r>
      <w:r>
        <w:rPr>
          <w:rFonts w:hint="eastAsia"/>
          <w:sz w:val="28"/>
          <w:szCs w:val="28"/>
          <w:highlight w:val="none"/>
          <w:lang w:val="en-US" w:eastAsia="zh-CN"/>
        </w:rPr>
        <w:t xml:space="preserve">我部门无此项支出</w:t>
      </w:r>
      <w:r>
        <w:rPr>
          <w:rFonts w:hint="eastAsia"/>
          <w:b w:val="0"/>
          <w:bCs w:val="0"/>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r>
        <w:rPr>
          <w:rFonts w:hint="eastAsia"/>
          <w:b/>
          <w:bCs/>
          <w:lang w:val="en-US" w:eastAsia="zh-CN"/>
        </w:rPr>
        <w:t xml:space="preserve">八</w:t>
      </w:r>
      <w:bookmarkEnd w:id="15"/>
      <w:r>
        <w:rPr>
          <w:rFonts w:hint="eastAsia"/>
          <w:b/>
          <w:bCs/>
          <w:lang w:val="en-US" w:eastAsia="zh-CN"/>
        </w:rPr>
        <w:t xml:space="preserve">、政府性基金预算支出情况说明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b w:val="0"/>
          <w:bCs w:val="0"/>
          <w:sz w:val="28"/>
          <w:szCs w:val="28"/>
          <w:lang w:eastAsia="zh-CN"/>
        </w:rPr>
        <w:t xml:space="preserve">2024</w:t>
      </w:r>
      <w:r>
        <w:rPr>
          <w:rFonts w:hint="eastAsia"/>
          <w:sz w:val="28"/>
          <w:szCs w:val="28"/>
        </w:rPr>
        <w:t xml:space="preserve">年政府性基金预算支出共</w:t>
      </w:r>
      <w:r>
        <w:rPr>
          <w:rFonts w:hint="eastAsia"/>
          <w:b w:val="0"/>
          <w:bCs w:val="0"/>
          <w:sz w:val="28"/>
          <w:szCs w:val="28"/>
          <w:lang w:eastAsia="zh-CN"/>
        </w:rPr>
        <w:t xml:space="preserve">0.00</w:t>
      </w:r>
      <w:r>
        <w:rPr>
          <w:rFonts w:hint="eastAsia"/>
          <w:sz w:val="28"/>
          <w:szCs w:val="28"/>
        </w:rPr>
        <w:t xml:space="preserve">万元，较2023年度预算数</w:t>
      </w:r>
      <w:r>
        <w:rPr>
          <w:rFonts w:hint="eastAsia"/>
          <w:b w:val="0"/>
          <w:bCs w:val="0"/>
          <w:sz w:val="28"/>
          <w:szCs w:val="28"/>
          <w:lang w:eastAsia="zh-CN"/>
        </w:rPr>
        <w:t xml:space="preserve">0.00</w:t>
      </w:r>
      <w:r>
        <w:rPr>
          <w:rFonts w:hint="eastAsia"/>
          <w:sz w:val="28"/>
          <w:szCs w:val="28"/>
        </w:rPr>
        <w:t xml:space="preserve">万元，</w:t>
      </w:r>
      <w:r>
        <w:rPr>
          <w:rFonts w:hint="eastAsia"/>
          <w:b w:val="0"/>
          <w:bCs w:val="0"/>
          <w:sz w:val="28"/>
          <w:szCs w:val="28"/>
          <w:lang w:eastAsia="zh-CN"/>
        </w:rPr>
        <w:t xml:space="preserve">增加0.00</w:t>
      </w:r>
      <w:r>
        <w:rPr>
          <w:rFonts w:hint="eastAsia"/>
          <w:sz w:val="28"/>
          <w:szCs w:val="28"/>
        </w:rPr>
        <w:t xml:space="preserve">万元，</w:t>
      </w:r>
      <w:r>
        <w:rPr>
          <w:rFonts w:hint="eastAsia"/>
          <w:b w:val="0"/>
          <w:bCs w:val="0"/>
          <w:sz w:val="28"/>
          <w:szCs w:val="28"/>
          <w:lang w:eastAsia="zh-CN"/>
        </w:rPr>
        <w:t xml:space="preserve">增长0%</w:t>
      </w:r>
      <w:r>
        <w:rPr>
          <w:rFonts w:hint="eastAsia"/>
          <w:sz w:val="28"/>
          <w:szCs w:val="28"/>
        </w:rPr>
        <w:t xml:space="preserve">，主要原因是</w:t>
      </w:r>
      <w:r>
        <w:rPr>
          <w:rFonts w:hint="eastAsia"/>
          <w:sz w:val="28"/>
          <w:szCs w:val="28"/>
          <w:highlight w:val="none"/>
          <w:lang w:val="en-US" w:eastAsia="zh-CN"/>
        </w:rPr>
        <w:t xml:space="preserve">我部门2024年部门预算无政府性基金预算</w:t>
      </w:r>
      <w:r>
        <w:rPr>
          <w:rFonts w:hint="eastAsia"/>
          <w:sz w:val="28"/>
          <w:szCs w:val="28"/>
        </w:rPr>
        <w:t xml:space="preserve">。</w:t>
      </w:r>
    </w:p>
    <w:p>
      <w:pPr>
        <w:pStyle w:val="Bodytext|2"/>
        <w:keepNext w:val="0"/>
        <w:keepLines w:val="0"/>
        <w:pageBreakBefore w:val="0"/>
        <w:widowControl w:val="0"/>
        <w:kinsoku/>
        <w:wordWrap/>
        <w:overflowPunct/>
        <w:topLinePunct w:val="0"/>
        <w:autoSpaceDE/>
        <w:autoSpaceDN/>
        <w:bidi w:val="0"/>
        <w:adjustRightInd/>
        <w:snapToGrid/>
        <w:spacing w:before="120" w:after="0" w:line="600" w:lineRule="exact"/>
        <w:ind w:firstLine="618"/>
        <w:jc w:val="left"/>
        <w:textAlignment w:val="auto"/>
        <w:rPr>
          <w:rFonts w:hint="eastAsia"/>
          <w:b/>
          <w:bCs/>
          <w:lang w:val="en-US" w:eastAsia="zh-CN"/>
        </w:rPr>
      </w:pPr>
      <w:bookmarkStart w:id="16" w:name="bookmark91"/>
      <w:r>
        <w:rPr>
          <w:rFonts w:hint="eastAsia"/>
          <w:b/>
          <w:bCs/>
          <w:lang w:val="en-US" w:eastAsia="zh-CN"/>
        </w:rPr>
        <w:t xml:space="preserve">九</w:t>
      </w:r>
      <w:bookmarkEnd w:id="16"/>
      <w:r>
        <w:rPr>
          <w:rFonts w:hint="eastAsia"/>
          <w:b/>
          <w:bCs/>
          <w:lang w:val="en-US" w:eastAsia="zh-CN"/>
        </w:rPr>
        <w:t xml:space="preserve">、国有资本经营预算支出情况说明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eastAsia="宋体" w:hint="eastAsia"/>
          <w:sz w:val="28"/>
          <w:szCs w:val="28"/>
          <w:lang w:eastAsia="zh-CN"/>
        </w:rPr>
      </w:pPr>
      <w:r>
        <w:rPr>
          <w:rFonts w:hint="eastAsia"/>
          <w:sz w:val="28"/>
          <w:szCs w:val="28"/>
        </w:rPr>
        <w:t xml:space="preserve">我部门</w:t>
      </w:r>
      <w:r>
        <w:rPr>
          <w:rFonts w:hint="eastAsia"/>
          <w:sz w:val="28"/>
          <w:szCs w:val="28"/>
          <w:lang w:eastAsia="zh-CN"/>
        </w:rPr>
        <w:t xml:space="preserve">2024</w:t>
      </w:r>
      <w:r>
        <w:rPr>
          <w:rFonts w:hint="eastAsia"/>
          <w:sz w:val="28"/>
          <w:szCs w:val="28"/>
        </w:rPr>
        <w:t xml:space="preserve">年国有资本经营预算支出共</w:t>
      </w:r>
      <w:r>
        <w:rPr>
          <w:rFonts w:hint="eastAsia"/>
          <w:sz w:val="28"/>
          <w:szCs w:val="28"/>
          <w:lang w:eastAsia="zh-CN"/>
        </w:rPr>
        <w:t xml:space="preserve">0.00</w:t>
      </w:r>
      <w:r>
        <w:rPr>
          <w:rFonts w:hint="eastAsia"/>
          <w:sz w:val="28"/>
          <w:szCs w:val="28"/>
        </w:rPr>
        <w:t xml:space="preserve">万元，较2023年度预算数</w:t>
      </w:r>
      <w:r>
        <w:rPr>
          <w:rFonts w:hint="eastAsia"/>
          <w:sz w:val="28"/>
          <w:szCs w:val="28"/>
          <w:lang w:eastAsia="zh-CN"/>
        </w:rPr>
        <w:t xml:space="preserve">0.00</w:t>
      </w:r>
      <w:r>
        <w:rPr>
          <w:rFonts w:hint="eastAsia"/>
          <w:sz w:val="28"/>
          <w:szCs w:val="28"/>
        </w:rPr>
        <w:t xml:space="preserve">万元，</w:t>
      </w:r>
      <w:r>
        <w:rPr>
          <w:rFonts w:hint="eastAsia"/>
          <w:sz w:val="28"/>
          <w:szCs w:val="28"/>
          <w:lang w:eastAsia="zh-CN"/>
        </w:rPr>
        <w:t xml:space="preserve">增加0.00</w:t>
      </w:r>
      <w:r>
        <w:rPr>
          <w:rFonts w:hint="eastAsia"/>
          <w:sz w:val="28"/>
          <w:szCs w:val="28"/>
        </w:rPr>
        <w:t xml:space="preserve">万元，</w:t>
      </w:r>
      <w:r>
        <w:rPr>
          <w:rFonts w:hint="eastAsia"/>
          <w:sz w:val="28"/>
          <w:szCs w:val="28"/>
          <w:lang w:eastAsia="zh-CN"/>
        </w:rPr>
        <w:t xml:space="preserve">增长0%</w:t>
      </w:r>
      <w:r>
        <w:rPr>
          <w:rFonts w:hint="eastAsia"/>
          <w:sz w:val="28"/>
          <w:szCs w:val="28"/>
        </w:rPr>
        <w:t xml:space="preserve">，主要原因是</w:t>
      </w:r>
      <w:r>
        <w:rPr>
          <w:rFonts w:hint="eastAsia"/>
          <w:sz w:val="28"/>
          <w:szCs w:val="28"/>
          <w:lang w:val="en-US" w:eastAsia="zh-CN"/>
        </w:rPr>
        <w:t xml:space="preserve">我部门2024年部门预算无国有资本经营预算</w:t>
      </w:r>
      <w:r>
        <w:rPr>
          <w:rFonts w:hint="eastAsia"/>
          <w:sz w:val="28"/>
          <w:szCs w:val="28"/>
        </w:rPr>
        <w:t xml:space="preserve">。</w:t>
      </w:r>
    </w:p>
    <w:p>
      <w:pPr>
        <w:pStyle w:val="Bodytext|2"/>
        <w:keepNext w:val="0"/>
        <w:keepLines w:val="0"/>
        <w:pageBreakBefore w:val="0"/>
        <w:widowControl w:val="0"/>
        <w:tabs>
          <w:tab w:val="left" w:pos="1235"/>
        </w:tabs>
        <w:kinsoku/>
        <w:wordWrap/>
        <w:overflowPunct/>
        <w:topLinePunct w:val="0"/>
        <w:autoSpaceDE/>
        <w:autoSpaceDN/>
        <w:bidi w:val="0"/>
        <w:adjustRightInd/>
        <w:snapToGrid/>
        <w:spacing w:before="120" w:after="0" w:line="600" w:lineRule="exact"/>
        <w:ind w:firstLine="578"/>
        <w:jc w:val="left"/>
        <w:textAlignment w:val="auto"/>
        <w:rPr>
          <w:b/>
          <w:bCs/>
        </w:rPr>
      </w:pPr>
      <w:r>
        <w:rPr>
          <w:b/>
          <w:bCs/>
        </w:rPr>
        <w:t xml:space="preserve">十、其他重要事项</w:t>
      </w:r>
      <w:r>
        <w:rPr>
          <w:rFonts w:hint="eastAsia"/>
          <w:b/>
          <w:bCs/>
          <w:lang w:val="en-US" w:eastAsia="zh-CN"/>
        </w:rPr>
        <w:t xml:space="preserve">情况</w:t>
      </w:r>
      <w:r>
        <w:rPr>
          <w:b/>
          <w:bCs/>
        </w:rPr>
        <w:t xml:space="preserve">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（一）机关运行经费安排情况说明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2024</w:t>
      </w:r>
      <w:r>
        <w:rPr>
          <w:rFonts w:ascii="宋体" w:eastAsia="宋体" w:hAnsi="宋体" w:cs="宋体"/>
          <w:sz w:val="28"/>
          <w:u w:color="auto"/>
        </w:rPr>
        <w:t xml:space="preserve">年本部门机关运行经费预算</w:t>
      </w:r>
      <w:r>
        <w:rPr>
          <w:rFonts w:ascii="宋体" w:eastAsia="宋体" w:hAnsi="宋体" w:cs="宋体" w:hint="eastAsia"/>
          <w:sz w:val="28"/>
          <w:szCs w:val="28"/>
          <w:lang w:val="en-US" w:eastAsia="zh-CN"/>
        </w:rPr>
        <w:t xml:space="preserve">0.71</w:t>
      </w:r>
      <w:r>
        <w:rPr>
          <w:rFonts w:ascii="宋体" w:eastAsia="宋体" w:hAnsi="宋体" w:cs="宋体" w:hint="eastAsia"/>
          <w:sz w:val="28"/>
          <w:szCs w:val="28"/>
          <w:lang w:eastAsia="zh-CN"/>
        </w:rPr>
        <w:t xml:space="preserve">万元，较2023年度预算数</w:t>
      </w:r>
      <w:r>
        <w:rPr>
          <w:rFonts w:ascii="宋体" w:eastAsia="宋体" w:hAnsi="宋体" w:cs="宋体" w:hint="eastAsia"/>
          <w:sz w:val="28"/>
          <w:szCs w:val="28"/>
          <w:lang w:val="en-US" w:eastAsia="zh-CN"/>
        </w:rPr>
        <w:t xml:space="preserve">0.44</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增加0.27</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增长61.36%</w:t>
      </w:r>
      <w:r>
        <w:rPr>
          <w:rFonts w:ascii="宋体" w:eastAsia="宋体" w:hAnsi="宋体" w:cs="宋体" w:hint="eastAsia"/>
          <w:sz w:val="28"/>
          <w:szCs w:val="28"/>
          <w:lang w:eastAsia="zh-CN"/>
        </w:rPr>
        <w:t xml:space="preserve">，主要原因是：</w:t>
      </w:r>
      <w:r>
        <w:rPr>
          <w:rFonts w:ascii="宋体" w:eastAsia="宋体" w:hAnsi="宋体" w:cs="宋体" w:hint="eastAsia"/>
          <w:sz w:val="28"/>
          <w:szCs w:val="28"/>
          <w:lang w:val="en-US" w:eastAsia="zh-CN"/>
        </w:rPr>
        <w:t xml:space="preserve">事业运行经费0.71万元，全部是基本支出预算。主要用于本级为保证日常运转发生的基本支出。事业运行经费主要指的是为保障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人员增加，相关经费增加</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（二）政府采购预算安排情况说明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default"/>
          <w:sz w:val="28"/>
          <w:szCs w:val="28"/>
          <w:lang w:val="en-US" w:eastAsia="zh-CN"/>
        </w:rPr>
      </w:pPr>
      <w:r>
        <w:rPr>
          <w:rFonts w:ascii="宋体" w:eastAsia="宋体" w:hAnsi="宋体" w:cs="宋体" w:hint="eastAsia"/>
          <w:sz w:val="28"/>
          <w:szCs w:val="28"/>
          <w:lang w:eastAsia="zh-CN"/>
        </w:rPr>
        <w:t xml:space="preserve">我部门2024年政府采购预算总金额</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万元。其中：货物类采购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万元、工程类采购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万元、服务类采购</w:t>
      </w:r>
      <w:r>
        <w:rPr>
          <w:rFonts w:ascii="宋体" w:eastAsia="宋体" w:hAnsi="宋体" w:cs="宋体" w:hint="eastAsia"/>
          <w:sz w:val="28"/>
          <w:szCs w:val="28"/>
          <w:lang w:val="en-US" w:eastAsia="zh-CN"/>
        </w:rPr>
        <w:t xml:space="preserve">0</w:t>
      </w:r>
      <w:r>
        <w:rPr>
          <w:rFonts w:ascii="宋体" w:eastAsia="宋体" w:hAnsi="宋体" w:cs="宋体" w:hint="eastAsia"/>
          <w:sz w:val="28"/>
          <w:szCs w:val="28"/>
          <w:lang w:eastAsia="zh-CN"/>
        </w:rPr>
        <w:t xml:space="preserve">万元。</w:t>
      </w:r>
      <w:r>
        <w:rPr>
          <w:rFonts w:ascii="宋体" w:eastAsia="宋体" w:hAnsi="宋体" w:cs="宋体" w:hint="eastAsia"/>
          <w:sz w:val="28"/>
          <w:szCs w:val="28"/>
          <w:lang w:val="en-US" w:eastAsia="zh-CN"/>
        </w:rPr>
        <w:t xml:space="preserve">主要用于：无相关采购</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（三）国有资产占用情况说明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截至2023年12月31日，本部门共有车辆</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辆，其中，应急机要通信用车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辆、一般执法执勤用车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辆、特种专业技术用车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辆、其他用车</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辆，单位价值200万元以上大型设备</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台（套）。</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（四）预算绩效目标情况说明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1.我部门2024年所有项目支出全面实施绩效目标管理，涉及项目</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个，预算资金</w:t>
      </w:r>
      <w:r>
        <w:rPr>
          <w:rFonts w:hint="eastAsia"/>
          <w:sz w:val="28"/>
          <w:szCs w:val="28"/>
          <w:highlight w:val="none"/>
          <w:lang w:val="en-US" w:eastAsia="zh-CN"/>
        </w:rPr>
        <w:t xml:space="preserve">0</w:t>
      </w:r>
      <w:r>
        <w:rPr>
          <w:rFonts w:ascii="宋体" w:eastAsia="宋体" w:hAnsi="宋体" w:cs="宋体" w:hint="eastAsia"/>
          <w:sz w:val="28"/>
          <w:szCs w:val="28"/>
          <w:lang w:eastAsia="zh-CN"/>
        </w:rPr>
        <w:t xml:space="preserve">万元。绩效目标情况详见报表（日常运转类项目、工资类人员经费项目和涉密项目等除外）。</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ascii="宋体" w:eastAsia="宋体" w:hAnsi="宋体" w:cs="宋体" w:hint="eastAsia"/>
          <w:sz w:val="28"/>
          <w:szCs w:val="28"/>
          <w:lang w:eastAsia="zh-CN"/>
        </w:rPr>
      </w:pPr>
      <w:r>
        <w:rPr>
          <w:rFonts w:ascii="宋体" w:eastAsia="宋体" w:hAnsi="宋体" w:cs="宋体" w:hint="eastAsia"/>
          <w:sz w:val="28"/>
          <w:szCs w:val="28"/>
          <w:lang w:eastAsia="zh-CN"/>
        </w:rPr>
        <w:t xml:space="preserve">2.重点项目预算绩效目标说明。</w:t>
      </w:r>
    </w:p>
    <w:p>
      <w:pPr>
        <w:pStyle w:val="Bodytext|1"/>
        <w:keepNext w:val="0"/>
        <w:keepLines w:val="0"/>
        <w:pageBreakBefore w:val="0"/>
        <w:widowControl w:val="0"/>
        <w:kinsoku/>
        <w:wordWrap/>
        <w:overflowPunct/>
        <w:topLinePunct w:val="0"/>
        <w:autoSpaceDE/>
        <w:autoSpaceDN/>
        <w:bidi w:val="0"/>
        <w:adjustRightInd/>
        <w:snapToGrid/>
        <w:spacing w:line="600" w:lineRule="exact"/>
        <w:ind w:firstLine="601"/>
        <w:jc w:val="left"/>
        <w:textAlignment w:val="auto"/>
        <w:rPr>
          <w:rFonts w:hint="eastAsia"/>
          <w:sz w:val="28"/>
          <w:szCs w:val="28"/>
          <w:highlight w:val="none"/>
          <w:lang w:val="en-US" w:eastAsia="zh-CN"/>
        </w:rPr>
      </w:pPr>
      <w:r>
        <w:rPr>
          <w:rFonts w:hint="eastAsia"/>
          <w:sz w:val="28"/>
          <w:szCs w:val="28"/>
          <w:highlight w:val="none"/>
          <w:lang w:val="en-US" w:eastAsia="zh-CN"/>
        </w:rPr>
        <w:t xml:space="preserve">我部门2024年所有项目支出无全面实施绩效目标管理，涉及项目</w:t>
      </w:r>
    </w:p>
    <w:p>
      <w:pPr>
        <w:pStyle w:val="Bodytext|1"/>
        <w:spacing w:line="624" w:lineRule="exact"/>
        <w:ind w:firstLine="600"/>
        <w:jc w:val="left"/>
        <w:rPr>
          <w:rFonts w:hint="eastAsia"/>
          <w:sz w:val="28"/>
          <w:szCs w:val="28"/>
          <w:highlight w:val="none"/>
          <w:lang w:val="en-US" w:eastAsia="zh-CN"/>
        </w:rPr>
      </w:pPr>
    </w:p>
    <w:p>
      <w:pPr>
        <w:pStyle w:val="Bodytext|1"/>
        <w:spacing w:line="624" w:lineRule="exact"/>
        <w:jc w:val="left"/>
        <w:rPr>
          <w:rFonts w:hint="default"/>
          <w:sz w:val="28"/>
          <w:szCs w:val="28"/>
          <w:highlight w:val="none"/>
          <w:lang w:val="en-US" w:eastAsia="zh-CN"/>
        </w:rPr>
        <w:sectPr>
          <w:headerReference w:type="default" r:id="rId12"/>
          <w:footerReference w:type="default" r:id="rId13"/>
          <w:pgSz w:w="11900" w:h="16840" w:orient="portrait"/>
          <w:pgMar w:top="1440" w:right="1800" w:bottom="1440" w:left="1800" w:header="0" w:footer="1077" w:gutter="0"/>
          <w:pgBorders>
            <w:top w:val="none" w:sz="0" w:space="0" w:color="auto"/>
            <w:left w:val="none" w:sz="0" w:space="0" w:color="auto"/>
            <w:bottom w:val="none" w:sz="0" w:space="0" w:color="auto"/>
            <w:right w:val="none" w:sz="0" w:space="0" w:color="auto"/>
          </w:pgBorders>
          <w:pgNumType w:fmt="decimal"/>
          <w:cols w:num="1" w:space="720">
            <w:col w:w="8300" w:space="720"/>
          </w:cols>
          <w:docGrid w:linePitch="360" w:charSpace="0"/>
        </w:sectPr>
      </w:pPr>
    </w:p>
    <w:p>
      <w:pPr>
        <w:pStyle w:val="Heading#1|1"/>
        <w:keepNext/>
        <w:keepLines/>
        <w:spacing w:after="980"/>
        <w:jc w:val="center"/>
        <w:rPr>
          <w:rFonts w:ascii="宋体" w:eastAsia="宋体" w:hAnsi="宋体" w:cs="宋体" w:hint="eastAsia"/>
          <w:b/>
          <w:bCs/>
          <w:sz w:val="36"/>
          <w:szCs w:val="36"/>
        </w:rPr>
      </w:pPr>
      <w:bookmarkEnd w:id="10"/>
      <w:bookmarkEnd w:id="11"/>
      <w:bookmarkEnd w:id="12"/>
      <w:r>
        <w:rPr>
          <w:rFonts w:ascii="宋体" w:eastAsia="宋体" w:hAnsi="宋体" w:cs="宋体" w:hint="eastAsia"/>
          <w:b/>
          <w:bCs/>
          <w:sz w:val="36"/>
          <w:szCs w:val="36"/>
        </w:rPr>
        <w:t xml:space="preserve">第</w:t>
      </w:r>
      <w:r>
        <w:rPr>
          <w:rFonts w:ascii="宋体" w:eastAsia="宋体" w:hAnsi="宋体" w:cs="宋体" w:hint="eastAsia"/>
          <w:b/>
          <w:bCs/>
          <w:sz w:val="36"/>
          <w:szCs w:val="36"/>
          <w:lang w:val="en-US" w:eastAsia="zh-CN"/>
        </w:rPr>
        <w:t xml:space="preserve">三</w:t>
      </w:r>
      <w:r>
        <w:rPr>
          <w:rFonts w:ascii="宋体" w:eastAsia="宋体" w:hAnsi="宋体" w:cs="宋体" w:hint="eastAsia"/>
          <w:b/>
          <w:bCs/>
          <w:sz w:val="36"/>
          <w:szCs w:val="36"/>
        </w:rPr>
        <w:t xml:space="preserve">部分</w:t>
      </w:r>
      <w:r>
        <w:rPr>
          <w:rFonts w:ascii="宋体" w:eastAsia="宋体" w:hAnsi="宋体" w:cs="宋体" w:hint="eastAsia"/>
          <w:b/>
          <w:bCs/>
          <w:sz w:val="36"/>
          <w:szCs w:val="36"/>
          <w:lang w:eastAsia="zh-CN"/>
        </w:rPr>
        <w:t xml:space="preserve">环江毛南族自治县东兴镇水利站</w:t>
      </w:r>
      <w:r>
        <w:rPr>
          <w:rFonts w:ascii="宋体" w:eastAsia="宋体" w:hAnsi="宋体" w:cs="宋体"/>
          <w:b/>
          <w:sz w:val="36"/>
          <w:u w:color="auto"/>
        </w:rPr>
        <w:t xml:space="preserve">2024</w:t>
      </w:r>
      <w:r>
        <w:rPr>
          <w:rFonts w:ascii="宋体" w:eastAsia="宋体" w:hAnsi="宋体" w:cs="宋体"/>
          <w:b/>
          <w:sz w:val="36"/>
          <w:u w:color="auto"/>
        </w:rPr>
        <w:t xml:space="preserve">年</w:t>
      </w:r>
      <w:r>
        <w:rPr>
          <w:rFonts w:ascii="宋体" w:eastAsia="宋体" w:hAnsi="宋体" w:cs="宋体" w:hint="eastAsia"/>
          <w:b/>
          <w:bCs/>
          <w:sz w:val="36"/>
          <w:szCs w:val="36"/>
        </w:rPr>
        <w:t xml:space="preserve">部门预算表</w:t>
      </w:r>
    </w:p>
    <w:p>
      <w:pPr>
        <w:pStyle w:val="Heading#2|1"/>
        <w:keepNext/>
        <w:keepLines/>
        <w:spacing w:after="240"/>
        <w:jc w:val="center"/>
      </w:pPr>
      <w:bookmarkStart w:id="17" w:name="bookmark29"/>
      <w:bookmarkStart w:id="18" w:name="bookmark30"/>
      <w:bookmarkStart w:id="19" w:name="bookmark31"/>
      <w:r>
        <w:t xml:space="preserve">收支总体情况表</w:t>
      </w:r>
      <w:bookmarkEnd w:id="17"/>
      <w:bookmarkEnd w:id="18"/>
      <w:bookmarkEnd w:id="19"/>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3339"/>
        <w:gridCol w:w="3760"/>
        <w:gridCol w:w="3542"/>
        <w:gridCol w:w="3571"/>
      </w:tblGrid>
      <w:tr>
        <w:tblPrEx>
          <w:tblW w:w="0" w:type="auto"/>
          <w:tblInd w:w="0" w:type="dxa"/>
          <w:tblLayout w:type="fixed"/>
          <w:tblCellMar>
            <w:top w:w="0" w:type="dxa"/>
            <w:left w:w="10" w:type="dxa"/>
            <w:bottom w:w="0" w:type="dxa"/>
            <w:right w:w="10" w:type="dxa"/>
          </w:tblCellMar>
        </w:tblPrEx>
        <w:trPr>
          <w:trHeight w:hRule="exact" w:val="331"/>
        </w:trPr>
        <w:tc>
          <w:tcPr>
            <w:tcW w:w="10641" w:type="dxa"/>
            <w:gridSpan w:val="3"/>
            <w:tcBorders>
              <w:bottom w:val="single" w:sz="4" w:space="0" w:color="auto"/>
            </w:tcBorders>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环江毛南族自治县东兴镇水利站</w:t>
            </w:r>
          </w:p>
        </w:tc>
        <w:tc>
          <w:tcPr>
            <w:tcW w:w="3571" w:type="dxa"/>
            <w:tcBorders>
              <w:bottom w:val="single" w:sz="4" w:space="0" w:color="auto"/>
            </w:tcBorders>
            <w:shd w:val="clear" w:color="auto" w:fill="FFFFFF"/>
          </w:tcPr>
          <w:p>
            <w:pPr>
              <w:pStyle w:val="Other|1"/>
              <w:spacing w:line="240" w:lineRule="auto"/>
              <w:ind w:firstLine="2380" w:firstLineChars="14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456"/>
        </w:trPr>
        <w:tc>
          <w:tcPr>
            <w:tcW w:w="709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2890" w:firstLineChars="1700"/>
              <w:jc w:val="both"/>
              <w:rPr>
                <w:sz w:val="17"/>
                <w:szCs w:val="17"/>
              </w:rPr>
            </w:pPr>
            <w:r>
              <w:rPr>
                <w:sz w:val="17"/>
                <w:szCs w:val="17"/>
              </w:rPr>
              <w:t xml:space="preserve">收入</w:t>
            </w:r>
          </w:p>
        </w:tc>
        <w:tc>
          <w:tcPr>
            <w:tcW w:w="711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right="340" w:firstLine="2890" w:firstLineChars="1700"/>
              <w:jc w:val="both"/>
              <w:rPr>
                <w:sz w:val="17"/>
                <w:szCs w:val="17"/>
              </w:rPr>
            </w:pPr>
            <w:r>
              <w:rPr>
                <w:sz w:val="17"/>
                <w:szCs w:val="17"/>
              </w:rPr>
              <w:t xml:space="preserve">支出</w:t>
            </w:r>
          </w:p>
        </w:tc>
      </w:tr>
      <w:tr>
        <w:tblPrEx>
          <w:tblW w:w="0" w:type="auto"/>
          <w:tblInd w:w="0" w:type="dxa"/>
          <w:tblLayout w:type="fixed"/>
          <w:tblCellMar>
            <w:top w:w="0" w:type="dxa"/>
            <w:left w:w="10" w:type="dxa"/>
            <w:bottom w:w="0" w:type="dxa"/>
            <w:right w:w="10" w:type="dxa"/>
          </w:tblCellMar>
        </w:tblPrEx>
        <w:trPr>
          <w:trHeight w:hRule="exact" w:val="432"/>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项目</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tabs>
                <w:tab w:val="left" w:pos="894"/>
              </w:tabs>
              <w:spacing w:line="240" w:lineRule="auto"/>
              <w:jc w:val="left"/>
              <w:rPr>
                <w:sz w:val="17"/>
                <w:szCs w:val="17"/>
              </w:rPr>
            </w:pPr>
            <w:r>
              <w:rPr>
                <w:sz w:val="17"/>
                <w:szCs w:val="17"/>
              </w:rPr>
              <w:t xml:space="preserve">项</w:t>
            </w:r>
            <w:r>
              <w:rPr>
                <w:sz w:val="17"/>
                <w:szCs w:val="17"/>
              </w:rPr>
              <w:tab/>
            </w:r>
            <w:r>
              <w:rPr>
                <w:sz w:val="17"/>
                <w:szCs w:val="17"/>
              </w:rPr>
              <w:t xml:space="preserve">目（按支出功能科目分类）</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一、一般公共预算拨款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24.72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一、一般公共服务支出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0.23</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二、外交支出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24.72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三、国防支出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二、政府性基金预算拨款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四、公共安全支出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五、教育支出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六、科学技术支出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三、国有资本经营预算拨款</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七、文化旅游体育与传媒支出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1、上级补助</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八、社会保障和就业支出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2.83</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2、本级</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九、卫生健康支出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四、财政专户管理资金收入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十、节能环保支出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五、事业收入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十一、城乡社区支出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六、事业单位经营收入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十二、农林水支出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19.18</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七、上级补助收入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十三、交通运输支出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八、附属单位上缴收入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十四、资源勘探工业信息等支出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九、其他收入</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十五、商业服务业等支出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十六、金融支出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十七、援助其他地区支出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十八、自然资源海洋气象等支出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十九、住房保障支出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2.47</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二十、粮油物资储备支出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二十一、国有资本经营预算支出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二十二、灾害防治及应急管理支出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二十三、其他支出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二十四、债务还本支出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二十五、债务付息支出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二十六、债务发行费用支出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本年收入合计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24.72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本年支出合计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24.72</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上年结转结余</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结转下年支出</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trHeight w:hRule="exact" w:val="451"/>
        </w:trPr>
        <w:tc>
          <w:tcPr>
            <w:tcW w:w="3339"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收入总计</w:t>
            </w:r>
          </w:p>
        </w:tc>
        <w:tc>
          <w:tcPr>
            <w:tcW w:w="3760"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24.72</w:t>
            </w:r>
          </w:p>
        </w:tc>
        <w:tc>
          <w:tcPr>
            <w:tcW w:w="3542"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180"/>
              <w:jc w:val="left"/>
              <w:rPr>
                <w:rFonts w:eastAsia="宋体" w:hint="default"/>
                <w:sz w:val="17"/>
                <w:szCs w:val="17"/>
                <w:lang w:val="en-US" w:eastAsia="zh-CN"/>
              </w:rPr>
            </w:pPr>
            <w:r>
              <w:rPr>
                <w:rFonts w:hint="eastAsia"/>
                <w:sz w:val="17"/>
                <w:szCs w:val="17"/>
                <w:lang w:val="en-US" w:eastAsia="zh-CN"/>
              </w:rPr>
              <w:t xml:space="preserve">支出总计</w:t>
            </w:r>
          </w:p>
        </w:tc>
        <w:tc>
          <w:tcPr>
            <w:tcW w:w="3571" w:type="dxa"/>
            <w:tcBorders>
              <w:top w:val="single" w:sz="4" w:space="0" w:color="auto"/>
              <w:left w:val="single" w:sz="4" w:space="0" w:color="auto"/>
              <w:bottom w:val="single" w:sz="4" w:space="0" w:color="auto"/>
              <w:right w:val="single" w:sz="4" w:space="0" w:color="auto"/>
            </w:tcBorders>
            <w:shd w:val="clear" w:color="auto" w:fill="auto"/>
            <w:vAlign w:val="center"/>
          </w:tcPr>
          <w:p>
            <w:pPr>
              <w:pStyle w:val="Other|1"/>
              <w:spacing w:line="240" w:lineRule="auto"/>
              <w:ind w:firstLine="0"/>
              <w:jc w:val="left"/>
              <w:rPr>
                <w:rFonts w:eastAsia="宋体" w:hint="default"/>
                <w:sz w:val="17"/>
                <w:szCs w:val="17"/>
                <w:lang w:val="en-US" w:eastAsia="zh-CN"/>
              </w:rPr>
            </w:pPr>
            <w:r>
              <w:rPr>
                <w:rFonts w:hint="eastAsia"/>
                <w:sz w:val="17"/>
                <w:szCs w:val="17"/>
                <w:lang w:val="en-US" w:eastAsia="zh-CN"/>
              </w:rPr>
              <w:t xml:space="preserve">24.72</w:t>
            </w:r>
          </w:p>
        </w:tc>
      </w:tr>
    </w:tbl>
    <w:p>
      <w:pPr>
        <w:pStyle w:val="Tablecaption|1"/>
        <w:ind w:left="101"/>
        <w:jc w:val="left"/>
      </w:pPr>
      <w:r>
        <w:t xml:space="preserve">注：报表金额单位转换时可能存在四舍五入尾数误差。</w:t>
      </w: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pPr>
    </w:p>
    <w:p>
      <w:pPr>
        <w:tabs>
          <w:tab w:val="left" w:pos="859"/>
        </w:tabs>
        <w:jc w:val="left"/>
        <w:rPr>
          <w:rFonts w:eastAsia="宋体"/>
          <w:lang w:eastAsia="zh-CN"/>
        </w:rPr>
        <w:sectPr>
          <w:headerReference w:type="default" r:id="rId14"/>
          <w:footerReference w:type="default" r:id="rId15"/>
          <w:pgSz w:w="16840" w:h="11900" w:orient="landscape"/>
          <w:pgMar w:top="2397" w:right="761" w:bottom="1966" w:left="739" w:header="0" w:footer="1474" w:gutter="0"/>
          <w:pgBorders>
            <w:top w:val="none" w:sz="0" w:space="0" w:color="auto"/>
            <w:left w:val="none" w:sz="0" w:space="0" w:color="auto"/>
            <w:bottom w:val="none" w:sz="0" w:space="0" w:color="auto"/>
            <w:right w:val="none" w:sz="0" w:space="0" w:color="auto"/>
          </w:pgBorders>
          <w:pgNumType w:fmt="decimal"/>
          <w:cols w:num="1" w:space="720">
            <w:col w:w="15340" w:space="720"/>
          </w:cols>
          <w:docGrid w:linePitch="360" w:charSpace="0"/>
        </w:sectPr>
      </w:pPr>
    </w:p>
    <w:p>
      <w:pPr>
        <w:tabs>
          <w:tab w:val="left" w:pos="859"/>
        </w:tabs>
        <w:jc w:val="left"/>
        <w:rPr>
          <w:rFonts w:eastAsia="宋体"/>
          <w:lang w:eastAsia="zh-CN"/>
        </w:rPr>
      </w:pPr>
    </w:p>
    <w:p>
      <w:pPr>
        <w:tabs>
          <w:tab w:val="left" w:pos="859"/>
        </w:tabs>
        <w:jc w:val="center"/>
        <w:rPr>
          <w:rFonts w:eastAsia="宋体" w:hint="eastAsia"/>
          <w:lang w:val="en-US" w:eastAsia="zh-CN"/>
        </w:rPr>
      </w:pPr>
    </w:p>
    <w:p>
      <w:pPr>
        <w:tabs>
          <w:tab w:val="left" w:pos="859"/>
        </w:tabs>
        <w:jc w:val="center"/>
        <w:rPr>
          <w:rFonts w:eastAsia="宋体" w:hint="eastAsia"/>
          <w:lang w:val="en-US" w:eastAsia="zh-CN"/>
        </w:rPr>
      </w:pPr>
      <w:r>
        <w:rPr>
          <w:rFonts w:eastAsia="宋体" w:hint="eastAsia"/>
          <w:lang w:val="en-US" w:eastAsia="zh-CN"/>
        </w:rPr>
        <w:t xml:space="preserve">收入总体情况表</w:t>
      </w:r>
    </w:p>
    <w:p>
      <w:pPr>
        <w:tabs>
          <w:tab w:val="left" w:pos="859"/>
        </w:tabs>
        <w:jc w:val="center"/>
        <w:rPr>
          <w:rFonts w:eastAsia="宋体" w:hint="eastAsia"/>
          <w:lang w:val="en-US"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Look w:firstRow="0" w:lastRow="0" w:firstColumn="0" w:lastColumn="0" w:noHBand="1" w:noVBand="1"/>
      </w:tblPr>
      <w:tblGrid>
        <w:gridCol w:w="1636"/>
        <w:gridCol w:w="1279"/>
        <w:gridCol w:w="990"/>
        <w:gridCol w:w="926"/>
        <w:gridCol w:w="909"/>
        <w:gridCol w:w="968"/>
        <w:gridCol w:w="990"/>
        <w:gridCol w:w="1078"/>
        <w:gridCol w:w="972"/>
        <w:gridCol w:w="919"/>
        <w:gridCol w:w="1011"/>
        <w:gridCol w:w="859"/>
        <w:gridCol w:w="944"/>
        <w:gridCol w:w="150"/>
        <w:gridCol w:w="937"/>
        <w:gridCol w:w="9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270"/>
        </w:trPr>
        <w:tc>
          <w:tcPr>
            <w:tcW w:w="13481" w:type="dxa"/>
            <w:gridSpan w:val="13"/>
            <w:tcBorders>
              <w:top w:val="nil"/>
              <w:left w:val="nil"/>
              <w:right w:val="nil"/>
            </w:tcBorders>
          </w:tcPr>
          <w:p>
            <w:pPr>
              <w:pStyle w:val="Tablecaption|1"/>
              <w:jc w:val="both"/>
              <w:rPr>
                <w:rFonts w:hint="eastAsia"/>
                <w:lang w:val="en-US" w:eastAsia="zh-CN"/>
              </w:rPr>
            </w:pPr>
            <w:r>
              <w:rPr>
                <w:sz w:val="17"/>
                <w:szCs w:val="17"/>
              </w:rPr>
              <w:t xml:space="preserve">单位名称：</w:t>
            </w:r>
            <w:r>
              <w:rPr>
                <w:rFonts w:hint="eastAsia"/>
                <w:sz w:val="17"/>
                <w:szCs w:val="17"/>
                <w:lang w:eastAsia="zh-CN"/>
              </w:rPr>
              <w:t xml:space="preserve">环江毛南族自治县东兴镇水利站</w:t>
            </w:r>
          </w:p>
        </w:tc>
        <w:tc>
          <w:tcPr>
            <w:tcW w:w="2076" w:type="dxa"/>
            <w:gridSpan w:val="3"/>
            <w:tcBorders>
              <w:top w:val="nil"/>
              <w:left w:val="nil"/>
              <w:right w:val="nil"/>
            </w:tcBorders>
          </w:tcPr>
          <w:p>
            <w:pPr>
              <w:pStyle w:val="Tablecaption|1"/>
              <w:ind w:firstLine="340" w:firstLineChars="200"/>
              <w:jc w:val="left"/>
              <w:rPr>
                <w:rFonts w:hint="eastAsia"/>
                <w:lang w:val="en-US" w:eastAsia="zh-CN"/>
              </w:rPr>
            </w:pPr>
            <w:r>
              <w:rPr>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部门（单位）代码</w:t>
            </w:r>
          </w:p>
        </w:tc>
        <w:tc>
          <w:tcPr>
            <w:tcW w:w="1279" w:type="dxa"/>
            <w:vMerge w:val="restart"/>
            <w:vAlign w:val="center"/>
          </w:tcPr>
          <w:p>
            <w:pPr>
              <w:tabs>
                <w:tab w:val="left" w:pos="859"/>
              </w:tabs>
              <w:jc w:val="center"/>
              <w:rPr>
                <w:rFonts w:eastAsia="宋体" w:hint="eastAsia"/>
                <w:vertAlign w:val="baseline"/>
                <w:lang w:val="en-US" w:eastAsia="zh-CN"/>
              </w:rPr>
            </w:pPr>
            <w:r>
              <w:rPr>
                <w:sz w:val="17"/>
                <w:szCs w:val="17"/>
              </w:rPr>
              <w:t xml:space="preserve">部门（单位）名称</w:t>
            </w:r>
          </w:p>
        </w:tc>
        <w:tc>
          <w:tcPr>
            <w:tcW w:w="990" w:type="dxa"/>
            <w:vMerge w:val="restart"/>
            <w:vAlign w:val="center"/>
          </w:tcPr>
          <w:p>
            <w:pPr>
              <w:pStyle w:val="Other|1"/>
              <w:spacing w:line="240" w:lineRule="auto"/>
              <w:ind w:left="0" w:firstLine="0" w:leftChars="0" w:firstLineChars="0"/>
              <w:jc w:val="center"/>
              <w:rPr>
                <w:rFonts w:eastAsia="宋体" w:hint="eastAsia"/>
                <w:vertAlign w:val="baseline"/>
                <w:lang w:val="en-US" w:eastAsia="zh-CN"/>
              </w:rPr>
            </w:pPr>
            <w:r>
              <w:rPr>
                <w:rFonts w:hint="eastAsia"/>
                <w:sz w:val="17"/>
                <w:szCs w:val="17"/>
                <w:lang w:val="en-US" w:eastAsia="zh-CN"/>
              </w:rPr>
              <w:t xml:space="preserve">合</w:t>
            </w:r>
            <w:r>
              <w:rPr>
                <w:sz w:val="17"/>
                <w:szCs w:val="17"/>
              </w:rPr>
              <w:t xml:space="preserve">计</w:t>
            </w:r>
          </w:p>
        </w:tc>
        <w:tc>
          <w:tcPr>
            <w:tcW w:w="5843" w:type="dxa"/>
            <w:gridSpan w:val="6"/>
          </w:tcPr>
          <w:p>
            <w:pPr>
              <w:tabs>
                <w:tab w:val="left" w:pos="859"/>
              </w:tabs>
              <w:jc w:val="center"/>
              <w:rPr>
                <w:rFonts w:eastAsia="宋体" w:hint="eastAsia"/>
                <w:vertAlign w:val="baseline"/>
                <w:lang w:val="en-US" w:eastAsia="zh-CN"/>
              </w:rPr>
            </w:pPr>
            <w:r>
              <w:rPr>
                <w:sz w:val="17"/>
                <w:szCs w:val="17"/>
              </w:rPr>
              <w:t xml:space="preserve">本年收入</w:t>
            </w:r>
          </w:p>
        </w:tc>
        <w:tc>
          <w:tcPr>
            <w:tcW w:w="5809" w:type="dxa"/>
            <w:gridSpan w:val="7"/>
          </w:tcPr>
          <w:p>
            <w:pPr>
              <w:tabs>
                <w:tab w:val="left" w:pos="859"/>
              </w:tabs>
              <w:jc w:val="center"/>
              <w:rPr>
                <w:rFonts w:eastAsia="宋体" w:hint="eastAsia"/>
                <w:vertAlign w:val="baseline"/>
                <w:lang w:val="en-US" w:eastAsia="zh-CN"/>
              </w:rPr>
            </w:pPr>
            <w:r>
              <w:rPr>
                <w:sz w:val="17"/>
                <w:szCs w:val="17"/>
              </w:rPr>
              <w:t xml:space="preserve">上年结转结余</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rHeight w:val="1058"/>
        </w:trPr>
        <w:tc>
          <w:tcPr>
            <w:tcW w:w="1636" w:type="dxa"/>
            <w:vMerge/>
          </w:tcPr>
          <w:p>
            <w:pPr>
              <w:tabs>
                <w:tab w:val="left" w:pos="859"/>
              </w:tabs>
              <w:jc w:val="center"/>
              <w:rPr>
                <w:rFonts w:eastAsia="宋体" w:hint="eastAsia"/>
                <w:vertAlign w:val="baseline"/>
                <w:lang w:val="en-US" w:eastAsia="zh-CN"/>
              </w:rPr>
            </w:pPr>
          </w:p>
        </w:tc>
        <w:tc>
          <w:tcPr>
            <w:tcW w:w="1279" w:type="dxa"/>
            <w:vMerge/>
          </w:tcPr>
          <w:p>
            <w:pPr>
              <w:tabs>
                <w:tab w:val="left" w:pos="859"/>
              </w:tabs>
              <w:jc w:val="center"/>
              <w:rPr>
                <w:rFonts w:eastAsia="宋体" w:hint="eastAsia"/>
                <w:vertAlign w:val="baseline"/>
                <w:lang w:val="en-US" w:eastAsia="zh-CN"/>
              </w:rPr>
            </w:pPr>
          </w:p>
        </w:tc>
        <w:tc>
          <w:tcPr>
            <w:tcW w:w="990" w:type="dxa"/>
            <w:vMerge/>
            <w:vAlign w:val="center"/>
          </w:tcPr>
          <w:p>
            <w:pPr>
              <w:pStyle w:val="Other|1"/>
              <w:spacing w:line="240" w:lineRule="auto"/>
              <w:ind w:firstLine="300" w:firstLineChars="0"/>
              <w:jc w:val="center"/>
              <w:rPr>
                <w:rFonts w:eastAsia="宋体" w:hint="eastAsia"/>
                <w:vertAlign w:val="baseline"/>
                <w:lang w:val="en-US" w:eastAsia="zh-CN"/>
              </w:rPr>
            </w:pPr>
          </w:p>
        </w:tc>
        <w:tc>
          <w:tcPr>
            <w:tcW w:w="926"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90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968"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990"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1078"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firstLine="0" w:firstLineChars="0"/>
              <w:jc w:val="center"/>
              <w:rPr>
                <w:rFonts w:eastAsia="宋体" w:hint="eastAsia"/>
                <w:vertAlign w:val="baseline"/>
                <w:lang w:val="en-US" w:eastAsia="zh-CN"/>
              </w:rPr>
            </w:pPr>
            <w:r>
              <w:rPr>
                <w:sz w:val="17"/>
                <w:szCs w:val="17"/>
              </w:rPr>
              <w:t xml:space="preserve">收入</w:t>
            </w:r>
          </w:p>
        </w:tc>
        <w:tc>
          <w:tcPr>
            <w:tcW w:w="972" w:type="dxa"/>
            <w:vAlign w:val="center"/>
          </w:tcPr>
          <w:p>
            <w:pPr>
              <w:pStyle w:val="Other|1"/>
              <w:spacing w:line="240" w:lineRule="auto"/>
              <w:ind w:firstLine="0" w:firstLineChars="0"/>
              <w:jc w:val="center"/>
              <w:rPr>
                <w:rFonts w:eastAsia="宋体" w:hint="eastAsia"/>
                <w:vertAlign w:val="baseline"/>
                <w:lang w:val="en-US" w:eastAsia="zh-CN"/>
              </w:rPr>
            </w:pPr>
            <w:r>
              <w:rPr>
                <w:sz w:val="17"/>
                <w:szCs w:val="17"/>
              </w:rPr>
              <w:t xml:space="preserve">单位资金</w:t>
            </w:r>
          </w:p>
        </w:tc>
        <w:tc>
          <w:tcPr>
            <w:tcW w:w="919" w:type="dxa"/>
            <w:vAlign w:val="center"/>
          </w:tcPr>
          <w:p>
            <w:pPr>
              <w:pStyle w:val="Other|1"/>
              <w:spacing w:line="240" w:lineRule="auto"/>
              <w:ind w:firstLine="300" w:firstLineChars="0"/>
              <w:jc w:val="center"/>
              <w:rPr>
                <w:rFonts w:eastAsia="宋体" w:hint="eastAsia"/>
                <w:vertAlign w:val="baseline"/>
                <w:lang w:val="en-US" w:eastAsia="zh-CN"/>
              </w:rPr>
            </w:pPr>
            <w:r>
              <w:rPr>
                <w:sz w:val="17"/>
                <w:szCs w:val="17"/>
              </w:rPr>
              <w:t xml:space="preserve">小计</w:t>
            </w:r>
          </w:p>
        </w:tc>
        <w:tc>
          <w:tcPr>
            <w:tcW w:w="1011"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一般公共预算</w:t>
            </w:r>
          </w:p>
        </w:tc>
        <w:tc>
          <w:tcPr>
            <w:tcW w:w="859" w:type="dxa"/>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政府性基金预算</w:t>
            </w:r>
          </w:p>
        </w:tc>
        <w:tc>
          <w:tcPr>
            <w:tcW w:w="1094" w:type="dxa"/>
            <w:gridSpan w:val="2"/>
            <w:vAlign w:val="center"/>
          </w:tcPr>
          <w:p>
            <w:pPr>
              <w:pStyle w:val="Other|1"/>
              <w:spacing w:line="317" w:lineRule="exact"/>
              <w:ind w:firstLine="0" w:firstLineChars="0"/>
              <w:jc w:val="center"/>
              <w:rPr>
                <w:rFonts w:eastAsia="宋体" w:hint="eastAsia"/>
                <w:vertAlign w:val="baseline"/>
                <w:lang w:val="en-US" w:eastAsia="zh-CN"/>
              </w:rPr>
            </w:pPr>
            <w:r>
              <w:rPr>
                <w:sz w:val="17"/>
                <w:szCs w:val="17"/>
              </w:rPr>
              <w:t xml:space="preserve">国有资本经营预算</w:t>
            </w:r>
          </w:p>
        </w:tc>
        <w:tc>
          <w:tcPr>
            <w:tcW w:w="937" w:type="dxa"/>
          </w:tcPr>
          <w:p>
            <w:pPr>
              <w:pStyle w:val="Other|1"/>
              <w:spacing w:line="312" w:lineRule="exact"/>
              <w:ind w:firstLine="0"/>
              <w:jc w:val="center"/>
              <w:rPr>
                <w:sz w:val="17"/>
                <w:szCs w:val="17"/>
              </w:rPr>
            </w:pPr>
            <w:r>
              <w:rPr>
                <w:sz w:val="17"/>
                <w:szCs w:val="17"/>
              </w:rPr>
              <w:t xml:space="preserve">财政专户管理资金</w:t>
            </w:r>
          </w:p>
          <w:p>
            <w:pPr>
              <w:pStyle w:val="Other|1"/>
              <w:spacing w:line="312" w:lineRule="exact"/>
              <w:ind w:right="280" w:firstLine="0" w:rightChars="0" w:firstLineChars="0"/>
              <w:jc w:val="center"/>
              <w:rPr>
                <w:rFonts w:eastAsia="宋体" w:hint="eastAsia"/>
                <w:vertAlign w:val="baseline"/>
                <w:lang w:val="en-US" w:eastAsia="zh-CN"/>
              </w:rPr>
            </w:pPr>
            <w:r>
              <w:rPr>
                <w:sz w:val="17"/>
                <w:szCs w:val="17"/>
              </w:rPr>
              <w:t xml:space="preserve">收入</w:t>
            </w:r>
          </w:p>
        </w:tc>
        <w:tc>
          <w:tcPr>
            <w:tcW w:w="989" w:type="dxa"/>
            <w:vAlign w:val="center"/>
          </w:tcPr>
          <w:p>
            <w:pPr>
              <w:pStyle w:val="Other|1"/>
              <w:spacing w:line="240" w:lineRule="auto"/>
              <w:ind w:firstLine="140" w:firstLineChars="0"/>
              <w:jc w:val="center"/>
              <w:rPr>
                <w:rFonts w:eastAsia="宋体" w:hint="eastAsia"/>
                <w:vertAlign w:val="baseline"/>
                <w:lang w:val="en-US" w:eastAsia="zh-CN"/>
              </w:rPr>
            </w:pPr>
            <w:r>
              <w:rPr>
                <w:sz w:val="17"/>
                <w:szCs w:val="17"/>
              </w:rPr>
              <w:t xml:space="preserve">单位资金</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tcPr>
          <w:p>
            <w:pPr>
              <w:tabs>
                <w:tab w:val="left" w:pos="859"/>
              </w:tabs>
              <w:jc w:val="both"/>
              <w:rPr>
                <w:rFonts w:eastAsia="宋体" w:hint="eastAsia"/>
                <w:vertAlign w:val="baseline"/>
                <w:lang w:val="en-US" w:eastAsia="zh-CN"/>
              </w:rPr>
            </w:pPr>
          </w:p>
        </w:tc>
        <w:tc>
          <w:tcPr>
            <w:tcW w:w="1279" w:type="dxa"/>
          </w:tcPr>
          <w:p>
            <w:pPr>
              <w:tabs>
                <w:tab w:val="left" w:pos="859"/>
              </w:tabs>
              <w:jc w:val="both"/>
              <w:rPr>
                <w:rFonts w:eastAsia="宋体" w:hint="eastAsia"/>
                <w:vertAlign w:val="baseline"/>
                <w:lang w:val="en-US" w:eastAsia="zh-CN"/>
              </w:rPr>
            </w:pPr>
          </w:p>
        </w:tc>
        <w:tc>
          <w:tcPr>
            <w:tcW w:w="990"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w:t>
            </w:r>
          </w:p>
        </w:tc>
        <w:tc>
          <w:tcPr>
            <w:tcW w:w="926"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2</w:t>
            </w:r>
          </w:p>
        </w:tc>
        <w:tc>
          <w:tcPr>
            <w:tcW w:w="909" w:type="dxa"/>
            <w:vAlign w:val="center"/>
          </w:tcPr>
          <w:p>
            <w:pPr>
              <w:pStyle w:val="Other|1"/>
              <w:spacing w:line="240" w:lineRule="auto"/>
              <w:ind w:firstLine="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3</w:t>
            </w:r>
          </w:p>
        </w:tc>
        <w:tc>
          <w:tcPr>
            <w:tcW w:w="96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4</w:t>
            </w:r>
          </w:p>
        </w:tc>
        <w:tc>
          <w:tcPr>
            <w:tcW w:w="990"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5</w:t>
            </w:r>
          </w:p>
        </w:tc>
        <w:tc>
          <w:tcPr>
            <w:tcW w:w="1078"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6</w:t>
            </w:r>
          </w:p>
        </w:tc>
        <w:tc>
          <w:tcPr>
            <w:tcW w:w="972"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7</w:t>
            </w:r>
          </w:p>
        </w:tc>
        <w:tc>
          <w:tcPr>
            <w:tcW w:w="919"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8</w:t>
            </w:r>
          </w:p>
        </w:tc>
        <w:tc>
          <w:tcPr>
            <w:tcW w:w="1011" w:type="dxa"/>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9</w:t>
            </w:r>
          </w:p>
        </w:tc>
        <w:tc>
          <w:tcPr>
            <w:tcW w:w="859" w:type="dxa"/>
            <w:vAlign w:val="center"/>
          </w:tcPr>
          <w:p>
            <w:pPr>
              <w:pStyle w:val="Other|1"/>
              <w:spacing w:line="240" w:lineRule="auto"/>
              <w:ind w:right="36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10</w:t>
            </w:r>
          </w:p>
        </w:tc>
        <w:tc>
          <w:tcPr>
            <w:tcW w:w="1094" w:type="dxa"/>
            <w:gridSpan w:val="2"/>
            <w:vAlign w:val="center"/>
          </w:tcPr>
          <w:p>
            <w:pPr>
              <w:pStyle w:val="Other|1"/>
              <w:spacing w:line="240" w:lineRule="auto"/>
              <w:ind w:left="0" w:firstLine="0" w:lef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11</w:t>
            </w:r>
          </w:p>
        </w:tc>
        <w:tc>
          <w:tcPr>
            <w:tcW w:w="937" w:type="dxa"/>
            <w:vAlign w:val="center"/>
          </w:tcPr>
          <w:p>
            <w:pPr>
              <w:pStyle w:val="Other|1"/>
              <w:spacing w:line="240" w:lineRule="auto"/>
              <w:ind w:right="38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12</w:t>
            </w:r>
          </w:p>
        </w:tc>
        <w:tc>
          <w:tcPr>
            <w:tcW w:w="989" w:type="dxa"/>
            <w:vAlign w:val="center"/>
          </w:tcPr>
          <w:p>
            <w:pPr>
              <w:pStyle w:val="Other|1"/>
              <w:spacing w:line="240" w:lineRule="auto"/>
              <w:ind w:right="420" w:firstLine="0" w:rightChars="0" w:firstLineChars="0"/>
              <w:jc w:val="center"/>
              <w:rPr>
                <w:rFonts w:eastAsia="宋体" w:hint="eastAsia"/>
                <w:vertAlign w:val="baseline"/>
                <w:lang w:val="en-US" w:eastAsia="zh-CN"/>
              </w:rPr>
            </w:pPr>
            <w:r>
              <w:rPr>
                <w:rFonts w:ascii="Times New Roman" w:eastAsia="Times New Roman" w:hAnsi="Times New Roman" w:cs="Times New Roman"/>
                <w:b/>
                <w:bCs/>
                <w:sz w:val="17"/>
                <w:szCs w:val="17"/>
              </w:rPr>
              <w:t xml:space="preserve">13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636" w:type="dxa"/>
            <w:vAlign w:val="center"/>
          </w:tcPr>
          <w:p>
            <w:pPr>
              <w:pStyle w:val="Other|1"/>
              <w:spacing w:line="240" w:lineRule="auto"/>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710008</w:t>
            </w:r>
          </w:p>
        </w:tc>
        <w:tc>
          <w:tcPr>
            <w:tcW w:w="1279" w:type="dxa"/>
          </w:tcPr>
          <w:p>
            <w:pPr>
              <w:pStyle w:val="Other|1"/>
              <w:spacing w:line="326" w:lineRule="exact"/>
              <w:ind w:firstLine="0" w:firstLineChars="0"/>
              <w:jc w:val="left"/>
              <w:rPr>
                <w:rFonts w:eastAsia="宋体" w:hint="eastAsia"/>
                <w:vertAlign w:val="baseline"/>
                <w:lang w:val="en-US" w:eastAsia="zh-CN"/>
              </w:rPr>
            </w:pPr>
            <w:r>
              <w:rPr>
                <w:rFonts w:ascii="Times New Roman" w:hAnsi="Times New Roman" w:cs="Times New Roman" w:hint="eastAsia"/>
                <w:b/>
                <w:bCs/>
                <w:sz w:val="17"/>
                <w:szCs w:val="17"/>
                <w:lang w:val="en-US" w:eastAsia="zh-CN"/>
              </w:rPr>
              <w:t xml:space="preserve">环江毛南族自治县东兴镇水利站</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24.72</w:t>
            </w:r>
          </w:p>
        </w:tc>
        <w:tc>
          <w:tcPr>
            <w:tcW w:w="926"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24.72</w:t>
            </w:r>
          </w:p>
        </w:tc>
        <w:tc>
          <w:tcPr>
            <w:tcW w:w="909"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24.72</w:t>
            </w:r>
          </w:p>
        </w:tc>
        <w:tc>
          <w:tcPr>
            <w:tcW w:w="968"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90" w:type="dxa"/>
            <w:vAlign w:val="center"/>
          </w:tcPr>
          <w:p>
            <w:pPr>
              <w:pStyle w:val="Other|1"/>
              <w:spacing w:line="240" w:lineRule="auto"/>
              <w:ind w:left="0" w:firstLine="0" w:leftChars="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78"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72" w:type="dxa"/>
            <w:vAlign w:val="center"/>
          </w:tcPr>
          <w:p>
            <w:pPr>
              <w:pStyle w:val="Other|1"/>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1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11"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859"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1094" w:type="dxa"/>
            <w:gridSpan w:val="2"/>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37" w:type="dxa"/>
            <w:vAlign w:val="center"/>
          </w:tcPr>
          <w:p>
            <w:pPr>
              <w:spacing w:line="240" w:lineRule="auto"/>
              <w:ind w:firstLine="0" w:firstLineChars="0"/>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c>
          <w:tcPr>
            <w:tcW w:w="989" w:type="dxa"/>
            <w:vAlign w:val="center"/>
          </w:tcPr>
          <w:p>
            <w:pPr>
              <w:spacing w:line="240" w:lineRule="auto"/>
              <w:jc w:val="right"/>
              <w:rPr>
                <w:rFonts w:eastAsia="宋体" w:hint="eastAsia"/>
                <w:vertAlign w:val="baseline"/>
                <w:lang w:val="en-US" w:eastAsia="zh-CN"/>
              </w:rPr>
            </w:pPr>
            <w:r>
              <w:rPr>
                <w:rFonts w:ascii="Times New Roman" w:hAnsi="Times New Roman" w:cs="Times New Roman" w:hint="eastAsia"/>
                <w:b/>
                <w:bCs/>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Ex>
        <w:trPr/>
        <w:tc>
          <w:tcPr>
            <w:tcW w:w="15557" w:type="dxa"/>
            <w:gridSpan w:val="16"/>
            <w:tcBorders>
              <w:left w:val="nil"/>
              <w:bottom w:val="nil"/>
              <w:right w:val="nil"/>
            </w:tcBorders>
          </w:tcPr>
          <w:p>
            <w:pPr>
              <w:pStyle w:val="Tablecaption|1"/>
              <w:jc w:val="left"/>
              <w:rPr>
                <w:rFonts w:eastAsia="宋体" w:hint="eastAsia"/>
                <w:vertAlign w:val="baseline"/>
                <w:lang w:val="en-US" w:eastAsia="zh-CN"/>
              </w:rPr>
            </w:pPr>
            <w:r>
              <w:t xml:space="preserve">注：本报表金额单位转换时可能存在四舍五入尾数误差。</w:t>
            </w:r>
          </w:p>
        </w:tc>
      </w:tr>
    </w:tbl>
    <w:p>
      <w:pPr>
        <w:tabs>
          <w:tab w:val="left" w:pos="859"/>
        </w:tabs>
        <w:jc w:val="both"/>
        <w:rPr>
          <w:rFonts w:eastAsia="宋体" w:hint="eastAsia"/>
          <w:lang w:val="en-US" w:eastAsia="zh-CN"/>
        </w:rPr>
      </w:pPr>
    </w:p>
    <w:p>
      <w:pPr>
        <w:tabs>
          <w:tab w:val="left" w:pos="859"/>
        </w:tabs>
        <w:jc w:val="center"/>
        <w:rPr>
          <w:rFonts w:eastAsia="宋体" w:hint="eastAsia"/>
          <w:lang w:val="en-US" w:eastAsia="zh-CN"/>
        </w:rPr>
      </w:pPr>
    </w:p>
    <w:p>
      <w:pPr>
        <w:tabs>
          <w:tab w:val="left" w:pos="859"/>
        </w:tabs>
        <w:jc w:val="both"/>
        <w:rPr>
          <w:rFonts w:eastAsia="宋体" w:hint="eastAsia"/>
          <w:lang w:val="en-US" w:eastAsia="zh-CN"/>
        </w:rPr>
      </w:pPr>
    </w:p>
    <w:p>
      <w:pPr>
        <w:spacing w:line="1" w:lineRule="exact"/>
        <w:jc w:val="left"/>
        <w:rPr>
          <w:lang w:eastAsia="zh-CN"/>
        </w:rPr>
        <w:sectPr>
          <w:headerReference w:type="default" r:id="rId16"/>
          <w:footerReference w:type="default" r:id="rId17"/>
          <w:pgSz w:w="16840" w:h="11900" w:orient="landscape"/>
          <w:pgMar w:top="2709" w:right="764" w:bottom="2709" w:left="735" w:header="2281"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2|1"/>
        <w:keepNext/>
        <w:keepLines/>
        <w:spacing w:after="240"/>
        <w:jc w:val="center"/>
      </w:pPr>
      <w:bookmarkStart w:id="20" w:name="bookmark41"/>
      <w:bookmarkStart w:id="21" w:name="bookmark43"/>
      <w:bookmarkStart w:id="22" w:name="bookmark42"/>
      <w:r>
        <w:t xml:space="preserve">支出总体情况表</w:t>
      </w:r>
      <w:bookmarkEnd w:id="20"/>
      <w:bookmarkEnd w:id="21"/>
      <w:bookmarkEnd w:id="22"/>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1934"/>
        <w:gridCol w:w="2390"/>
        <w:gridCol w:w="2280"/>
        <w:gridCol w:w="2299"/>
        <w:gridCol w:w="2222"/>
        <w:gridCol w:w="2371"/>
      </w:tblGrid>
      <w:tr>
        <w:tblPrEx>
          <w:tblW w:w="0" w:type="auto"/>
          <w:tblInd w:w="0" w:type="dxa"/>
          <w:tblLayout w:type="fixed"/>
          <w:tblCellMar>
            <w:top w:w="0" w:type="dxa"/>
            <w:left w:w="10" w:type="dxa"/>
            <w:bottom w:w="0" w:type="dxa"/>
            <w:right w:w="10" w:type="dxa"/>
          </w:tblCellMar>
        </w:tblPrEx>
        <w:trPr>
          <w:trHeight w:hRule="exact" w:val="346"/>
        </w:trPr>
        <w:tc>
          <w:tcPr>
            <w:tcW w:w="12968" w:type="dxa"/>
            <w:gridSpan w:val="6"/>
            <w:shd w:val="clear" w:color="auto" w:fill="FFFFFF"/>
          </w:tcPr>
          <w:p>
            <w:pPr>
              <w:pStyle w:val="Other|1"/>
              <w:spacing w:line="240" w:lineRule="auto"/>
              <w:ind w:firstLine="0"/>
              <w:jc w:val="left"/>
              <w:rPr>
                <w:sz w:val="17"/>
                <w:szCs w:val="17"/>
              </w:rPr>
            </w:pPr>
            <w:r>
              <w:rPr>
                <w:sz w:val="17"/>
                <w:szCs w:val="17"/>
              </w:rPr>
              <w:t xml:space="preserve">单位名称：</w:t>
            </w:r>
            <w:r>
              <w:rPr>
                <w:rFonts w:hint="eastAsia"/>
                <w:sz w:val="17"/>
                <w:szCs w:val="17"/>
                <w:lang w:eastAsia="zh-CN"/>
              </w:rPr>
              <w:t xml:space="preserve">环江毛南族自治县东兴镇水利站</w:t>
            </w:r>
          </w:p>
        </w:tc>
        <w:tc>
          <w:tcPr>
            <w:tcW w:w="2371" w:type="dxa"/>
            <w:shd w:val="clear" w:color="auto" w:fill="FFFFFF"/>
          </w:tcPr>
          <w:p>
            <w:pPr>
              <w:pStyle w:val="Other|1"/>
              <w:spacing w:line="240" w:lineRule="auto"/>
              <w:ind w:firstLine="1190" w:firstLineChars="700"/>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科目编码</w:t>
            </w:r>
          </w:p>
        </w:tc>
        <w:tc>
          <w:tcPr>
            <w:tcW w:w="1934"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left"/>
              <w:rPr>
                <w:sz w:val="17"/>
                <w:szCs w:val="17"/>
              </w:rPr>
            </w:pPr>
            <w:r>
              <w:rPr>
                <w:sz w:val="17"/>
                <w:szCs w:val="17"/>
              </w:rPr>
              <w:t xml:space="preserve">部门（单位）代码</w:t>
            </w:r>
          </w:p>
        </w:tc>
        <w:tc>
          <w:tcPr>
            <w:tcW w:w="2390" w:type="dxa"/>
            <w:tcBorders>
              <w:top w:val="single" w:sz="4" w:space="0" w:color="auto"/>
              <w:left w:val="single" w:sz="4" w:space="0" w:color="auto"/>
              <w:bottom w:val="single" w:sz="4" w:space="0" w:color="auto"/>
            </w:tcBorders>
            <w:shd w:val="clear" w:color="auto" w:fill="FFFFFF"/>
            <w:vAlign w:val="center"/>
          </w:tcPr>
          <w:p>
            <w:pPr>
              <w:pStyle w:val="Other|1"/>
              <w:spacing w:after="120" w:line="240" w:lineRule="auto"/>
              <w:ind w:firstLine="0"/>
              <w:jc w:val="left"/>
              <w:rPr>
                <w:sz w:val="17"/>
                <w:szCs w:val="17"/>
              </w:rPr>
            </w:pPr>
            <w:r>
              <w:rPr>
                <w:sz w:val="17"/>
                <w:szCs w:val="17"/>
              </w:rPr>
              <w:t xml:space="preserve">部门（单位）名称</w:t>
            </w:r>
          </w:p>
          <w:p>
            <w:pPr>
              <w:pStyle w:val="Other|1"/>
              <w:spacing w:line="240" w:lineRule="auto"/>
              <w:ind w:firstLine="0"/>
              <w:jc w:val="left"/>
              <w:rPr>
                <w:sz w:val="17"/>
                <w:szCs w:val="17"/>
              </w:rPr>
            </w:pPr>
            <w:r>
              <w:rPr>
                <w:sz w:val="17"/>
                <w:szCs w:val="17"/>
              </w:rPr>
              <w:t xml:space="preserve">（功能分类科目名称）</w:t>
            </w:r>
          </w:p>
        </w:tc>
        <w:tc>
          <w:tcPr>
            <w:tcW w:w="228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合计</w:t>
            </w:r>
          </w:p>
        </w:tc>
        <w:tc>
          <w:tcPr>
            <w:tcW w:w="229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基本支出</w:t>
            </w:r>
          </w:p>
        </w:tc>
        <w:tc>
          <w:tcPr>
            <w:tcW w:w="2222"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项目支出</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结转下年支出</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合计</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24.72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24.72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710008</w:t>
            </w: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24.72</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24.72</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2012999</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其他群众团体事务支出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0.23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0.23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2080505</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机关事业单位基本养老保险缴费支出</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2.83</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2.83</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2130304</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水利行业业务管理</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19.18</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19.18</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r>
        <w:tblPrEx>
          <w:tblW w:w="0" w:type="auto"/>
          <w:tblInd w:w="0" w:type="dxa"/>
          <w:tblLayout w:type="fixed"/>
          <w:tblCellMar>
            <w:top w:w="0" w:type="dxa"/>
            <w:left w:w="10" w:type="dxa"/>
            <w:bottom w:w="0" w:type="dxa"/>
            <w:right w:w="10" w:type="dxa"/>
          </w:tblCellMar>
        </w:tblPrEx>
        <w:trPr>
          <w:trHeight w:hRule="exact" w:val="437"/>
        </w:trPr>
        <w:tc>
          <w:tcPr>
            <w:tcW w:w="1843"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2210201</w:t>
            </w:r>
          </w:p>
        </w:tc>
        <w:tc>
          <w:tcPr>
            <w:tcW w:w="1934" w:type="dxa"/>
            <w:tcBorders>
              <w:top w:val="single" w:sz="4" w:space="0" w:color="auto"/>
              <w:left w:val="single" w:sz="4" w:space="0" w:color="auto"/>
              <w:bottom w:val="single" w:sz="4" w:space="0" w:color="auto"/>
              <w:right w:val="single" w:sz="4" w:space="0" w:color="auto"/>
            </w:tcBorders>
            <w:shd w:val="clear" w:color="auto" w:fill="FFFFFF"/>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p>
        </w:tc>
        <w:tc>
          <w:tcPr>
            <w:tcW w:w="239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住房公积金</w:t>
            </w:r>
          </w:p>
        </w:tc>
        <w:tc>
          <w:tcPr>
            <w:tcW w:w="2280"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2.47</w:t>
            </w:r>
          </w:p>
        </w:tc>
        <w:tc>
          <w:tcPr>
            <w:tcW w:w="2299"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2.47</w:t>
            </w:r>
          </w:p>
        </w:tc>
        <w:tc>
          <w:tcPr>
            <w:tcW w:w="2222"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0.00</w:t>
            </w:r>
          </w:p>
        </w:tc>
        <w:tc>
          <w:tcPr>
            <w:tcW w:w="2371"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left"/>
              <w:rPr>
                <w:rFonts w:ascii="Times New Roman" w:eastAsia="Times New Roman" w:hAnsi="Times New Roman" w:cs="Times New Roman" w:hint="default"/>
                <w:b/>
                <w:bCs/>
                <w:sz w:val="17"/>
                <w:szCs w:val="17"/>
                <w:lang w:val="en-US" w:eastAsia="zh-CN"/>
              </w:rPr>
            </w:pPr>
            <w:r>
              <w:rPr>
                <w:rFonts w:ascii="Times New Roman" w:eastAsia="Times New Roman" w:hAnsi="Times New Roman" w:cs="Times New Roman" w:hint="eastAsia"/>
                <w:b/>
                <w:bCs/>
                <w:sz w:val="17"/>
                <w:szCs w:val="17"/>
                <w:lang w:val="en-US" w:eastAsia="zh-CN"/>
              </w:rPr>
              <w:t xml:space="preserve">0</w:t>
            </w:r>
          </w:p>
        </w:tc>
      </w:tr>
    </w:tbl>
    <w:p>
      <w:pPr>
        <w:pStyle w:val="Tablecaption|1"/>
        <w:ind w:left="672"/>
        <w:jc w:val="left"/>
      </w:pPr>
      <w:r>
        <w:t xml:space="preserve">注：本报表金额单位转换时可能存在四舍五入尾数误差。</w:t>
      </w:r>
      <w:r>
        <w:br w:type="page"/>
      </w:r>
    </w:p>
    <w:p>
      <w:pPr>
        <w:pStyle w:val="Heading#2|1"/>
        <w:keepNext/>
        <w:keepLines/>
        <w:spacing w:after="240"/>
        <w:jc w:val="center"/>
      </w:pPr>
      <w:bookmarkStart w:id="23" w:name="bookmark45"/>
      <w:bookmarkStart w:id="24" w:name="bookmark46"/>
      <w:bookmarkStart w:id="25" w:name="bookmark44"/>
      <w:r>
        <w:t xml:space="preserve">财政拨款收支总体情况表</w:t>
      </w:r>
      <w:bookmarkEnd w:id="23"/>
      <w:bookmarkEnd w:id="24"/>
      <w:bookmarkEnd w:id="25"/>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2885"/>
        <w:gridCol w:w="955"/>
        <w:gridCol w:w="3830"/>
        <w:gridCol w:w="3826"/>
        <w:gridCol w:w="3845"/>
        <w:gridCol w:w="1"/>
      </w:tblGrid>
      <w:tr>
        <w:tblPrEx>
          <w:tblW w:w="0" w:type="auto"/>
          <w:tblInd w:w="0" w:type="dxa"/>
          <w:tblLayout w:type="fixed"/>
          <w:tblCellMar>
            <w:top w:w="0" w:type="dxa"/>
            <w:left w:w="10" w:type="dxa"/>
            <w:bottom w:w="0" w:type="dxa"/>
            <w:right w:w="10" w:type="dxa"/>
          </w:tblCellMar>
        </w:tblPrEx>
        <w:trPr>
          <w:gridAfter w:val="1"/>
          <w:wAfter w:w="1" w:type="dxa"/>
          <w:trHeight w:hRule="exact" w:val="346"/>
        </w:trPr>
        <w:tc>
          <w:tcPr>
            <w:tcW w:w="11496" w:type="dxa"/>
            <w:gridSpan w:val="4"/>
            <w:shd w:val="clear" w:color="auto" w:fill="FFFFFF"/>
          </w:tcPr>
          <w:p>
            <w:pPr>
              <w:pStyle w:val="Other|1"/>
              <w:spacing w:line="240" w:lineRule="auto"/>
              <w:ind w:firstLine="0"/>
              <w:jc w:val="left"/>
              <w:rPr>
                <w:rFonts w:hint="default"/>
                <w:sz w:val="17"/>
                <w:szCs w:val="17"/>
                <w:lang w:val="en-US"/>
              </w:rPr>
            </w:pPr>
            <w:r>
              <w:rPr>
                <w:sz w:val="17"/>
                <w:szCs w:val="17"/>
              </w:rPr>
              <w:t xml:space="preserve">单位名称：</w:t>
            </w:r>
            <w:r>
              <w:rPr>
                <w:rFonts w:hint="eastAsia"/>
                <w:sz w:val="17"/>
                <w:szCs w:val="17"/>
                <w:lang w:eastAsia="zh-CN"/>
              </w:rPr>
              <w:t xml:space="preserve">环江毛南族自治县东兴镇水利站</w:t>
            </w:r>
          </w:p>
        </w:tc>
        <w:tc>
          <w:tcPr>
            <w:tcW w:w="3845" w:type="dxa"/>
            <w:shd w:val="clear" w:color="auto" w:fill="FFFFFF"/>
          </w:tcPr>
          <w:p>
            <w:pPr>
              <w:pStyle w:val="Other|1"/>
              <w:spacing w:line="240" w:lineRule="auto"/>
              <w:jc w:val="left"/>
              <w:rPr>
                <w:sz w:val="17"/>
                <w:szCs w:val="17"/>
              </w:rPr>
            </w:pPr>
            <w:r>
              <w:rPr>
                <w:sz w:val="17"/>
                <w:szCs w:val="17"/>
              </w:rPr>
              <w:t xml:space="preserve">单位：万元</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2885" w:type="dxa"/>
            <w:tcBorders>
              <w:top w:val="single" w:sz="4" w:space="0" w:color="auto"/>
              <w:left w:val="single" w:sz="4" w:space="0" w:color="auto"/>
            </w:tcBorders>
            <w:shd w:val="clear" w:color="auto" w:fill="FFFFFF"/>
          </w:tcPr>
          <w:p>
            <w:pPr>
              <w:jc w:val="left"/>
              <w:rPr>
                <w:sz w:val="10"/>
                <w:szCs w:val="10"/>
              </w:rPr>
            </w:pPr>
          </w:p>
        </w:tc>
        <w:tc>
          <w:tcPr>
            <w:tcW w:w="955" w:type="dxa"/>
            <w:tcBorders>
              <w:top w:val="single" w:sz="4" w:space="0" w:color="auto"/>
            </w:tcBorders>
            <w:shd w:val="clear" w:color="auto" w:fill="FFFFFF"/>
            <w:vAlign w:val="center"/>
          </w:tcPr>
          <w:p>
            <w:pPr>
              <w:pStyle w:val="Other|1"/>
              <w:spacing w:line="240" w:lineRule="auto"/>
              <w:ind w:firstLine="0"/>
              <w:jc w:val="left"/>
              <w:rPr>
                <w:sz w:val="17"/>
                <w:szCs w:val="17"/>
              </w:rPr>
            </w:pPr>
            <w:r>
              <w:rPr>
                <w:sz w:val="17"/>
                <w:szCs w:val="17"/>
              </w:rPr>
              <w:t xml:space="preserve">收</w:t>
            </w:r>
          </w:p>
        </w:tc>
        <w:tc>
          <w:tcPr>
            <w:tcW w:w="3830" w:type="dxa"/>
            <w:tcBorders>
              <w:top w:val="single" w:sz="4" w:space="0" w:color="auto"/>
            </w:tcBorders>
            <w:shd w:val="clear" w:color="auto" w:fill="FFFFFF"/>
            <w:vAlign w:val="center"/>
          </w:tcPr>
          <w:p>
            <w:pPr>
              <w:pStyle w:val="Other|1"/>
              <w:spacing w:line="240" w:lineRule="auto"/>
              <w:ind w:firstLine="340"/>
              <w:jc w:val="left"/>
              <w:rPr>
                <w:sz w:val="17"/>
                <w:szCs w:val="17"/>
              </w:rPr>
            </w:pPr>
            <w:r>
              <w:rPr>
                <w:sz w:val="17"/>
                <w:szCs w:val="17"/>
              </w:rPr>
              <w:t xml:space="preserve">入</w:t>
            </w:r>
          </w:p>
        </w:tc>
        <w:tc>
          <w:tcPr>
            <w:tcW w:w="3826" w:type="dxa"/>
            <w:tcBorders>
              <w:top w:val="single" w:sz="4" w:space="0" w:color="auto"/>
              <w:left w:val="single" w:sz="4" w:space="0" w:color="auto"/>
            </w:tcBorders>
            <w:shd w:val="clear" w:color="auto" w:fill="FFFFFF"/>
            <w:vAlign w:val="center"/>
          </w:tcPr>
          <w:p>
            <w:pPr>
              <w:pStyle w:val="Other|1"/>
              <w:spacing w:line="240" w:lineRule="auto"/>
              <w:ind w:right="340" w:firstLine="2720" w:firstLineChars="1600"/>
              <w:jc w:val="left"/>
              <w:rPr>
                <w:sz w:val="17"/>
                <w:szCs w:val="17"/>
              </w:rPr>
            </w:pPr>
            <w:r>
              <w:rPr>
                <w:sz w:val="17"/>
                <w:szCs w:val="17"/>
              </w:rPr>
              <w:t xml:space="preserve">支</w:t>
            </w:r>
          </w:p>
        </w:tc>
        <w:tc>
          <w:tcPr>
            <w:tcW w:w="3845" w:type="dxa"/>
            <w:tcBorders>
              <w:top w:val="single" w:sz="4" w:space="0" w:color="auto"/>
              <w:right w:val="single" w:sz="4" w:space="0" w:color="auto"/>
            </w:tcBorders>
            <w:shd w:val="clear" w:color="auto" w:fill="FFFFFF"/>
            <w:vAlign w:val="center"/>
          </w:tcPr>
          <w:p>
            <w:pPr>
              <w:pStyle w:val="Other|1"/>
              <w:spacing w:line="240" w:lineRule="auto"/>
              <w:ind w:firstLine="935" w:firstLineChars="550"/>
              <w:jc w:val="left"/>
              <w:rPr>
                <w:sz w:val="17"/>
                <w:szCs w:val="17"/>
              </w:rPr>
            </w:pPr>
            <w:r>
              <w:rPr>
                <w:sz w:val="17"/>
                <w:szCs w:val="17"/>
              </w:rPr>
              <w:t xml:space="preserve">出</w:t>
            </w:r>
          </w:p>
        </w:tc>
      </w:tr>
      <w:tr>
        <w:tblPrEx>
          <w:tblW w:w="0" w:type="auto"/>
          <w:tblInd w:w="0" w:type="dxa"/>
          <w:tblLayout w:type="fixed"/>
          <w:tblCellMar>
            <w:top w:w="0" w:type="dxa"/>
            <w:left w:w="10" w:type="dxa"/>
            <w:bottom w:w="0" w:type="dxa"/>
            <w:right w:w="10" w:type="dxa"/>
          </w:tblCellMar>
        </w:tblPrEx>
        <w:trPr>
          <w:gridAfter w:val="1"/>
          <w:wAfter w:w="1" w:type="dxa"/>
          <w:trHeight w:hRule="exact" w:val="451"/>
        </w:trPr>
        <w:tc>
          <w:tcPr>
            <w:tcW w:w="3840" w:type="dxa"/>
            <w:gridSpan w:val="2"/>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项目</w:t>
            </w:r>
          </w:p>
        </w:tc>
        <w:tc>
          <w:tcPr>
            <w:tcW w:w="3830" w:type="dxa"/>
            <w:tcBorders>
              <w:top w:val="single" w:sz="4" w:space="0" w:color="auto"/>
              <w:lef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c>
          <w:tcPr>
            <w:tcW w:w="3826" w:type="dxa"/>
            <w:tcBorders>
              <w:top w:val="single" w:sz="4" w:space="0" w:color="auto"/>
              <w:left w:val="single" w:sz="4" w:space="0" w:color="auto"/>
            </w:tcBorders>
            <w:shd w:val="clear" w:color="auto" w:fill="FFFFFF"/>
            <w:vAlign w:val="center"/>
          </w:tcPr>
          <w:p>
            <w:pPr>
              <w:pStyle w:val="Other|1"/>
              <w:tabs>
                <w:tab w:val="left" w:pos="1034"/>
              </w:tabs>
              <w:spacing w:line="240" w:lineRule="auto"/>
              <w:ind w:firstLine="540"/>
              <w:jc w:val="center"/>
              <w:rPr>
                <w:sz w:val="17"/>
                <w:szCs w:val="17"/>
              </w:rPr>
            </w:pPr>
            <w:r>
              <w:rPr>
                <w:sz w:val="17"/>
                <w:szCs w:val="17"/>
              </w:rPr>
              <w:t xml:space="preserve">项</w:t>
            </w:r>
            <w:r>
              <w:rPr>
                <w:sz w:val="17"/>
                <w:szCs w:val="17"/>
              </w:rPr>
              <w:tab/>
            </w:r>
            <w:r>
              <w:rPr>
                <w:sz w:val="17"/>
                <w:szCs w:val="17"/>
              </w:rPr>
              <w:t xml:space="preserve">目（按支出功能科目分类）</w:t>
            </w:r>
          </w:p>
        </w:tc>
        <w:tc>
          <w:tcPr>
            <w:tcW w:w="3845" w:type="dxa"/>
            <w:tcBorders>
              <w:top w:val="single" w:sz="4" w:space="0" w:color="auto"/>
              <w:left w:val="single" w:sz="4" w:space="0" w:color="auto"/>
              <w:right w:val="single" w:sz="4" w:space="0" w:color="auto"/>
            </w:tcBorders>
            <w:shd w:val="clear" w:color="auto" w:fill="FFFFFF"/>
            <w:vAlign w:val="center"/>
          </w:tcPr>
          <w:p>
            <w:pPr>
              <w:pStyle w:val="Other|1"/>
              <w:spacing w:line="240" w:lineRule="auto"/>
              <w:ind w:firstLine="0"/>
              <w:jc w:val="center"/>
              <w:rPr>
                <w:sz w:val="17"/>
                <w:szCs w:val="17"/>
              </w:rPr>
            </w:pPr>
            <w:r>
              <w:rPr>
                <w:sz w:val="17"/>
                <w:szCs w:val="17"/>
              </w:rPr>
              <w:t xml:space="preserve">预算数</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24.72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一、一般公共服务支出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0.23</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二、外交支出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24.72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二、政府性基金预算拨款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四、公共安全支出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五、教育支出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六、科学技术支出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三、国有资本经营预算拨款</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七、文化旅游体育与传媒支出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1、上级补助</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八、社会保障和就业支出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2.83</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2、本级</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九、卫生健康支出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十、节能环保支出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十一、城乡社区支出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十二、农林水支出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19.18</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十三、交通运输支出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十四、资源勘探工业信息等支出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十五、商业服务业等支出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十六、金融支出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十七、援助其他地区支出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十八、自然资源海洋气象等支出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十九、住房保障支出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2.47</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二十、粮油物资储备支出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二十一、国有资本经营预算支出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二十二、灾害防治及应急管理支出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二十三、其他支出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二十四、债务还本支出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二十五、债务付息支出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二十六、债务发行费用支出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本年收入合计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24.72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本年支出合计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24.72</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上年结转结余</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结转下年支出</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0.00</w:t>
            </w:r>
          </w:p>
        </w:tc>
      </w:tr>
      <w:tr>
        <w:tblPrEx>
          <w:tblW w:w="0" w:type="auto"/>
          <w:tblInd w:w="0" w:type="dxa"/>
          <w:tblLayout w:type="fixed"/>
          <w:tblCellMar>
            <w:top w:w="0" w:type="dxa"/>
            <w:left w:w="10" w:type="dxa"/>
            <w:bottom w:w="0" w:type="dxa"/>
            <w:right w:w="10" w:type="dxa"/>
          </w:tblCellMar>
        </w:tblPrEx>
        <w:trPr>
          <w:gridAfter w:val="1"/>
          <w:wAfter w:w="1" w:type="dxa"/>
          <w:trHeight w:hRule="exact" w:val="437"/>
        </w:trPr>
        <w:tc>
          <w:tcPr>
            <w:tcW w:w="3840" w:type="dxa"/>
            <w:gridSpan w:val="2"/>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收入总计</w:t>
            </w:r>
          </w:p>
        </w:tc>
        <w:tc>
          <w:tcPr>
            <w:tcW w:w="383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24.72</w:t>
            </w:r>
          </w:p>
        </w:tc>
        <w:tc>
          <w:tcPr>
            <w:tcW w:w="3826"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00"/>
              <w:jc w:val="left"/>
              <w:rPr>
                <w:rFonts w:hint="default"/>
                <w:sz w:val="17"/>
                <w:szCs w:val="17"/>
                <w:lang w:val="en-US" w:eastAsia="zh-CN"/>
              </w:rPr>
            </w:pPr>
            <w:r>
              <w:rPr>
                <w:rFonts w:hint="eastAsia"/>
                <w:sz w:val="17"/>
                <w:szCs w:val="17"/>
                <w:lang w:val="en-US" w:eastAsia="zh-CN"/>
              </w:rPr>
              <w:t xml:space="preserve">支出总计</w:t>
            </w:r>
          </w:p>
        </w:tc>
        <w:tc>
          <w:tcPr>
            <w:tcW w:w="3845"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200"/>
              <w:jc w:val="right"/>
              <w:rPr>
                <w:rFonts w:hint="default"/>
                <w:sz w:val="17"/>
                <w:szCs w:val="17"/>
                <w:lang w:val="en-US" w:eastAsia="zh-CN"/>
              </w:rPr>
            </w:pPr>
            <w:r>
              <w:rPr>
                <w:rFonts w:hint="eastAsia"/>
                <w:sz w:val="17"/>
                <w:szCs w:val="17"/>
                <w:lang w:val="en-US" w:eastAsia="zh-CN"/>
              </w:rPr>
              <w:t xml:space="preserve">24.72</w:t>
            </w:r>
          </w:p>
        </w:tc>
      </w:tr>
      <w:tr>
        <w:tblPrEx>
          <w:tblW w:w="0" w:type="auto"/>
          <w:tblInd w:w="0" w:type="dxa"/>
          <w:tblLayout w:type="fixed"/>
          <w:tblCellMar>
            <w:top w:w="0" w:type="dxa"/>
            <w:left w:w="10" w:type="dxa"/>
            <w:bottom w:w="0" w:type="dxa"/>
            <w:right w:w="10" w:type="dxa"/>
          </w:tblCellMar>
        </w:tblPrEx>
        <w:trPr>
          <w:trHeight w:hRule="exact" w:val="352"/>
        </w:trPr>
        <w:tc>
          <w:tcPr>
            <w:tcW w:w="15342" w:type="dxa"/>
            <w:gridSpan w:val="6"/>
            <w:tcBorders>
              <w:top w:val="single" w:sz="4" w:space="0" w:color="auto"/>
            </w:tcBorders>
            <w:shd w:val="clear" w:color="auto" w:fill="FFFFFF"/>
          </w:tcPr>
          <w:p>
            <w:pPr>
              <w:jc w:val="left"/>
              <w:rPr>
                <w:sz w:val="10"/>
                <w:szCs w:val="10"/>
                <w:lang w:eastAsia="zh-CN"/>
              </w:rPr>
            </w:pPr>
            <w:r>
              <w:rPr>
                <w:sz w:val="17"/>
                <w:szCs w:val="17"/>
              </w:rPr>
              <w:t xml:space="preserve">注：表中功能分类科目，根据各部门实际预算编制情况编列。</w:t>
            </w:r>
          </w:p>
        </w:tc>
      </w:tr>
      <w:tr>
        <w:tblPrEx>
          <w:tblW w:w="0" w:type="auto"/>
          <w:tblInd w:w="0" w:type="dxa"/>
          <w:tblLayout w:type="fixed"/>
          <w:tblCellMar>
            <w:top w:w="0" w:type="dxa"/>
            <w:left w:w="10" w:type="dxa"/>
            <w:bottom w:w="0" w:type="dxa"/>
            <w:right w:w="10" w:type="dxa"/>
          </w:tblCellMar>
        </w:tblPrEx>
        <w:trPr>
          <w:trHeight w:hRule="exact" w:val="274"/>
        </w:trPr>
        <w:tc>
          <w:tcPr>
            <w:tcW w:w="15342" w:type="dxa"/>
            <w:gridSpan w:val="6"/>
            <w:shd w:val="clear" w:color="auto" w:fill="FFFFFF"/>
            <w:vAlign w:val="bottom"/>
          </w:tcPr>
          <w:p>
            <w:pPr>
              <w:jc w:val="left"/>
              <w:rPr>
                <w:sz w:val="10"/>
                <w:szCs w:val="10"/>
                <w:lang w:eastAsia="zh-CN"/>
              </w:rPr>
            </w:pPr>
            <w:r>
              <w:rPr>
                <w:sz w:val="17"/>
                <w:szCs w:val="17"/>
              </w:rPr>
              <w:t xml:space="preserve">报表金额单位转换时可能存在四舍五入尾数误差。</w:t>
            </w:r>
          </w:p>
        </w:tc>
      </w:tr>
    </w:tbl>
    <w:p>
      <w:pPr>
        <w:jc w:val="left"/>
        <w:rPr>
          <w:lang w:eastAsia="zh-CN"/>
        </w:rPr>
      </w:pPr>
      <w:r>
        <w:br w:type="page"/>
      </w:r>
    </w:p>
    <w:p>
      <w:pPr>
        <w:jc w:val="center"/>
        <w:rPr>
          <w:rFonts w:hint="eastAsia"/>
          <w:lang w:eastAsia="zh-CN"/>
        </w:rPr>
      </w:pPr>
      <w:r>
        <w:rPr>
          <w:rFonts w:hint="eastAsia"/>
          <w:lang w:eastAsia="zh-CN"/>
        </w:rPr>
        <w:t xml:space="preserve">一般公共预算支出情况表</w:t>
      </w:r>
    </w:p>
    <w:p>
      <w:pPr>
        <w:jc w:val="center"/>
        <w:rPr>
          <w:rFonts w:hint="eastAsia"/>
          <w:lang w:eastAsia="zh-CN"/>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1715"/>
        <w:gridCol w:w="1676"/>
        <w:gridCol w:w="1662"/>
        <w:gridCol w:w="1717"/>
        <w:gridCol w:w="1879"/>
        <w:gridCol w:w="1729"/>
        <w:gridCol w:w="1718"/>
        <w:gridCol w:w="72"/>
        <w:gridCol w:w="1694"/>
        <w:gridCol w:w="1695"/>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096" w:type="dxa"/>
            <w:gridSpan w:val="7"/>
            <w:tcBorders>
              <w:top w:val="nil"/>
              <w:left w:val="nil"/>
              <w:right w:val="nil"/>
            </w:tcBorders>
          </w:tcPr>
          <w:p>
            <w:pPr>
              <w:jc w:val="left"/>
              <w:rPr>
                <w:rFonts w:hint="eastAsia"/>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环江毛南族自治县东兴镇水利站</w:t>
            </w:r>
          </w:p>
        </w:tc>
        <w:tc>
          <w:tcPr>
            <w:tcW w:w="3461" w:type="dxa"/>
            <w:gridSpan w:val="3"/>
            <w:tcBorders>
              <w:top w:val="nil"/>
              <w:left w:val="nil"/>
              <w:right w:val="nil"/>
            </w:tcBorders>
          </w:tcPr>
          <w:p>
            <w:pPr>
              <w:ind w:firstLine="1760" w:firstLineChars="1100"/>
              <w:jc w:val="left"/>
              <w:rPr>
                <w:rFonts w:hint="eastAsia"/>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val="restart"/>
          </w:tcPr>
          <w:p>
            <w:pPr>
              <w:jc w:val="center"/>
              <w:rPr>
                <w:rFonts w:hint="eastAsia"/>
                <w:vertAlign w:val="baseline"/>
                <w:lang w:eastAsia="zh-CN"/>
              </w:rPr>
            </w:pPr>
            <w:r>
              <w:rPr>
                <w:sz w:val="17"/>
                <w:szCs w:val="17"/>
              </w:rPr>
              <w:t xml:space="preserve">科目编码</w:t>
            </w:r>
          </w:p>
        </w:tc>
        <w:tc>
          <w:tcPr>
            <w:tcW w:w="1676" w:type="dxa"/>
            <w:vMerge w:val="restart"/>
          </w:tcPr>
          <w:p>
            <w:pPr>
              <w:jc w:val="center"/>
              <w:rPr>
                <w:rFonts w:hint="eastAsia"/>
                <w:vertAlign w:val="baseline"/>
                <w:lang w:eastAsia="zh-CN"/>
              </w:rPr>
            </w:pPr>
            <w:r>
              <w:rPr>
                <w:sz w:val="17"/>
                <w:szCs w:val="17"/>
              </w:rPr>
              <w:t xml:space="preserve">部门（单位）代码</w:t>
            </w:r>
          </w:p>
        </w:tc>
        <w:tc>
          <w:tcPr>
            <w:tcW w:w="1662" w:type="dxa"/>
            <w:vMerge w:val="restart"/>
          </w:tcPr>
          <w:p>
            <w:pPr>
              <w:pStyle w:val="Other|1"/>
              <w:spacing w:after="120" w:line="240" w:lineRule="auto"/>
              <w:ind w:firstLine="0"/>
              <w:jc w:val="center"/>
              <w:rPr>
                <w:sz w:val="17"/>
                <w:szCs w:val="17"/>
              </w:rPr>
            </w:pPr>
            <w:r>
              <w:rPr>
                <w:sz w:val="17"/>
                <w:szCs w:val="17"/>
              </w:rPr>
              <w:t xml:space="preserve">部门（单位）名称</w:t>
            </w:r>
          </w:p>
          <w:p>
            <w:pPr>
              <w:jc w:val="center"/>
              <w:rPr>
                <w:rFonts w:hint="eastAsia"/>
                <w:vertAlign w:val="baseline"/>
                <w:lang w:eastAsia="zh-CN"/>
              </w:rPr>
            </w:pPr>
            <w:r>
              <w:rPr>
                <w:sz w:val="17"/>
                <w:szCs w:val="17"/>
              </w:rPr>
              <w:t xml:space="preserve">（功能分类科目名称）</w:t>
            </w:r>
          </w:p>
        </w:tc>
        <w:tc>
          <w:tcPr>
            <w:tcW w:w="1717" w:type="dxa"/>
            <w:vMerge w:val="restart"/>
          </w:tcPr>
          <w:p>
            <w:pPr>
              <w:jc w:val="center"/>
              <w:rPr>
                <w:rFonts w:hint="eastAsia"/>
                <w:vertAlign w:val="baseline"/>
                <w:lang w:eastAsia="zh-CN"/>
              </w:rPr>
            </w:pPr>
            <w:r>
              <w:rPr>
                <w:sz w:val="17"/>
                <w:szCs w:val="17"/>
              </w:rPr>
              <w:t xml:space="preserve">合计</w:t>
            </w:r>
          </w:p>
        </w:tc>
        <w:tc>
          <w:tcPr>
            <w:tcW w:w="5398" w:type="dxa"/>
            <w:gridSpan w:val="4"/>
          </w:tcPr>
          <w:p>
            <w:pPr>
              <w:jc w:val="center"/>
              <w:rPr>
                <w:rFonts w:hint="eastAsia"/>
                <w:vertAlign w:val="baseline"/>
                <w:lang w:eastAsia="zh-CN"/>
              </w:rPr>
            </w:pPr>
            <w:r>
              <w:rPr>
                <w:sz w:val="17"/>
                <w:szCs w:val="17"/>
              </w:rPr>
              <w:t xml:space="preserve">基本支出</w:t>
            </w:r>
          </w:p>
        </w:tc>
        <w:tc>
          <w:tcPr>
            <w:tcW w:w="1694" w:type="dxa"/>
            <w:vMerge w:val="restart"/>
          </w:tcPr>
          <w:p>
            <w:pPr>
              <w:jc w:val="center"/>
              <w:rPr>
                <w:rFonts w:hint="eastAsia"/>
                <w:vertAlign w:val="baseline"/>
                <w:lang w:eastAsia="zh-CN"/>
              </w:rPr>
            </w:pPr>
            <w:r>
              <w:rPr>
                <w:sz w:val="17"/>
                <w:szCs w:val="17"/>
              </w:rPr>
              <w:t xml:space="preserve">项目支出</w:t>
            </w:r>
          </w:p>
        </w:tc>
        <w:tc>
          <w:tcPr>
            <w:tcW w:w="1695" w:type="dxa"/>
            <w:vMerge w:val="restart"/>
          </w:tcPr>
          <w:p>
            <w:pPr>
              <w:jc w:val="center"/>
              <w:rPr>
                <w:rFonts w:hint="eastAsia"/>
                <w:vertAlign w:val="baseline"/>
                <w:lang w:eastAsia="zh-CN"/>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Merge/>
          </w:tcPr>
          <w:p>
            <w:pPr>
              <w:jc w:val="center"/>
              <w:rPr>
                <w:rFonts w:hint="eastAsia"/>
                <w:vertAlign w:val="baseline"/>
                <w:lang w:eastAsia="zh-CN"/>
              </w:rPr>
            </w:pPr>
          </w:p>
        </w:tc>
        <w:tc>
          <w:tcPr>
            <w:tcW w:w="1676" w:type="dxa"/>
            <w:vMerge/>
          </w:tcPr>
          <w:p>
            <w:pPr>
              <w:jc w:val="center"/>
              <w:rPr>
                <w:rFonts w:hint="eastAsia"/>
                <w:vertAlign w:val="baseline"/>
                <w:lang w:eastAsia="zh-CN"/>
              </w:rPr>
            </w:pPr>
          </w:p>
        </w:tc>
        <w:tc>
          <w:tcPr>
            <w:tcW w:w="1662" w:type="dxa"/>
            <w:vMerge/>
          </w:tcPr>
          <w:p>
            <w:pPr>
              <w:jc w:val="center"/>
              <w:rPr>
                <w:rFonts w:hint="eastAsia"/>
                <w:vertAlign w:val="baseline"/>
                <w:lang w:eastAsia="zh-CN"/>
              </w:rPr>
            </w:pPr>
          </w:p>
        </w:tc>
        <w:tc>
          <w:tcPr>
            <w:tcW w:w="1717" w:type="dxa"/>
            <w:vMerge/>
          </w:tcPr>
          <w:p>
            <w:pPr>
              <w:jc w:val="center"/>
              <w:rPr>
                <w:rFonts w:hint="eastAsia"/>
                <w:vertAlign w:val="baseline"/>
                <w:lang w:eastAsia="zh-CN"/>
              </w:rPr>
            </w:pPr>
          </w:p>
        </w:tc>
        <w:tc>
          <w:tcPr>
            <w:tcW w:w="187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小计</w:t>
            </w:r>
          </w:p>
        </w:tc>
        <w:tc>
          <w:tcPr>
            <w:tcW w:w="1729" w:type="dxa"/>
            <w:vAlign w:val="center"/>
          </w:tcPr>
          <w:p>
            <w:pPr>
              <w:pStyle w:val="Other|1"/>
              <w:spacing w:line="240" w:lineRule="auto"/>
              <w:ind w:firstLine="0" w:firstLineChars="0"/>
              <w:jc w:val="center"/>
              <w:rPr>
                <w:rFonts w:hint="eastAsia"/>
                <w:vertAlign w:val="baseline"/>
                <w:lang w:eastAsia="zh-CN"/>
              </w:rPr>
            </w:pPr>
            <w:r>
              <w:rPr>
                <w:sz w:val="17"/>
                <w:szCs w:val="17"/>
              </w:rPr>
              <w:t xml:space="preserve">人员经费</w:t>
            </w:r>
          </w:p>
        </w:tc>
        <w:tc>
          <w:tcPr>
            <w:tcW w:w="1790" w:type="dxa"/>
            <w:gridSpan w:val="2"/>
            <w:vAlign w:val="center"/>
          </w:tcPr>
          <w:p>
            <w:pPr>
              <w:pStyle w:val="Other|1"/>
              <w:spacing w:line="240" w:lineRule="auto"/>
              <w:ind w:firstLine="440" w:firstLineChars="0"/>
              <w:jc w:val="center"/>
              <w:rPr>
                <w:rFonts w:hint="eastAsia"/>
                <w:vertAlign w:val="baseline"/>
                <w:lang w:eastAsia="zh-CN"/>
              </w:rPr>
            </w:pPr>
            <w:r>
              <w:rPr>
                <w:sz w:val="17"/>
                <w:szCs w:val="17"/>
              </w:rPr>
              <w:t xml:space="preserve">公用经费</w:t>
            </w:r>
          </w:p>
        </w:tc>
        <w:tc>
          <w:tcPr>
            <w:tcW w:w="1694" w:type="dxa"/>
            <w:vMerge/>
          </w:tcPr>
          <w:p>
            <w:pPr>
              <w:jc w:val="center"/>
              <w:rPr>
                <w:rFonts w:hint="eastAsia"/>
                <w:vertAlign w:val="baseline"/>
                <w:lang w:eastAsia="zh-CN"/>
              </w:rPr>
            </w:pPr>
          </w:p>
        </w:tc>
        <w:tc>
          <w:tcPr>
            <w:tcW w:w="1695" w:type="dxa"/>
            <w:vMerge/>
          </w:tcPr>
          <w:p>
            <w:pPr>
              <w:jc w:val="center"/>
              <w:rPr>
                <w:rFonts w:hint="eastAsia"/>
                <w:vertAlign w:val="baseline"/>
                <w:lang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jc w:val="center"/>
              <w:rPr>
                <w:rFonts w:hint="eastAsia"/>
                <w:vertAlign w:val="baseline"/>
                <w:lang w:eastAsia="zh-CN"/>
              </w:rPr>
            </w:pPr>
          </w:p>
        </w:tc>
        <w:tc>
          <w:tcPr>
            <w:tcW w:w="1676" w:type="dxa"/>
            <w:vAlign w:val="center"/>
          </w:tcPr>
          <w:p>
            <w:pPr>
              <w:jc w:val="center"/>
              <w:rPr>
                <w:rFonts w:hint="eastAsia"/>
                <w:vertAlign w:val="baseline"/>
                <w:lang w:eastAsia="zh-CN"/>
              </w:rPr>
            </w:pPr>
          </w:p>
        </w:tc>
        <w:tc>
          <w:tcPr>
            <w:tcW w:w="1662" w:type="dxa"/>
            <w:vAlign w:val="center"/>
          </w:tcPr>
          <w:p>
            <w:pPr>
              <w:jc w:val="center"/>
              <w:rPr>
                <w:rFonts w:hint="eastAsia"/>
                <w:vertAlign w:val="baseline"/>
                <w:lang w:eastAsia="zh-CN"/>
              </w:rPr>
            </w:pPr>
          </w:p>
        </w:tc>
        <w:tc>
          <w:tcPr>
            <w:tcW w:w="1717"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1</w:t>
            </w:r>
          </w:p>
        </w:tc>
        <w:tc>
          <w:tcPr>
            <w:tcW w:w="187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2</w:t>
            </w:r>
          </w:p>
        </w:tc>
        <w:tc>
          <w:tcPr>
            <w:tcW w:w="1729" w:type="dxa"/>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3</w:t>
            </w:r>
          </w:p>
        </w:tc>
        <w:tc>
          <w:tcPr>
            <w:tcW w:w="1790" w:type="dxa"/>
            <w:gridSpan w:val="2"/>
            <w:vAlign w:val="center"/>
          </w:tcPr>
          <w:p>
            <w:pPr>
              <w:pStyle w:val="Other|1"/>
              <w:spacing w:line="240" w:lineRule="auto"/>
              <w:ind w:firstLine="0" w:firstLineChars="0"/>
              <w:jc w:val="center"/>
              <w:rPr>
                <w:rFonts w:hint="eastAsia"/>
                <w:vertAlign w:val="baseline"/>
                <w:lang w:eastAsia="zh-CN"/>
              </w:rPr>
            </w:pPr>
            <w:r>
              <w:rPr>
                <w:rFonts w:ascii="Times New Roman" w:eastAsia="Times New Roman" w:hAnsi="Times New Roman" w:cs="Times New Roman"/>
                <w:b/>
                <w:bCs/>
                <w:sz w:val="17"/>
                <w:szCs w:val="17"/>
              </w:rPr>
              <w:t xml:space="preserve">4</w:t>
            </w:r>
          </w:p>
        </w:tc>
        <w:tc>
          <w:tcPr>
            <w:tcW w:w="1694" w:type="dxa"/>
            <w:vAlign w:val="center"/>
          </w:tcPr>
          <w:p>
            <w:pPr>
              <w:pStyle w:val="Other|1"/>
              <w:spacing w:line="240" w:lineRule="auto"/>
              <w:ind w:firstLine="660" w:firstLineChars="0"/>
              <w:jc w:val="center"/>
              <w:rPr>
                <w:rFonts w:hint="eastAsia"/>
                <w:vertAlign w:val="baseline"/>
                <w:lang w:eastAsia="zh-CN"/>
              </w:rPr>
            </w:pPr>
            <w:r>
              <w:rPr>
                <w:rFonts w:ascii="Times New Roman" w:eastAsia="Times New Roman" w:hAnsi="Times New Roman" w:cs="Times New Roman"/>
                <w:b/>
                <w:bCs/>
                <w:sz w:val="17"/>
                <w:szCs w:val="17"/>
              </w:rPr>
              <w:t xml:space="preserve">5</w:t>
            </w:r>
          </w:p>
        </w:tc>
        <w:tc>
          <w:tcPr>
            <w:tcW w:w="1695" w:type="dxa"/>
            <w:vAlign w:val="center"/>
          </w:tcPr>
          <w:p>
            <w:pPr>
              <w:pStyle w:val="Other|1"/>
              <w:spacing w:line="240" w:lineRule="auto"/>
              <w:ind w:right="700" w:firstLine="0" w:rightChars="0" w:firstLineChars="0"/>
              <w:jc w:val="center"/>
              <w:rPr>
                <w:rFonts w:hint="eastAsia"/>
                <w:vertAlign w:val="baseline"/>
                <w:lang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p>
        </w:tc>
        <w:tc>
          <w:tcPr>
            <w:tcW w:w="1676"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710008</w:t>
            </w:r>
          </w:p>
        </w:tc>
        <w:tc>
          <w:tcPr>
            <w:tcW w:w="1662" w:type="dxa"/>
            <w:vAlign w:val="center"/>
          </w:tcPr>
          <w:p>
            <w:pPr>
              <w:pStyle w:val="Other|1"/>
              <w:spacing w:line="240" w:lineRule="auto"/>
              <w:ind w:firstLine="0" w:firstLineChars="0"/>
              <w:jc w:val="center"/>
              <w:rPr>
                <w:rFonts w:hint="eastAsia"/>
                <w:vertAlign w:val="baseline"/>
                <w:lang w:eastAsia="zh-CN"/>
              </w:rPr>
            </w:pP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24.72</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24.71</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24.00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0.71</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2012999</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其他群众团体事务支出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0.23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0.23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0.23</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2080505</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机关事业单位基本养老保险缴费支出</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2.83</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2.83</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2.83</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2130304</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水利行业业务管理</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19.18</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19.18</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18.70</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0.48</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715" w:type="dxa"/>
            <w:vAlign w:val="center"/>
          </w:tcPr>
          <w:p>
            <w:pPr>
              <w:pStyle w:val="Other|1"/>
              <w:spacing w:line="240" w:lineRule="auto"/>
              <w:ind w:firstLine="0" w:firstLineChars="0"/>
              <w:jc w:val="center"/>
              <w:rPr>
                <w:rFonts w:hint="eastAsia"/>
                <w:vertAlign w:val="baseline"/>
                <w:lang w:eastAsia="zh-CN"/>
              </w:rPr>
            </w:pPr>
            <w:r>
              <w:rPr>
                <w:rFonts w:ascii="Times New Roman" w:hAnsi="Times New Roman" w:cs="Times New Roman" w:hint="eastAsia"/>
                <w:b/>
                <w:bCs/>
                <w:sz w:val="17"/>
                <w:szCs w:val="17"/>
                <w:lang w:val="en-US" w:eastAsia="zh-CN"/>
              </w:rPr>
              <w:t xml:space="preserve">2210201</w:t>
            </w:r>
          </w:p>
        </w:tc>
        <w:tc>
          <w:tcPr>
            <w:tcW w:w="1676" w:type="dxa"/>
            <w:vAlign w:val="center"/>
          </w:tcPr>
          <w:p>
            <w:pPr>
              <w:pStyle w:val="Other|1"/>
              <w:spacing w:line="240" w:lineRule="auto"/>
              <w:ind w:firstLine="0" w:firstLineChars="0"/>
              <w:jc w:val="center"/>
              <w:rPr>
                <w:rFonts w:hint="eastAsia"/>
                <w:vertAlign w:val="baseline"/>
                <w:lang w:eastAsia="zh-CN"/>
              </w:rPr>
            </w:pPr>
          </w:p>
        </w:tc>
        <w:tc>
          <w:tcPr>
            <w:tcW w:w="1662" w:type="dxa"/>
            <w:vAlign w:val="center"/>
          </w:tcPr>
          <w:p>
            <w:pPr>
              <w:pStyle w:val="Other|1"/>
              <w:spacing w:line="240" w:lineRule="auto"/>
              <w:ind w:firstLine="0" w:firstLineChars="0"/>
              <w:jc w:val="center"/>
              <w:rPr>
                <w:rFonts w:hint="eastAsia"/>
                <w:vertAlign w:val="baseline"/>
                <w:lang w:eastAsia="zh-CN"/>
              </w:rPr>
            </w:pPr>
            <w:r>
              <w:rPr>
                <w:rFonts w:hint="eastAsia"/>
                <w:sz w:val="17"/>
                <w:szCs w:val="17"/>
                <w:lang w:val="en-US" w:eastAsia="zh-CN"/>
              </w:rPr>
              <w:t xml:space="preserve">住房公积金</w:t>
            </w:r>
          </w:p>
        </w:tc>
        <w:tc>
          <w:tcPr>
            <w:tcW w:w="1717" w:type="dxa"/>
            <w:vAlign w:val="center"/>
          </w:tcPr>
          <w:p>
            <w:pPr>
              <w:pStyle w:val="Other|1"/>
              <w:spacing w:line="240" w:lineRule="auto"/>
              <w:ind w:left="106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2.47</w:t>
            </w:r>
          </w:p>
        </w:tc>
        <w:tc>
          <w:tcPr>
            <w:tcW w:w="1879" w:type="dxa"/>
            <w:vAlign w:val="center"/>
          </w:tcPr>
          <w:p>
            <w:pPr>
              <w:pStyle w:val="Other|1"/>
              <w:spacing w:line="240" w:lineRule="auto"/>
              <w:ind w:left="1320" w:firstLine="0" w:leftChars="0" w:firstLineChars="0"/>
              <w:jc w:val="center"/>
              <w:rPr>
                <w:rFonts w:hint="eastAsia"/>
                <w:vertAlign w:val="baseline"/>
                <w:lang w:eastAsia="zh-CN"/>
              </w:rPr>
            </w:pPr>
            <w:r>
              <w:rPr>
                <w:rFonts w:hint="eastAsia"/>
                <w:b/>
                <w:bCs/>
                <w:sz w:val="17"/>
                <w:szCs w:val="17"/>
                <w:lang w:val="en-US" w:eastAsia="zh-CN"/>
              </w:rPr>
              <w:t xml:space="preserve">2.47</w:t>
            </w:r>
          </w:p>
        </w:tc>
        <w:tc>
          <w:tcPr>
            <w:tcW w:w="1729" w:type="dxa"/>
            <w:vAlign w:val="center"/>
          </w:tcPr>
          <w:p>
            <w:pPr>
              <w:pStyle w:val="Other|1"/>
              <w:spacing w:line="240" w:lineRule="auto"/>
              <w:ind w:left="1120" w:firstLine="0" w:leftChars="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2.47</w:t>
            </w:r>
          </w:p>
        </w:tc>
        <w:tc>
          <w:tcPr>
            <w:tcW w:w="1790" w:type="dxa"/>
            <w:gridSpan w:val="2"/>
            <w:vAlign w:val="center"/>
          </w:tcPr>
          <w:p>
            <w:pPr>
              <w:pStyle w:val="Other|1"/>
              <w:spacing w:line="240" w:lineRule="auto"/>
              <w:ind w:left="1060" w:firstLine="0" w:leftChars="0" w:firstLineChars="0"/>
              <w:jc w:val="center"/>
              <w:rPr>
                <w:rFonts w:hint="eastAsia"/>
                <w:vertAlign w:val="baseline"/>
                <w:lang w:eastAsia="zh-CN"/>
              </w:rPr>
            </w:pPr>
            <w:r>
              <w:rPr>
                <w:rFonts w:hint="eastAsia"/>
                <w:b/>
                <w:bCs/>
                <w:sz w:val="17"/>
                <w:szCs w:val="17"/>
                <w:lang w:val="en-US" w:eastAsia="zh-CN"/>
              </w:rPr>
              <w:t xml:space="preserve">0.00</w:t>
            </w:r>
          </w:p>
        </w:tc>
        <w:tc>
          <w:tcPr>
            <w:tcW w:w="1694" w:type="dxa"/>
            <w:vAlign w:val="center"/>
          </w:tcPr>
          <w:p>
            <w:pPr>
              <w:pStyle w:val="Other|1"/>
              <w:spacing w:line="240" w:lineRule="auto"/>
              <w:ind w:firstLine="400" w:firstLineChars="0"/>
              <w:jc w:val="center"/>
              <w:rPr>
                <w:rFonts w:hint="eastAsia"/>
                <w:vertAlign w:val="baseline"/>
                <w:lang w:eastAsia="zh-CN"/>
              </w:rPr>
            </w:pPr>
            <w:r>
              <w:rPr>
                <w:rFonts w:ascii="Times New Roman" w:hAnsi="Times New Roman" w:cs="Times New Roman" w:hint="eastAsia"/>
                <w:b/>
                <w:bCs/>
                <w:sz w:val="17"/>
                <w:szCs w:val="17"/>
                <w:lang w:val="en-US" w:eastAsia="zh-CN" w:bidi="en-US"/>
              </w:rPr>
              <w:t xml:space="preserve">0.00</w:t>
            </w:r>
          </w:p>
        </w:tc>
        <w:tc>
          <w:tcPr>
            <w:tcW w:w="1695" w:type="dxa"/>
            <w:vAlign w:val="center"/>
          </w:tcPr>
          <w:p>
            <w:pPr>
              <w:pStyle w:val="Other|1"/>
              <w:spacing w:line="240" w:lineRule="auto"/>
              <w:ind w:firstLine="400" w:firstLineChars="0"/>
              <w:jc w:val="center"/>
              <w:rPr>
                <w:rFonts w:hint="eastAsia"/>
                <w:vertAlign w:val="baseline"/>
                <w:lang w:eastAsia="zh-CN"/>
              </w:rPr>
            </w:pPr>
            <w:r>
              <w:rPr>
                <w:rFonts w:hint="eastAsia"/>
                <w:b/>
                <w:bCs/>
                <w:sz w:val="17"/>
                <w:szCs w:val="17"/>
                <w:lang w:val="en-US" w:eastAsia="zh-CN"/>
              </w:rPr>
              <w:t xml:space="preserve">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10"/>
            <w:tcBorders>
              <w:left w:val="nil"/>
              <w:bottom w:val="nil"/>
              <w:right w:val="nil"/>
            </w:tcBorders>
          </w:tcPr>
          <w:p>
            <w:pPr>
              <w:jc w:val="left"/>
              <w:rPr>
                <w:rFonts w:hint="eastAsia"/>
                <w:vertAlign w:val="baseline"/>
                <w:lang w:eastAsia="zh-CN"/>
              </w:rPr>
            </w:pPr>
            <w:r>
              <w:rPr>
                <w:sz w:val="16"/>
                <w:szCs w:val="16"/>
              </w:rPr>
              <w:t xml:space="preserve">注：本报表金额单位转换时可能存在四舍五入尾数误差。</w:t>
            </w:r>
          </w:p>
        </w:tc>
      </w:tr>
    </w:tbl>
    <w:p>
      <w:pPr>
        <w:jc w:val="left"/>
        <w:rPr>
          <w:rFonts w:hint="eastAsia"/>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pPr>
      <w:bookmarkStart w:id="26" w:name="bookmark56"/>
      <w:bookmarkStart w:id="27" w:name="bookmark57"/>
      <w:bookmarkStart w:id="28" w:name="bookmark58"/>
      <w:r>
        <w:t xml:space="preserve">一般公共预算基本支出情况表</w:t>
      </w:r>
      <w:bookmarkEnd w:id="26"/>
      <w:bookmarkEnd w:id="27"/>
      <w:bookmarkEnd w:id="28"/>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3110"/>
        <w:gridCol w:w="3111"/>
        <w:gridCol w:w="3111"/>
        <w:gridCol w:w="3112"/>
        <w:gridCol w:w="311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2444" w:type="dxa"/>
            <w:gridSpan w:val="4"/>
            <w:tcBorders>
              <w:top w:val="nil"/>
              <w:left w:val="nil"/>
              <w:right w:val="nil"/>
            </w:tcBorders>
          </w:tcPr>
          <w:p>
            <w:pPr>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环江毛南族自治县东兴镇水利站</w:t>
            </w:r>
          </w:p>
        </w:tc>
        <w:tc>
          <w:tcPr>
            <w:tcW w:w="3113" w:type="dxa"/>
            <w:tcBorders>
              <w:top w:val="nil"/>
              <w:left w:val="nil"/>
              <w:right w:val="nil"/>
            </w:tcBorders>
          </w:tcPr>
          <w:p>
            <w:pPr>
              <w:ind w:firstLine="1760" w:firstLineChars="1100"/>
              <w:jc w:val="left"/>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5"/>
        </w:trPr>
        <w:tc>
          <w:tcPr>
            <w:tcW w:w="6221" w:type="dxa"/>
            <w:gridSpan w:val="2"/>
          </w:tcPr>
          <w:p>
            <w:pPr>
              <w:jc w:val="left"/>
              <w:rPr>
                <w:vertAlign w:val="baseline"/>
                <w:lang w:eastAsia="zh-CN"/>
              </w:rPr>
            </w:pPr>
            <w:r>
              <w:rPr>
                <w:sz w:val="17"/>
                <w:szCs w:val="17"/>
              </w:rPr>
              <w:t xml:space="preserve">部门预算支出经济分类科目</w:t>
            </w:r>
          </w:p>
        </w:tc>
        <w:tc>
          <w:tcPr>
            <w:tcW w:w="9336" w:type="dxa"/>
            <w:gridSpan w:val="3"/>
          </w:tcPr>
          <w:p>
            <w:pPr>
              <w:jc w:val="left"/>
              <w:rPr>
                <w:vertAlign w:val="baseline"/>
                <w:lang w:eastAsia="zh-CN"/>
              </w:rPr>
            </w:pPr>
            <w:r>
              <w:rPr>
                <w:sz w:val="17"/>
                <w:szCs w:val="17"/>
              </w:rPr>
              <w:t xml:space="preserve">本年一般公共预算基本支出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20"/>
        </w:trPr>
        <w:tc>
          <w:tcPr>
            <w:tcW w:w="3110" w:type="dxa"/>
            <w:vAlign w:val="center"/>
          </w:tcPr>
          <w:p>
            <w:pPr>
              <w:pStyle w:val="Other|1"/>
              <w:spacing w:line="240" w:lineRule="auto"/>
              <w:ind w:firstLine="0" w:firstLineChars="0"/>
              <w:jc w:val="center"/>
              <w:rPr>
                <w:vertAlign w:val="baseline"/>
                <w:lang w:eastAsia="zh-CN"/>
              </w:rPr>
            </w:pPr>
            <w:r>
              <w:rPr>
                <w:sz w:val="17"/>
                <w:szCs w:val="17"/>
              </w:rPr>
              <w:t xml:space="preserve">科目编码</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科目名称</w:t>
            </w:r>
          </w:p>
        </w:tc>
        <w:tc>
          <w:tcPr>
            <w:tcW w:w="3111" w:type="dxa"/>
            <w:vAlign w:val="center"/>
          </w:tcPr>
          <w:p>
            <w:pPr>
              <w:pStyle w:val="Other|1"/>
              <w:spacing w:line="240" w:lineRule="auto"/>
              <w:ind w:firstLine="0" w:firstLineChars="0"/>
              <w:jc w:val="center"/>
              <w:rPr>
                <w:vertAlign w:val="baseline"/>
                <w:lang w:eastAsia="zh-CN"/>
              </w:rPr>
            </w:pPr>
            <w:r>
              <w:rPr>
                <w:sz w:val="17"/>
                <w:szCs w:val="17"/>
              </w:rPr>
              <w:t xml:space="preserve">合计</w:t>
            </w:r>
          </w:p>
        </w:tc>
        <w:tc>
          <w:tcPr>
            <w:tcW w:w="3112" w:type="dxa"/>
            <w:vAlign w:val="center"/>
          </w:tcPr>
          <w:p>
            <w:pPr>
              <w:pStyle w:val="Other|1"/>
              <w:spacing w:line="240" w:lineRule="auto"/>
              <w:ind w:firstLine="0" w:firstLineChars="0"/>
              <w:jc w:val="center"/>
              <w:rPr>
                <w:vertAlign w:val="baseline"/>
                <w:lang w:eastAsia="zh-CN"/>
              </w:rPr>
            </w:pPr>
            <w:r>
              <w:rPr>
                <w:sz w:val="17"/>
                <w:szCs w:val="17"/>
              </w:rPr>
              <w:t xml:space="preserve">人员经费</w:t>
            </w:r>
          </w:p>
        </w:tc>
        <w:tc>
          <w:tcPr>
            <w:tcW w:w="3113" w:type="dxa"/>
            <w:vAlign w:val="center"/>
          </w:tcPr>
          <w:p>
            <w:pPr>
              <w:pStyle w:val="Other|1"/>
              <w:spacing w:line="240" w:lineRule="auto"/>
              <w:ind w:firstLine="0" w:firstLineChars="0"/>
              <w:jc w:val="center"/>
              <w:rPr>
                <w:vertAlign w:val="baseline"/>
                <w:lang w:eastAsia="zh-CN"/>
              </w:rPr>
            </w:pPr>
            <w:r>
              <w:rPr>
                <w:sz w:val="17"/>
                <w:szCs w:val="17"/>
              </w:rPr>
              <w:t xml:space="preserve">公用经费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合计</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24.71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工资福利支出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24.00</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基本工资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7.43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7.43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津贴补贴</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2.16</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2.16</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奖金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4.28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4.28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30107</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绩效工资</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3.58</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30108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机关事业单位基本养老保险缴费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2.83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2.83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30110</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职工基本医疗保险缴费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1.13</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其他社会保障缴费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0.12</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0.12</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30113</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住房公积金</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2.47</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2.47</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商品和服务支出</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0.71</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0.71</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30201</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办公费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0.48</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0.48</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95"/>
        </w:trPr>
        <w:tc>
          <w:tcPr>
            <w:tcW w:w="3110" w:type="dxa"/>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30228</w:t>
            </w:r>
          </w:p>
        </w:tc>
        <w:tc>
          <w:tcPr>
            <w:tcW w:w="3111" w:type="dxa"/>
            <w:vAlign w:val="center"/>
          </w:tcPr>
          <w:p>
            <w:pPr>
              <w:pStyle w:val="Other|1"/>
              <w:spacing w:line="240" w:lineRule="auto"/>
              <w:ind w:firstLine="0" w:firstLineChars="0"/>
              <w:jc w:val="left"/>
              <w:rPr>
                <w:vertAlign w:val="baseline"/>
                <w:lang w:eastAsia="zh-CN"/>
              </w:rPr>
            </w:pPr>
            <w:r>
              <w:rPr>
                <w:rFonts w:ascii="Times New Roman" w:eastAsia="Times New Roman" w:hAnsi="Times New Roman" w:cs="Times New Roman" w:hint="eastAsia"/>
                <w:b/>
                <w:bCs/>
                <w:sz w:val="17"/>
                <w:szCs w:val="17"/>
                <w:lang w:val="en-US" w:eastAsia="zh-CN"/>
              </w:rPr>
              <w:t xml:space="preserve">工会经费</w:t>
            </w:r>
          </w:p>
        </w:tc>
        <w:tc>
          <w:tcPr>
            <w:tcW w:w="3111"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0.23</w:t>
            </w:r>
          </w:p>
        </w:tc>
        <w:tc>
          <w:tcPr>
            <w:tcW w:w="3112"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0.00</w:t>
            </w:r>
          </w:p>
        </w:tc>
        <w:tc>
          <w:tcPr>
            <w:tcW w:w="3113" w:type="dxa"/>
            <w:vAlign w:val="center"/>
          </w:tcPr>
          <w:p>
            <w:pPr>
              <w:pStyle w:val="Other|1"/>
              <w:spacing w:line="240" w:lineRule="auto"/>
              <w:ind w:firstLine="0" w:firstLineChars="0"/>
              <w:jc w:val="right"/>
              <w:rPr>
                <w:vertAlign w:val="baseline"/>
                <w:lang w:eastAsia="zh-CN"/>
              </w:rPr>
            </w:pPr>
            <w:r>
              <w:rPr>
                <w:rFonts w:ascii="Times New Roman" w:eastAsia="Times New Roman" w:hAnsi="Times New Roman" w:cs="Times New Roman" w:hint="eastAsia"/>
                <w:b/>
                <w:bCs/>
                <w:sz w:val="17"/>
                <w:szCs w:val="17"/>
                <w:lang w:val="en-US" w:eastAsia="zh-CN"/>
              </w:rPr>
              <w:t xml:space="preserve">0.23</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432"/>
        </w:trPr>
        <w:tc>
          <w:tcPr>
            <w:tcW w:w="15557" w:type="dxa"/>
            <w:gridSpan w:val="5"/>
            <w:tcBorders>
              <w:left w:val="nil"/>
              <w:bottom w:val="nil"/>
              <w:right w:val="nil"/>
            </w:tcBorders>
          </w:tcPr>
          <w:p>
            <w:pPr>
              <w:jc w:val="left"/>
              <w:rPr>
                <w:sz w:val="16"/>
                <w:szCs w:val="16"/>
              </w:rPr>
            </w:pPr>
          </w:p>
          <w:p>
            <w:pPr>
              <w:jc w:val="left"/>
              <w:rPr>
                <w:vertAlign w:val="baseline"/>
                <w:lang w:eastAsia="zh-CN"/>
              </w:rPr>
            </w:pPr>
            <w:r>
              <w:rPr>
                <w:sz w:val="16"/>
                <w:szCs w:val="16"/>
              </w:rPr>
              <w:t xml:space="preserve">注：本报表金额单位转换时可能存在四舍五入尾数误差。</w:t>
            </w:r>
          </w:p>
        </w:tc>
      </w:tr>
    </w:tbl>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jc w:val="left"/>
        <w:rPr>
          <w:lang w:eastAsia="zh-CN"/>
        </w:rPr>
      </w:pPr>
    </w:p>
    <w:p>
      <w:pPr>
        <w:pStyle w:val="Heading#2|1"/>
        <w:keepNext/>
        <w:keepLines/>
        <w:spacing w:after="240"/>
        <w:jc w:val="center"/>
        <w:rPr>
          <w:rFonts w:hint="default"/>
          <w:sz w:val="28"/>
          <w:szCs w:val="28"/>
          <w:lang w:val="en-US" w:eastAsia="zh-CN"/>
        </w:rPr>
      </w:pPr>
      <w:bookmarkStart w:id="29" w:name="bookmark65"/>
      <w:bookmarkStart w:id="30" w:name="bookmark67"/>
      <w:bookmarkStart w:id="31" w:name="bookmark66"/>
      <w:r>
        <w:rPr>
          <w:rFonts w:hint="default"/>
          <w:sz w:val="28"/>
          <w:szCs w:val="28"/>
          <w:lang w:val="en-US" w:eastAsia="zh-CN"/>
        </w:rPr>
        <w:t xml:space="preserve">一般公共预算“三公”经费预算表</w:t>
      </w: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296"/>
        <w:gridCol w:w="1918"/>
        <w:gridCol w:w="1884"/>
        <w:gridCol w:w="1895"/>
        <w:gridCol w:w="1888"/>
        <w:gridCol w:w="1890"/>
        <w:gridCol w:w="1895"/>
        <w:gridCol w:w="2"/>
        <w:gridCol w:w="1889"/>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666" w:type="dxa"/>
            <w:gridSpan w:val="7"/>
            <w:tcBorders>
              <w:top w:val="nil"/>
              <w:left w:val="nil"/>
              <w:right w:val="nil"/>
            </w:tcBorders>
          </w:tcPr>
          <w:p>
            <w:pPr>
              <w:pStyle w:val="Tablecaption|1"/>
              <w:bidi w:val="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单位名称：</w:t>
            </w:r>
            <w:r>
              <w:rPr>
                <w:rFonts w:ascii="宋体" w:eastAsia="宋体" w:hAnsi="宋体" w:cs="宋体"/>
                <w:sz w:val="16"/>
                <w:u w:color="auto"/>
              </w:rPr>
              <w:t xml:space="preserve">环江毛南族自治县东兴镇水利站</w:t>
            </w:r>
          </w:p>
        </w:tc>
        <w:tc>
          <w:tcPr>
            <w:tcW w:w="1891" w:type="dxa"/>
            <w:gridSpan w:val="2"/>
            <w:tcBorders>
              <w:top w:val="nil"/>
              <w:left w:val="nil"/>
              <w:right w:val="nil"/>
            </w:tcBorders>
          </w:tcPr>
          <w:p>
            <w:pPr>
              <w:pStyle w:val="Tablecaption|1"/>
              <w:bidi w:val="0"/>
              <w:ind w:firstLine="480" w:firstLineChars="300"/>
              <w:jc w:val="both"/>
              <w:rPr>
                <w:rFonts w:ascii="宋体" w:eastAsia="宋体" w:hAnsi="宋体" w:cs="宋体" w:hint="eastAsia"/>
                <w:sz w:val="16"/>
                <w:szCs w:val="16"/>
                <w:vertAlign w:val="baseline"/>
                <w:lang w:eastAsia="zh-CN"/>
              </w:rPr>
            </w:pPr>
            <w:r>
              <w:rPr>
                <w:rFonts w:ascii="宋体" w:eastAsia="宋体" w:hAnsi="宋体" w:cs="宋体" w:hint="eastAsia"/>
                <w:sz w:val="16"/>
                <w:szCs w:val="16"/>
                <w:vertAlign w:val="baseline"/>
                <w:lang w:eastAsia="zh-CN"/>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val="restart"/>
          </w:tcPr>
          <w:p>
            <w:pPr>
              <w:pStyle w:val="Tablecaption|1"/>
              <w:bidi w:val="0"/>
              <w:jc w:val="center"/>
              <w:rPr>
                <w:rFonts w:hint="eastAsia"/>
                <w:vertAlign w:val="baseline"/>
                <w:lang w:val="en-US" w:eastAsia="zh-CN"/>
              </w:rPr>
            </w:pPr>
            <w:r>
              <w:rPr>
                <w:sz w:val="17"/>
                <w:szCs w:val="17"/>
              </w:rPr>
              <w:t xml:space="preserve">门（单位）代码</w:t>
            </w:r>
          </w:p>
        </w:tc>
        <w:tc>
          <w:tcPr>
            <w:tcW w:w="1918" w:type="dxa"/>
            <w:vMerge w:val="restart"/>
          </w:tcPr>
          <w:p>
            <w:pPr>
              <w:pStyle w:val="Tablecaption|1"/>
              <w:bidi w:val="0"/>
              <w:jc w:val="center"/>
              <w:rPr>
                <w:rFonts w:hint="eastAsia"/>
                <w:vertAlign w:val="baseline"/>
                <w:lang w:val="en-US" w:eastAsia="zh-CN"/>
              </w:rPr>
            </w:pPr>
            <w:r>
              <w:rPr>
                <w:sz w:val="17"/>
                <w:szCs w:val="17"/>
              </w:rPr>
              <w:t xml:space="preserve">部门（单位）名称</w:t>
            </w:r>
          </w:p>
        </w:tc>
        <w:tc>
          <w:tcPr>
            <w:tcW w:w="11343" w:type="dxa"/>
            <w:gridSpan w:val="7"/>
          </w:tcPr>
          <w:p>
            <w:pPr>
              <w:pStyle w:val="Tablecaption|1"/>
              <w:bidi w:val="0"/>
              <w:jc w:val="center"/>
              <w:rPr>
                <w:rFonts w:hint="eastAsia"/>
                <w:vertAlign w:val="baseline"/>
                <w:lang w:val="en-US" w:eastAsia="zh-CN"/>
              </w:rPr>
            </w:pPr>
            <w:r>
              <w:rPr>
                <w:sz w:val="17"/>
                <w:szCs w:val="17"/>
                <w:lang w:val="zh-CN" w:eastAsia="zh-CN" w:bidi="zh-CN"/>
              </w:rPr>
              <w:t xml:space="preserve">“三</w:t>
            </w:r>
            <w:r>
              <w:rPr>
                <w:sz w:val="17"/>
                <w:szCs w:val="17"/>
              </w:rPr>
              <w:t xml:space="preserve">公”经费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val="restart"/>
          </w:tcPr>
          <w:p>
            <w:pPr>
              <w:pStyle w:val="Tablecaption|1"/>
              <w:bidi w:val="0"/>
              <w:jc w:val="center"/>
              <w:rPr>
                <w:rFonts w:hint="eastAsia"/>
                <w:vertAlign w:val="baseline"/>
                <w:lang w:val="en-US" w:eastAsia="zh-CN"/>
              </w:rPr>
            </w:pPr>
            <w:r>
              <w:rPr>
                <w:sz w:val="17"/>
                <w:szCs w:val="17"/>
              </w:rPr>
              <w:t xml:space="preserve">合计</w:t>
            </w:r>
          </w:p>
        </w:tc>
        <w:tc>
          <w:tcPr>
            <w:tcW w:w="1895" w:type="dxa"/>
            <w:vMerge w:val="restart"/>
          </w:tcPr>
          <w:p>
            <w:pPr>
              <w:pStyle w:val="Tablecaption|1"/>
              <w:bidi w:val="0"/>
              <w:jc w:val="center"/>
              <w:rPr>
                <w:rFonts w:hint="eastAsia"/>
                <w:vertAlign w:val="baseline"/>
                <w:lang w:val="en-US" w:eastAsia="zh-CN"/>
              </w:rPr>
            </w:pPr>
            <w:r>
              <w:rPr>
                <w:sz w:val="17"/>
                <w:szCs w:val="17"/>
              </w:rPr>
              <w:t xml:space="preserve">因公出国（境）费</w:t>
            </w:r>
          </w:p>
        </w:tc>
        <w:tc>
          <w:tcPr>
            <w:tcW w:w="5675" w:type="dxa"/>
            <w:gridSpan w:val="4"/>
          </w:tcPr>
          <w:p>
            <w:pPr>
              <w:pStyle w:val="Tablecaption|1"/>
              <w:bidi w:val="0"/>
              <w:jc w:val="center"/>
              <w:rPr>
                <w:rFonts w:hint="eastAsia"/>
                <w:vertAlign w:val="baseline"/>
                <w:lang w:val="en-US" w:eastAsia="zh-CN"/>
              </w:rPr>
            </w:pPr>
            <w:r>
              <w:rPr>
                <w:sz w:val="17"/>
                <w:szCs w:val="17"/>
              </w:rPr>
              <w:t xml:space="preserve">公务用车购置及运行维护费</w:t>
            </w:r>
          </w:p>
        </w:tc>
        <w:tc>
          <w:tcPr>
            <w:tcW w:w="1889" w:type="dxa"/>
            <w:vMerge w:val="restart"/>
          </w:tcPr>
          <w:p>
            <w:pPr>
              <w:pStyle w:val="Tablecaption|1"/>
              <w:bidi w:val="0"/>
              <w:jc w:val="center"/>
              <w:rPr>
                <w:rFonts w:hint="eastAsia"/>
                <w:vertAlign w:val="baseline"/>
                <w:lang w:val="en-US" w:eastAsia="zh-CN"/>
              </w:rPr>
            </w:pPr>
            <w:r>
              <w:rPr>
                <w:sz w:val="17"/>
                <w:szCs w:val="17"/>
              </w:rPr>
              <w:t xml:space="preserve">公务接待费</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Merge/>
          </w:tcPr>
          <w:p>
            <w:pPr>
              <w:pStyle w:val="Tablecaption|1"/>
              <w:bidi w:val="0"/>
              <w:jc w:val="center"/>
              <w:rPr>
                <w:rFonts w:hint="eastAsia"/>
                <w:vertAlign w:val="baseline"/>
                <w:lang w:val="en-US" w:eastAsia="zh-CN"/>
              </w:rPr>
            </w:pPr>
          </w:p>
        </w:tc>
        <w:tc>
          <w:tcPr>
            <w:tcW w:w="1918" w:type="dxa"/>
            <w:vMerge/>
          </w:tcPr>
          <w:p>
            <w:pPr>
              <w:pStyle w:val="Tablecaption|1"/>
              <w:bidi w:val="0"/>
              <w:jc w:val="center"/>
              <w:rPr>
                <w:rFonts w:hint="eastAsia"/>
                <w:vertAlign w:val="baseline"/>
                <w:lang w:val="en-US" w:eastAsia="zh-CN"/>
              </w:rPr>
            </w:pPr>
          </w:p>
        </w:tc>
        <w:tc>
          <w:tcPr>
            <w:tcW w:w="1884" w:type="dxa"/>
            <w:vMerge/>
          </w:tcPr>
          <w:p>
            <w:pPr>
              <w:pStyle w:val="Tablecaption|1"/>
              <w:bidi w:val="0"/>
              <w:jc w:val="center"/>
              <w:rPr>
                <w:rFonts w:hint="eastAsia"/>
                <w:vertAlign w:val="baseline"/>
                <w:lang w:val="en-US" w:eastAsia="zh-CN"/>
              </w:rPr>
            </w:pPr>
          </w:p>
        </w:tc>
        <w:tc>
          <w:tcPr>
            <w:tcW w:w="1895" w:type="dxa"/>
            <w:vMerge/>
          </w:tcPr>
          <w:p>
            <w:pPr>
              <w:pStyle w:val="Tablecaption|1"/>
              <w:bidi w:val="0"/>
              <w:jc w:val="center"/>
              <w:rPr>
                <w:rFonts w:hint="eastAsia"/>
                <w:vertAlign w:val="baseline"/>
                <w:lang w:val="en-US" w:eastAsia="zh-CN"/>
              </w:rPr>
            </w:pPr>
          </w:p>
        </w:tc>
        <w:tc>
          <w:tcPr>
            <w:tcW w:w="1888" w:type="dxa"/>
            <w:vAlign w:val="center"/>
          </w:tcPr>
          <w:p>
            <w:pPr>
              <w:pStyle w:val="Other|1"/>
              <w:spacing w:line="240" w:lineRule="auto"/>
              <w:ind w:firstLine="0" w:firstLineChars="0"/>
              <w:jc w:val="center"/>
              <w:rPr>
                <w:rFonts w:hint="eastAsia"/>
                <w:vertAlign w:val="baseline"/>
                <w:lang w:val="en-US" w:eastAsia="zh-CN"/>
              </w:rPr>
            </w:pPr>
            <w:r>
              <w:rPr>
                <w:sz w:val="17"/>
                <w:szCs w:val="17"/>
              </w:rPr>
              <w:t xml:space="preserve">小计</w:t>
            </w:r>
          </w:p>
        </w:tc>
        <w:tc>
          <w:tcPr>
            <w:tcW w:w="1890" w:type="dxa"/>
            <w:vAlign w:val="center"/>
          </w:tcPr>
          <w:p>
            <w:pPr>
              <w:pStyle w:val="Other|1"/>
              <w:spacing w:line="240" w:lineRule="auto"/>
              <w:ind w:firstLine="220" w:firstLineChars="0"/>
              <w:jc w:val="center"/>
              <w:rPr>
                <w:rFonts w:hint="eastAsia"/>
                <w:vertAlign w:val="baseline"/>
                <w:lang w:val="en-US" w:eastAsia="zh-CN"/>
              </w:rPr>
            </w:pPr>
            <w:r>
              <w:rPr>
                <w:sz w:val="17"/>
                <w:szCs w:val="17"/>
              </w:rPr>
              <w:t xml:space="preserve">公务用车运行维护费</w:t>
            </w:r>
          </w:p>
        </w:tc>
        <w:tc>
          <w:tcPr>
            <w:tcW w:w="1897" w:type="dxa"/>
            <w:gridSpan w:val="2"/>
            <w:vAlign w:val="center"/>
          </w:tcPr>
          <w:p>
            <w:pPr>
              <w:pStyle w:val="Other|1"/>
              <w:spacing w:line="240" w:lineRule="auto"/>
              <w:ind w:firstLine="400" w:firstLineChars="0"/>
              <w:jc w:val="center"/>
              <w:rPr>
                <w:rFonts w:hint="eastAsia"/>
                <w:vertAlign w:val="baseline"/>
                <w:lang w:val="en-US" w:eastAsia="zh-CN"/>
              </w:rPr>
            </w:pPr>
            <w:r>
              <w:rPr>
                <w:sz w:val="17"/>
                <w:szCs w:val="17"/>
              </w:rPr>
              <w:t xml:space="preserve">公务用车购置费</w:t>
            </w:r>
          </w:p>
        </w:tc>
        <w:tc>
          <w:tcPr>
            <w:tcW w:w="1889" w:type="dxa"/>
            <w:vMerge/>
          </w:tcPr>
          <w:p>
            <w:pPr>
              <w:pStyle w:val="Tablecaption|1"/>
              <w:bidi w:val="0"/>
              <w:jc w:val="center"/>
              <w:rPr>
                <w:rFonts w:hint="eastAsia"/>
                <w:vertAlign w:val="baseline"/>
                <w:lang w:val="en-US" w:eastAsia="zh-CN"/>
              </w:rPr>
            </w:pP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jc w:val="center"/>
              <w:rPr>
                <w:rFonts w:hint="eastAsia"/>
                <w:vertAlign w:val="baseline"/>
                <w:lang w:val="en-US" w:eastAsia="zh-CN"/>
              </w:rPr>
            </w:pPr>
          </w:p>
        </w:tc>
        <w:tc>
          <w:tcPr>
            <w:tcW w:w="1918" w:type="dxa"/>
            <w:vAlign w:val="center"/>
          </w:tcPr>
          <w:p>
            <w:pPr>
              <w:jc w:val="center"/>
              <w:rPr>
                <w:rFonts w:hint="eastAsia"/>
                <w:vertAlign w:val="baseline"/>
                <w:lang w:val="en-US" w:eastAsia="zh-CN"/>
              </w:rPr>
            </w:pPr>
          </w:p>
        </w:tc>
        <w:tc>
          <w:tcPr>
            <w:tcW w:w="1884"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1</w:t>
            </w:r>
          </w:p>
        </w:tc>
        <w:tc>
          <w:tcPr>
            <w:tcW w:w="1895"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2</w:t>
            </w:r>
          </w:p>
        </w:tc>
        <w:tc>
          <w:tcPr>
            <w:tcW w:w="1888"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3</w:t>
            </w:r>
          </w:p>
        </w:tc>
        <w:tc>
          <w:tcPr>
            <w:tcW w:w="1890"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4</w:t>
            </w:r>
          </w:p>
        </w:tc>
        <w:tc>
          <w:tcPr>
            <w:tcW w:w="1897" w:type="dxa"/>
            <w:gridSpan w:val="2"/>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5</w:t>
            </w:r>
          </w:p>
        </w:tc>
        <w:tc>
          <w:tcPr>
            <w:tcW w:w="1889" w:type="dxa"/>
            <w:vAlign w:val="center"/>
          </w:tcPr>
          <w:p>
            <w:pPr>
              <w:pStyle w:val="Other|1"/>
              <w:spacing w:line="240" w:lineRule="auto"/>
              <w:ind w:firstLine="0" w:firstLineChars="0"/>
              <w:jc w:val="center"/>
              <w:rPr>
                <w:rFonts w:hint="eastAsia"/>
                <w:vertAlign w:val="baseline"/>
                <w:lang w:val="en-US" w:eastAsia="zh-CN"/>
              </w:rPr>
            </w:pPr>
            <w:r>
              <w:rPr>
                <w:rFonts w:ascii="Times New Roman" w:eastAsia="Times New Roman" w:hAnsi="Times New Roman" w:cs="Times New Roman"/>
                <w:b/>
                <w:bCs/>
                <w:sz w:val="17"/>
                <w:szCs w:val="17"/>
              </w:rPr>
              <w:t xml:space="preserve">6</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296" w:type="dxa"/>
            <w:vAlign w:val="center"/>
          </w:tcPr>
          <w:p>
            <w:pPr>
              <w:pStyle w:val="Other|1"/>
              <w:spacing w:line="240" w:lineRule="auto"/>
              <w:ind w:firstLine="0" w:firstLineChars="0"/>
              <w:jc w:val="lef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710008</w:t>
            </w:r>
          </w:p>
        </w:tc>
        <w:tc>
          <w:tcPr>
            <w:tcW w:w="1918" w:type="dxa"/>
            <w:vAlign w:val="center"/>
          </w:tcPr>
          <w:p>
            <w:pPr>
              <w:pStyle w:val="Other|1"/>
              <w:spacing w:line="240" w:lineRule="auto"/>
              <w:ind w:firstLine="0" w:firstLineChars="0"/>
              <w:jc w:val="left"/>
              <w:rPr>
                <w:rFonts w:hint="eastAsia"/>
                <w:vertAlign w:val="baseline"/>
                <w:lang w:val="en-US" w:eastAsia="zh-CN"/>
              </w:rPr>
            </w:pPr>
          </w:p>
        </w:tc>
        <w:tc>
          <w:tcPr>
            <w:tcW w:w="1884"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5"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8"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0"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97" w:type="dxa"/>
            <w:gridSpan w:val="2"/>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c>
          <w:tcPr>
            <w:tcW w:w="1889" w:type="dxa"/>
            <w:vAlign w:val="center"/>
          </w:tcPr>
          <w:p>
            <w:pPr>
              <w:pStyle w:val="Other|1"/>
              <w:spacing w:line="240" w:lineRule="auto"/>
              <w:ind w:firstLine="0" w:firstLineChars="0"/>
              <w:jc w:val="right"/>
              <w:rPr>
                <w:rFonts w:hint="eastAsia"/>
                <w:vertAlign w:val="baseline"/>
                <w:lang w:val="en-US" w:eastAsia="zh-CN"/>
              </w:rPr>
            </w:pPr>
            <w:r>
              <w:rPr>
                <w:rFonts w:ascii="Times New Roman" w:eastAsia="Times New Roman" w:hAnsi="Times New Roman" w:cs="Times New Roman" w:hint="eastAsia"/>
                <w:b/>
                <w:bCs/>
                <w:sz w:val="17"/>
                <w:szCs w:val="17"/>
                <w:lang w:val="en-US" w:eastAsia="zh-CN"/>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312"/>
        </w:trPr>
        <w:tc>
          <w:tcPr>
            <w:tcW w:w="15557" w:type="dxa"/>
            <w:gridSpan w:val="9"/>
            <w:tcBorders>
              <w:left w:val="nil"/>
              <w:bottom w:val="nil"/>
              <w:right w:val="nil"/>
            </w:tcBorders>
          </w:tcPr>
          <w:p>
            <w:pPr>
              <w:pStyle w:val="Tablecaption|1"/>
              <w:bidi w:val="0"/>
              <w:jc w:val="both"/>
              <w:rPr>
                <w:rFonts w:hint="eastAsia"/>
                <w:vertAlign w:val="baseline"/>
                <w:lang w:val="en-US" w:eastAsia="zh-CN"/>
              </w:rPr>
            </w:pPr>
            <w:r>
              <w:rPr>
                <w:rFonts w:ascii="宋体" w:eastAsia="宋体" w:hAnsi="宋体" w:cs="宋体" w:hint="eastAsia"/>
                <w:sz w:val="16"/>
                <w:szCs w:val="16"/>
              </w:rPr>
              <w:t xml:space="preserve">注：本报表金额单位转换时可能存在四舍五入尾数误差</w:t>
            </w:r>
          </w:p>
        </w:tc>
      </w:tr>
    </w:tbl>
    <w:p>
      <w:pPr>
        <w:pStyle w:val="Tablecaption|1"/>
        <w:bidi w:val="0"/>
        <w:rPr>
          <w:rFonts w:hint="eastAsia"/>
          <w:lang w:val="en-US" w:eastAsia="zh-CN"/>
        </w:rP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Heading#2|1"/>
        <w:keepNext/>
        <w:keepLines/>
        <w:spacing w:after="240"/>
        <w:jc w:val="center"/>
      </w:pPr>
    </w:p>
    <w:p>
      <w:pPr>
        <w:pStyle w:val="Tablecaption|1"/>
        <w:bidi w:val="0"/>
      </w:pPr>
    </w:p>
    <w:p>
      <w:pPr>
        <w:pStyle w:val="Heading#2|1"/>
        <w:keepNext/>
        <w:keepLines/>
        <w:spacing w:after="240"/>
        <w:jc w:val="center"/>
      </w:pPr>
      <w:r>
        <w:t xml:space="preserve">政府性基金预算支出情况表</w:t>
      </w:r>
      <w:bookmarkEnd w:id="29"/>
      <w:bookmarkEnd w:id="30"/>
      <w:bookmarkEnd w:id="31"/>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285"/>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环江毛南族自治县东兴镇水利站</w:t>
            </w:r>
            <w:r>
              <w:tab/>
            </w:r>
            <w:r>
              <w:t xml:space="preserve">单位：万元</w:t>
            </w:r>
          </w:p>
        </w:tc>
        <w:tc>
          <w:tcPr>
            <w:tcW w:w="2163" w:type="dxa"/>
            <w:tcBorders>
              <w:top w:val="nil"/>
              <w:left w:val="nil"/>
              <w:right w:val="nil"/>
            </w:tcBorders>
          </w:tcPr>
          <w:p>
            <w:pPr>
              <w:pStyle w:val="Tablecaption|1"/>
              <w:tabs>
                <w:tab w:val="left" w:pos="14213"/>
              </w:tabs>
              <w:ind w:left="101" w:firstLine="680" w:firstLineChars="400"/>
              <w:jc w:val="left"/>
            </w:pPr>
            <w:r>
              <w:rPr>
                <w:rFonts w:hint="eastAsia"/>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pStyle w:val="Tablecaption|1"/>
              <w:bidi w:val="0"/>
              <w:jc w:val="center"/>
              <w:rPr>
                <w:vertAlign w:val="baseline"/>
              </w:rPr>
            </w:pPr>
            <w:r>
              <w:rPr>
                <w:sz w:val="17"/>
                <w:szCs w:val="17"/>
              </w:rPr>
              <w:t xml:space="preserve">科目编码</w:t>
            </w:r>
          </w:p>
        </w:tc>
        <w:tc>
          <w:tcPr>
            <w:tcW w:w="2161" w:type="dxa"/>
          </w:tcPr>
          <w:p>
            <w:pPr>
              <w:pStyle w:val="Tablecaption|1"/>
              <w:bidi w:val="0"/>
              <w:jc w:val="center"/>
              <w:rPr>
                <w:vertAlign w:val="baseline"/>
              </w:rPr>
            </w:pPr>
            <w:r>
              <w:rPr>
                <w:sz w:val="17"/>
                <w:szCs w:val="17"/>
              </w:rPr>
              <w:t xml:space="preserve">部门（单位）代码</w:t>
            </w:r>
          </w:p>
        </w:tc>
        <w:tc>
          <w:tcPr>
            <w:tcW w:w="2162" w:type="dxa"/>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2012999</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其他群众团体事务支出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2080505</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机关事业单位基本养老保险缴费支出</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2130304</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水利行业业务管理</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rHeight w:val="135"/>
        </w:trPr>
        <w:tc>
          <w:tcPr>
            <w:tcW w:w="2527" w:type="dxa"/>
            <w:vAlign w:val="center"/>
          </w:tcPr>
          <w:p>
            <w:pPr>
              <w:pStyle w:val="Other|1"/>
              <w:spacing w:line="240" w:lineRule="auto"/>
              <w:ind w:firstLine="0" w:firstLineChars="0"/>
              <w:jc w:val="left"/>
              <w:rPr>
                <w:b w:val="0"/>
                <w:bCs w:val="0"/>
                <w:vertAlign w:val="baseline"/>
              </w:rPr>
            </w:pPr>
            <w:r>
              <w:rPr>
                <w:rFonts w:ascii="Times New Roman" w:hAnsi="Times New Roman" w:cs="Times New Roman" w:hint="eastAsia"/>
                <w:b w:val="0"/>
                <w:bCs w:val="0"/>
                <w:sz w:val="17"/>
                <w:szCs w:val="17"/>
                <w:lang w:val="en-US" w:eastAsia="zh-CN"/>
              </w:rPr>
              <w:t xml:space="preserve">2210201</w:t>
            </w:r>
          </w:p>
        </w:tc>
        <w:tc>
          <w:tcPr>
            <w:tcW w:w="2161" w:type="dxa"/>
            <w:vAlign w:val="center"/>
          </w:tcPr>
          <w:p>
            <w:pPr>
              <w:pStyle w:val="Other|1"/>
              <w:spacing w:line="240" w:lineRule="auto"/>
              <w:ind w:firstLine="0" w:firstLineChars="0"/>
              <w:jc w:val="left"/>
              <w:rPr>
                <w:b w:val="0"/>
                <w:bCs w:val="0"/>
                <w:vertAlign w:val="baseline"/>
              </w:rPr>
            </w:pPr>
          </w:p>
        </w:tc>
        <w:tc>
          <w:tcPr>
            <w:tcW w:w="2162" w:type="dxa"/>
            <w:vAlign w:val="center"/>
          </w:tcPr>
          <w:p>
            <w:pPr>
              <w:pStyle w:val="Other|1"/>
              <w:spacing w:line="240" w:lineRule="auto"/>
              <w:ind w:firstLine="0" w:firstLineChars="0"/>
              <w:jc w:val="left"/>
              <w:rPr>
                <w:b w:val="0"/>
                <w:bCs w:val="0"/>
                <w:vertAlign w:val="baseline"/>
              </w:rPr>
            </w:pPr>
            <w:r>
              <w:rPr>
                <w:rFonts w:hint="eastAsia"/>
                <w:b w:val="0"/>
                <w:bCs w:val="0"/>
                <w:sz w:val="17"/>
                <w:szCs w:val="17"/>
                <w:lang w:val="en-US" w:eastAsia="zh-CN"/>
              </w:rPr>
              <w:t xml:space="preserve">住房公积金</w:t>
            </w:r>
          </w:p>
        </w:tc>
        <w:tc>
          <w:tcPr>
            <w:tcW w:w="2222" w:type="dxa"/>
            <w:vAlign w:val="center"/>
          </w:tcPr>
          <w:p>
            <w:pPr>
              <w:pStyle w:val="Other|1"/>
              <w:spacing w:line="240" w:lineRule="auto"/>
              <w:ind w:left="1060" w:firstLine="0" w:leftChars="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hint="eastAsia"/>
                <w:b w:val="0"/>
                <w:bCs w:val="0"/>
                <w:sz w:val="17"/>
                <w:szCs w:val="17"/>
                <w:lang w:val="en-US" w:eastAsia="zh-CN"/>
              </w:rPr>
              <w:t xml:space="preserve">0.00</w:t>
            </w:r>
          </w:p>
        </w:tc>
        <w:tc>
          <w:tcPr>
            <w:tcW w:w="2161"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c>
          <w:tcPr>
            <w:tcW w:w="2163" w:type="dxa"/>
            <w:vAlign w:val="center"/>
          </w:tcPr>
          <w:p>
            <w:pPr>
              <w:pStyle w:val="Other|1"/>
              <w:spacing w:line="240" w:lineRule="auto"/>
              <w:ind w:firstLine="0" w:firstLineChars="0"/>
              <w:jc w:val="right"/>
              <w:rPr>
                <w:b w:val="0"/>
                <w:bCs w:val="0"/>
                <w:vertAlign w:val="baseline"/>
              </w:rPr>
            </w:pPr>
            <w:r>
              <w:rPr>
                <w:rFonts w:ascii="Times New Roman" w:hAnsi="Times New Roman" w:cs="Times New Roman" w:hint="eastAsia"/>
                <w:b w:val="0"/>
                <w:bCs w:val="0"/>
                <w:sz w:val="17"/>
                <w:szCs w:val="17"/>
                <w:lang w:val="en-US" w:eastAsia="zh-CN" w:bidi="en-US"/>
              </w:rPr>
              <w:t xml:space="preserve">0.00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bidi w:val="0"/>
              <w:jc w:val="both"/>
              <w:rPr>
                <w:vertAlign w:val="baseline"/>
              </w:rPr>
            </w:pPr>
            <w:r>
              <w:t xml:space="preserve">注：本报表金额单位转换时可能存在四舍五入尾数误差</w:t>
            </w:r>
          </w:p>
        </w:tc>
      </w:tr>
    </w:tbl>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pPr>
    </w:p>
    <w:p>
      <w:pPr>
        <w:pStyle w:val="Tablecaption|1"/>
        <w:bidi w:val="0"/>
        <w:jc w:val="center"/>
        <w:rPr>
          <w:sz w:val="28"/>
          <w:szCs w:val="28"/>
        </w:rPr>
      </w:pPr>
      <w:r>
        <w:rPr>
          <w:sz w:val="28"/>
          <w:szCs w:val="28"/>
        </w:rPr>
        <w:t xml:space="preserve">国有资本经营预算支出情况表</w:t>
      </w:r>
    </w:p>
    <w:p>
      <w:pPr>
        <w:pStyle w:val="Tablecaption|1"/>
        <w:bidi w:val="0"/>
        <w:jc w:val="center"/>
        <w:rPr>
          <w:sz w:val="28"/>
          <w:szCs w:val="28"/>
        </w:rPr>
      </w:pPr>
    </w:p>
    <w:tbl>
      <w:tblPr>
        <w:tblStyle w:val="TableGrid"/>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Look w:firstRow="0" w:lastRow="0" w:firstColumn="0" w:lastColumn="0" w:noHBand="1" w:noVBand="1"/>
      </w:tblPr>
      <w:tblGrid>
        <w:gridCol w:w="2527"/>
        <w:gridCol w:w="2161"/>
        <w:gridCol w:w="2162"/>
        <w:gridCol w:w="2222"/>
        <w:gridCol w:w="2161"/>
        <w:gridCol w:w="2161"/>
        <w:gridCol w:w="2163"/>
      </w:tblGrid>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3394" w:type="dxa"/>
            <w:gridSpan w:val="6"/>
            <w:tcBorders>
              <w:top w:val="nil"/>
              <w:left w:val="nil"/>
              <w:right w:val="nil"/>
            </w:tcBorders>
          </w:tcPr>
          <w:p>
            <w:pPr>
              <w:pStyle w:val="Tablecaption|1"/>
              <w:tabs>
                <w:tab w:val="left" w:pos="14213"/>
              </w:tabs>
              <w:ind w:left="101"/>
              <w:jc w:val="left"/>
            </w:pPr>
            <w:r>
              <w:t xml:space="preserve">单位名称：</w:t>
            </w:r>
            <w:r>
              <w:rPr>
                <w:rFonts w:hint="eastAsia"/>
                <w:lang w:eastAsia="zh-CN"/>
              </w:rPr>
              <w:t xml:space="preserve">环江毛南族自治县东兴镇水利站</w:t>
            </w:r>
            <w:r>
              <w:tab/>
            </w:r>
            <w:r>
              <w:t xml:space="preserve">单位：万元</w:t>
            </w:r>
          </w:p>
        </w:tc>
        <w:tc>
          <w:tcPr>
            <w:tcW w:w="2163" w:type="dxa"/>
            <w:tcBorders>
              <w:top w:val="nil"/>
              <w:left w:val="nil"/>
              <w:right w:val="nil"/>
            </w:tcBorders>
          </w:tcPr>
          <w:p>
            <w:pPr>
              <w:pStyle w:val="Tablecaption|1"/>
              <w:tabs>
                <w:tab w:val="left" w:pos="14213"/>
              </w:tabs>
              <w:ind w:left="101"/>
              <w:jc w:val="left"/>
            </w:pPr>
            <w:r>
              <w:rPr>
                <w:rFonts w:ascii="宋体" w:eastAsia="宋体" w:hAnsi="宋体" w:cs="宋体" w:hint="eastAsia"/>
                <w:sz w:val="17"/>
                <w:szCs w:val="17"/>
              </w:rPr>
              <w:t xml:space="preserve">单位：万元</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val="restart"/>
          </w:tcPr>
          <w:p>
            <w:pPr>
              <w:pStyle w:val="Tablecaption|1"/>
              <w:bidi w:val="0"/>
              <w:jc w:val="center"/>
              <w:rPr>
                <w:vertAlign w:val="baseline"/>
              </w:rPr>
            </w:pPr>
            <w:r>
              <w:rPr>
                <w:sz w:val="17"/>
                <w:szCs w:val="17"/>
              </w:rPr>
              <w:t xml:space="preserve">科目编码</w:t>
            </w:r>
          </w:p>
        </w:tc>
        <w:tc>
          <w:tcPr>
            <w:tcW w:w="2161" w:type="dxa"/>
            <w:vMerge w:val="restart"/>
          </w:tcPr>
          <w:p>
            <w:pPr>
              <w:pStyle w:val="Tablecaption|1"/>
              <w:bidi w:val="0"/>
              <w:jc w:val="center"/>
              <w:rPr>
                <w:vertAlign w:val="baseline"/>
              </w:rPr>
            </w:pPr>
            <w:r>
              <w:rPr>
                <w:sz w:val="17"/>
                <w:szCs w:val="17"/>
              </w:rPr>
              <w:t xml:space="preserve">部门（单位）代码</w:t>
            </w:r>
          </w:p>
        </w:tc>
        <w:tc>
          <w:tcPr>
            <w:tcW w:w="2162" w:type="dxa"/>
            <w:vMerge w:val="restart"/>
          </w:tcPr>
          <w:p>
            <w:pPr>
              <w:pStyle w:val="Tablecaption|1"/>
              <w:bidi w:val="0"/>
              <w:jc w:val="center"/>
              <w:rPr>
                <w:vertAlign w:val="baseline"/>
              </w:rPr>
            </w:pPr>
            <w:r>
              <w:rPr>
                <w:sz w:val="17"/>
                <w:szCs w:val="17"/>
              </w:rPr>
              <w:t xml:space="preserve">部门（单位）名称（功能分类科目名称）</w:t>
            </w:r>
          </w:p>
        </w:tc>
        <w:tc>
          <w:tcPr>
            <w:tcW w:w="2222" w:type="dxa"/>
            <w:vAlign w:val="center"/>
          </w:tcPr>
          <w:p>
            <w:pPr>
              <w:pStyle w:val="Other|1"/>
              <w:spacing w:line="240" w:lineRule="auto"/>
              <w:ind w:firstLine="0" w:firstLineChars="0"/>
              <w:jc w:val="center"/>
              <w:rPr>
                <w:vertAlign w:val="baseline"/>
              </w:rPr>
            </w:pPr>
            <w:r>
              <w:rPr>
                <w:sz w:val="17"/>
                <w:szCs w:val="17"/>
              </w:rPr>
              <w:t xml:space="preserve">合计</w:t>
            </w:r>
          </w:p>
        </w:tc>
        <w:tc>
          <w:tcPr>
            <w:tcW w:w="2161" w:type="dxa"/>
            <w:vAlign w:val="center"/>
          </w:tcPr>
          <w:p>
            <w:pPr>
              <w:pStyle w:val="Other|1"/>
              <w:spacing w:line="240" w:lineRule="auto"/>
              <w:ind w:firstLine="0" w:firstLineChars="0"/>
              <w:jc w:val="center"/>
              <w:rPr>
                <w:vertAlign w:val="baseline"/>
              </w:rPr>
            </w:pPr>
            <w:r>
              <w:rPr>
                <w:sz w:val="17"/>
                <w:szCs w:val="17"/>
              </w:rPr>
              <w:t xml:space="preserve">基本支出</w:t>
            </w:r>
          </w:p>
        </w:tc>
        <w:tc>
          <w:tcPr>
            <w:tcW w:w="2161" w:type="dxa"/>
            <w:vAlign w:val="center"/>
          </w:tcPr>
          <w:p>
            <w:pPr>
              <w:pStyle w:val="Other|1"/>
              <w:spacing w:line="240" w:lineRule="auto"/>
              <w:ind w:firstLine="0" w:firstLineChars="0"/>
              <w:jc w:val="center"/>
              <w:rPr>
                <w:vertAlign w:val="baseline"/>
              </w:rPr>
            </w:pPr>
            <w:r>
              <w:rPr>
                <w:sz w:val="17"/>
                <w:szCs w:val="17"/>
              </w:rPr>
              <w:t xml:space="preserve">项目支出</w:t>
            </w:r>
          </w:p>
        </w:tc>
        <w:tc>
          <w:tcPr>
            <w:tcW w:w="2163" w:type="dxa"/>
            <w:vAlign w:val="center"/>
          </w:tcPr>
          <w:p>
            <w:pPr>
              <w:pStyle w:val="Other|1"/>
              <w:spacing w:line="240" w:lineRule="auto"/>
              <w:ind w:firstLine="0" w:firstLineChars="0"/>
              <w:jc w:val="center"/>
              <w:rPr>
                <w:vertAlign w:val="baseline"/>
              </w:rPr>
            </w:pPr>
            <w:r>
              <w:rPr>
                <w:sz w:val="17"/>
                <w:szCs w:val="17"/>
              </w:rPr>
              <w:t xml:space="preserve">结转下年支出</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vMerge/>
          </w:tcPr>
          <w:p>
            <w:pPr>
              <w:pStyle w:val="Tablecaption|1"/>
              <w:bidi w:val="0"/>
              <w:jc w:val="both"/>
              <w:rPr>
                <w:vertAlign w:val="baseline"/>
              </w:rPr>
            </w:pPr>
          </w:p>
        </w:tc>
        <w:tc>
          <w:tcPr>
            <w:tcW w:w="2161" w:type="dxa"/>
            <w:vMerge/>
          </w:tcPr>
          <w:p>
            <w:pPr>
              <w:pStyle w:val="Tablecaption|1"/>
              <w:bidi w:val="0"/>
              <w:jc w:val="both"/>
              <w:rPr>
                <w:vertAlign w:val="baseline"/>
              </w:rPr>
            </w:pPr>
          </w:p>
        </w:tc>
        <w:tc>
          <w:tcPr>
            <w:tcW w:w="2162" w:type="dxa"/>
            <w:vMerge/>
          </w:tcPr>
          <w:p>
            <w:pPr>
              <w:pStyle w:val="Tablecaption|1"/>
              <w:bidi w:val="0"/>
              <w:jc w:val="both"/>
              <w:rPr>
                <w:vertAlign w:val="baseline"/>
              </w:rPr>
            </w:pPr>
          </w:p>
        </w:tc>
        <w:tc>
          <w:tcPr>
            <w:tcW w:w="2222"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1</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2</w:t>
            </w:r>
          </w:p>
        </w:tc>
        <w:tc>
          <w:tcPr>
            <w:tcW w:w="2161"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3</w:t>
            </w:r>
          </w:p>
        </w:tc>
        <w:tc>
          <w:tcPr>
            <w:tcW w:w="2163" w:type="dxa"/>
            <w:vAlign w:val="center"/>
          </w:tcPr>
          <w:p>
            <w:pPr>
              <w:pStyle w:val="Other|1"/>
              <w:spacing w:line="240" w:lineRule="auto"/>
              <w:ind w:firstLine="0" w:firstLineChars="0"/>
              <w:jc w:val="center"/>
              <w:rPr>
                <w:vertAlign w:val="baseline"/>
              </w:rPr>
            </w:pPr>
            <w:r>
              <w:rPr>
                <w:rFonts w:ascii="Times New Roman" w:eastAsia="Times New Roman" w:hAnsi="Times New Roman" w:cs="Times New Roman"/>
                <w:b/>
                <w:bCs/>
                <w:sz w:val="17"/>
                <w:szCs w:val="17"/>
              </w:rPr>
              <w:t xml:space="preserve">4</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2527" w:type="dxa"/>
          </w:tcPr>
          <w:p>
            <w:pPr>
              <w:jc w:val="left"/>
              <w:rPr>
                <w:vertAlign w:val="baseline"/>
              </w:rPr>
            </w:pPr>
          </w:p>
        </w:tc>
        <w:tc>
          <w:tcPr>
            <w:tcW w:w="2161" w:type="dxa"/>
          </w:tcPr>
          <w:p>
            <w:pPr>
              <w:jc w:val="left"/>
              <w:rPr>
                <w:vertAlign w:val="baseline"/>
              </w:rPr>
            </w:pPr>
          </w:p>
        </w:tc>
        <w:tc>
          <w:tcPr>
            <w:tcW w:w="2162" w:type="dxa"/>
            <w:vAlign w:val="center"/>
          </w:tcPr>
          <w:p>
            <w:pPr>
              <w:pStyle w:val="Other|1"/>
              <w:spacing w:line="240" w:lineRule="auto"/>
              <w:ind w:firstLine="0" w:firstLineChars="0"/>
              <w:jc w:val="left"/>
              <w:rPr>
                <w:vertAlign w:val="baseline"/>
              </w:rPr>
            </w:pPr>
            <w:r>
              <w:rPr>
                <w:sz w:val="17"/>
                <w:szCs w:val="17"/>
              </w:rPr>
              <w:t xml:space="preserve">合计</w:t>
            </w:r>
          </w:p>
        </w:tc>
        <w:tc>
          <w:tcPr>
            <w:tcW w:w="2222" w:type="dxa"/>
            <w:vAlign w:val="center"/>
          </w:tcPr>
          <w:p>
            <w:pPr>
              <w:pStyle w:val="Other|1"/>
              <w:spacing w:line="240" w:lineRule="auto"/>
              <w:ind w:left="1700" w:firstLine="0" w:leftChars="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1"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c>
          <w:tcPr>
            <w:tcW w:w="2163" w:type="dxa"/>
            <w:vAlign w:val="center"/>
          </w:tcPr>
          <w:p>
            <w:pPr>
              <w:pStyle w:val="Other|1"/>
              <w:spacing w:line="240" w:lineRule="auto"/>
              <w:ind w:firstLine="0" w:firstLineChars="0"/>
              <w:jc w:val="right"/>
              <w:rPr>
                <w:vertAlign w:val="baseline"/>
              </w:rPr>
            </w:pPr>
            <w:r>
              <w:rPr>
                <w:rFonts w:ascii="Times New Roman" w:eastAsia="Times New Roman" w:hAnsi="Times New Roman" w:cs="Times New Roman"/>
                <w:b/>
                <w:bCs/>
                <w:sz w:val="17"/>
                <w:szCs w:val="17"/>
                <w:lang w:val="en-US" w:eastAsia="en-US" w:bidi="en-US"/>
              </w:rPr>
              <w:t xml:space="preserve">0.</w:t>
            </w:r>
            <w:r>
              <w:rPr>
                <w:rFonts w:ascii="Times New Roman" w:eastAsia="Times New Roman" w:hAnsi="Times New Roman" w:cs="Times New Roman"/>
                <w:b/>
                <w:bCs/>
                <w:sz w:val="17"/>
                <w:szCs w:val="17"/>
              </w:rPr>
              <w:t xml:space="preserve">00</w:t>
            </w:r>
          </w:p>
        </w:tc>
      </w:tr>
      <w:tr>
        <w:tblPrEx>
          <w:tblW w:w="0" w:type="auto"/>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Ex>
        <w:trPr/>
        <w:tc>
          <w:tcPr>
            <w:tcW w:w="15557" w:type="dxa"/>
            <w:gridSpan w:val="7"/>
            <w:tcBorders>
              <w:left w:val="nil"/>
              <w:bottom w:val="nil"/>
              <w:right w:val="nil"/>
            </w:tcBorders>
          </w:tcPr>
          <w:p>
            <w:pPr>
              <w:pStyle w:val="Tablecaption|1"/>
              <w:spacing w:line="302" w:lineRule="exact"/>
              <w:ind w:left="672"/>
              <w:jc w:val="left"/>
            </w:pPr>
            <w:r>
              <w:t xml:space="preserve">注：本报表金额单位转换时可能存在四舍五入尾数误差。本部门</w:t>
            </w:r>
            <w:r>
              <w:rPr>
                <w:rFonts w:ascii="Times New Roman" w:hAnsi="Times New Roman" w:cs="Times New Roman" w:hint="eastAsia"/>
                <w:b/>
                <w:bCs/>
                <w:lang w:eastAsia="zh-CN"/>
              </w:rPr>
              <w:t xml:space="preserve">2024</w:t>
            </w:r>
            <w:r>
              <w:rPr>
                <w:rFonts w:ascii="Times New Roman" w:hAnsi="Times New Roman" w:cs="Times New Roman"/>
                <w:b/>
                <w:u w:color="auto"/>
              </w:rPr>
              <w:t xml:space="preserve">年</w:t>
            </w:r>
            <w:r>
              <w:t xml:space="preserve">度没有国有资本经营预算支出，故本表无数据</w:t>
            </w:r>
          </w:p>
          <w:p>
            <w:pPr>
              <w:pStyle w:val="Tablecaption|1"/>
              <w:bidi w:val="0"/>
              <w:jc w:val="both"/>
              <w:rPr>
                <w:vertAlign w:val="baseline"/>
              </w:rPr>
            </w:pPr>
          </w:p>
        </w:tc>
      </w:tr>
    </w:tbl>
    <w:p>
      <w:pPr>
        <w:pStyle w:val="Tablecaption|1"/>
        <w:bidi w:val="0"/>
      </w:pPr>
    </w:p>
    <w:p>
      <w:pPr/>
      <w:r>
        <w:br w:type="page"/>
      </w:r>
    </w:p>
    <w:p>
      <w:pPr>
        <w:pStyle w:val="Heading#2|1"/>
        <w:keepNext/>
        <w:keepLines/>
        <w:spacing w:after="240"/>
        <w:jc w:val="center"/>
        <w:rPr>
          <w:rFonts w:eastAsia="宋体" w:hint="default"/>
          <w:lang w:val="en-US" w:eastAsia="zh-CN"/>
        </w:rPr>
      </w:pPr>
      <w:r>
        <w:rPr>
          <w:rFonts w:hint="eastAsia"/>
          <w:lang w:val="en-US" w:eastAsia="zh-CN"/>
        </w:rPr>
        <w:t xml:space="preserve">2024年度预算项目绩效目标公开表</w:t>
      </w:r>
    </w:p>
    <w:tbl>
      <w:tblPr>
        <w:tblStyle w:val="NormalTable"/>
        <w:tblW w:w="0" w:type="auto"/>
        <w:tblInd w:w="0" w:type="dxa"/>
        <w:tblLayout w:type="fixed"/>
        <w:tblCellMar>
          <w:top w:w="0" w:type="dxa"/>
          <w:left w:w="10" w:type="dxa"/>
          <w:bottom w:w="0" w:type="dxa"/>
          <w:right w:w="10" w:type="dxa"/>
        </w:tblCellMar>
        <w:tblLook w:firstRow="0" w:lastRow="0" w:firstColumn="0" w:lastColumn="0" w:noHBand="1" w:noVBand="1"/>
      </w:tblPr>
      <w:tblGrid>
        <w:gridCol w:w="1843"/>
        <w:gridCol w:w="2559"/>
        <w:gridCol w:w="3350"/>
        <w:gridCol w:w="1511"/>
        <w:gridCol w:w="6076"/>
      </w:tblGrid>
      <w:tr>
        <w:tblPrEx>
          <w:tblW w:w="0" w:type="auto"/>
          <w:tblInd w:w="0" w:type="dxa"/>
          <w:tblLayout w:type="fixed"/>
          <w:tblCellMar>
            <w:top w:w="0" w:type="dxa"/>
            <w:left w:w="10" w:type="dxa"/>
            <w:bottom w:w="0" w:type="dxa"/>
            <w:right w:w="10" w:type="dxa"/>
          </w:tblCellMar>
        </w:tblPrEx>
        <w:trPr>
          <w:trHeight w:hRule="exact" w:val="346"/>
        </w:trPr>
        <w:tc>
          <w:tcPr>
            <w:tcW w:w="9263" w:type="dxa"/>
            <w:gridSpan w:val="4"/>
            <w:shd w:val="clear" w:color="auto" w:fill="FFFFFF"/>
          </w:tcPr>
          <w:p>
            <w:pPr>
              <w:pStyle w:val="Other|1"/>
              <w:spacing w:line="240" w:lineRule="auto"/>
              <w:ind w:firstLine="0"/>
              <w:jc w:val="left"/>
              <w:rPr>
                <w:rFonts w:ascii="宋体" w:eastAsia="宋体" w:hAnsi="宋体" w:cs="宋体" w:hint="default"/>
                <w:sz w:val="17"/>
                <w:szCs w:val="17"/>
                <w:lang w:val="en-US"/>
              </w:rPr>
            </w:pPr>
            <w:r>
              <w:rPr>
                <w:rFonts w:ascii="宋体" w:eastAsia="宋体" w:hAnsi="宋体" w:cs="宋体" w:hint="eastAsia"/>
                <w:sz w:val="17"/>
                <w:szCs w:val="17"/>
              </w:rPr>
              <w:t xml:space="preserve">单位名称：</w:t>
            </w:r>
            <w:r>
              <w:rPr>
                <w:rFonts w:ascii="宋体" w:eastAsia="宋体" w:hAnsi="宋体" w:cs="宋体" w:hint="eastAsia"/>
                <w:sz w:val="17"/>
                <w:szCs w:val="17"/>
                <w:lang w:eastAsia="zh-CN"/>
              </w:rPr>
              <w:t xml:space="preserve">环江毛南族自治县东兴镇水利站</w:t>
            </w:r>
          </w:p>
        </w:tc>
        <w:tc>
          <w:tcPr>
            <w:tcW w:w="6076" w:type="dxa"/>
            <w:shd w:val="clear" w:color="auto" w:fill="FFFFFF"/>
          </w:tcPr>
          <w:p>
            <w:pPr>
              <w:pStyle w:val="Other|1"/>
              <w:spacing w:line="240" w:lineRule="auto"/>
              <w:ind w:firstLine="4760" w:firstLineChars="2800"/>
              <w:jc w:val="left"/>
              <w:rPr>
                <w:rFonts w:ascii="宋体" w:eastAsia="宋体" w:hAnsi="宋体" w:cs="宋体" w:hint="eastAsia"/>
                <w:sz w:val="17"/>
                <w:szCs w:val="17"/>
              </w:rPr>
            </w:pPr>
            <w:r>
              <w:rPr>
                <w:rFonts w:ascii="宋体" w:eastAsia="宋体" w:hAnsi="宋体" w:cs="宋体" w:hint="eastAsia"/>
                <w:sz w:val="17"/>
                <w:szCs w:val="17"/>
              </w:rPr>
              <w:t xml:space="preserve">单位：万元</w:t>
            </w:r>
          </w:p>
        </w:tc>
      </w:tr>
      <w:tr>
        <w:tblPrEx>
          <w:tblW w:w="0" w:type="auto"/>
          <w:tblInd w:w="0" w:type="dxa"/>
          <w:tblLayout w:type="fixed"/>
          <w:tblCellMar>
            <w:top w:w="0" w:type="dxa"/>
            <w:left w:w="10" w:type="dxa"/>
            <w:bottom w:w="0" w:type="dxa"/>
            <w:right w:w="10" w:type="dxa"/>
          </w:tblCellMar>
        </w:tblPrEx>
        <w:trPr>
          <w:trHeight w:hRule="exact" w:val="854"/>
        </w:trPr>
        <w:tc>
          <w:tcPr>
            <w:tcW w:w="1843"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sz w:val="17"/>
                <w:u w:color="auto"/>
              </w:rPr>
              <w:t xml:space="preserve">单位代码</w:t>
            </w:r>
          </w:p>
        </w:tc>
        <w:tc>
          <w:tcPr>
            <w:tcW w:w="2559"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24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单位名称</w:t>
            </w:r>
          </w:p>
        </w:tc>
        <w:tc>
          <w:tcPr>
            <w:tcW w:w="3350"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项目名称</w:t>
            </w:r>
          </w:p>
        </w:tc>
        <w:tc>
          <w:tcPr>
            <w:tcW w:w="1511" w:type="dxa"/>
            <w:tcBorders>
              <w:top w:val="single" w:sz="4" w:space="0" w:color="auto"/>
              <w:left w:val="single" w:sz="4" w:space="0" w:color="auto"/>
              <w:bottom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预算金额</w:t>
            </w:r>
          </w:p>
        </w:tc>
        <w:tc>
          <w:tcPr>
            <w:tcW w:w="6076" w:type="dxa"/>
            <w:tcBorders>
              <w:top w:val="single" w:sz="4" w:space="0" w:color="auto"/>
              <w:left w:val="single" w:sz="4" w:space="0" w:color="auto"/>
              <w:bottom w:val="single" w:sz="4" w:space="0" w:color="auto"/>
              <w:right w:val="single" w:sz="4" w:space="0" w:color="auto"/>
            </w:tcBorders>
            <w:shd w:val="clear" w:color="auto" w:fill="FFFFFF"/>
            <w:vAlign w:val="center"/>
          </w:tcPr>
          <w:p>
            <w:pPr>
              <w:pStyle w:val="Other|1"/>
              <w:spacing w:line="240" w:lineRule="auto"/>
              <w:ind w:firstLine="0"/>
              <w:jc w:val="center"/>
              <w:rPr>
                <w:rFonts w:ascii="宋体" w:eastAsia="宋体" w:hAnsi="宋体" w:cs="宋体" w:hint="eastAsia"/>
                <w:sz w:val="17"/>
                <w:szCs w:val="17"/>
                <w:lang w:val="en-US" w:eastAsia="zh-CN"/>
              </w:rPr>
            </w:pPr>
            <w:r>
              <w:rPr>
                <w:rFonts w:ascii="宋体" w:eastAsia="宋体" w:hAnsi="宋体" w:cs="宋体" w:hint="eastAsia"/>
                <w:sz w:val="17"/>
                <w:szCs w:val="17"/>
                <w:lang w:val="en-US" w:eastAsia="zh-CN"/>
              </w:rPr>
              <w:t xml:space="preserve">年度绩效目标</w:t>
            </w:r>
          </w:p>
        </w:tc>
      </w:tr>
    </w:tbl>
    <w:p>
      <w:pPr>
        <w:jc w:val="left"/>
        <w:rPr>
          <w:rFonts w:hint="eastAsia"/>
        </w:rPr>
      </w:pPr>
      <w:r>
        <w:t xml:space="preserve">注：本报表金额单位转换时可能存在四舍五入尾数误差。</w:t>
      </w:r>
    </w:p>
    <w:p>
      <w:pPr>
        <w:jc w:val="left"/>
        <w:rPr>
          <w:rFonts w:hint="eastAsia"/>
          <w:lang w:eastAsia="zh-CN"/>
        </w:rPr>
        <w:sectPr>
          <w:headerReference w:type="default" r:id="rId18"/>
          <w:footerReference w:type="default" r:id="rId19"/>
          <w:pgSz w:w="16840" w:h="11900" w:orient="landscape"/>
          <w:pgMar w:top="2714" w:right="764" w:bottom="2714" w:left="735" w:header="2286" w:footer="1474" w:gutter="0"/>
          <w:pgBorders>
            <w:top w:val="none" w:sz="0" w:space="0" w:color="auto"/>
            <w:left w:val="none" w:sz="0" w:space="0" w:color="auto"/>
            <w:bottom w:val="none" w:sz="0" w:space="0" w:color="auto"/>
            <w:right w:val="none" w:sz="0" w:space="0" w:color="auto"/>
          </w:pgBorders>
          <w:pgNumType w:fmt="decimal"/>
          <w:cols w:num="1" w:space="720">
            <w:col w:w="15341" w:space="720"/>
          </w:cols>
          <w:docGrid w:linePitch="360" w:charSpace="0"/>
        </w:sectPr>
      </w:pPr>
    </w:p>
    <w:p>
      <w:pPr>
        <w:pStyle w:val="Heading#1|1"/>
        <w:keepNext/>
        <w:keepLines/>
        <w:spacing w:before="200" w:after="0"/>
        <w:jc w:val="center"/>
        <w:rPr>
          <w:sz w:val="40"/>
          <w:szCs w:val="40"/>
        </w:rPr>
      </w:pPr>
      <w:bookmarkStart w:id="32" w:name="bookmark96"/>
      <w:bookmarkStart w:id="33" w:name="bookmark95"/>
      <w:bookmarkStart w:id="34" w:name="bookmark94"/>
      <w:r>
        <w:rPr>
          <w:sz w:val="40"/>
          <w:szCs w:val="40"/>
        </w:rPr>
        <w:t xml:space="preserve">第四部</w:t>
      </w:r>
      <w:r>
        <w:rPr>
          <w:sz w:val="40"/>
          <w:szCs w:val="40"/>
        </w:rPr>
        <w:t xml:space="preserve">分名词解释</w:t>
      </w:r>
      <w:bookmarkEnd w:id="32"/>
      <w:bookmarkEnd w:id="33"/>
      <w:bookmarkEnd w:id="34"/>
    </w:p>
    <w:p>
      <w:pPr>
        <w:pStyle w:val="Bodytext|1"/>
        <w:tabs>
          <w:tab w:val="left" w:pos="1270"/>
        </w:tabs>
        <w:spacing w:line="626" w:lineRule="exact"/>
        <w:ind w:firstLine="640"/>
        <w:jc w:val="left"/>
      </w:pPr>
      <w:bookmarkStart w:id="35" w:name="bookmark97"/>
      <w:r>
        <w:t xml:space="preserve">一</w:t>
      </w:r>
      <w:bookmarkEnd w:id="35"/>
      <w:r>
        <w:t xml:space="preserve">、</w:t>
      </w:r>
      <w:r>
        <w:tab/>
      </w:r>
      <w:r>
        <w:t xml:space="preserve">财政拨款收入：指预算单位从本级财政部门取得的财政预算资金收入。</w:t>
      </w:r>
    </w:p>
    <w:p>
      <w:pPr>
        <w:pStyle w:val="Bodytext|1"/>
        <w:tabs>
          <w:tab w:val="left" w:pos="1280"/>
        </w:tabs>
        <w:spacing w:line="626" w:lineRule="exact"/>
        <w:ind w:firstLine="640"/>
        <w:jc w:val="left"/>
      </w:pPr>
      <w:bookmarkStart w:id="36" w:name="bookmark98"/>
      <w:r>
        <w:t xml:space="preserve">二</w:t>
      </w:r>
      <w:bookmarkEnd w:id="36"/>
      <w:r>
        <w:t xml:space="preserve">、</w:t>
      </w:r>
      <w:r>
        <w:tab/>
      </w:r>
      <w:r>
        <w:t xml:space="preserve">事业收入：指事业单位开展专业业务活动及辅助活动所取得的收入。</w:t>
      </w:r>
    </w:p>
    <w:p>
      <w:pPr>
        <w:pStyle w:val="Bodytext|1"/>
        <w:tabs>
          <w:tab w:val="left" w:pos="1275"/>
        </w:tabs>
        <w:spacing w:line="626" w:lineRule="exact"/>
        <w:ind w:firstLine="640"/>
        <w:jc w:val="left"/>
      </w:pPr>
      <w:bookmarkStart w:id="37" w:name="bookmark99"/>
      <w:r>
        <w:t xml:space="preserve">三</w:t>
      </w:r>
      <w:bookmarkEnd w:id="37"/>
      <w:r>
        <w:t xml:space="preserve">、</w:t>
      </w:r>
      <w:r>
        <w:tab/>
      </w:r>
      <w:r>
        <w:t xml:space="preserve">经营收入：指事业单位在专业业务活动及其辅助活动之外开展非独立核算经营活动取得的收入。</w:t>
      </w:r>
    </w:p>
    <w:p>
      <w:pPr>
        <w:pStyle w:val="Bodytext|1"/>
        <w:tabs>
          <w:tab w:val="left" w:pos="1309"/>
        </w:tabs>
        <w:spacing w:line="626" w:lineRule="exact"/>
        <w:ind w:firstLine="640"/>
        <w:jc w:val="left"/>
      </w:pPr>
      <w:bookmarkStart w:id="38" w:name="bookmark100"/>
      <w:r>
        <w:t xml:space="preserve">四</w:t>
      </w:r>
      <w:bookmarkEnd w:id="38"/>
      <w:r>
        <w:t xml:space="preserve">、</w:t>
      </w:r>
      <w:r>
        <w:tab/>
      </w:r>
      <w:r>
        <w:t xml:space="preserve">其他收入：指除上述</w:t>
      </w:r>
      <w:r>
        <w:rPr>
          <w:lang w:val="zh-CN" w:eastAsia="zh-CN" w:bidi="zh-CN"/>
        </w:rPr>
        <w:t xml:space="preserve">“财</w:t>
      </w:r>
      <w:r>
        <w:t xml:space="preserve">政拨款收入”、</w:t>
      </w:r>
      <w:r>
        <w:rPr>
          <w:lang w:val="zh-CN" w:eastAsia="zh-CN" w:bidi="zh-CN"/>
        </w:rPr>
        <w:t xml:space="preserve">“事</w:t>
      </w:r>
      <w:r>
        <w:t xml:space="preserve">业收入"、</w:t>
      </w:r>
      <w:r>
        <w:rPr>
          <w:lang w:val="zh-CN" w:eastAsia="zh-CN" w:bidi="zh-CN"/>
        </w:rPr>
        <w:t xml:space="preserve">“经营</w:t>
      </w:r>
      <w:r>
        <w:t xml:space="preserve">收入"等以外的收入。主要是非本级财政拨款、存款利息收入、事业单位固定资产出租收入等。</w:t>
      </w:r>
    </w:p>
    <w:p>
      <w:pPr>
        <w:pStyle w:val="Bodytext|1"/>
        <w:tabs>
          <w:tab w:val="left" w:pos="1275"/>
        </w:tabs>
        <w:spacing w:line="626" w:lineRule="exact"/>
        <w:ind w:firstLine="640"/>
        <w:jc w:val="left"/>
      </w:pPr>
      <w:bookmarkStart w:id="39" w:name="bookmark101"/>
      <w:r>
        <w:t xml:space="preserve">五</w:t>
      </w:r>
      <w:bookmarkEnd w:id="39"/>
      <w:r>
        <w:t xml:space="preserve">、</w:t>
      </w:r>
      <w:r>
        <w:tab/>
      </w:r>
      <w:r>
        <w:t xml:space="preserve">用事业基金弥补收支差额：指事业单位在用当年的</w:t>
      </w:r>
      <w:r>
        <w:rPr>
          <w:lang w:val="zh-CN" w:eastAsia="zh-CN" w:bidi="zh-CN"/>
        </w:rPr>
        <w:t xml:space="preserve">“财</w:t>
      </w:r>
      <w:r>
        <w:t xml:space="preserve">政拨款收入"、</w:t>
      </w:r>
      <w:r>
        <w:rPr>
          <w:lang w:val="zh-CN" w:eastAsia="zh-CN" w:bidi="zh-CN"/>
        </w:rPr>
        <w:t xml:space="preserve">“事业</w:t>
      </w:r>
      <w:r>
        <w:t xml:space="preserve">收入"、</w:t>
      </w:r>
      <w:r>
        <w:rPr>
          <w:lang w:val="zh-CN" w:eastAsia="zh-CN" w:bidi="zh-CN"/>
        </w:rPr>
        <w:t xml:space="preserve">“经营</w:t>
      </w:r>
      <w:r>
        <w:t xml:space="preserve">收入"、</w:t>
      </w:r>
      <w:r>
        <w:rPr>
          <w:lang w:val="zh-CN" w:eastAsia="zh-CN" w:bidi="zh-CN"/>
        </w:rPr>
        <w:t xml:space="preserve">“其他</w:t>
      </w:r>
      <w:r>
        <w:t xml:space="preserve">收入"不足以安排当年支出的情况下，使用以前年度积累的事业基金（事业单位当年收支相抵后按国家规定提取、用于弥补以后年度收支差额的基金）弥补本年度收支缺口的资金。</w:t>
      </w:r>
    </w:p>
    <w:p>
      <w:pPr>
        <w:pStyle w:val="Bodytext|1"/>
        <w:tabs>
          <w:tab w:val="left" w:pos="1270"/>
        </w:tabs>
        <w:spacing w:line="626" w:lineRule="exact"/>
        <w:ind w:firstLine="640"/>
        <w:jc w:val="left"/>
      </w:pPr>
      <w:bookmarkStart w:id="40" w:name="bookmark102"/>
      <w:r>
        <w:t xml:space="preserve">六</w:t>
      </w:r>
      <w:bookmarkEnd w:id="40"/>
      <w:r>
        <w:t xml:space="preserve">、</w:t>
      </w:r>
      <w:r>
        <w:tab/>
      </w:r>
      <w:r>
        <w:t xml:space="preserve">年初结转和结余：指以前年度尚未完成、结转到本年按有关规定继续使用的资金。</w:t>
      </w:r>
    </w:p>
    <w:p>
      <w:pPr>
        <w:pStyle w:val="Bodytext|1"/>
        <w:tabs>
          <w:tab w:val="left" w:pos="1275"/>
        </w:tabs>
        <w:spacing w:line="626" w:lineRule="exact"/>
        <w:ind w:firstLine="640"/>
        <w:jc w:val="left"/>
      </w:pPr>
      <w:bookmarkStart w:id="41" w:name="bookmark103"/>
      <w:r>
        <w:t xml:space="preserve">七</w:t>
      </w:r>
      <w:bookmarkEnd w:id="41"/>
      <w:r>
        <w:t xml:space="preserve">、</w:t>
      </w:r>
      <w:r>
        <w:tab/>
      </w:r>
      <w:r>
        <w:t xml:space="preserve">结余分配：指事业单位按规定提取的职工福利基金、事业基金和缴纳的所得税，以及建设单位按规定应交回的基本建设竣工项目结余资金。</w:t>
      </w:r>
    </w:p>
    <w:p>
      <w:pPr>
        <w:pStyle w:val="Bodytext|1"/>
        <w:tabs>
          <w:tab w:val="left" w:pos="632"/>
        </w:tabs>
        <w:spacing w:line="626" w:lineRule="exact"/>
        <w:ind w:firstLine="640"/>
        <w:jc w:val="left"/>
      </w:pPr>
      <w:bookmarkStart w:id="42" w:name="bookmark104"/>
      <w:r>
        <w:t xml:space="preserve">八</w:t>
      </w:r>
      <w:bookmarkEnd w:id="42"/>
      <w:r>
        <w:t xml:space="preserve">、</w:t>
      </w:r>
      <w:r>
        <w:tab/>
      </w:r>
      <w:r>
        <w:t xml:space="preserve">年末结转和结余：指本年度或以前年度预算安排、因客观条件发生变化无法按原计划实施，需要延迟到以后年度按有关规定继续使用的资金。</w:t>
      </w:r>
    </w:p>
    <w:p>
      <w:pPr>
        <w:pStyle w:val="Bodytext|1"/>
        <w:spacing w:line="628" w:lineRule="exact"/>
        <w:ind w:firstLine="640"/>
        <w:jc w:val="left"/>
      </w:pPr>
      <w:bookmarkStart w:id="43" w:name="bookmark105"/>
      <w:r>
        <w:t xml:space="preserve">九</w:t>
      </w:r>
      <w:bookmarkEnd w:id="43"/>
      <w:r>
        <w:t xml:space="preserve">、基本支出：指为保障机构正常运转、完成日常工作任务而发生的人员支出和公用支出。</w:t>
      </w:r>
    </w:p>
    <w:p>
      <w:pPr>
        <w:pStyle w:val="Bodytext|1"/>
        <w:spacing w:line="628" w:lineRule="exact"/>
        <w:ind w:firstLine="640"/>
        <w:jc w:val="left"/>
      </w:pPr>
      <w:r>
        <w:t xml:space="preserve">十、项目支出：指在基本支出之外为完成特定行政任务和事业发展目标所发生的支出。</w:t>
      </w:r>
    </w:p>
    <w:p>
      <w:pPr>
        <w:pStyle w:val="Bodytext|1"/>
        <w:spacing w:line="628" w:lineRule="exact"/>
        <w:ind w:firstLine="640"/>
        <w:jc w:val="left"/>
      </w:pPr>
      <w:r>
        <w:t xml:space="preserve">十一、经营支出：指事业单位在专业业务活动及其辅助活动之外开展非独立核算经营活动所发生的支出。</w:t>
      </w:r>
    </w:p>
    <w:p>
      <w:pPr>
        <w:pStyle w:val="Bodytext|1"/>
        <w:spacing w:line="628" w:lineRule="exact"/>
        <w:ind w:firstLine="640"/>
        <w:jc w:val="left"/>
      </w:pPr>
      <w:r>
        <w:t xml:space="preserve">十二、</w:t>
      </w:r>
      <w:r>
        <w:rPr>
          <w:lang w:val="zh-CN" w:eastAsia="zh-CN" w:bidi="zh-CN"/>
        </w:rPr>
        <w:t xml:space="preserve">“三</w:t>
      </w:r>
      <w:r>
        <w:t xml:space="preserve">公”经费：纳入财政预决算管理的</w:t>
      </w:r>
      <w:r>
        <w:rPr>
          <w:lang w:val="zh-CN" w:eastAsia="zh-CN" w:bidi="zh-CN"/>
        </w:rPr>
        <w:t xml:space="preserve">“三公</w:t>
      </w:r>
      <w:r>
        <w:t xml:space="preserve">”经费，是指市本级各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安全奖励费用等支出；公务接待费反映单位按规定开支的各类公务接待（含外宾接待）支出。</w:t>
      </w:r>
    </w:p>
    <w:p>
      <w:pPr>
        <w:pStyle w:val="Bodytext|1"/>
        <w:spacing w:line="628" w:lineRule="exact"/>
        <w:ind w:firstLine="640"/>
        <w:jc w:val="left"/>
      </w:pPr>
      <w:r>
        <w:t xml:space="preserve">十三、机关运行经费：为保障行政单位（含参照公务员法管理的事业单位、机关服务中心）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sectPr>
      <w:headerReference w:type="default" r:id="rId20"/>
      <w:footerReference w:type="default" r:id="rId21"/>
      <w:type w:val="continuous"/>
      <w:pgSz w:w="11900" w:h="16840" w:orient="portrait"/>
      <w:pgMar w:top="1302" w:right="1735" w:bottom="1568" w:left="1793" w:header="874" w:footer="1077" w:gutter="0"/>
      <w:pgBorders>
        <w:top w:val="none" w:sz="0" w:space="0" w:color="auto"/>
        <w:left w:val="none" w:sz="0" w:space="0" w:color="auto"/>
        <w:bottom w:val="none" w:sz="0" w:space="0" w:color="auto"/>
        <w:right w:val="none" w:sz="0" w:space="0" w:color="auto"/>
      </w:pgBorders>
      <w:pgNumType w:fmt="decimal"/>
      <w:cols w:num="1" w:space="720">
        <w:col w:w="8372" w:space="720"/>
      </w:cols>
      <w:docGrid w:linePitch="360" w:charSpace="0"/>
    </w:sectPr>
  </w:body>
</w:document>
</file>

<file path=word/fontTable.xml><?xml version="1.0" encoding="utf-8"?>
<w:fonts xmlns:r="http://schemas.openxmlformats.org/officeDocument/2006/relationships" xmlns:w="http://schemas.openxmlformats.org/wordprocessingml/2006/main" xmlns:mc="http://schemas.openxmlformats.org/markup-compatibility/2006" xmlns:w14="http://schemas.microsoft.com/office/word/2010/wordml" xmlns:w15="http://schemas.microsoft.com/office/word/2012/wordml" mc:Ignorable="w14 w15">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Auto"/>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Auto"/>
    <w:pitch w:val="default"/>
    <w:sig w:usb0="E0002EFF" w:usb1="C0007843" w:usb2="00000009" w:usb3="00000000" w:csb0="400001FF" w:csb1="FFFF0000"/>
  </w:font>
  <w:font w:name="Symbol">
    <w:panose1 w:val="05050102010706020507"/>
    <w:charset w:val="02"/>
    <w:family w:val="Auto"/>
    <w:pitch w:val="default"/>
    <w:sig w:usb0="00000000" w:usb1="00000000" w:usb2="00000000" w:usb3="00000000" w:csb0="80000000" w:csb1="00000000"/>
  </w:font>
  <w:font w:name="Calibri">
    <w:panose1 w:val="020F0502020204030204"/>
    <w:charset w:val="00"/>
    <w:family w:val="Auto"/>
    <w:pitch w:val="default"/>
    <w:sig w:usb0="E4002EFF" w:usb1="C200247B" w:usb2="00000009" w:usb3="00000000" w:csb0="200001FF" w:csb1="00000000"/>
  </w:font>
</w:fonts>
</file>

<file path=word/footer1.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79" name="文本框 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2" o:spid="_x0000_s1961"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131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w:t>
                    </w:r>
                    <w:r>
                      <w:fldChar w:fldCharType="end"/>
                    </w:r>
                  </w:p>
                </w:txbxContent>
              </v:textbox>
            </v:shape>
          </w:pict>
        </mc:Fallback>
      </mc:AlternateContent>
    </w:r>
  </w:p>
</w:ftr>
</file>

<file path=word/footer2.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2336" behindDoc="0" locked="0" layoutInCell="1" allowOverlap="1">
              <wp:simplePos x="0" y="0"/>
              <wp:positionH relativeFrom="margin">
                <wp:posOffset>2574925</wp:posOffset>
              </wp:positionH>
              <wp:positionV relativeFrom="paragraph">
                <wp:posOffset>0</wp:posOffset>
              </wp:positionV>
              <wp:extent cx="394970" cy="168910"/>
              <wp:effectExtent l="0" t="0" r="0" b="0"/>
              <wp:wrapNone/>
              <wp:docPr id="587" name="文本框 4"/>
              <wp:cNvGraphicFramePr>
                <a:graphicFrameLocks noChangeAspect="0"/>
              </wp:cNvGraphicFramePr>
              <a:graphic>
                <a:graphicData uri="http://schemas.microsoft.com/office/word/2010/wordprocessingShape">
                  <wps:wsp>
                    <wps:cNvSpPr/>
                    <wps:spPr>
                      <a:xfrm>
                        <a:off x="0" y="0"/>
                        <a:ext cx="394970" cy="16891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4</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4" o:spid="_x0000_s1963" type="#_x0000_t202" style="height:13.3pt;margin-left:202.75pt;margin-top:0;mso-height-relative:page;mso-position-horizontal-relative:margin;mso-width-relative:page;mso-wrap-distance-bottom:0;mso-wrap-distance-left:9pt;mso-wrap-distance-right:9pt;mso-wrap-distance-top:0;mso-wrap-style:square;position:absolute;v-text-anchor:top;width:31.1pt;z-index:251662336"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4</w:t>
                    </w:r>
                    <w:r>
                      <w:fldChar w:fldCharType="end"/>
                    </w:r>
                  </w:p>
                </w:txbxContent>
              </v:textbox>
            </v:shape>
          </w:pict>
        </mc:Fallback>
      </mc:AlternateContent>
    </w:r>
  </w:p>
</w:ftr>
</file>

<file path=word/footer3.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3360" behindDoc="0" locked="0" layoutInCell="1" allowOverlap="1">
              <wp:simplePos x="0" y="0"/>
              <wp:positionH relativeFrom="margin">
                <wp:posOffset>4810125</wp:posOffset>
              </wp:positionH>
              <wp:positionV relativeFrom="paragraph">
                <wp:posOffset>0</wp:posOffset>
              </wp:positionV>
              <wp:extent cx="440055" cy="206375"/>
              <wp:effectExtent l="0" t="0" r="0" b="0"/>
              <wp:wrapNone/>
              <wp:docPr id="589" name="文本框 7"/>
              <wp:cNvGraphicFramePr>
                <a:graphicFrameLocks noChangeAspect="0"/>
              </wp:cNvGraphicFramePr>
              <a:graphic>
                <a:graphicData uri="http://schemas.microsoft.com/office/word/2010/wordprocessingShape">
                  <wps:wsp>
                    <wps:cNvSpPr/>
                    <wps:spPr>
                      <a:xfrm>
                        <a:off x="0" y="0"/>
                        <a:ext cx="440055" cy="206375"/>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15</w:t>
                          </w:r>
                          <w:r>
                            <w:fldChar w:fldCharType="end"/>
                          </w:r>
                        </w:p>
                      </w:txbxContent>
                    </wps:txbx>
                    <wps:bodyPr rot="0" spcFirstLastPara="0" vertOverflow="overflow" horzOverflow="overflow" vert="horz" wrap="square" lIns="0" tIns="0" rIns="0" bIns="0" numCol="1" rtlCol="0" anchor="t" upright="0">
                      <a:noAutofit/>
                    </wps:bodyPr>
                  </wps:wsp>
                </a:graphicData>
              </a:graphic>
            </wp:anchor>
          </w:drawing>
        </mc:Choice>
        <mc:Fallback>
          <w:pict>
            <v:shape id="文本框 7" o:spid="_x0000_s1965" type="#_x0000_t202" style="height:16.25pt;margin-left:378.75pt;margin-top:0;mso-height-relative:page;mso-position-horizontal-relative:margin;mso-width-relative:page;mso-wrap-distance-bottom:0;mso-wrap-distance-left:9pt;mso-wrap-distance-right:9pt;mso-wrap-distance-top:0;mso-wrap-style:square;position:absolute;v-text-anchor:top;width:34.65pt;z-index:251663360" coordsize="21600,21600" filled="f" stroked="f" strokeweight="0.5pt">
              <w10:bordertop type="none" width="0"/>
              <w10:borderleft type="none" width="0"/>
              <w10:borderbottom type="none" width="0"/>
              <w10:borderright type="none" width="0"/>
              <v:textbox style="layout-flow:horizontal" inset="0,0,0,0">
                <w:txbxContent>
                  <w:p>
                    <w:pPr>
                      <w:pStyle w:val="Footer"/>
                    </w:pPr>
                    <w:r>
                      <w:fldChar w:fldCharType="begin"/>
                    </w:r>
                    <w:r>
                      <w:instrText xml:space="preserve"> PAGE  \* MERGEFORMAT </w:instrText>
                    </w:r>
                    <w:r>
                      <w:fldChar w:fldCharType="separate"/>
                    </w:r>
                    <w:r>
                      <w:t xml:space="preserve">15</w:t>
                    </w:r>
                    <w:r>
                      <w:fldChar w:fldCharType="end"/>
                    </w:r>
                  </w:p>
                </w:txbxContent>
              </v:textbox>
            </v:shape>
          </w:pict>
        </mc:Fallback>
      </mc:AlternateContent>
    </w:r>
  </w:p>
</w:ftr>
</file>

<file path=word/footer4.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590" name="文本框 9"/>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16</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9" o:spid="_x0000_s1966"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4384"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16</w:t>
                    </w:r>
                    <w:r>
                      <w:fldChar w:fldCharType="end"/>
                    </w:r>
                  </w:p>
                </w:txbxContent>
              </v:textbox>
            </v:shape>
          </w:pict>
        </mc:Fallback>
      </mc:AlternateContent>
    </w:r>
  </w:p>
</w:ftr>
</file>

<file path=word/footer5.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91" name="文本框 11"/>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17</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1" o:spid="_x0000_s1967"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5408"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17</w:t>
                    </w:r>
                    <w:r>
                      <w:fldChar w:fldCharType="end"/>
                    </w:r>
                  </w:p>
                </w:txbxContent>
              </v:textbox>
            </v:shape>
          </w:pict>
        </mc:Fallback>
      </mc:AlternateContent>
    </w:r>
  </w:p>
</w:ftr>
</file>

<file path=word/footer6.xml><?xml version="1.0" encoding="utf-8"?>
<w:ft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w:rPr>
        <w:sz w:val="24"/>
      </w:rPr>
      <mc:AlternateContent xmlns:mc="http://schemas.openxmlformats.org/markup-compatibility/2006">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92" name="文本框 12"/>
              <wp:cNvGraphicFramePr>
                <a:graphicFrameLocks noChangeAspect="0"/>
              </wp:cNvGraphicFramePr>
              <a:graphic>
                <a:graphicData uri="http://schemas.microsoft.com/office/word/2010/wordprocessingShape">
                  <wps:wsp>
                    <wps:cNvSpPr/>
                    <wps:spPr>
                      <a:xfrm>
                        <a:off x="0" y="0"/>
                        <a:ext cx="1828800" cy="1828800"/>
                      </a:xfrm>
                      <a:prstGeom prst="rect">
                        <a:avLst/>
                      </a:prstGeom>
                      <a:noFill/>
                      <a:ln>
                        <a:noFill/>
                      </a:ln>
                    </wps:spPr>
                    <wps:style>
                      <a:lnRef idx="0"/>
                      <a:fillRef idx="0"/>
                      <a:effectRef idx="0">
                        <a:schemeClr val="accent1"/>
                      </a:effectRef>
                      <a:fontRef idx="minor">
                        <a:schemeClr val="dk1"/>
                      </a:fontRef>
                    </wps:style>
                    <wps:txbx>
                      <w:txbxContent>
                        <w:p>
                          <w:pPr>
                            <w:pStyle w:val="Footer"/>
                          </w:pPr>
                          <w:r>
                            <w:fldChar w:fldCharType="begin"/>
                          </w:r>
                          <w:r>
                            <w:instrText xml:space="preserve"> PAGE  \* MERGEFORMAT </w:instrText>
                          </w:r>
                          <w:r>
                            <w:fldChar w:fldCharType="separate"/>
                          </w:r>
                          <w:r>
                            <w:t xml:space="preserve">25</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shape id="文本框 12" o:spid="_x0000_s1968" type="#_x0000_t202" style="height:2in;margin-left:0;margin-top:0;mso-height-relative:page;mso-position-horizontal:center;mso-position-horizontal-relative:margin;mso-width-relative:page;mso-wrap-distance-bottom:0;mso-wrap-distance-left:9pt;mso-wrap-distance-right:9pt;mso-wrap-distance-top:0;mso-wrap-style:none;position:absolute;v-text-anchor:top;width:2in;z-index:251666432" coordsize="21600,21600" filled="f" stroked="f" strokeweight="0.5pt">
              <w10:bordertop type="none" width="0"/>
              <w10:borderleft type="none" width="0"/>
              <w10:borderbottom type="none" width="0"/>
              <w10:borderright type="none" width="0"/>
              <v:textbox style="layout-flow:horizontal;mso-fit-shape-to-text:t" inset="0,0,0,0">
                <w:txbxContent>
                  <w:p>
                    <w:pPr>
                      <w:pStyle w:val="Footer"/>
                    </w:pPr>
                    <w:r>
                      <w:fldChar w:fldCharType="begin"/>
                    </w:r>
                    <w:r>
                      <w:instrText xml:space="preserve"> PAGE  \* MERGEFORMAT </w:instrText>
                    </w:r>
                    <w:r>
                      <w:fldChar w:fldCharType="separate"/>
                    </w:r>
                    <w:r>
                      <w:t xml:space="preserve">25</w:t>
                    </w:r>
                    <w:r>
                      <w:fldChar w:fldCharType="end"/>
                    </w:r>
                  </w:p>
                </w:txbxContent>
              </v:textbox>
            </v:shape>
          </w:pict>
        </mc:Fallback>
      </mc:AlternateContent>
    </w:r>
  </w:p>
</w:ftr>
</file>

<file path=word/header1.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59264"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586"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962"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8031" coordsize="21600,21600" filled="f" stroked="f">
              <v:textbox style="mso-fit-shape-to-text:t" inset="0,0,0,0">
                <w:txbxContent>
                  <w:p>
                    <w:pPr>
                      <w:pStyle w:val="Headerorfooter|1"/>
                    </w:pPr>
                  </w:p>
                </w:txbxContent>
              </v:textbox>
            </v:shape>
          </w:pict>
        </mc:Fallback>
      </mc:AlternateContent>
    </w:r>
  </w:p>
</w:hdr>
</file>

<file path=word/header2.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spacing w:line="1" w:lineRule="exact"/>
    </w:pPr>
    <w:r>
      <mc:AlternateContent xmlns:mc="http://schemas.openxmlformats.org/markup-compatibility/2006">
        <mc:Choice Requires="wps">
          <w:drawing>
            <wp:anchor distT="0" distB="0" distL="0" distR="0" simplePos="0" relativeHeight="251660288" behindDoc="1" locked="0" layoutInCell="1" allowOverlap="1">
              <wp:simplePos x="0" y="0"/>
              <wp:positionH relativeFrom="page">
                <wp:posOffset>9117330</wp:posOffset>
              </wp:positionH>
              <wp:positionV relativeFrom="page">
                <wp:posOffset>1217295</wp:posOffset>
              </wp:positionV>
              <wp:extent cx="581025" cy="109855"/>
              <wp:effectExtent l="0" t="0" r="0" b="0"/>
              <wp:wrapNone/>
              <wp:docPr id="588" name="Shape 5"/>
              <wp:cNvGraphicFramePr>
                <a:graphicFrameLocks noChangeAspect="0"/>
              </wp:cNvGraphicFramePr>
              <a:graphic>
                <a:graphicData uri="http://schemas.microsoft.com/office/word/2010/wordprocessingShape">
                  <wps:wsp>
                    <wps:cNvSpPr/>
                    <wps:spPr>
                      <a:xfrm>
                        <a:off x="0" y="0"/>
                        <a:ext cx="581025" cy="109855"/>
                      </a:xfrm>
                      <a:prstGeom prst="rect">
                        <a:avLst/>
                      </a:prstGeom>
                      <a:noFill/>
                    </wps:spPr>
                    <wps:txbx>
                      <w:txbxContent>
                        <w:p>
                          <w:pPr>
                            <w:pStyle w:val="Headerorfooter|1"/>
                          </w:pPr>
                        </w:p>
                      </w:txbxContent>
                    </wps:txbx>
                    <wps:bodyPr rot="0" spcFirstLastPara="0" vertOverflow="overflow" horzOverflow="overflow" vert="horz" wrap="square" lIns="0" tIns="0" rIns="0" bIns="0" numCol="1" anchor="t" upright="0">
                      <a:spAutoFit/>
                    </wps:bodyPr>
                  </wps:wsp>
                </a:graphicData>
              </a:graphic>
            </wp:anchor>
          </w:drawing>
        </mc:Choice>
        <mc:Fallback>
          <w:pict>
            <v:shape id="Shape 5" o:spid="_x0000_s1964" type="#_x0000_t202" style="height:8.65pt;margin-left:717.9pt;margin-top:95.85pt;mso-height-relative:page;mso-position-horizontal-relative:page;mso-position-vertical-relative:page;mso-width-relative:page;mso-wrap-distance-bottom:0;mso-wrap-distance-left:0;mso-wrap-distance-right:0;mso-wrap-distance-top:0;mso-wrap-style:square;position:absolute;width:45.75pt;z-index:-4043307007" coordsize="21600,21600" filled="f" stroked="f">
              <v:textbox style="mso-fit-shape-to-text:t" inset="0,0,0,0">
                <w:txbxContent>
                  <w:p>
                    <w:pPr>
                      <w:pStyle w:val="Headerorfooter|1"/>
                    </w:pPr>
                  </w:p>
                </w:txbxContent>
              </v:textbox>
            </v:shape>
          </w:pict>
        </mc:Fallback>
      </mc:AlternateContent>
    </w:r>
  </w:p>
</w:hdr>
</file>

<file path=word/header3.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4.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header5.xml><?xml version="1.0" encoding="utf-8"?>
<w:hdr xmlns:v="urn:schemas-microsoft-com:vml" xmlns:w10="urn:schemas-microsoft-com:office:word" xmlns:o="urn:schemas-microsoft-com:office:office" xmlns:ve="http://schemas.openxmlformats.org/markup-compatibility/2006" xmlns:r="http://schemas.openxmlformats.org/officeDocument/2006/relationships" xmlns:m="http://schemas.openxmlformats.org/officeDocument/2006/math" xmlns:wne="http://schemas.microsoft.com/office/word/2006/wordml" xmlns:a="http://schemas.openxmlformats.org/drawingml/2006/main" xmlns:pic="http://schemas.openxmlformats.org/drawingml/2006/picture" xmlns:wp="http://schemas.openxmlformats.org/drawingml/2006/wordprocessingDrawing" xmlns:wps="http://schemas.microsoft.com/office/word/2010/wordprocessingShape" xmlns:wpg="http://schemas.microsoft.com/office/word/2010/wordprocessingGroup" xmlns:w="http://schemas.openxmlformats.org/wordprocessingml/2006/main">
  <w:p>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multilevel"/>
    <w:lvl w:ilvl="0">
      <w:start w:val="1"/>
      <w:numFmt w:val="decimal"/>
      <w:suff w:val="tab"/>
      <w:lvlText w:val="%1."/>
      <w:lvlJc w:val="left"/>
      <w:pPr>
        <w:ind w:left="720" w:hanging="360"/>
      </w:pPr>
      <w:rPr>
        <w:rFonts w:ascii="Times New Roman" w:eastAsia="Times New Roman" w:hAnsi="Times New Roman" w:cs="Times New Roman"/>
      </w:rPr>
    </w:lvl>
    <w:lvl w:ilvl="1">
      <w:start w:val="1"/>
      <w:numFmt w:val="lowerLetter"/>
      <w:suff w:val="tab"/>
      <w:lvlText w:val="%2."/>
      <w:lvlJc w:val="right"/>
      <w:pPr>
        <w:ind w:left="1440" w:hanging="360"/>
      </w:pPr>
      <w:rPr>
        <w:rFonts w:ascii="Times New Roman" w:eastAsia="Times New Roman" w:hAnsi="Times New Roman" w:cs="Times New Roman"/>
      </w:rPr>
    </w:lvl>
    <w:lvl w:ilvl="2">
      <w:start w:val="1"/>
      <w:numFmt w:val="lowerRoman"/>
      <w:suff w:val="tab"/>
      <w:lvlText w:val="%3."/>
      <w:lvlJc w:val="left"/>
      <w:pPr>
        <w:ind w:left="2160" w:hanging="360"/>
      </w:pPr>
      <w:rPr>
        <w:rFonts w:ascii="Times New Roman" w:eastAsia="Times New Roman" w:hAnsi="Times New Roman" w:cs="Times New Roman"/>
      </w:rPr>
    </w:lvl>
    <w:lvl w:ilvl="3">
      <w:start w:val="1"/>
      <w:numFmt w:val="decimal"/>
      <w:suff w:val="tab"/>
      <w:lvlText w:val="%4."/>
      <w:lvlJc w:val="left"/>
      <w:pPr>
        <w:ind w:left="2880" w:hanging="360"/>
      </w:pPr>
      <w:rPr>
        <w:rFonts w:ascii="Times New Roman" w:eastAsia="Times New Roman" w:hAnsi="Times New Roman" w:cs="Times New Roman"/>
      </w:rPr>
    </w:lvl>
    <w:lvl w:ilvl="4">
      <w:start w:val="1"/>
      <w:numFmt w:val="lowerLetter"/>
      <w:suff w:val="tab"/>
      <w:lvlText w:val="%5."/>
      <w:lvlJc w:val="right"/>
      <w:pPr>
        <w:ind w:left="3600" w:hanging="360"/>
      </w:pPr>
      <w:rPr>
        <w:rFonts w:ascii="Times New Roman" w:eastAsia="Times New Roman" w:hAnsi="Times New Roman" w:cs="Times New Roman"/>
      </w:rPr>
    </w:lvl>
    <w:lvl w:ilvl="5">
      <w:start w:val="1"/>
      <w:numFmt w:val="lowerRoman"/>
      <w:suff w:val="tab"/>
      <w:lvlText w:val="%6."/>
      <w:lvlJc w:val="left"/>
      <w:pPr>
        <w:ind w:left="4320" w:hanging="360"/>
      </w:pPr>
      <w:rPr>
        <w:rFonts w:ascii="Times New Roman" w:eastAsia="Times New Roman" w:hAnsi="Times New Roman" w:cs="Times New Roman"/>
      </w:rPr>
    </w:lvl>
    <w:lvl w:ilvl="6">
      <w:start w:val="1"/>
      <w:numFmt w:val="decimal"/>
      <w:suff w:val="tab"/>
      <w:lvlText w:val="%7."/>
      <w:lvlJc w:val="left"/>
      <w:pPr>
        <w:ind w:left="5040" w:hanging="360"/>
      </w:pPr>
      <w:rPr>
        <w:rFonts w:ascii="Times New Roman" w:eastAsia="Times New Roman" w:hAnsi="Times New Roman" w:cs="Times New Roman"/>
      </w:rPr>
    </w:lvl>
    <w:lvl w:ilvl="7">
      <w:start w:val="1"/>
      <w:numFmt w:val="lowerLetter"/>
      <w:suff w:val="tab"/>
      <w:lvlText w:val="%8."/>
      <w:lvlJc w:val="right"/>
      <w:pPr>
        <w:ind w:left="5760" w:hanging="360"/>
      </w:pPr>
      <w:rPr>
        <w:rFonts w:ascii="Times New Roman" w:eastAsia="Times New Roman" w:hAnsi="Times New Roman" w:cs="Times New Roman"/>
      </w:rPr>
    </w:lvl>
    <w:lvl w:ilvl="8">
      <w:start w:val="1"/>
      <w:numFmt w:val="lowerRoman"/>
      <w:suff w:val="tab"/>
      <w:lvlText w:val="%9."/>
      <w:lvlJc w:val="left"/>
      <w:pPr>
        <w:ind w:left="6480" w:hanging="360"/>
      </w:pPr>
      <w:rPr>
        <w:rFonts w:ascii="Times New Roman" w:eastAsia="Times New Roman" w:hAnsi="Times New Roman" w:cs="Times New Roman"/>
      </w:rPr>
    </w:lvl>
  </w:abstractNum>
  <w:abstractNum w:abstractNumId="1">
    <w:multiLevelType w:val="multilevel"/>
    <w:lvl w:ilvl="0">
      <w:start w:val="1"/>
      <w:numFmt w:val="bullet"/>
      <w:suff w:val="tab"/>
      <w:lvlText w:val=""/>
      <w:lvlJc w:val="left"/>
      <w:pPr>
        <w:ind w:left="720" w:hanging="360"/>
      </w:pPr>
      <w:rPr>
        <w:rFonts w:ascii="Symbol" w:eastAsia="Symbol" w:hAnsi="Symbol" w:cs="Symbol"/>
      </w:rPr>
    </w:lvl>
    <w:lvl w:ilvl="1">
      <w:start w:val="1"/>
      <w:numFmt w:val="bullet"/>
      <w:suff w:val="tab"/>
      <w:lvlText w:val="o"/>
      <w:lvlJc w:val="left"/>
      <w:pPr>
        <w:ind w:left="1440" w:hanging="360"/>
      </w:pPr>
      <w:rPr>
        <w:rFonts w:ascii="Courier New" w:eastAsia="Courier New" w:hAnsi="Courier New" w:cs="Courier New"/>
      </w:rPr>
    </w:lvl>
    <w:lvl w:ilvl="2">
      <w:start w:val="1"/>
      <w:numFmt w:val="bullet"/>
      <w:suff w:val="tab"/>
      <w:lvlText w:val=""/>
      <w:lvlJc w:val="left"/>
      <w:pPr>
        <w:ind w:left="2160" w:hanging="360"/>
      </w:pPr>
      <w:rPr>
        <w:rFonts w:ascii="Wingdings" w:eastAsia="Wingdings" w:hAnsi="Wingdings" w:cs="Wingdings"/>
      </w:rPr>
    </w:lvl>
    <w:lvl w:ilvl="3">
      <w:start w:val="1"/>
      <w:numFmt w:val="bullet"/>
      <w:suff w:val="tab"/>
      <w:lvlText w:val=""/>
      <w:lvlJc w:val="left"/>
      <w:pPr>
        <w:ind w:left="2880" w:hanging="360"/>
      </w:pPr>
      <w:rPr>
        <w:rFonts w:ascii="Symbol" w:eastAsia="Symbol" w:hAnsi="Symbol" w:cs="Symbol"/>
      </w:rPr>
    </w:lvl>
    <w:lvl w:ilvl="4">
      <w:start w:val="1"/>
      <w:numFmt w:val="bullet"/>
      <w:suff w:val="tab"/>
      <w:lvlText w:val="o"/>
      <w:lvlJc w:val="left"/>
      <w:pPr>
        <w:ind w:left="3600" w:hanging="360"/>
      </w:pPr>
      <w:rPr>
        <w:rFonts w:ascii="Courier New" w:eastAsia="Courier New" w:hAnsi="Courier New" w:cs="Courier New"/>
      </w:rPr>
    </w:lvl>
    <w:lvl w:ilvl="5">
      <w:start w:val="1"/>
      <w:numFmt w:val="bullet"/>
      <w:suff w:val="tab"/>
      <w:lvlText w:val=""/>
      <w:lvlJc w:val="left"/>
      <w:pPr>
        <w:ind w:left="4320" w:hanging="360"/>
      </w:pPr>
      <w:rPr>
        <w:rFonts w:ascii="Wingdings" w:eastAsia="Wingdings" w:hAnsi="Wingdings" w:cs="Wingdings"/>
      </w:rPr>
    </w:lvl>
    <w:lvl w:ilvl="6">
      <w:start w:val="1"/>
      <w:numFmt w:val="bullet"/>
      <w:suff w:val="tab"/>
      <w:lvlText w:val=""/>
      <w:lvlJc w:val="left"/>
      <w:pPr>
        <w:ind w:left="5040" w:hanging="360"/>
      </w:pPr>
      <w:rPr>
        <w:rFonts w:ascii="Symbol" w:eastAsia="Symbol" w:hAnsi="Symbol" w:cs="Symbol"/>
      </w:rPr>
    </w:lvl>
    <w:lvl w:ilvl="7">
      <w:start w:val="1"/>
      <w:numFmt w:val="bullet"/>
      <w:suff w:val="tab"/>
      <w:lvlText w:val="o"/>
      <w:lvlJc w:val="left"/>
      <w:pPr>
        <w:ind w:left="5760" w:hanging="360"/>
      </w:pPr>
      <w:rPr>
        <w:rFonts w:ascii="Courier New" w:eastAsia="Courier New" w:hAnsi="Courier New" w:cs="Courier New"/>
      </w:rPr>
    </w:lvl>
    <w:lvl w:ilvl="8">
      <w:start w:val="1"/>
      <w:numFmt w:val="bullet"/>
      <w:suff w:val="tab"/>
      <w:lvlText w:val=""/>
      <w:lvlJc w:val="left"/>
      <w:pPr>
        <w:ind w:left="6480" w:hanging="360"/>
      </w:pPr>
      <w:rPr>
        <w:rFonts w:ascii="Wingdings" w:eastAsia="Wingdings" w:hAnsi="Wingdings" w:cs="Wingdings"/>
      </w:rPr>
    </w:lvl>
  </w:abstractNum>
  <w:abstractNum w:abstractNumId="2">
    <w:multiLevelType w:val="singleLevel"/>
    <w:lvl w:ilvl="0">
      <w:start w:val="1"/>
      <w:numFmt w:val="decimal"/>
      <w:suff w:val="nothing"/>
      <w:lvlText w:val="%1．"/>
      <w:lvlJc w:val="left"/>
      <w:pPr>
        <w:ind w:left="0" w:firstLine="4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sl="http://schemas.openxmlformats.org/schemaLibrary/2006/main" xmlns:w="http://schemas.openxmlformats.org/wordprocessingml/2006/main" xmlns:w14="http://schemas.microsoft.com/office/word/2010/wordml" xmlns:w15="http://schemas.microsoft.com/office/word/2012/wordml" mc:Ignorable="w14 w15">
  <w:zoom w:percent="60"/>
  <w:bordersDoNotSurroundFooter w:val="0"/>
  <w:bordersDoNotSurroundHeader w:val="0"/>
  <w:doNotTrackMoves/>
  <w:documentProtection w:enforcement="1" w:edit="readOnly" w:salt="embZSldmzgaqPnC4FPpyHA==" w:hash="FVGl7RgxAvNNGKl9KTb5/kkQ16Z4sRZ5b4LnxcW58XIo/IkEKluMTvRSo81mjFFPoZbZoVyTWm3Crpi+3EI/fQ==" w:cryptSpinCount="100000" w:cryptAlgorithmType="typeAny" w:cryptAlgorithmClass="hash" w:cryptProviderType="rsaAES" w:cryptAlgorithmSid="14"/>
  <w:defaultTabStop w:val="420"/>
  <w:drawingGridHorizontalSpacing w:val="181"/>
  <w:drawingGridVerticalSpacing w:val="181"/>
  <w:noPunctuationKerning/>
  <w:characterSpacingControl w:val="compressPunctuation"/>
  <w:compat>
    <w:doNotExpandShiftReturn/>
    <w:doNotWrapTextWithPunct/>
    <w:doNotUseEastAsianBreakRules/>
    <w:useFELayout/>
    <w:doNotUseIndentAsNumberingTabStop/>
    <w:compatSetting w:name="doNotFlipMirrorIndents" w:uri="http://schemas.microsoft.com/office/word" w:val="1"/>
    <w:compatSetting w:name="enableOpenTypeFeatures" w:uri="http://schemas.microsoft.com/office/word" w:val="1"/>
    <w:compatSetting w:name="overrideTableStyleFontSizeAndJustification" w:uri="http://schemas.microsoft.com/office/word" w:val="1"/>
    <w:compatSetting w:name="compatibilityMode" w:uri="http://schemas.microsoft.com/office/word" w:val="15"/>
  </w:compat>
  <w:docVars>
    <w:docVar w:name="commondata" w:val="eyJoZGlkIjoiYmQ3NjQxYmZmN2ZkODIxYWNiNTEzMzQyMTZmNzQ1MmMifQ=="/>
  </w:docVars>
  <m:mathPr>
    <m:mathFont m:val="Cambria Math"/>
    <m:brkBin m:val="before"/>
    <m:brkBinSub m:val="--"/>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0" w:uiPriority="0" w:unhideWhenUsed="0"/>
    <w:lsdException w:name="index 2" w:semiHidden="0" w:uiPriority="0" w:unhideWhenUsed="0"/>
    <w:lsdException w:name="index 3" w:semiHidden="0" w:uiPriority="0" w:unhideWhenUsed="0"/>
    <w:lsdException w:name="index 4" w:semiHidden="0" w:uiPriority="0" w:unhideWhenUsed="0"/>
    <w:lsdException w:name="index 5" w:semiHidden="0" w:uiPriority="0" w:unhideWhenUsed="0"/>
    <w:lsdException w:name="index 6" w:semiHidden="0" w:uiPriority="0" w:unhideWhenUsed="0"/>
    <w:lsdException w:name="index 7" w:semiHidden="0" w:uiPriority="0" w:unhideWhenUsed="0"/>
    <w:lsdException w:name="index 8" w:semiHidden="0" w:uiPriority="0" w:unhideWhenUsed="0"/>
    <w:lsdException w:name="index 9" w:semiHidden="0" w:uiPriority="0" w:unhideWhenUsed="0"/>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semiHidden="0" w:uiPriority="0" w:unhideWhenUsed="0"/>
    <w:lsdException w:name="footnote text" w:semiHidden="0" w:uiPriority="0" w:unhideWhenUsed="0"/>
    <w:lsdException w:name="annotation text" w:semiHidden="0" w:uiPriority="0" w:unhideWhenUsed="0" w:qFormat="1"/>
    <w:lsdException w:name="header" w:semiHidden="0" w:uiPriority="0" w:unhideWhenUsed="0" w:qFormat="1"/>
    <w:lsdException w:name="footer" w:semiHidden="0" w:uiPriority="0" w:unhideWhenUsed="0" w:qFormat="1"/>
    <w:lsdException w:name="index heading" w:semiHidden="0" w:uiPriority="0" w:unhideWhenUsed="0"/>
    <w:lsdException w:name="caption" w:uiPriority="0" w:qFormat="1"/>
    <w:lsdException w:name="table of figures" w:semiHidden="0" w:uiPriority="0" w:unhideWhenUsed="0"/>
    <w:lsdException w:name="envelope address" w:semiHidden="0" w:uiPriority="0" w:unhideWhenUsed="0"/>
    <w:lsdException w:name="envelope return" w:semiHidden="0" w:uiPriority="0" w:unhideWhenUsed="0"/>
    <w:lsdException w:name="footnote reference" w:semiHidden="0" w:uiPriority="0" w:unhideWhenUsed="0"/>
    <w:lsdException w:name="annotation reference" w:semiHidden="0" w:uiPriority="0" w:unhideWhenUsed="0" w:qFormat="1"/>
    <w:lsdException w:name="line number" w:semiHidden="0" w:uiPriority="0" w:unhideWhenUsed="0"/>
    <w:lsdException w:name="page number" w:semiHidden="0" w:uiPriority="0" w:unhideWhenUsed="0"/>
    <w:lsdException w:name="endnote reference" w:semiHidden="0" w:uiPriority="0" w:unhideWhenUsed="0"/>
    <w:lsdException w:name="endnote text" w:semiHidden="0" w:uiPriority="0" w:unhideWhenUsed="0"/>
    <w:lsdException w:name="table of authorities" w:semiHidden="0" w:uiPriority="0" w:unhideWhenUsed="0"/>
    <w:lsdException w:name="macro" w:semiHidden="0" w:uiPriority="0" w:unhideWhenUsed="0"/>
    <w:lsdException w:name="toa heading" w:semiHidden="0" w:uiPriority="0" w:unhideWhenUsed="0"/>
    <w:lsdException w:name="List" w:semiHidden="0" w:uiPriority="0" w:unhideWhenUsed="0"/>
    <w:lsdException w:name="List Bullet" w:semiHidden="0" w:uiPriority="0" w:unhideWhenUsed="0"/>
    <w:lsdException w:name="List Number" w:semiHidden="0" w:uiPriority="0" w:unhideWhenUsed="0"/>
    <w:lsdException w:name="List 2" w:semiHidden="0" w:uiPriority="0" w:unhideWhenUsed="0"/>
    <w:lsdException w:name="List 3" w:semiHidden="0" w:uiPriority="0" w:unhideWhenUsed="0"/>
    <w:lsdException w:name="List 4" w:semiHidden="0" w:uiPriority="0" w:unhideWhenUsed="0"/>
    <w:lsdException w:name="List 5" w:semiHidden="0" w:uiPriority="0" w:unhideWhenUsed="0"/>
    <w:lsdException w:name="List Bullet 2" w:semiHidden="0" w:uiPriority="0" w:unhideWhenUsed="0"/>
    <w:lsdException w:name="List Bullet 3" w:semiHidden="0" w:uiPriority="0" w:unhideWhenUsed="0"/>
    <w:lsdException w:name="List Bullet 4" w:semiHidden="0" w:uiPriority="0" w:unhideWhenUsed="0"/>
    <w:lsdException w:name="List Bullet 5" w:semiHidden="0" w:uiPriority="0" w:unhideWhenUsed="0"/>
    <w:lsdException w:name="List Number 2" w:semiHidden="0" w:uiPriority="0" w:unhideWhenUsed="0"/>
    <w:lsdException w:name="List Number 3" w:semiHidden="0" w:uiPriority="0" w:unhideWhenUsed="0"/>
    <w:lsdException w:name="List Number 4" w:semiHidden="0" w:uiPriority="0" w:unhideWhenUsed="0"/>
    <w:lsdException w:name="List Number 5" w:semiHidden="0" w:uiPriority="0" w:unhideWhenUsed="0"/>
    <w:lsdException w:name="Title" w:semiHidden="0" w:uiPriority="0" w:unhideWhenUsed="0" w:qFormat="1"/>
    <w:lsdException w:name="Closing" w:semiHidden="0" w:uiPriority="0" w:unhideWhenUsed="0"/>
    <w:lsdException w:name="Signature" w:semiHidden="0" w:uiPriority="0" w:unhideWhenUsed="0"/>
    <w:lsdException w:name="Default Paragraph Font" w:uiPriority="1" w:qFormat="1"/>
    <w:lsdException w:name="Body Text" w:semiHidden="0" w:uiPriority="0" w:unhideWhenUsed="0"/>
    <w:lsdException w:name="Body Text Indent" w:semiHidden="0" w:uiPriority="0" w:unhideWhenUsed="0"/>
    <w:lsdException w:name="List Continue" w:semiHidden="0" w:uiPriority="0" w:unhideWhenUsed="0"/>
    <w:lsdException w:name="List Continue 2" w:semiHidden="0" w:uiPriority="0" w:unhideWhenUsed="0"/>
    <w:lsdException w:name="List Continue 3" w:semiHidden="0" w:uiPriority="0" w:unhideWhenUsed="0"/>
    <w:lsdException w:name="List Continue 4" w:semiHidden="0" w:uiPriority="0" w:unhideWhenUsed="0"/>
    <w:lsdException w:name="List Continue 5" w:semiHidden="0" w:uiPriority="0" w:unhideWhenUsed="0"/>
    <w:lsdException w:name="Message Header" w:semiHidden="0" w:uiPriority="0" w:unhideWhenUsed="0"/>
    <w:lsdException w:name="Subtitle" w:semiHidden="0" w:uiPriority="0" w:unhideWhenUsed="0" w:qFormat="1"/>
    <w:lsdException w:name="Salutation" w:semiHidden="0" w:uiPriority="0" w:unhideWhenUsed="0"/>
    <w:lsdException w:name="Date" w:semiHidden="0" w:uiPriority="0" w:unhideWhenUsed="0"/>
    <w:lsdException w:name="Body Text First Indent" w:semiHidden="0" w:uiPriority="0" w:unhideWhenUsed="0"/>
    <w:lsdException w:name="Body Text First Indent 2" w:semiHidden="0" w:uiPriority="0" w:unhideWhenUsed="0"/>
    <w:lsdException w:name="Body Text 2" w:semiHidden="0" w:uiPriority="0" w:unhideWhenUsed="0"/>
    <w:lsdException w:name="Body Text 3" w:semiHidden="0" w:uiPriority="0" w:unhideWhenUsed="0"/>
    <w:lsdException w:name="Body Text Indent 2" w:semiHidden="0" w:uiPriority="0" w:unhideWhenUsed="0"/>
    <w:lsdException w:name="Body Text Indent 3" w:semiHidden="0" w:uiPriority="0" w:unhideWhenUsed="0"/>
    <w:lsdException w:name="Block Text" w:semiHidden="0" w:uiPriority="0" w:unhideWhenUsed="0"/>
    <w:lsdException w:name="Hyperlink" w:semiHidden="0" w:uiPriority="0" w:unhideWhenUsed="0"/>
    <w:lsdException w:name="FollowedHyperlink" w:semiHidden="0" w:uiPriority="0" w:unhideWhenUsed="0"/>
    <w:lsdException w:name="Strong" w:semiHidden="0" w:uiPriority="0" w:unhideWhenUsed="0" w:qFormat="1"/>
    <w:lsdException w:name="Emphasis" w:semiHidden="0" w:uiPriority="0" w:unhideWhenUsed="0" w:qFormat="1"/>
    <w:lsdException w:name="Document Map" w:semiHidden="0" w:uiPriority="0" w:unhideWhenUsed="0"/>
    <w:lsdException w:name="Plain Text" w:semiHidden="0" w:uiPriority="0" w:unhideWhenUsed="0"/>
    <w:lsdException w:name="E-mail Signature" w:semiHidden="0" w:uiPriority="0" w:unhideWhenUsed="0"/>
    <w:lsdException w:name="Normal (Web)" w:semiHidden="0" w:uiPriority="0" w:unhideWhenUsed="0"/>
    <w:lsdException w:name="HTML Acronym" w:semiHidden="0" w:uiPriority="0" w:unhideWhenUsed="0"/>
    <w:lsdException w:name="HTML Address" w:semiHidden="0" w:uiPriority="0" w:unhideWhenUsed="0"/>
    <w:lsdException w:name="HTML Cite" w:semiHidden="0" w:uiPriority="0" w:unhideWhenUsed="0"/>
    <w:lsdException w:name="HTML Code" w:semiHidden="0" w:uiPriority="0" w:unhideWhenUsed="0"/>
    <w:lsdException w:name="HTML Definition" w:semiHidden="0" w:uiPriority="0" w:unhideWhenUsed="0"/>
    <w:lsdException w:name="HTML Keyboard" w:semiHidden="0" w:uiPriority="0" w:unhideWhenUsed="0"/>
    <w:lsdException w:name="HTML Preformatted" w:semiHidden="0" w:uiPriority="0" w:unhideWhenUsed="0"/>
    <w:lsdException w:name="HTML Sample" w:semiHidden="0" w:uiPriority="0" w:unhideWhenUsed="0"/>
    <w:lsdException w:name="HTML Variable" w:semiHidden="0" w:uiPriority="0" w:unhideWhenUsed="0"/>
    <w:lsdException w:name="Normal Table" w:qFormat="1"/>
    <w:lsdException w:name="annotation subject" w:semiHidden="0" w:uiPriority="0" w:unhideWhenUsed="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Balloon Text" w:semiHidden="0" w:uiPriority="0" w:unhideWhenUsed="0"/>
    <w:lsdException w:name="Table Grid" w:semiHidden="0" w:uiPriority="0" w:unhideWhenUsed="0" w:qFormat="1"/>
    <w:lsdException w:name="Table Theme" w:uiPriority="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autoRedefine/>
    <w:qFormat/>
    <w:pPr>
      <w:widowControl w:val="0"/>
    </w:pPr>
    <w:rPr>
      <w:rFonts w:ascii="Times New Roman" w:eastAsia="Times New Roman" w:hAnsi="Times New Roman" w:cs="Times New Roman"/>
      <w:color w:val="000000"/>
      <w:sz w:val="24"/>
      <w:szCs w:val="24"/>
      <w:lang w:val="en-US" w:eastAsia="en-US" w:bidi="en-US"/>
    </w:rPr>
  </w:style>
  <w:style w:type="character" w:default="1" w:styleId="DefaultParagraphFont">
    <w:name w:val="Default Paragraph Font"/>
    <w:autoRedefine/>
    <w:uiPriority w:val="1"/>
    <w:semiHidden/>
    <w:unhideWhenUsed/>
    <w:qFormat/>
    <w:rPr/>
  </w:style>
  <w:style w:type="table" w:default="1" w:styleId="NormalTable">
    <w:name w:val="Normal Table"/>
    <w:autoRedefine/>
    <w:uiPriority w:val="99"/>
    <w:semiHidden/>
    <w:unhideWhenUsed/>
    <w:qFormat/>
    <w:rPr/>
    <w:tblPr>
      <w:tblCellMar>
        <w:top w:w="0" w:type="dxa"/>
        <w:left w:w="108" w:type="dxa"/>
        <w:bottom w:w="0" w:type="dxa"/>
        <w:right w:w="108" w:type="dxa"/>
      </w:tblCellMar>
    </w:tblPr>
  </w:style>
  <w:style w:type="paragraph" w:styleId="CommentText">
    <w:name w:val="Comment Text"/>
    <w:basedOn w:val="Normal"/>
    <w:autoRedefine/>
    <w:qFormat/>
    <w:rPr/>
  </w:style>
  <w:style w:type="paragraph" w:styleId="Footer">
    <w:name w:val="Footer"/>
    <w:basedOn w:val="Normal"/>
    <w:autoRedefine/>
    <w:qFormat/>
    <w:pPr>
      <w:tabs>
        <w:tab w:val="center" w:pos="4153"/>
        <w:tab w:val="right" w:pos="8306"/>
      </w:tabs>
      <w:snapToGrid w:val="0"/>
    </w:pPr>
    <w:rPr>
      <w:sz w:val="18"/>
    </w:rPr>
  </w:style>
  <w:style w:type="paragraph" w:styleId="Header">
    <w:name w:val="Header"/>
    <w:basedOn w:val="Normal"/>
    <w:autoRedefine/>
    <w:qFormat/>
    <w:pPr>
      <w:pBdr>
        <w:top w:val="none" w:sz="0" w:space="1" w:color="auto"/>
        <w:left w:val="none" w:sz="0" w:space="4" w:color="auto"/>
        <w:bottom w:val="none" w:sz="0" w:space="1" w:color="auto"/>
        <w:right w:val="none" w:sz="0" w:space="4" w:color="auto"/>
      </w:pBdr>
      <w:tabs>
        <w:tab w:val="center" w:pos="4153"/>
        <w:tab w:val="right" w:pos="8306"/>
      </w:tabs>
      <w:snapToGrid w:val="0"/>
      <w:jc w:val="both"/>
    </w:pPr>
    <w:rPr>
      <w:sz w:val="18"/>
    </w:rPr>
  </w:style>
  <w:style w:type="table" w:styleId="TableGrid">
    <w:name w:val="Table Grid"/>
    <w:basedOn w:val="NormalTable"/>
    <w:autoRedefine/>
    <w:qFormat/>
    <w:pPr>
      <w:widowControl w:val="0"/>
      <w:jc w:val="both"/>
    </w:pP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Comment Reference"/>
    <w:basedOn w:val="DefaultParagraphFont"/>
    <w:autoRedefine/>
    <w:qFormat/>
    <w:rPr>
      <w:sz w:val="21"/>
      <w:szCs w:val="21"/>
    </w:rPr>
  </w:style>
  <w:style w:type="character" w:customStyle="1" w:styleId="Bodytext|5_">
    <w:name w:val="Body text|5_"/>
    <w:basedOn w:val="DefaultParagraphFont"/>
    <w:link w:val="Bodytext|5"/>
    <w:autoRedefine/>
    <w:qFormat/>
    <w:rPr>
      <w:rFonts w:ascii="宋体" w:eastAsia="宋体" w:hAnsi="宋体" w:cs="宋体"/>
      <w:sz w:val="54"/>
      <w:szCs w:val="54"/>
      <w:u w:val="none"/>
      <w:shd w:val="clear" w:color="auto" w:fill="auto"/>
      <w:lang w:val="zh-TW" w:eastAsia="zh-TW" w:bidi="zh-TW"/>
    </w:rPr>
  </w:style>
  <w:style w:type="paragraph" w:customStyle="1" w:styleId="Bodytext|5">
    <w:name w:val="Body text|5"/>
    <w:basedOn w:val="Normal"/>
    <w:link w:val="Bodytext|5_"/>
    <w:autoRedefine/>
    <w:qFormat/>
    <w:pPr>
      <w:jc w:val="center"/>
    </w:pPr>
    <w:rPr>
      <w:rFonts w:ascii="宋体" w:eastAsia="宋体" w:hAnsi="宋体" w:cs="宋体"/>
      <w:sz w:val="54"/>
      <w:szCs w:val="54"/>
      <w:lang w:val="zh-TW" w:eastAsia="zh-TW" w:bidi="zh-TW"/>
    </w:rPr>
  </w:style>
  <w:style w:type="character" w:customStyle="1" w:styleId="Heading#1|1_">
    <w:name w:val="Heading #1|1_"/>
    <w:basedOn w:val="DefaultParagraphFont"/>
    <w:link w:val="Heading#1|1"/>
    <w:autoRedefine/>
    <w:qFormat/>
    <w:rPr>
      <w:rFonts w:ascii="宋体" w:eastAsia="宋体" w:hAnsi="宋体" w:cs="宋体"/>
      <w:sz w:val="44"/>
      <w:szCs w:val="44"/>
      <w:u w:val="none"/>
      <w:shd w:val="clear" w:color="auto" w:fill="auto"/>
      <w:lang w:val="zh-TW" w:eastAsia="zh-TW" w:bidi="zh-TW"/>
    </w:rPr>
  </w:style>
  <w:style w:type="paragraph" w:customStyle="1" w:styleId="Heading#1|1">
    <w:name w:val="Heading #1|1"/>
    <w:basedOn w:val="Normal"/>
    <w:link w:val="Heading#1|1_"/>
    <w:autoRedefine/>
    <w:qFormat/>
    <w:pPr>
      <w:spacing w:after="400"/>
      <w:jc w:val="center"/>
      <w:outlineLvl w:val="0"/>
    </w:pPr>
    <w:rPr>
      <w:rFonts w:ascii="宋体" w:eastAsia="宋体" w:hAnsi="宋体" w:cs="宋体"/>
      <w:sz w:val="44"/>
      <w:szCs w:val="44"/>
      <w:lang w:val="zh-TW" w:eastAsia="zh-TW" w:bidi="zh-TW"/>
    </w:rPr>
  </w:style>
  <w:style w:type="character" w:customStyle="1" w:styleId="Headerorfooter|2_">
    <w:name w:val="Header or footer|2_"/>
    <w:basedOn w:val="DefaultParagraphFont"/>
    <w:link w:val="Headerorfooter|2"/>
    <w:autoRedefine/>
    <w:qFormat/>
    <w:rPr>
      <w:sz w:val="20"/>
      <w:szCs w:val="20"/>
      <w:u w:val="none"/>
      <w:shd w:val="clear" w:color="auto" w:fill="auto"/>
      <w:lang w:val="zh-TW" w:eastAsia="zh-TW" w:bidi="zh-TW"/>
    </w:rPr>
  </w:style>
  <w:style w:type="paragraph" w:customStyle="1" w:styleId="Headerorfooter|2">
    <w:name w:val="Header or footer|2"/>
    <w:basedOn w:val="Normal"/>
    <w:link w:val="Headerorfooter|2_"/>
    <w:autoRedefine/>
    <w:qFormat/>
    <w:rPr>
      <w:sz w:val="20"/>
      <w:szCs w:val="20"/>
      <w:lang w:val="zh-TW" w:eastAsia="zh-TW" w:bidi="zh-TW"/>
    </w:rPr>
  </w:style>
  <w:style w:type="character" w:customStyle="1" w:styleId="Bodytext|2_">
    <w:name w:val="Body text|2_"/>
    <w:basedOn w:val="DefaultParagraphFont"/>
    <w:link w:val="Bodytext|2"/>
    <w:autoRedefine/>
    <w:qFormat/>
    <w:rPr>
      <w:rFonts w:ascii="宋体" w:eastAsia="宋体" w:hAnsi="宋体" w:cs="宋体"/>
      <w:sz w:val="32"/>
      <w:szCs w:val="32"/>
      <w:u w:val="none"/>
      <w:shd w:val="clear" w:color="auto" w:fill="auto"/>
      <w:lang w:val="zh-TW" w:eastAsia="zh-TW" w:bidi="zh-TW"/>
    </w:rPr>
  </w:style>
  <w:style w:type="paragraph" w:customStyle="1" w:styleId="Bodytext|2">
    <w:name w:val="Body text|2"/>
    <w:basedOn w:val="Normal"/>
    <w:link w:val="Bodytext|2_"/>
    <w:autoRedefine/>
    <w:qFormat/>
    <w:pPr>
      <w:spacing w:after="240"/>
      <w:ind w:firstLine="560"/>
    </w:pPr>
    <w:rPr>
      <w:rFonts w:ascii="宋体" w:eastAsia="宋体" w:hAnsi="宋体" w:cs="宋体"/>
      <w:sz w:val="32"/>
      <w:szCs w:val="32"/>
      <w:lang w:val="zh-TW" w:eastAsia="zh-TW" w:bidi="zh-TW"/>
    </w:rPr>
  </w:style>
  <w:style w:type="character" w:customStyle="1" w:styleId="Bodytext|1_">
    <w:name w:val="Body text|1_"/>
    <w:basedOn w:val="DefaultParagraphFont"/>
    <w:link w:val="Bodytext|1"/>
    <w:autoRedefine/>
    <w:qFormat/>
    <w:rPr>
      <w:rFonts w:ascii="宋体" w:eastAsia="宋体" w:hAnsi="宋体" w:cs="宋体"/>
      <w:sz w:val="28"/>
      <w:szCs w:val="28"/>
      <w:u w:val="none"/>
      <w:shd w:val="clear" w:color="auto" w:fill="auto"/>
      <w:lang w:val="zh-TW" w:eastAsia="zh-TW" w:bidi="zh-TW"/>
    </w:rPr>
  </w:style>
  <w:style w:type="paragraph" w:customStyle="1" w:styleId="Bodytext|1">
    <w:name w:val="Body text|1"/>
    <w:basedOn w:val="Normal"/>
    <w:link w:val="Bodytext|1_"/>
    <w:autoRedefine/>
    <w:qFormat/>
    <w:pPr>
      <w:spacing w:line="468" w:lineRule="auto"/>
      <w:ind w:firstLine="400"/>
    </w:pPr>
    <w:rPr>
      <w:rFonts w:ascii="宋体" w:eastAsia="宋体" w:hAnsi="宋体" w:cs="宋体"/>
      <w:sz w:val="28"/>
      <w:szCs w:val="28"/>
      <w:lang w:val="zh-TW" w:eastAsia="zh-TW" w:bidi="zh-TW"/>
    </w:rPr>
  </w:style>
  <w:style w:type="character" w:customStyle="1" w:styleId="Headerorfooter|1_">
    <w:name w:val="Header or footer|1_"/>
    <w:basedOn w:val="DefaultParagraphFont"/>
    <w:link w:val="Headerorfooter|1"/>
    <w:autoRedefine/>
    <w:qFormat/>
    <w:rPr>
      <w:b/>
      <w:bCs/>
      <w:sz w:val="17"/>
      <w:szCs w:val="17"/>
      <w:u w:val="none"/>
      <w:shd w:val="clear" w:color="auto" w:fill="auto"/>
      <w:lang w:val="zh-TW" w:eastAsia="zh-TW" w:bidi="zh-TW"/>
    </w:rPr>
  </w:style>
  <w:style w:type="paragraph" w:customStyle="1" w:styleId="Headerorfooter|1">
    <w:name w:val="Header or footer|1"/>
    <w:basedOn w:val="Normal"/>
    <w:link w:val="Headerorfooter|1_"/>
    <w:autoRedefine/>
    <w:qFormat/>
    <w:rPr>
      <w:b/>
      <w:bCs/>
      <w:sz w:val="17"/>
      <w:szCs w:val="17"/>
      <w:lang w:val="zh-TW" w:eastAsia="zh-TW" w:bidi="zh-TW"/>
    </w:rPr>
  </w:style>
  <w:style w:type="character" w:customStyle="1" w:styleId="Heading#2|1_">
    <w:name w:val="Heading #2|1_"/>
    <w:basedOn w:val="DefaultParagraphFont"/>
    <w:link w:val="Heading#2|1"/>
    <w:autoRedefine/>
    <w:qFormat/>
    <w:rPr>
      <w:rFonts w:ascii="宋体" w:eastAsia="宋体" w:hAnsi="宋体" w:cs="宋体"/>
      <w:sz w:val="26"/>
      <w:szCs w:val="26"/>
      <w:u w:val="none"/>
      <w:shd w:val="clear" w:color="auto" w:fill="auto"/>
      <w:lang w:val="zh-TW" w:eastAsia="zh-TW" w:bidi="zh-TW"/>
    </w:rPr>
  </w:style>
  <w:style w:type="paragraph" w:customStyle="1" w:styleId="Heading#2|1">
    <w:name w:val="Heading #2|1"/>
    <w:basedOn w:val="Normal"/>
    <w:link w:val="Heading#2|1_"/>
    <w:autoRedefine/>
    <w:qFormat/>
    <w:pPr>
      <w:spacing w:after="230"/>
      <w:jc w:val="center"/>
      <w:outlineLvl w:val="1"/>
    </w:pPr>
    <w:rPr>
      <w:rFonts w:ascii="宋体" w:eastAsia="宋体" w:hAnsi="宋体" w:cs="宋体"/>
      <w:sz w:val="26"/>
      <w:szCs w:val="26"/>
      <w:lang w:val="zh-TW" w:eastAsia="zh-TW" w:bidi="zh-TW"/>
    </w:rPr>
  </w:style>
  <w:style w:type="character" w:customStyle="1" w:styleId="Other|1_">
    <w:name w:val="Other|1_"/>
    <w:basedOn w:val="DefaultParagraphFont"/>
    <w:link w:val="Other|1"/>
    <w:autoRedefine/>
    <w:qFormat/>
    <w:rPr>
      <w:rFonts w:ascii="宋体" w:eastAsia="宋体" w:hAnsi="宋体" w:cs="宋体"/>
      <w:sz w:val="28"/>
      <w:szCs w:val="28"/>
      <w:u w:val="none"/>
      <w:shd w:val="clear" w:color="auto" w:fill="auto"/>
      <w:lang w:val="zh-TW" w:eastAsia="zh-TW" w:bidi="zh-TW"/>
    </w:rPr>
  </w:style>
  <w:style w:type="paragraph" w:customStyle="1" w:styleId="Other|1">
    <w:name w:val="Other|1"/>
    <w:basedOn w:val="Normal"/>
    <w:link w:val="Other|1_"/>
    <w:autoRedefine/>
    <w:qFormat/>
    <w:pPr>
      <w:spacing w:line="468" w:lineRule="auto"/>
      <w:ind w:firstLine="400"/>
    </w:pPr>
    <w:rPr>
      <w:rFonts w:ascii="宋体" w:eastAsia="宋体" w:hAnsi="宋体" w:cs="宋体"/>
      <w:sz w:val="28"/>
      <w:szCs w:val="28"/>
      <w:lang w:val="zh-TW" w:eastAsia="zh-TW" w:bidi="zh-TW"/>
    </w:rPr>
  </w:style>
  <w:style w:type="character" w:customStyle="1" w:styleId="Tablecaption|1_">
    <w:name w:val="Table caption|1_"/>
    <w:basedOn w:val="DefaultParagraphFont"/>
    <w:link w:val="Tablecaption|1"/>
    <w:autoRedefine/>
    <w:qFormat/>
    <w:rPr>
      <w:rFonts w:ascii="宋体" w:eastAsia="宋体" w:hAnsi="宋体" w:cs="宋体"/>
      <w:sz w:val="17"/>
      <w:szCs w:val="17"/>
      <w:u w:val="none"/>
      <w:shd w:val="clear" w:color="auto" w:fill="auto"/>
      <w:lang w:val="zh-TW" w:eastAsia="zh-TW" w:bidi="zh-TW"/>
    </w:rPr>
  </w:style>
  <w:style w:type="paragraph" w:customStyle="1" w:styleId="Tablecaption|1">
    <w:name w:val="Table caption|1"/>
    <w:basedOn w:val="Normal"/>
    <w:link w:val="Tablecaption|1_"/>
    <w:autoRedefine/>
    <w:qFormat/>
    <w:rPr>
      <w:rFonts w:ascii="宋体" w:eastAsia="宋体" w:hAnsi="宋体" w:cs="宋体"/>
      <w:sz w:val="17"/>
      <w:szCs w:val="17"/>
      <w:lang w:val="zh-TW" w:eastAsia="zh-TW" w:bidi="zh-TW"/>
    </w:rPr>
  </w:style>
  <w:style w:type="character" w:customStyle="1" w:styleId="Bodytext|4_">
    <w:name w:val="Body text|4_"/>
    <w:basedOn w:val="DefaultParagraphFont"/>
    <w:link w:val="Bodytext|4"/>
    <w:autoRedefine/>
    <w:qFormat/>
    <w:rPr>
      <w:rFonts w:ascii="宋体" w:eastAsia="宋体" w:hAnsi="宋体" w:cs="宋体"/>
      <w:sz w:val="17"/>
      <w:szCs w:val="17"/>
      <w:u w:val="none"/>
      <w:shd w:val="clear" w:color="auto" w:fill="auto"/>
      <w:lang w:val="zh-TW" w:eastAsia="zh-TW" w:bidi="zh-TW"/>
    </w:rPr>
  </w:style>
  <w:style w:type="paragraph" w:customStyle="1" w:styleId="Bodytext|4">
    <w:name w:val="Body text|4"/>
    <w:basedOn w:val="Normal"/>
    <w:link w:val="Bodytext|4_"/>
    <w:autoRedefine/>
    <w:qFormat/>
    <w:pPr>
      <w:ind w:firstLine="680"/>
    </w:pPr>
    <w:rPr>
      <w:rFonts w:ascii="宋体" w:eastAsia="宋体" w:hAnsi="宋体" w:cs="宋体"/>
      <w:sz w:val="17"/>
      <w:szCs w:val="17"/>
      <w:lang w:val="zh-TW" w:eastAsia="zh-TW" w:bidi="zh-TW"/>
    </w:rPr>
  </w:style>
  <w:style w:type="character" w:customStyle="1" w:styleId="Bodytext|3_">
    <w:name w:val="Body text|3_"/>
    <w:basedOn w:val="DefaultParagraphFont"/>
    <w:link w:val="Bodytext|3"/>
    <w:autoRedefine/>
    <w:qFormat/>
    <w:rPr>
      <w:sz w:val="30"/>
      <w:szCs w:val="30"/>
      <w:u w:val="none"/>
      <w:shd w:val="clear" w:color="auto" w:fill="auto"/>
      <w:lang w:val="zh-TW" w:eastAsia="zh-TW" w:bidi="zh-TW"/>
    </w:rPr>
  </w:style>
  <w:style w:type="paragraph" w:customStyle="1" w:styleId="Bodytext|3">
    <w:name w:val="Body text|3"/>
    <w:basedOn w:val="Normal"/>
    <w:link w:val="Bodytext|3_"/>
    <w:autoRedefine/>
    <w:qFormat/>
    <w:pPr>
      <w:spacing w:after="140" w:line="336" w:lineRule="auto"/>
      <w:ind w:firstLine="370"/>
    </w:pPr>
    <w:rPr>
      <w:sz w:val="30"/>
      <w:szCs w:val="30"/>
      <w:lang w:val="zh-TW" w:eastAsia="zh-TW" w:bidi="zh-TW"/>
    </w: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charts/chart5.xml" Type="http://schemas.openxmlformats.org/officeDocument/2006/relationships/chart"/><Relationship Id="rId11" Target="charts/chart6.xml" Type="http://schemas.openxmlformats.org/officeDocument/2006/relationships/chart"/><Relationship Id="rId12" Target="header1.xml" Type="http://schemas.openxmlformats.org/officeDocument/2006/relationships/header"/><Relationship Id="rId13" Target="footer2.xml" Type="http://schemas.openxmlformats.org/officeDocument/2006/relationships/footer"/><Relationship Id="rId14" Target="header2.xml" Type="http://schemas.openxmlformats.org/officeDocument/2006/relationships/header"/><Relationship Id="rId15" Target="footer3.xml" Type="http://schemas.openxmlformats.org/officeDocument/2006/relationships/footer"/><Relationship Id="rId16" Target="header3.xml" Type="http://schemas.openxmlformats.org/officeDocument/2006/relationships/header"/><Relationship Id="rId17" Target="footer4.xml" Type="http://schemas.openxmlformats.org/officeDocument/2006/relationships/footer"/><Relationship Id="rId18" Target="header4.xml" Type="http://schemas.openxmlformats.org/officeDocument/2006/relationships/header"/><Relationship Id="rId19" Target="footer5.xml" Type="http://schemas.openxmlformats.org/officeDocument/2006/relationships/footer"/><Relationship Id="rId2" Target="../customXml/item2.xml" Type="http://schemas.openxmlformats.org/officeDocument/2006/relationships/customXml"/><Relationship Id="rId20" Target="header5.xml" Type="http://schemas.openxmlformats.org/officeDocument/2006/relationships/header"/><Relationship Id="rId21" Target="footer6.xml" Type="http://schemas.openxmlformats.org/officeDocument/2006/relationships/footer"/><Relationship Id="rId22" Target="theme/theme1.xml" Type="http://schemas.openxmlformats.org/officeDocument/2006/relationships/theme"/><Relationship Id="rId23" Target="styles.xml" Type="http://schemas.openxmlformats.org/officeDocument/2006/relationships/styles"/><Relationship Id="rId24" Target="webSettings.xml" Type="http://schemas.openxmlformats.org/officeDocument/2006/relationships/webSettings"/><Relationship Id="rId25" Target="numbering.xml" Type="http://schemas.openxmlformats.org/officeDocument/2006/relationships/numbering"/><Relationship Id="rId26" Target="fontTable.xml" Type="http://schemas.openxmlformats.org/officeDocument/2006/relationships/fontTable"/><Relationship Id="rId27" Target="settings.xml" Type="http://schemas.openxmlformats.org/officeDocument/2006/relationships/settings"/><Relationship Id="rId3" Target="../customXml/item3.xml" Type="http://schemas.openxmlformats.org/officeDocument/2006/relationships/customXml"/><Relationship Id="rId4" Target="../customXml/item4.xml" Type="http://schemas.openxmlformats.org/officeDocument/2006/relationships/customXml"/><Relationship Id="rId5" Target="footer1.xml" Type="http://schemas.openxmlformats.org/officeDocument/2006/relationships/footer"/><Relationship Id="rId6" Target="charts/chart1.xml" Type="http://schemas.openxmlformats.org/officeDocument/2006/relationships/chart"/><Relationship Id="rId7" Target="charts/chart2.xml" Type="http://schemas.openxmlformats.org/officeDocument/2006/relationships/chart"/><Relationship Id="rId8" Target="charts/chart3.xml" Type="http://schemas.openxmlformats.org/officeDocument/2006/relationships/chart"/><Relationship Id="rId9" Target="charts/chart4.xml" Type="http://schemas.openxmlformats.org/officeDocument/2006/relationships/chart"/></Relationships>
</file>

<file path=word/charts/_rels/chart1.xml.rels><?xml version="1.0" encoding="UTF-8" standalone="yes"?><Relationships xmlns="http://schemas.openxmlformats.org/package/2006/relationships"><Relationship Id="rId1" Target="../embeddings/Microsoft_Office_Excel_Worksheet1.xlsx" Type="http://schemas.openxmlformats.org/officeDocument/2006/relationships/package"/></Relationships>
</file>

<file path=word/charts/_rels/chart2.xml.rels><?xml version="1.0" encoding="UTF-8" standalone="yes"?><Relationships xmlns="http://schemas.openxmlformats.org/package/2006/relationships"><Relationship Id="rId1" Target="../embeddings/Microsoft_Office_Excel_Worksheet2.xlsx" Type="http://schemas.openxmlformats.org/officeDocument/2006/relationships/package"/></Relationships>
</file>

<file path=word/charts/_rels/chart3.xml.rels><?xml version="1.0" encoding="UTF-8" standalone="yes"?><Relationships xmlns="http://schemas.openxmlformats.org/package/2006/relationships"><Relationship Id="rId1" Target="../embeddings/Microsoft_Office_Excel_Worksheet3.xlsx" Type="http://schemas.openxmlformats.org/officeDocument/2006/relationships/package"/></Relationships>
</file>

<file path=word/charts/_rels/chart4.xml.rels><?xml version="1.0" encoding="UTF-8" standalone="yes"?><Relationships xmlns="http://schemas.openxmlformats.org/package/2006/relationships"><Relationship Id="rId1" Target="../embeddings/Microsoft_Office_Excel_Worksheet4.xlsx" Type="http://schemas.openxmlformats.org/officeDocument/2006/relationships/package"/></Relationships>
</file>

<file path=word/charts/_rels/chart5.xml.rels><?xml version="1.0" encoding="UTF-8" standalone="yes"?><Relationships xmlns="http://schemas.openxmlformats.org/package/2006/relationships"><Relationship Id="rId1" Target="../embeddings/Microsoft_Office_Excel_Worksheet5.xlsx" Type="http://schemas.openxmlformats.org/officeDocument/2006/relationships/package"/></Relationships>
</file>

<file path=word/charts/_rels/chart6.xml.rels><?xml version="1.0" encoding="UTF-8" standalone="yes"?><Relationships xmlns="http://schemas.openxmlformats.org/package/2006/relationships"><Relationship Id="rId1" Target="../embeddings/Microsoft_Office_Excel_Worksheet6.xlsx" Type="http://schemas.openxmlformats.org/officeDocument/2006/relationships/package"/></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部门收入总体情况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c:f>
              <c:strCache>
                <c:ptCount val="1"/>
                <c:pt idx="0">
                  <c:v>一般公共预算拨款</c:v>
                </c:pt>
              </c:strCache>
            </c:strRef>
          </c:cat>
          <c:val>
            <c:numRef>
              <c:f>Sheet1!$B$2</c:f>
              <c:numCache>
                <c:ptCount val="1"/>
                <c:pt idx="0">
                  <c:v>24.72</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部门支出总体情况</a:t>
            </a:r>
            <a:endParaRPr lang="en-US" sz="1100"/>
          </a:p>
        </c:rich>
      </c:tx>
      <c:layout/>
      <c:overlay val="0"/>
      <c:spPr>
        <a:noFill/>
        <a:ln>
          <a:noFill/>
        </a:ln>
        <a:effectLst/>
      </c:spPr>
    </c:title>
    <c:autoTitleDeleted val="0"/>
    <c:plotArea>
      <c:layout/>
      <c:pieChart>
        <c:varyColors val="1"/>
        <c:ser>
          <c:idx val="0"/>
          <c:order val="0"/>
          <c:tx>
            <c:strRef>
              <c:f>Sheet1!$B$1</c:f>
              <c:strCache>
                <c:ptCount val="1"/>
                <c:pt idx="0">
                  <c:v>countries</c:v>
                </c:pt>
              </c:strCache>
            </c:strRef>
          </c:tx>
          <c:explosion val="0"/>
          <c:dPt>
            <c:idx val="0"/>
            <c:bubble3D val="0"/>
            <c:spPr>
              <a:solidFill>
                <a:schemeClr val="accent1"/>
              </a:solidFill>
              <a:ln w="19050">
                <a:solidFill>
                  <a:schemeClr val="lt1"/>
                </a:solidFill>
              </a:ln>
              <a:effectLst/>
            </c:spPr>
          </c:dPt>
          <c:dLbls>
            <c:delete val="1"/>
          </c:dLbls>
          <c:cat>
            <c:strRef>
              <c:f>Sheet1!$A$2:$A$5</c:f>
              <c:strCache>
                <c:ptCount val="4"/>
                <c:pt idx="0">
                  <c:v>一般公共服务支出</c:v>
                </c:pt>
                <c:pt idx="1">
                  <c:v>社会保障和就业支出</c:v>
                </c:pt>
                <c:pt idx="2">
                  <c:v>农林水支出</c:v>
                </c:pt>
                <c:pt idx="3">
                  <c:v>住房保障支出</c:v>
                </c:pt>
              </c:strCache>
            </c:strRef>
          </c:cat>
          <c:val>
            <c:numRef>
              <c:f>Sheet1!$B$2:$B$5</c:f>
              <c:numCache>
                <c:ptCount val="4"/>
                <c:pt idx="0">
                  <c:v>0.23</c:v>
                </c:pt>
                <c:pt idx="1">
                  <c:v>2.83</c:v>
                </c:pt>
                <c:pt idx="2">
                  <c:v>19.18</c:v>
                </c:pt>
                <c:pt idx="3">
                  <c:v>2.47</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财政拨款收支总体情况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c:f>
              <c:strCache>
                <c:ptCount val="1"/>
                <c:pt idx="0">
                  <c:v>收入</c:v>
                </c:pt>
              </c:strCache>
            </c:strRef>
          </c:cat>
          <c:val>
            <c:numRef>
              <c:f>Sheet1!$B$2</c:f>
              <c:numCache>
                <c:formatCode>General</c:formatCode>
                <c:ptCount val="1"/>
                <c:pt idx="0">
                  <c:v>11.15</c:v>
                </c:pt>
              </c:numCache>
            </c:numRef>
          </c:val>
        </c:ser>
        <c:ser>
          <c:idx val="1"/>
          <c:order val="1"/>
          <c:tx>
            <c:strRef>
              <c:f>Sheet1!$C$1</c:f>
              <c:strCache>
                <c:ptCount val="1"/>
                <c:pt idx="0">
                  <c:v>当年</c:v>
                </c:pt>
              </c:strCache>
            </c:strRef>
          </c:tx>
          <c:spPr>
            <a:solidFill>
              <a:schemeClr val="accent2"/>
            </a:solidFill>
            <a:ln>
              <a:noFill/>
            </a:ln>
            <a:effectLst/>
          </c:spPr>
          <c:invertIfNegative val="0"/>
          <c:dLbls>
            <c:delete val="1"/>
          </c:dLbls>
          <c:cat>
            <c:strRef>
              <c:f>Sheet1!$A$2</c:f>
              <c:strCache>
                <c:ptCount val="1"/>
                <c:pt idx="0">
                  <c:v>收入</c:v>
                </c:pt>
              </c:strCache>
            </c:strRef>
          </c:cat>
          <c:val>
            <c:numRef>
              <c:f>Sheet1!$C$2</c:f>
              <c:numCache>
                <c:formatCode>General</c:formatCode>
                <c:ptCount val="1"/>
                <c:pt idx="0">
                  <c:v>24.72</c:v>
                </c:pt>
              </c:numCache>
            </c:numRef>
          </c:val>
        </c:ser>
        <c:dLbls>
          <c:showLegendKey val="0"/>
          <c:showVal val="0"/>
          <c:showCatName val="0"/>
          <c:showSerName val="0"/>
          <c:showPercent val="0"/>
          <c:showBubbleSize val="0"/>
        </c:dLbls>
        <c:gapWidth val="219"/>
        <c:overlap val="-27"/>
        <c:axId val="811850650"/>
        <c:axId val="698020238"/>
      </c:barChart>
      <c:catAx>
        <c:axId val="811850650"/>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8020238"/>
        <c:crosses val="autoZero"/>
        <c:auto val="1"/>
        <c:lblAlgn val="ctr"/>
        <c:lblOffset val="100"/>
        <c:noMultiLvlLbl val="0"/>
      </c:catAx>
      <c:valAx>
        <c:axId val="698020238"/>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11850650"/>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barChart>
        <c:barDir val="bar"/>
        <c:grouping val="clustered"/>
        <c:varyColors val="0"/>
        <c:ser>
          <c:idx val="0"/>
          <c:order val="0"/>
          <c:tx>
            <c:strRef>
              <c:f>Sheet1!$B$1</c:f>
              <c:strCache>
                <c:ptCount val="1"/>
                <c:pt idx="0">
                  <c:v>基本支出</c:v>
                </c:pt>
              </c:strCache>
            </c:strRef>
          </c:tx>
          <c:spPr>
            <a:solidFill>
              <a:schemeClr val="accent1"/>
            </a:solidFill>
            <a:ln>
              <a:noFill/>
            </a:ln>
            <a:effectLst/>
          </c:spPr>
          <c:invertIfNegative val="0"/>
          <c:dLbls>
            <c:delete val="1"/>
          </c:dLbls>
          <c:cat>
            <c:strRef>
              <c:f>Sheet1!$A$2</c:f>
              <c:strCache>
                <c:ptCount val="1"/>
                <c:pt idx="0">
                  <c:v>当年</c:v>
                </c:pt>
              </c:strCache>
            </c:strRef>
          </c:cat>
          <c:val>
            <c:numRef>
              <c:f>Sheet1!$B$2</c:f>
              <c:numCache>
                <c:formatCode>General</c:formatCode>
                <c:ptCount val="1"/>
                <c:pt idx="0">
                  <c:v>24.72</c:v>
                </c:pt>
              </c:numCache>
            </c:numRef>
          </c:val>
        </c:ser>
        <c:ser>
          <c:idx val="1"/>
          <c:order val="1"/>
          <c:tx>
            <c:strRef>
              <c:f>Sheet1!$C$1</c:f>
              <c:strCache>
                <c:ptCount val="1"/>
                <c:pt idx="0">
                  <c:v>结转下年支出</c:v>
                </c:pt>
              </c:strCache>
            </c:strRef>
          </c:tx>
          <c:cat>
            <c:strRef>
              <c:f>Sheet1!$A$2</c:f>
              <c:strCache>
                <c:ptCount val="1"/>
                <c:pt idx="0">
                  <c:v>当年</c:v>
                </c:pt>
              </c:strCache>
            </c:strRef>
          </c:cat>
          <c:val>
            <c:numRef>
              <c:f>Sheet1!$C$2</c:f>
              <c:numCache>
                <c:ptCount val="1"/>
                <c:pt idx="0">
                  <c:v>0.0</c:v>
                </c:pt>
              </c:numCache>
            </c:numRef>
          </c:val>
        </c:ser>
        <c:ser>
          <c:idx val="2"/>
          <c:order val="2"/>
          <c:tx>
            <c:strRef>
              <c:f>Sheet1!$D$1</c:f>
              <c:strCache>
                <c:ptCount val="1"/>
                <c:pt idx="0">
                  <c:v>项目支出</c:v>
                </c:pt>
              </c:strCache>
            </c:strRef>
          </c:tx>
          <c:cat>
            <c:strRef>
              <c:f>Sheet1!$A$2</c:f>
              <c:strCache>
                <c:ptCount val="1"/>
                <c:pt idx="0">
                  <c:v>当年</c:v>
                </c:pt>
              </c:strCache>
            </c:strRef>
          </c:cat>
          <c:val>
            <c:numRef>
              <c:f>Sheet1!$D$2</c:f>
              <c:numCache>
                <c:ptCount val="1"/>
                <c:pt idx="0">
                  <c:v>0.0</c:v>
                </c:pt>
              </c:numCache>
            </c:numRef>
          </c:val>
        </c:ser>
        <c:ser>
          <c:idx val="3"/>
          <c:order val="3"/>
          <c:tx>
            <c:strRef>
              <c:f>Sheet1!$E$1</c:f>
              <c:strCache>
                <c:ptCount val="1"/>
                <c:pt idx="0">
                  <c:v>公用经费</c:v>
                </c:pt>
              </c:strCache>
            </c:strRef>
          </c:tx>
          <c:cat>
            <c:strRef>
              <c:f>Sheet1!$A$2</c:f>
              <c:strCache>
                <c:ptCount val="1"/>
                <c:pt idx="0">
                  <c:v>当年</c:v>
                </c:pt>
              </c:strCache>
            </c:strRef>
          </c:cat>
          <c:val>
            <c:numRef>
              <c:f>Sheet1!$E$2</c:f>
              <c:numCache>
                <c:ptCount val="1"/>
                <c:pt idx="0">
                  <c:v>0.71</c:v>
                </c:pt>
              </c:numCache>
            </c:numRef>
          </c:val>
        </c:ser>
        <c:ser>
          <c:idx val="4"/>
          <c:order val="4"/>
          <c:tx>
            <c:strRef>
              <c:f>Sheet1!$F$1</c:f>
              <c:strCache>
                <c:ptCount val="1"/>
                <c:pt idx="0">
                  <c:v>人员经费</c:v>
                </c:pt>
              </c:strCache>
            </c:strRef>
          </c:tx>
          <c:cat>
            <c:strRef>
              <c:f>Sheet1!$A$2</c:f>
              <c:strCache>
                <c:ptCount val="1"/>
                <c:pt idx="0">
                  <c:v>当年</c:v>
                </c:pt>
              </c:strCache>
            </c:strRef>
          </c:cat>
          <c:val>
            <c:numRef>
              <c:f>Sheet1!$F$2</c:f>
              <c:numCache>
                <c:ptCount val="1"/>
                <c:pt idx="0">
                  <c:v>24.0</c:v>
                </c:pt>
              </c:numCache>
            </c:numRef>
          </c:val>
        </c:ser>
        <c:dLbls>
          <c:showLegendKey val="0"/>
          <c:showVal val="0"/>
          <c:showCatName val="0"/>
          <c:showSerName val="0"/>
          <c:showPercent val="0"/>
          <c:showBubbleSize val="0"/>
        </c:dLbls>
        <c:gapWidth val="182"/>
        <c:overlap val="0"/>
        <c:axId val="691519273"/>
        <c:axId val="850134922"/>
      </c:barChart>
      <c:catAx>
        <c:axId val="691519273"/>
        <c:scaling>
          <c:orientation val="minMax"/>
        </c:scaling>
        <c:delete val="1"/>
        <c:axPos val="l"/>
        <c:majorTickMark val="none"/>
        <c:minorTickMark val="none"/>
        <c:tickLblPos val="nextTo"/>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850134922"/>
        <c:crosses val="autoZero"/>
        <c:auto val="1"/>
        <c:lblAlgn val="ctr"/>
        <c:lblOffset val="100"/>
        <c:noMultiLvlLbl val="0"/>
      </c:catAx>
      <c:valAx>
        <c:axId val="850134922"/>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691519273"/>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nchor="t" rtlCol="false"/>
          <a:lstStyle/>
          <a:p>
            <a:pPr algn="l">
              <a:defRPr/>
            </a:pPr>
            <a:r>
              <a:rPr lang="en-US"/>
              <a:t>一般公共预算基本支出情况</a:t>
            </a:r>
            <a:endParaRPr lang="en-US" sz="1100"/>
          </a:p>
        </c:rich>
      </c:tx>
      <c:layout/>
      <c:overlay val="false"/>
      <c:spPr>
        <a:noFill/>
        <a:ln>
          <a:noFill/>
        </a:ln>
        <a:effectLst/>
      </c:spPr>
      <c:txPr>
        <a:bodyPr rot="0" spcFirstLastPara="0"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p>
      </c:txPr>
    </c:title>
    <c:autoTitleDeleted val="0"/>
    <c:plotArea>
      <c:layout/>
      <c:pieChart>
        <c:varyColors val="1"/>
        <c:ser>
          <c:idx val="0"/>
          <c:order val="0"/>
          <c:tx>
            <c:strRef>
              <c:f>Sheet1!$B$1</c:f>
              <c:strCache>
                <c:ptCount val="1"/>
                <c:pt idx="0">
                  <c:v>countries</c:v>
                </c:pt>
              </c:strCache>
            </c:strRef>
          </c:tx>
          <c:spPr/>
          <c:explosion val="0"/>
          <c:dPt>
            <c:idx val="0"/>
            <c:bubble3D val="0"/>
            <c:spPr>
              <a:solidFill>
                <a:schemeClr val="accent1"/>
              </a:solidFill>
              <a:ln w="19050">
                <a:solidFill>
                  <a:schemeClr val="lt1"/>
                </a:solidFill>
              </a:ln>
              <a:effectLst/>
            </c:spPr>
          </c:dPt>
          <c:dLbls>
            <c:delete val="1"/>
          </c:dLbls>
          <c:cat>
            <c:strRef>
              <c:f>Sheet1!$A$2:$A$3</c:f>
              <c:strCache>
                <c:ptCount val="2"/>
                <c:pt idx="0">
                  <c:v>人员经费</c:v>
                </c:pt>
                <c:pt idx="1">
                  <c:v>公用经费</c:v>
                </c:pt>
              </c:strCache>
            </c:strRef>
          </c:cat>
          <c:val>
            <c:numRef>
              <c:f>Sheet1!$B$2:$B$3</c:f>
              <c:numCache>
                <c:ptCount val="2"/>
                <c:pt idx="0">
                  <c:v>24.0</c:v>
                </c:pt>
                <c:pt idx="1">
                  <c:v>0.71</c:v>
                </c:pt>
              </c:numCache>
            </c:numRef>
          </c:val>
        </c:ser>
        <c:dLbls>
          <c:showLegendKey val="0"/>
          <c:showVal val="0"/>
          <c:showCatName val="0"/>
          <c:showSerName val="0"/>
          <c:showPercent val="0"/>
          <c:showBubbleSize val="0"/>
          <c:showLeaderLines val="1"/>
        </c:dLbls>
        <c:firstSliceAng val="0"/>
      </c:pieChart>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0" vertOverflow="ellipsis" vert="horz" wrap="square" rtlCol="0" anchor="t" anchorCtr="1"/>
          <a:lstStyle/>
          <a:p>
            <a:pPr algn="l">
              <a:defRPr lang="zh-CN" sz="1800" b="1" i="0" u="none" strike="noStrike" kern="1200" baseline="0">
                <a:solidFill>
                  <a:schemeClr val="tx1"/>
                </a:solidFill>
                <a:latin typeface="+mn-lt"/>
                <a:ea typeface="+mn-ea"/>
                <a:cs typeface="+mn-cs"/>
              </a:defRPr>
            </a:pPr>
            <a:r>
              <a:rPr lang="zh-CN"/>
              <a:t>一般公共预算“三公”经费安排情况</a:t>
            </a:r>
            <a:endParaRPr lang="en-US" sz="1100"/>
          </a:p>
        </c:rich>
      </c:tx>
      <c:layout/>
      <c:overlay val="0"/>
      <c:spPr>
        <a:noFill/>
        <a:ln>
          <a:noFill/>
        </a:ln>
        <a:effectLst/>
      </c:spPr>
    </c:title>
    <c:autoTitleDeleted val="0"/>
    <c:plotArea>
      <c:layout/>
      <c:barChart>
        <c:barDir val="col"/>
        <c:grouping val="clustered"/>
        <c:varyColors val="0"/>
        <c:ser>
          <c:idx val="0"/>
          <c:order val="0"/>
          <c:tx>
            <c:strRef>
              <c:f>Sheet1!$B$1</c:f>
              <c:strCache>
                <c:ptCount val="1"/>
                <c:pt idx="0">
                  <c:v>上年</c:v>
                </c:pt>
              </c:strCache>
            </c:strRef>
          </c:tx>
          <c:spPr>
            <a:solidFill>
              <a:schemeClr val="accent1"/>
            </a:solidFill>
            <a:ln>
              <a:noFill/>
            </a:ln>
            <a:effectLst/>
          </c:spPr>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Sheet1!$B$2:$B$4</c:f>
              <c:numCache>
                <c:formatCode>General</c:formatCode>
                <c:ptCount val="3"/>
                <c:pt idx="0">
                  <c:v>0.0</c:v>
                </c:pt>
                <c:pt idx="1">
                  <c:v>0.0</c:v>
                </c:pt>
                <c:pt idx="2">
                  <c:v>0.0</c:v>
                </c:pt>
              </c:numCache>
            </c:numRef>
          </c:val>
        </c:ser>
        <c:ser>
          <c:idx val="1"/>
          <c:order val="1"/>
          <c:tx>
            <c:strRef>
              <c:f>Sheet1!$C$1</c:f>
              <c:strCache>
                <c:ptCount val="1"/>
                <c:pt idx="0">
                  <c:v>当年</c:v>
                </c:pt>
              </c:strCache>
            </c:strRef>
          </c:tx>
          <c:invertIfNegative val="0"/>
          <c:dLbls>
            <c:delete val="1"/>
          </c:dLbls>
          <c:cat>
            <c:strRef>
              <c:f>Sheet1!$A$2:$A$4</c:f>
              <c:strCache>
                <c:ptCount val="3"/>
                <c:pt idx="0">
                  <c:v>因公出国（境）经费预算</c:v>
                </c:pt>
                <c:pt idx="1">
                  <c:v>公务接待费预算</c:v>
                </c:pt>
                <c:pt idx="2">
                  <c:v>公务用车购置及运行费预算</c:v>
                </c:pt>
              </c:strCache>
            </c:strRef>
          </c:cat>
          <c:val>
            <c:numRef>
              <c:f>Sheet1!$C$2:$C$4</c:f>
              <c:numCache>
                <c:formatCode>General</c:formatCode>
                <c:ptCount val="3"/>
                <c:pt idx="0">
                  <c:v>0.0</c:v>
                </c:pt>
                <c:pt idx="1">
                  <c:v>0.0</c:v>
                </c:pt>
                <c:pt idx="2">
                  <c:v>0.0</c:v>
                </c:pt>
              </c:numCache>
            </c:numRef>
          </c:val>
        </c:ser>
        <c:dLbls>
          <c:showLegendKey val="0"/>
          <c:showVal val="0"/>
          <c:showCatName val="0"/>
          <c:showSerName val="0"/>
          <c:showPercent val="0"/>
          <c:showBubbleSize val="0"/>
        </c:dLbls>
        <c:gapWidth val="182"/>
        <c:overlap val="0"/>
        <c:axId val="587647791"/>
        <c:axId val="468612210"/>
      </c:barChart>
      <c:catAx>
        <c:axId val="587647791"/>
        <c:scaling>
          <c:orientation val="minMax"/>
        </c:scaling>
        <c:delete val="0"/>
        <c:axPos val="b"/>
        <c:numFmt formatCode="General" sourceLinked="0"/>
        <c:majorTickMark val="none"/>
        <c:minorTickMark val="none"/>
        <c:tickLblPos val="nextTo"/>
        <c:spPr>
          <a:noFill/>
          <a:ln w="9525" cap="flat" cmpd="sng" algn="ctr">
            <a:solidFill>
              <a:schemeClr val="tx1">
                <a:lumMod val="15000"/>
                <a:lumOff val="85000"/>
              </a:schemeClr>
            </a:solid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468612210"/>
        <c:crosses val="autoZero"/>
        <c:auto val="1"/>
        <c:lblAlgn val="ctr"/>
        <c:lblOffset val="100"/>
        <c:noMultiLvlLbl val="0"/>
      </c:catAx>
      <c:valAx>
        <c:axId val="468612210"/>
        <c:scaling>
          <c:orientation val="minMax"/>
        </c:scaling>
        <c:delete val="0"/>
        <c:axPos val="l"/>
        <c:majorGridlines>
          <c:spPr>
            <a:ln w="9525" cap="flat" cmpd="sng" algn="ctr">
              <a:solidFill>
                <a:schemeClr val="tx1">
                  <a:lumMod val="15000"/>
                  <a:lumOff val="85000"/>
                </a:schemeClr>
              </a:solidFill>
              <a:prstDash val="solid"/>
              <a:round/>
            </a:ln>
            <a:effectLst/>
          </c:spPr>
        </c:majorGridlines>
        <c:numFmt formatCode="General" sourceLinked="1"/>
        <c:majorTickMark val="none"/>
        <c:minorTickMark val="none"/>
        <c:tickLblPos val="nextTo"/>
        <c:spPr>
          <a:noFill/>
          <a:ln w="9525" cap="flat" cmpd="sng" algn="ctr">
            <a:noFill/>
            <a:prstDash val="solid"/>
            <a:round/>
          </a:ln>
          <a:effectLst/>
        </c:spPr>
        <c:txPr>
          <a:bodyPr rot="-6000000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crossAx val="587647791"/>
        <c:crosses val="autoZero"/>
        <c:crossBetween val="between"/>
      </c:valAx>
      <c:spPr>
        <a:noFill/>
        <a:ln>
          <a:noFill/>
        </a:ln>
        <a:effectLst/>
      </c:spPr>
    </c:plotArea>
    <c:legend>
      <c:legendPos val="b"/>
      <c:layout/>
      <c:overlay val="0"/>
      <c:spPr>
        <a:noFill/>
        <a:ln>
          <a:noFill/>
        </a:ln>
        <a:effectLst/>
      </c:spPr>
      <c:txPr>
        <a:bodyPr rot="0" spcFirstLastPara="0"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p>
  </c:txPr>
  <c:externalData r:id="rId1">
    <c:autoUpdate val="0"/>
  </c:externalData>
</c:chartSpace>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_rels/item2.xml.rels><?xml version="1.0" encoding="UTF-8" standalone="yes"?><Relationships xmlns="http://schemas.openxmlformats.org/package/2006/relationships"><Relationship Id="rId1" Target="itemProps2.xml" Type="http://schemas.openxmlformats.org/officeDocument/2006/relationships/customXmlProps"/></Relationships>
</file>

<file path=customXml/_rels/item3.xml.rels><?xml version="1.0" encoding="UTF-8" standalone="yes"?><Relationships xmlns="http://schemas.openxmlformats.org/package/2006/relationships"><Relationship Id="rId1" Target="itemProps3.xml" Type="http://schemas.openxmlformats.org/officeDocument/2006/relationships/customXmlProps"/></Relationships>
</file>

<file path=customXml/_rels/item4.xml.rels><?xml version="1.0" encoding="UTF-8" standalone="yes"?><Relationships xmlns="http://schemas.openxmlformats.org/package/2006/relationships"><Relationship Id="rId1" Target="itemProps4.xml" Type="http://schemas.openxmlformats.org/officeDocument/2006/relationships/customXmlProps"/></Relationships>
</file>

<file path=customXml/item1.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2024-02-29T07:46:33Z</dcterms:modified>
  <cp:revision>3</cp:revision>
</cp:coreProperties>
</file>

<file path=customXml/item2.xml><?xml version="1.0" encoding="utf-8"?>
<Properties xmlns="http://schemas.openxmlformats.org/officeDocument/2006/extended-properties" xmlns:vt="http://schemas.openxmlformats.org/officeDocument/2006/docPropsVTypes">
  <Template>Normal.dotm</Template>
  <Pages>35</Pages>
  <Words>8576</Words>
  <Characters>11046</Characters>
  <Lines>105</Lines>
  <Paragraphs>29</Paragraphs>
  <TotalTime>8</TotalTime>
  <ScaleCrop>false</ScaleCrop>
  <LinksUpToDate>false</LinksUpToDate>
  <CharactersWithSpaces>11333</CharactersWithSpaces>
  <Application>WPS Office_12.1.0.16388_F1E327BC-269C-435d-A152-05C5408002CA</Application>
  <DocSecurity>0</DocSecurity>
</Properties>
</file>

<file path=customXml/item3.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21347EF5C0FE487782B835694F4A0AB2_13</vt:lpwstr>
  </property>
</Properties>
</file>

<file path=customXml/item4.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
  <ds:schemaRefs/>
</ds:datastoreItem>
</file>

<file path=customXml/itemProps2.xml><?xml version="1.0" encoding="utf-8"?>
<ds:datastoreItem xmlns:ds="http://schemas.openxmlformats.org/officeDocument/2006/customXml" ds:itemID="">
  <ds:schemaRefs/>
</ds:datastoreItem>
</file>

<file path=customXml/itemProps3.xml><?xml version="1.0" encoding="utf-8"?>
<ds:datastoreItem xmlns:ds="http://schemas.openxmlformats.org/officeDocument/2006/customXml" ds:itemID="">
  <ds:schemaRefs/>
</ds:datastoreItem>
</file>

<file path=customXml/itemProps4.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vt="http://schemas.openxmlformats.org/officeDocument/2006/docPropsVTypes" xmlns="http://schemas.openxmlformats.org/officeDocument/2006/extended-properties">
  <Template>Normal.dotm</Template>
  <TotalTime>8</TotalTime>
  <Pages>35</Pages>
  <Words>8576</Words>
  <Characters>11046</Characters>
  <Application>WPS Office_12.1.0.16388_F1E327BC-269C-435d-A152-05C5408002CA</Application>
  <DocSecurity>0</DocSecurity>
  <Lines>105</Lines>
  <Paragraphs>29</Paragraphs>
  <CharactersWithSpaces>11333</CharactersWithSpaces>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2023-02-07T06:11:00Z</dcterms:created>
  <dc:creator>蔡冬冬</dc:creator>
  <cp:lastModifiedBy>A sentiment</cp:lastModifiedBy>
  <dcterms:modified xsi:type="dcterms:W3CDTF">2024-03-01T01:42:09Z</dcterms:modified>
  <cp:revision>3</cp:revision>
</cp:coreProperties>
</file>

<file path=docProps/custom.xml><?xml version="1.0" encoding="utf-8"?>
<Properties xmlns:vt="http://schemas.openxmlformats.org/officeDocument/2006/docPropsVTypes" xmlns="http://schemas.openxmlformats.org/officeDocument/2006/custom-properties">
  <property fmtid="{D5CDD505-2E9C-101B-9397-08002B2CF9AE}" pid="2" name="KSOProductBuildVer">
    <vt:lpstr>2052-12.1.0.16388</vt:lpstr>
  </property>
  <property fmtid="{D5CDD505-2E9C-101B-9397-08002B2CF9AE}" pid="3" name="ICV">
    <vt:lpstr>21347EF5C0FE487782B835694F4A0AB2_13</vt:lpstr>
  </property>
</Properties>
</file>