
<file path=[Content_Types].xml><?xml version="1.0" encoding="utf-8"?>
<Types xmlns="http://schemas.openxmlformats.org/package/2006/content-types">
  <Default ContentType="application/vnd.openxmlformats-package.relationships+xml" Extension="rels"/>
  <Default ContentType="application/vnd.openxmlformats-officedocument.spreadsheetml.sheet" Extension="xlsx"/>
  <Default ContentType="application/xml" Extension="xml"/>
  <Override ContentType="application/xml" PartName="/customXml/item1.xml"/>
  <Override ContentType="application/xml" PartName="/customXml/item2.xml"/>
  <Override ContentType="application/xml" PartName="/customXml/item3.xml"/>
  <Override ContentType="application/xml" PartName="/customXml/item4.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6.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 Id="rId4" Target="docProps/custom.xml" Type="http://schemas.openxmlformats.org/officeDocument/2006/relationships/custom-properties"/></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 Generated by Spire.Doc -->
  <w:body>
    <w:p>
      <w:pPr>
        <w:pStyle w:val="Bodytext|5"/>
        <w:jc w:val="center"/>
        <w:rPr>
          <w:rFonts w:hint="eastAsia"/>
          <w:sz w:val="56"/>
          <w:szCs w:val="56"/>
          <w:lang w:eastAsia="zh-CN"/>
        </w:rPr>
      </w:pPr>
      <w:r>
        <w:rPr>
          <w:rFonts w:hint="eastAsia"/>
          <w:sz w:val="56"/>
          <w:szCs w:val="56"/>
          <w:lang w:eastAsia="zh-CN"/>
        </w:rPr>
        <w:t xml:space="preserve">环江毛南族自治县东兴镇扶贫站</w:t>
      </w:r>
    </w:p>
    <w:p>
      <w:pPr>
        <w:pStyle w:val="Bodytext|5"/>
        <w:jc w:val="center"/>
        <w:rPr>
          <w:sz w:val="56"/>
          <w:szCs w:val="56"/>
        </w:rPr>
        <w:sectPr>
          <w:pgSz w:w="11900" w:h="16840" w:orient="portrait"/>
          <w:pgMar w:top="4713" w:right="1913" w:bottom="4713" w:left="2020" w:header="4285" w:footer="2381" w:gutter="0"/>
          <w:pgBorders>
            <w:top w:val="none" w:sz="0" w:space="0" w:color="auto"/>
            <w:left w:val="none" w:sz="0" w:space="0" w:color="auto"/>
            <w:bottom w:val="none" w:sz="0" w:space="0" w:color="auto"/>
            <w:right w:val="none" w:sz="0" w:space="0" w:color="auto"/>
          </w:pgBorders>
          <w:pgNumType w:fmt="decimal" w:start="1"/>
          <w:cols w:num="1" w:space="720">
            <w:col w:w="7967" w:space="720"/>
          </w:cols>
          <w:docGrid w:linePitch="360" w:charSpace="0"/>
        </w:sectPr>
      </w:pPr>
      <w:r>
        <w:rPr>
          <w:rFonts w:hint="eastAsia"/>
          <w:sz w:val="56"/>
          <w:szCs w:val="56"/>
          <w:lang w:eastAsia="zh-CN"/>
        </w:rPr>
        <w:t xml:space="preserve">2024</w:t>
      </w:r>
      <w:r>
        <w:rPr>
          <w:rFonts w:ascii="宋体" w:eastAsia="宋体" w:hAnsi="宋体" w:asciiTheme="majorEastAsia" w:eastAsiaTheme="majorEastAsia" w:hAnsiTheme="majorEastAsia" w:cs="Times New Roman" w:cstheme="majorEastAsia" w:hint="eastAsia"/>
          <w:sz w:val="56"/>
          <w:szCs w:val="56"/>
          <w:u w:color="auto"/>
        </w:rPr>
        <w:t xml:space="preserve">年</w:t>
      </w:r>
      <w:r>
        <w:rPr>
          <w:rFonts w:ascii="宋体" w:eastAsia="宋体" w:hAnsi="宋体" w:asciiTheme="majorEastAsia" w:eastAsiaTheme="majorEastAsia" w:hAnsiTheme="majorEastAsia" w:cs="Times New Roman" w:cstheme="majorEastAsia" w:hint="eastAsia"/>
          <w:sz w:val="56"/>
          <w:szCs w:val="56"/>
        </w:rPr>
        <w:t xml:space="preserve">度部门预算</w:t>
      </w:r>
    </w:p>
    <w:p>
      <w:pPr>
        <w:pStyle w:val="Heading#1|1"/>
        <w:keepNext/>
        <w:keepLines/>
        <w:spacing w:after="240"/>
        <w:jc w:val="center"/>
      </w:pPr>
      <w:bookmarkStart w:id="0" w:name="bookmark0"/>
      <w:bookmarkStart w:id="1" w:name="bookmark1"/>
      <w:bookmarkStart w:id="2" w:name="bookmark2"/>
      <w:r>
        <w:t xml:space="preserve">目录</w:t>
      </w:r>
      <w:bookmarkEnd w:id="0"/>
      <w:bookmarkEnd w:id="1"/>
      <w:bookmarkEnd w:id="2"/>
    </w:p>
    <w:p>
      <w:pPr>
        <w:pStyle w:val="Bodytext|2"/>
        <w:ind w:left="0" w:firstLine="320" w:leftChars="0" w:firstLineChars="100"/>
        <w:jc w:val="left"/>
      </w:pPr>
      <w:r>
        <w:t xml:space="preserve">第一部分</w:t>
      </w:r>
      <w:r>
        <w:rPr>
          <w:rFonts w:hint="eastAsia"/>
          <w:lang w:eastAsia="zh-CN"/>
        </w:rPr>
        <w:t xml:space="preserve">：</w:t>
      </w:r>
      <w:r>
        <w:rPr>
          <w:u w:color="auto"/>
        </w:rPr>
        <w:t xml:space="preserve">环江毛南族自治县东兴镇扶贫站</w:t>
      </w:r>
      <w:r>
        <w:rPr>
          <w:u w:color="auto"/>
        </w:rPr>
        <w:t xml:space="preserve">单位</w:t>
      </w:r>
      <w:r>
        <w:t xml:space="preserve">概况</w:t>
      </w:r>
    </w:p>
    <w:p>
      <w:pPr>
        <w:pStyle w:val="Bodytext|2"/>
        <w:jc w:val="left"/>
      </w:pPr>
      <w:r>
        <w:rPr>
          <w:lang w:val="en-US" w:eastAsia="zh-CN" w:bidi="en-US"/>
        </w:rPr>
        <w:t xml:space="preserve">—</w:t>
      </w:r>
      <w:r>
        <w:t xml:space="preserve">、主要职责</w:t>
      </w:r>
    </w:p>
    <w:p>
      <w:pPr>
        <w:pStyle w:val="Bodytext|2"/>
        <w:jc w:val="left"/>
        <w:rPr>
          <w:rFonts w:hint="eastAsia"/>
        </w:rPr>
      </w:pPr>
      <w:r>
        <w:rPr>
          <w:rFonts w:hint="eastAsia"/>
          <w:lang w:val="en-US" w:eastAsia="zh-CN"/>
        </w:rPr>
        <w:t xml:space="preserve">二、</w:t>
      </w:r>
      <w:r>
        <w:rPr>
          <w:rFonts w:hint="eastAsia"/>
        </w:rPr>
        <w:t xml:space="preserve">机构设置情况</w:t>
      </w:r>
    </w:p>
    <w:p>
      <w:pPr>
        <w:pStyle w:val="Bodytext|2"/>
        <w:ind w:left="0" w:firstLine="320" w:leftChars="0" w:firstLineChars="100"/>
        <w:jc w:val="left"/>
      </w:pPr>
      <w:r>
        <w:t xml:space="preserve">第二部分</w:t>
      </w:r>
      <w:r>
        <w:rPr>
          <w:rFonts w:hint="eastAsia"/>
          <w:lang w:eastAsia="zh-CN"/>
        </w:rPr>
        <w:t xml:space="preserve">：</w:t>
      </w:r>
      <w:r>
        <w:rPr>
          <w:u w:color="auto"/>
        </w:rPr>
        <w:t xml:space="preserve">环江毛南族自治县东兴镇扶贫站</w:t>
      </w:r>
      <w:r>
        <w:rPr>
          <w:u w:color="auto"/>
        </w:rPr>
        <w:t xml:space="preserve">2024</w:t>
      </w:r>
      <w:r>
        <w:t xml:space="preserve">部门预算情况说明</w:t>
      </w:r>
    </w:p>
    <w:p>
      <w:pPr>
        <w:pStyle w:val="Bodytext|2"/>
        <w:numPr>
          <w:ilvl w:val="0"/>
          <w:numId w:val="0"/>
        </w:numPr>
        <w:ind w:firstLine="640" w:firstLineChars="200"/>
        <w:jc w:val="left"/>
        <w:rPr>
          <w:rFonts w:hint="eastAsia"/>
        </w:rPr>
      </w:pPr>
      <w:r>
        <w:rPr>
          <w:rFonts w:hint="eastAsia"/>
        </w:rPr>
        <w:t xml:space="preserve">一、部门收支总体情况说明</w:t>
      </w:r>
    </w:p>
    <w:p>
      <w:pPr>
        <w:pStyle w:val="Bodytext|2"/>
        <w:numPr>
          <w:ilvl w:val="0"/>
          <w:numId w:val="0"/>
        </w:numPr>
        <w:ind w:firstLine="640" w:firstLineChars="200"/>
        <w:jc w:val="left"/>
        <w:rPr>
          <w:rFonts w:hint="eastAsia"/>
        </w:rPr>
      </w:pPr>
      <w:r>
        <w:rPr>
          <w:rFonts w:hint="eastAsia"/>
        </w:rPr>
        <w:t xml:space="preserve">二、部门收入总体情况说明</w:t>
      </w:r>
    </w:p>
    <w:p>
      <w:pPr>
        <w:pStyle w:val="Bodytext|2"/>
        <w:numPr>
          <w:ilvl w:val="0"/>
          <w:numId w:val="0"/>
        </w:numPr>
        <w:ind w:firstLine="640" w:firstLineChars="200"/>
        <w:jc w:val="left"/>
        <w:rPr>
          <w:rFonts w:hint="eastAsia"/>
        </w:rPr>
      </w:pPr>
      <w:r>
        <w:rPr>
          <w:rFonts w:hint="eastAsia"/>
        </w:rPr>
        <w:t xml:space="preserve">三、部门支出总体情况说明</w:t>
      </w:r>
    </w:p>
    <w:p>
      <w:pPr>
        <w:pStyle w:val="Bodytext|2"/>
        <w:numPr>
          <w:ilvl w:val="0"/>
          <w:numId w:val="0"/>
        </w:numPr>
        <w:ind w:firstLine="640" w:firstLineChars="200"/>
        <w:jc w:val="left"/>
        <w:rPr>
          <w:rFonts w:hint="eastAsia"/>
        </w:rPr>
      </w:pPr>
      <w:r>
        <w:rPr>
          <w:rFonts w:hint="eastAsia"/>
        </w:rPr>
        <w:t xml:space="preserve">四、财政拨款收支总体情况说明</w:t>
      </w:r>
    </w:p>
    <w:p>
      <w:pPr>
        <w:pStyle w:val="Bodytext|2"/>
        <w:numPr>
          <w:ilvl w:val="0"/>
          <w:numId w:val="0"/>
        </w:numPr>
        <w:ind w:firstLine="640" w:firstLineChars="200"/>
        <w:jc w:val="left"/>
        <w:rPr>
          <w:rFonts w:hint="eastAsia"/>
        </w:rPr>
      </w:pPr>
      <w:r>
        <w:rPr>
          <w:rFonts w:hint="eastAsia"/>
        </w:rPr>
        <w:t xml:space="preserve">五、一般公共预算支出情况说明</w:t>
      </w:r>
    </w:p>
    <w:p>
      <w:pPr>
        <w:pStyle w:val="Bodytext|2"/>
        <w:numPr>
          <w:ilvl w:val="0"/>
          <w:numId w:val="0"/>
        </w:numPr>
        <w:ind w:firstLine="640" w:firstLineChars="200"/>
        <w:jc w:val="left"/>
        <w:rPr>
          <w:rFonts w:hint="eastAsia"/>
        </w:rPr>
      </w:pPr>
      <w:r>
        <w:rPr>
          <w:rFonts w:hint="eastAsia"/>
        </w:rPr>
        <w:t xml:space="preserve">六、一般公共预算基本支出情况说明</w:t>
      </w:r>
    </w:p>
    <w:p>
      <w:pPr>
        <w:pStyle w:val="Bodytext|2"/>
        <w:numPr>
          <w:ilvl w:val="0"/>
          <w:numId w:val="0"/>
        </w:numPr>
        <w:ind w:firstLine="640" w:firstLineChars="200"/>
        <w:jc w:val="left"/>
        <w:rPr>
          <w:rFonts w:hint="eastAsia"/>
        </w:rPr>
      </w:pPr>
      <w:r>
        <w:rPr>
          <w:rFonts w:hint="eastAsia"/>
        </w:rPr>
        <w:t xml:space="preserve">七、一般公共预算“三公”经费支出情况说明</w:t>
      </w:r>
    </w:p>
    <w:p>
      <w:pPr>
        <w:pStyle w:val="Bodytext|2"/>
        <w:numPr>
          <w:ilvl w:val="0"/>
          <w:numId w:val="0"/>
        </w:numPr>
        <w:ind w:firstLine="640" w:firstLineChars="200"/>
        <w:jc w:val="left"/>
        <w:rPr>
          <w:rFonts w:hint="eastAsia"/>
        </w:rPr>
      </w:pPr>
      <w:r>
        <w:rPr>
          <w:rFonts w:hint="eastAsia"/>
        </w:rPr>
        <w:t xml:space="preserve">八、政府性基金预算支出情况说明</w:t>
      </w:r>
    </w:p>
    <w:p>
      <w:pPr>
        <w:pStyle w:val="Bodytext|2"/>
        <w:numPr>
          <w:ilvl w:val="0"/>
          <w:numId w:val="0"/>
        </w:numPr>
        <w:ind w:firstLine="640" w:firstLineChars="200"/>
        <w:jc w:val="left"/>
        <w:rPr>
          <w:rFonts w:hint="eastAsia"/>
        </w:rPr>
      </w:pPr>
      <w:r>
        <w:rPr>
          <w:rFonts w:hint="eastAsia"/>
        </w:rPr>
        <w:t xml:space="preserve">九、国有资本经营预算支出情况说明</w:t>
      </w:r>
    </w:p>
    <w:p>
      <w:pPr>
        <w:pStyle w:val="Bodytext|2"/>
        <w:numPr>
          <w:ilvl w:val="0"/>
          <w:numId w:val="0"/>
        </w:numPr>
        <w:ind w:firstLine="640" w:firstLineChars="200"/>
        <w:jc w:val="left"/>
      </w:pPr>
      <w:r>
        <w:rPr>
          <w:rFonts w:hint="eastAsia"/>
        </w:rPr>
        <w:t xml:space="preserve">十、其他重要事项情况说明</w:t>
      </w:r>
    </w:p>
    <w:p>
      <w:pPr>
        <w:pStyle w:val="Bodytext|2"/>
        <w:ind w:left="0" w:firstLine="320" w:leftChars="0" w:firstLineChars="100"/>
        <w:jc w:val="left"/>
      </w:pPr>
      <w:r>
        <w:t xml:space="preserve">第三部分</w:t>
      </w:r>
      <w:r>
        <w:rPr>
          <w:rFonts w:hint="eastAsia"/>
          <w:lang w:eastAsia="zh-CN"/>
        </w:rPr>
        <w:t xml:space="preserve">：</w:t>
      </w:r>
      <w:r>
        <w:rPr>
          <w:u w:color="auto"/>
        </w:rPr>
        <w:t xml:space="preserve">环江毛南族自治县东兴镇扶贫站</w:t>
      </w:r>
      <w:r>
        <w:rPr>
          <w:u w:color="auto"/>
        </w:rPr>
        <w:t xml:space="preserve">2024</w:t>
      </w:r>
      <w:r>
        <w:rPr>
          <w:rFonts w:ascii="Times New Roman" w:hAnsi="Times New Roman" w:cs="Times New Roman"/>
          <w:u w:color="auto"/>
        </w:rPr>
        <w:t xml:space="preserve">年</w:t>
      </w:r>
      <w:r>
        <w:t xml:space="preserve">部门预算</w:t>
      </w:r>
      <w:r>
        <w:rPr>
          <w:rFonts w:hint="eastAsia"/>
          <w:lang w:val="en-US" w:eastAsia="zh-CN"/>
        </w:rPr>
        <w:t xml:space="preserve">相关报</w:t>
      </w:r>
      <w:r>
        <w:t xml:space="preserve">表</w:t>
      </w:r>
    </w:p>
    <w:p>
      <w:pPr>
        <w:pStyle w:val="Bodytext|2"/>
        <w:jc w:val="left"/>
        <w:rPr>
          <w:rFonts w:hint="eastAsia"/>
        </w:rPr>
      </w:pPr>
      <w:r>
        <w:rPr>
          <w:rFonts w:hint="eastAsia"/>
        </w:rPr>
        <w:t xml:space="preserve">一、部门收支总体情况表</w:t>
      </w:r>
    </w:p>
    <w:p>
      <w:pPr>
        <w:pStyle w:val="Bodytext|2"/>
        <w:jc w:val="left"/>
        <w:rPr>
          <w:rFonts w:hint="eastAsia"/>
        </w:rPr>
      </w:pPr>
      <w:r>
        <w:rPr>
          <w:rFonts w:hint="eastAsia"/>
        </w:rPr>
        <w:t xml:space="preserve">二、部门收入总体情况表</w:t>
      </w:r>
    </w:p>
    <w:p>
      <w:pPr>
        <w:pStyle w:val="Bodytext|2"/>
        <w:jc w:val="left"/>
        <w:rPr>
          <w:rFonts w:hint="eastAsia"/>
        </w:rPr>
      </w:pPr>
      <w:r>
        <w:rPr>
          <w:rFonts w:hint="eastAsia"/>
        </w:rPr>
        <w:t xml:space="preserve">三、部门支出总体情况表</w:t>
      </w:r>
    </w:p>
    <w:p>
      <w:pPr>
        <w:pStyle w:val="Bodytext|2"/>
        <w:jc w:val="left"/>
        <w:rPr>
          <w:rFonts w:hint="eastAsia"/>
        </w:rPr>
      </w:pPr>
      <w:r>
        <w:rPr>
          <w:rFonts w:hint="eastAsia"/>
        </w:rPr>
        <w:t xml:space="preserve">四、财政拨款收支总体情况表</w:t>
      </w:r>
    </w:p>
    <w:p>
      <w:pPr>
        <w:pStyle w:val="Bodytext|2"/>
        <w:jc w:val="left"/>
        <w:rPr>
          <w:rFonts w:hint="eastAsia"/>
        </w:rPr>
      </w:pPr>
      <w:r>
        <w:rPr>
          <w:rFonts w:hint="eastAsia"/>
        </w:rPr>
        <w:t xml:space="preserve">五、一般公共预算支出情况表</w:t>
      </w:r>
    </w:p>
    <w:p>
      <w:pPr>
        <w:pStyle w:val="Bodytext|2"/>
        <w:jc w:val="left"/>
        <w:rPr>
          <w:rFonts w:hint="eastAsia"/>
        </w:rPr>
      </w:pPr>
      <w:r>
        <w:rPr>
          <w:rFonts w:hint="eastAsia"/>
        </w:rPr>
        <w:t xml:space="preserve">六、一般公共预算基本支出情况表</w:t>
      </w:r>
    </w:p>
    <w:p>
      <w:pPr>
        <w:pStyle w:val="Bodytext|2"/>
        <w:jc w:val="left"/>
        <w:rPr>
          <w:rFonts w:hint="eastAsia"/>
        </w:rPr>
      </w:pPr>
      <w:r>
        <w:rPr>
          <w:rFonts w:hint="eastAsia"/>
        </w:rPr>
        <w:t xml:space="preserve">七、一般公开预算“三公”经费支出情况表</w:t>
      </w:r>
    </w:p>
    <w:p>
      <w:pPr>
        <w:pStyle w:val="Bodytext|2"/>
        <w:jc w:val="left"/>
        <w:rPr>
          <w:rFonts w:hint="eastAsia"/>
        </w:rPr>
      </w:pPr>
      <w:r>
        <w:rPr>
          <w:rFonts w:hint="eastAsia"/>
        </w:rPr>
        <w:t xml:space="preserve">八、政府性基金预算支出情况表</w:t>
      </w:r>
    </w:p>
    <w:p>
      <w:pPr>
        <w:pStyle w:val="Bodytext|2"/>
        <w:jc w:val="left"/>
        <w:rPr>
          <w:rFonts w:hint="eastAsia"/>
        </w:rPr>
      </w:pPr>
      <w:r>
        <w:rPr>
          <w:rFonts w:hint="eastAsia"/>
        </w:rPr>
        <w:t xml:space="preserve">九、国有资本经营预算支出情况表</w:t>
      </w:r>
    </w:p>
    <w:p>
      <w:pPr>
        <w:pStyle w:val="Bodytext|2"/>
        <w:jc w:val="left"/>
        <w:rPr>
          <w:rFonts w:eastAsia="宋体" w:hint="eastAsia"/>
          <w:lang w:eastAsia="zh-CN"/>
        </w:rPr>
      </w:pPr>
      <w:r>
        <w:rPr>
          <w:rFonts w:hint="eastAsia"/>
        </w:rPr>
        <w:t xml:space="preserve">十、2024年度预算项目绩效目标公开表</w:t>
      </w:r>
    </w:p>
    <w:p>
      <w:pPr>
        <w:pStyle w:val="Bodytext|2"/>
        <w:ind w:left="0" w:firstLine="320" w:leftChars="0" w:firstLineChars="100"/>
        <w:jc w:val="left"/>
        <w:rPr>
          <w:rFonts w:eastAsia="宋体" w:hint="eastAsia"/>
          <w:lang w:eastAsia="zh-CN"/>
        </w:rPr>
        <w:sectPr>
          <w:footerReference w:type="default" r:id="rId5"/>
          <w:pgSz w:w="11900" w:h="16840" w:orient="portrait"/>
          <w:pgMar w:top="1508" w:right="1674" w:bottom="1508" w:left="1851" w:header="0" w:footer="1077" w:gutter="0"/>
          <w:pgBorders>
            <w:top w:val="none" w:sz="0" w:space="0" w:color="auto"/>
            <w:left w:val="none" w:sz="0" w:space="0" w:color="auto"/>
            <w:bottom w:val="none" w:sz="0" w:space="0" w:color="auto"/>
            <w:right w:val="none" w:sz="0" w:space="0" w:color="auto"/>
          </w:pgBorders>
          <w:pgNumType w:fmt="decimal"/>
          <w:cols w:num="1" w:space="720">
            <w:col w:w="8375" w:space="720"/>
          </w:cols>
          <w:docGrid w:linePitch="360" w:charSpace="0"/>
        </w:sectPr>
      </w:pPr>
      <w:r>
        <w:t xml:space="preserve">第四部分</w:t>
      </w:r>
      <w:r>
        <w:rPr>
          <w:rFonts w:hint="eastAsia"/>
          <w:lang w:eastAsia="zh-CN"/>
        </w:rPr>
        <w:t xml:space="preserve">：</w:t>
      </w:r>
      <w:r>
        <w:t xml:space="preserve">名词</w:t>
      </w:r>
      <w:r>
        <w:rPr>
          <w:rFonts w:hint="eastAsia"/>
          <w:lang w:val="en-US" w:eastAsia="zh-CN"/>
        </w:rPr>
        <w:t xml:space="preserve">解释</w:t>
      </w:r>
    </w:p>
    <w:p>
      <w:pPr>
        <w:pStyle w:val="Heading#1|1"/>
        <w:keepNext/>
        <w:keepLines/>
        <w:pageBreakBefore w:val="0"/>
        <w:widowControl w:val="0"/>
        <w:kinsoku/>
        <w:wordWrap/>
        <w:overflowPunct/>
        <w:topLinePunct w:val="0"/>
        <w:autoSpaceDE/>
        <w:autoSpaceDN/>
        <w:bidi w:val="0"/>
        <w:adjustRightInd/>
        <w:snapToGrid/>
        <w:spacing w:before="120" w:after="0" w:line="600" w:lineRule="exact"/>
        <w:jc w:val="both"/>
        <w:textAlignment w:val="auto"/>
        <w:rPr>
          <w:b/>
          <w:bCs/>
          <w:sz w:val="40"/>
          <w:szCs w:val="40"/>
        </w:rPr>
      </w:pPr>
      <w:bookmarkStart w:id="3" w:name="bookmark14"/>
      <w:bookmarkStart w:id="4" w:name="bookmark12"/>
      <w:bookmarkStart w:id="5" w:name="bookmark13"/>
      <w:r>
        <w:rPr>
          <w:b/>
          <w:bCs/>
          <w:sz w:val="40"/>
          <w:szCs w:val="40"/>
        </w:rPr>
        <w:t xml:space="preserve">第一部分</w:t>
      </w:r>
      <w:r>
        <w:rPr>
          <w:rFonts w:hint="eastAsia"/>
          <w:b/>
          <w:bCs/>
          <w:sz w:val="40"/>
          <w:szCs w:val="40"/>
          <w:lang w:eastAsia="zh-CN"/>
        </w:rPr>
        <w:t xml:space="preserve">：</w:t>
      </w:r>
      <w:r>
        <w:rPr>
          <w:b/>
          <w:sz w:val="40"/>
          <w:u w:color="auto"/>
        </w:rPr>
        <w:t xml:space="preserve">环江毛南族自治县东兴镇扶贫站</w:t>
      </w:r>
      <w:r>
        <w:rPr>
          <w:b/>
          <w:bCs/>
          <w:sz w:val="40"/>
          <w:szCs w:val="40"/>
        </w:rPr>
        <w:t xml:space="preserve">概况</w:t>
      </w:r>
      <w:bookmarkEnd w:id="3"/>
      <w:bookmarkEnd w:id="4"/>
      <w:bookmarkEnd w:id="5"/>
    </w:p>
    <w:p>
      <w:pPr>
        <w:pStyle w:val="Bodytext|2"/>
        <w:spacing w:after="0" w:line="619" w:lineRule="exact"/>
        <w:ind w:firstLine="620"/>
        <w:jc w:val="left"/>
        <w:rPr>
          <w:b/>
          <w:bCs/>
        </w:rPr>
      </w:pPr>
      <w:r>
        <w:rPr>
          <w:rFonts w:hint="eastAsia"/>
          <w:b/>
          <w:bCs/>
          <w:lang w:val="en-US" w:eastAsia="zh-CN"/>
        </w:rPr>
        <w:t xml:space="preserve">一、</w:t>
      </w:r>
      <w:r>
        <w:rPr>
          <w:b/>
          <w:bCs/>
        </w:rPr>
        <w:t xml:space="preserve">主要职责</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（一）负责乡村振兴战略有关政策措施的贯彻落实；</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（二）负责扶贫开发工作；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（三）负责产业规划发展工作；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（四）负责美丽乡村建设等工作；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（五）负责辖区内村容村貌、环境卫生、公共设施管理等工作；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（六）负责组织实施的建设工程的预算审校、招投标等工作；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（七）综合协调公共卫生、文明乡村和卫生乡村创建等工作；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（八）协助做好辖区内的城镇建设规划、公共服务设施规划和辖区内工程项目竣工验收、小区规划验收等工作；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（九）协助开展市场监督、环境保护等工作。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（十）承办党委、政府和上级乡村振兴部门交办的其他事项。</w:t>
      </w:r>
    </w:p>
    <w:p>
      <w:pPr>
        <w:pStyle w:val="Bodytext|2"/>
        <w:spacing w:after="0" w:line="619" w:lineRule="exact"/>
        <w:ind w:firstLine="620"/>
        <w:jc w:val="left"/>
        <w:rPr>
          <w:rFonts w:hint="eastAsia"/>
          <w:b/>
          <w:bCs/>
          <w:lang w:val="en-US" w:eastAsia="zh-CN"/>
        </w:rPr>
      </w:pPr>
      <w:bookmarkStart w:id="6" w:name="bookmark24"/>
      <w:r>
        <w:rPr>
          <w:rFonts w:hint="eastAsia"/>
          <w:b/>
          <w:bCs/>
          <w:lang w:val="en-US" w:eastAsia="zh-CN"/>
        </w:rPr>
        <w:t xml:space="preserve">二</w:t>
      </w:r>
      <w:bookmarkEnd w:id="6"/>
      <w:r>
        <w:rPr>
          <w:rFonts w:hint="eastAsia"/>
          <w:b/>
          <w:bCs/>
          <w:lang w:val="en-US" w:eastAsia="zh-CN"/>
        </w:rPr>
        <w:t xml:space="preserve">、机构设置情况</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本部门的上级主管部门是环江毛南族自治县东兴镇人民政府，是财政全额拨款的事业单位，人员编制共1名，在职在编人数1名。本部门无内设机构。</w:t>
      </w:r>
    </w:p>
    <w:p>
      <w:pPr>
        <w:pStyle w:val="Bodytext|1"/>
        <w:spacing w:line="623" w:lineRule="exact"/>
        <w:ind w:firstLine="1018" w:firstLineChars="0"/>
        <w:jc w:val="left"/>
        <w:rPr>
          <w:rFonts w:hint="eastAsia"/>
          <w:highlight w:val="none"/>
          <w:lang w:val="en-US" w:eastAsia="zh-CN"/>
        </w:rPr>
      </w:pPr>
    </w:p>
    <w:p>
      <w:pPr>
        <w:pStyle w:val="Bodytext|1"/>
        <w:spacing w:line="623" w:lineRule="exact"/>
        <w:ind w:firstLine="1018" w:firstLineChars="0"/>
        <w:jc w:val="left"/>
        <w:rPr>
          <w:rFonts w:hint="eastAsia"/>
          <w:highlight w:val="none"/>
          <w:lang w:val="en-US" w:eastAsia="zh-CN"/>
        </w:rPr>
      </w:pPr>
    </w:p>
    <w:p>
      <w:pPr/>
      <w:r>
        <w:br w:type="page"/>
      </w:r>
    </w:p>
    <w:p>
      <w:pPr>
        <w:pStyle w:val="Heading#1|1"/>
        <w:keepNext/>
        <w:keepLines/>
        <w:pageBreakBefore w:val="0"/>
        <w:widowControl w:val="0"/>
        <w:kinsoku/>
        <w:wordWrap/>
        <w:overflowPunct/>
        <w:topLinePunct w:val="0"/>
        <w:autoSpaceDE/>
        <w:autoSpaceDN/>
        <w:bidi w:val="0"/>
        <w:adjustRightInd/>
        <w:snapToGrid/>
        <w:spacing w:before="120" w:after="0" w:line="600" w:lineRule="exact"/>
        <w:jc w:val="center"/>
        <w:textAlignment w:val="auto"/>
        <w:rPr>
          <w:b/>
          <w:bCs/>
          <w:sz w:val="40"/>
          <w:szCs w:val="40"/>
        </w:rPr>
      </w:pPr>
      <w:bookmarkStart w:id="7" w:name="bookmark70"/>
      <w:bookmarkStart w:id="8" w:name="bookmark69"/>
      <w:bookmarkStart w:id="9" w:name="bookmark68"/>
      <w:bookmarkStart w:id="10" w:name="bookmark28"/>
      <w:bookmarkStart w:id="11" w:name="bookmark27"/>
      <w:bookmarkStart w:id="12" w:name="bookmark26"/>
      <w:r>
        <w:rPr>
          <w:b/>
          <w:bCs/>
          <w:sz w:val="40"/>
          <w:szCs w:val="40"/>
        </w:rPr>
        <w:t xml:space="preserve">第</w:t>
      </w:r>
      <w:r>
        <w:rPr>
          <w:rFonts w:hint="eastAsia"/>
          <w:b/>
          <w:bCs/>
          <w:sz w:val="40"/>
          <w:szCs w:val="40"/>
          <w:lang w:val="en-US" w:eastAsia="zh-CN"/>
        </w:rPr>
        <w:t xml:space="preserve">二</w:t>
      </w:r>
      <w:r>
        <w:rPr>
          <w:b/>
          <w:bCs/>
          <w:sz w:val="40"/>
          <w:szCs w:val="40"/>
        </w:rPr>
        <w:t xml:space="preserve">部分</w:t>
      </w:r>
      <w:r>
        <w:rPr>
          <w:rFonts w:hint="eastAsia"/>
          <w:b/>
          <w:bCs/>
          <w:sz w:val="40"/>
          <w:szCs w:val="40"/>
          <w:lang w:eastAsia="zh-CN"/>
        </w:rPr>
        <w:t xml:space="preserve">：</w:t>
      </w:r>
      <w:bookmarkEnd w:id="7"/>
      <w:bookmarkEnd w:id="8"/>
      <w:bookmarkEnd w:id="9"/>
      <w:r>
        <w:rPr>
          <w:rFonts w:hint="eastAsia"/>
          <w:b/>
          <w:bCs/>
          <w:sz w:val="40"/>
          <w:szCs w:val="40"/>
          <w:lang w:eastAsia="zh-CN"/>
        </w:rPr>
        <w:t xml:space="preserve">环江毛南族自治县东兴镇扶贫站</w:t>
      </w:r>
      <w:r>
        <w:rPr>
          <w:b/>
          <w:sz w:val="40"/>
          <w:u w:color="auto"/>
        </w:rPr>
        <w:t xml:space="preserve">2024</w:t>
      </w:r>
      <w:r>
        <w:rPr>
          <w:b/>
          <w:sz w:val="40"/>
          <w:u w:color="auto"/>
        </w:rPr>
        <w:t xml:space="preserve">年部门预算情况说明</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3" w:name="bookmark71"/>
      <w:r>
        <w:rPr>
          <w:rFonts w:hint="eastAsia"/>
          <w:b/>
          <w:bCs/>
          <w:lang w:val="en-US" w:eastAsia="zh-CN"/>
        </w:rPr>
        <w:t xml:space="preserve">一</w:t>
      </w:r>
      <w:bookmarkEnd w:id="13"/>
      <w:r>
        <w:rPr>
          <w:rFonts w:hint="eastAsia"/>
          <w:b/>
          <w:bCs/>
          <w:lang w:val="en-US" w:eastAsia="zh-CN"/>
        </w:rPr>
        <w:t xml:space="preserve">、部门预算收支总体情况说明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Times New Roman" w:hAnsi="Times New Roman" w:cs="Times New Roman"/>
          <w:b/>
          <w:bCs/>
          <w:sz w:val="28"/>
          <w:szCs w:val="28"/>
          <w:lang w:val="en-US" w:eastAsia="zh-CN"/>
        </w:rPr>
      </w:pPr>
      <w:r>
        <w:rPr>
          <w:rFonts w:hint="eastAsia"/>
          <w:b w:val="0"/>
          <w:bCs w:val="0"/>
          <w:sz w:val="28"/>
          <w:szCs w:val="28"/>
        </w:rPr>
        <w:t xml:space="preserve">我部门总收入</w:t>
      </w:r>
      <w:r>
        <w:rPr>
          <w:rFonts w:hint="eastAsia"/>
          <w:sz w:val="28"/>
          <w:szCs w:val="28"/>
          <w:lang w:val="en-US" w:eastAsia="zh-CN"/>
        </w:rPr>
        <w:t xml:space="preserve">11.63</w:t>
      </w:r>
      <w:r>
        <w:rPr>
          <w:rFonts w:hint="eastAsia"/>
          <w:b w:val="0"/>
          <w:bCs w:val="0"/>
          <w:sz w:val="28"/>
          <w:szCs w:val="28"/>
        </w:rPr>
        <w:t xml:space="preserve">万元，总支出</w:t>
      </w:r>
      <w:r>
        <w:rPr>
          <w:rFonts w:hint="eastAsia"/>
          <w:sz w:val="28"/>
          <w:szCs w:val="28"/>
          <w:lang w:val="en-US" w:eastAsia="zh-CN"/>
        </w:rPr>
        <w:t xml:space="preserve">11.63</w:t>
      </w:r>
      <w:r>
        <w:rPr>
          <w:rFonts w:hint="eastAsia"/>
          <w:b w:val="0"/>
          <w:bCs w:val="0"/>
          <w:sz w:val="28"/>
          <w:szCs w:val="28"/>
        </w:rPr>
        <w:t xml:space="preserve">万元。总收入较2023年度预算数</w:t>
      </w:r>
      <w:r>
        <w:rPr>
          <w:rFonts w:hint="eastAsia"/>
          <w:sz w:val="28"/>
          <w:szCs w:val="28"/>
          <w:lang w:val="en-US" w:eastAsia="zh-CN"/>
        </w:rPr>
        <w:t xml:space="preserve">8.90</w:t>
      </w:r>
      <w:r>
        <w:rPr>
          <w:rFonts w:hint="eastAsia"/>
          <w:b w:val="0"/>
          <w:bCs w:val="0"/>
          <w:sz w:val="28"/>
          <w:szCs w:val="28"/>
        </w:rPr>
        <w:t xml:space="preserve">万元，</w:t>
      </w:r>
      <w:r>
        <w:rPr>
          <w:rFonts w:hint="eastAsia"/>
          <w:sz w:val="28"/>
          <w:szCs w:val="28"/>
        </w:rPr>
        <w:t xml:space="preserve">增加2.73</w:t>
      </w:r>
      <w:r>
        <w:rPr>
          <w:rFonts w:hint="eastAsia"/>
          <w:b w:val="0"/>
          <w:bCs w:val="0"/>
          <w:sz w:val="28"/>
          <w:szCs w:val="28"/>
        </w:rPr>
        <w:t xml:space="preserve">万元，</w:t>
      </w:r>
      <w:r>
        <w:rPr>
          <w:rFonts w:hint="eastAsia"/>
          <w:sz w:val="28"/>
          <w:szCs w:val="28"/>
        </w:rPr>
        <w:t xml:space="preserve">增长30.67%</w:t>
      </w:r>
      <w:r>
        <w:rPr>
          <w:rFonts w:hint="eastAsia"/>
          <w:b w:val="0"/>
          <w:bCs w:val="0"/>
          <w:sz w:val="28"/>
          <w:szCs w:val="28"/>
        </w:rPr>
        <w:t xml:space="preserve">，主要原因是</w:t>
      </w:r>
      <w:r>
        <w:rPr>
          <w:rFonts w:hint="eastAsia"/>
          <w:highlight w:val="none"/>
          <w:lang w:val="en-US" w:eastAsia="zh-CN"/>
        </w:rPr>
        <w:t xml:space="preserve">经费增加</w:t>
      </w:r>
      <w:r>
        <w:rPr>
          <w:rFonts w:hint="eastAsia"/>
          <w:b w:val="0"/>
          <w:bCs w:val="0"/>
          <w:sz w:val="28"/>
          <w:szCs w:val="28"/>
        </w:rPr>
        <w:t xml:space="preserve">。总支出较2023年度预算数</w:t>
      </w:r>
      <w:r>
        <w:rPr>
          <w:rFonts w:hint="eastAsia"/>
          <w:sz w:val="28"/>
          <w:szCs w:val="28"/>
          <w:lang w:val="en-US" w:eastAsia="zh-CN"/>
        </w:rPr>
        <w:t xml:space="preserve">8.90</w:t>
      </w:r>
      <w:r>
        <w:rPr>
          <w:rFonts w:hint="eastAsia"/>
          <w:b w:val="0"/>
          <w:bCs w:val="0"/>
          <w:sz w:val="28"/>
          <w:szCs w:val="28"/>
        </w:rPr>
        <w:t xml:space="preserve">万元，</w:t>
      </w:r>
      <w:r>
        <w:rPr>
          <w:rFonts w:hint="eastAsia"/>
          <w:sz w:val="28"/>
          <w:szCs w:val="28"/>
        </w:rPr>
        <w:t xml:space="preserve">增加2.73</w:t>
      </w:r>
      <w:r>
        <w:rPr>
          <w:rFonts w:hint="eastAsia"/>
          <w:b w:val="0"/>
          <w:bCs w:val="0"/>
          <w:sz w:val="28"/>
          <w:szCs w:val="28"/>
        </w:rPr>
        <w:t xml:space="preserve">万元，</w:t>
      </w:r>
      <w:r>
        <w:rPr>
          <w:rFonts w:hint="eastAsia"/>
          <w:sz w:val="28"/>
          <w:szCs w:val="28"/>
        </w:rPr>
        <w:t xml:space="preserve">增长30.67%</w:t>
      </w:r>
      <w:r>
        <w:rPr>
          <w:rFonts w:hint="eastAsia"/>
          <w:b w:val="0"/>
          <w:bCs w:val="0"/>
          <w:sz w:val="28"/>
          <w:szCs w:val="28"/>
        </w:rPr>
        <w:t xml:space="preserve">，主要原因是</w:t>
      </w:r>
      <w:r>
        <w:rPr>
          <w:rFonts w:hint="eastAsia"/>
          <w:highlight w:val="none"/>
          <w:lang w:val="en-US" w:eastAsia="zh-CN"/>
        </w:rPr>
        <w:t xml:space="preserve">资金追加，支出增加</w:t>
      </w:r>
      <w:r>
        <w:rPr>
          <w:rFonts w:hint="eastAsia"/>
          <w:b w:val="0"/>
          <w:bCs w:val="0"/>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二、部门收入总体情况说明</w:t>
      </w:r>
    </w:p>
    <w:p>
      <w:pPr>
        <w:pStyle w:val="Bodytext|1"/>
        <w:spacing w:line="240" w:lineRule="auto"/>
        <w:ind w:firstLine="0"/>
        <w:jc w:val="left"/>
        <w:rPr>
          <w:rFonts w:ascii="Times New Roman" w:hAnsi="Times New Roman" w:cs="Times New Roman"/>
          <w:sz w:val="30"/>
          <w:szCs w:val="30"/>
          <w:lang w:val="en-US" w:eastAsia="zh-CN"/>
        </w:rPr>
      </w:pPr>
      <w:r>
        <w:rPr>
          <w:rFonts w:ascii="Times New Roman" w:hAnsi="Times New Roman" w:cs="Times New Roman"/>
          <w:sz w:val="30"/>
          <w:szCs w:val="30"/>
          <w:lang w:val="en-US" w:eastAsia="zh-CN"/>
        </w:rPr>
        <w:drawing>
          <wp:inline distT="0" distB="0" distL="114300" distR="114300">
            <wp:extent cx="4257040" cy="3139440"/>
            <wp:effectExtent l="4445" t="4445" r="5715" b="18415"/>
            <wp:docPr id="3944" name="图表 6" title="{{img_rs_tabl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6"/>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u w:color="auto"/>
          <w:lang w:eastAsia="zh-CN"/>
        </w:rPr>
        <w:t xml:space="preserve">2024</w:t>
      </w:r>
      <w:r>
        <w:rPr>
          <w:rFonts w:ascii="宋体" w:eastAsia="宋体" w:hAnsi="宋体" w:cs="宋体" w:hint="eastAsia"/>
          <w:sz w:val="28"/>
          <w:szCs w:val="28"/>
          <w:u w:color="auto"/>
        </w:rPr>
        <w:t xml:space="preserve">年我部门总收入</w:t>
      </w:r>
      <w:r>
        <w:rPr>
          <w:rFonts w:ascii="宋体" w:eastAsia="宋体" w:hAnsi="宋体" w:cs="宋体" w:hint="eastAsia"/>
          <w:sz w:val="28"/>
          <w:szCs w:val="28"/>
          <w:lang w:val="en-US" w:eastAsia="zh-CN"/>
        </w:rPr>
        <w:t xml:space="preserve">11.63</w:t>
      </w:r>
      <w:r>
        <w:rPr>
          <w:rFonts w:ascii="宋体" w:eastAsia="宋体" w:hAnsi="宋体" w:cs="宋体" w:hint="eastAsia"/>
          <w:sz w:val="28"/>
          <w:szCs w:val="28"/>
          <w:u w:color="auto"/>
        </w:rPr>
        <w:t xml:space="preserve">万元，较2023年度预算数</w:t>
      </w:r>
      <w:r>
        <w:rPr>
          <w:rFonts w:ascii="宋体" w:eastAsia="宋体" w:hAnsi="宋体" w:cs="宋体" w:hint="eastAsia"/>
          <w:sz w:val="28"/>
          <w:szCs w:val="28"/>
          <w:lang w:val="en-US" w:eastAsia="zh-CN"/>
        </w:rPr>
        <w:t xml:space="preserve">8.90</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增加2.73</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增长30.67%</w:t>
      </w:r>
      <w:r>
        <w:rPr>
          <w:rFonts w:ascii="宋体" w:eastAsia="宋体" w:hAnsi="宋体" w:cs="宋体" w:hint="eastAsia"/>
          <w:sz w:val="28"/>
          <w:szCs w:val="28"/>
          <w:u w:color="auto"/>
        </w:rPr>
        <w:t xml:space="preserve">，主要原因是</w:t>
      </w:r>
      <w:r>
        <w:rPr>
          <w:rFonts w:hint="eastAsia"/>
          <w:highlight w:val="none"/>
          <w:lang w:val="en-US" w:eastAsia="zh-CN"/>
        </w:rPr>
        <w:t xml:space="preserve">资金追加，支出增加</w:t>
      </w:r>
      <w:r>
        <w:rPr>
          <w:rFonts w:ascii="宋体" w:eastAsia="宋体" w:hAnsi="宋体" w:cs="宋体" w:hint="eastAsia"/>
          <w:sz w:val="28"/>
          <w:szCs w:val="28"/>
          <w:u w:color="auto"/>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三、部门支出总体情况说明</w:t>
      </w:r>
    </w:p>
    <w:p>
      <w:pPr>
        <w:pStyle w:val="Bodytext|1"/>
        <w:spacing w:line="240" w:lineRule="auto"/>
        <w:ind w:firstLine="0"/>
        <w:jc w:val="left"/>
        <w:rPr>
          <w:rFonts w:ascii="Times New Roman" w:eastAsia="Times New Roman" w:hAnsi="Times New Roman" w:cs="Times New Roman"/>
          <w:sz w:val="30"/>
          <w:szCs w:val="30"/>
        </w:rPr>
      </w:pPr>
      <w:r>
        <w:rPr>
          <w:rFonts w:ascii="Times New Roman" w:eastAsia="Times New Roman" w:hAnsi="Times New Roman" w:cs="Times New Roman"/>
          <w:sz w:val="30"/>
          <w:szCs w:val="30"/>
        </w:rPr>
        <w:drawing>
          <wp:inline distT="0" distB="0" distL="114300" distR="114300">
            <wp:extent cx="5080000" cy="3810000"/>
            <wp:effectExtent l="4445" t="4445" r="20955" b="14605"/>
            <wp:docPr id="3945" name="图表 14" title="{{img_gnkm_zc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7"/>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2024</w:t>
      </w:r>
      <w:r>
        <w:rPr>
          <w:rFonts w:ascii="宋体" w:eastAsia="宋体" w:hAnsi="宋体" w:cs="宋体"/>
          <w:sz w:val="28"/>
          <w:u w:color="auto"/>
        </w:rPr>
        <w:t xml:space="preserve">年我部门总支出</w:t>
      </w:r>
      <w:r>
        <w:rPr>
          <w:rFonts w:ascii="宋体" w:eastAsia="宋体" w:hAnsi="宋体" w:cs="宋体" w:hint="eastAsia"/>
          <w:sz w:val="28"/>
          <w:szCs w:val="28"/>
          <w:lang w:val="en-US" w:eastAsia="zh-CN"/>
        </w:rPr>
        <w:t xml:space="preserve">11.63</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8.90</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增加2.73</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增长30.67%</w:t>
      </w:r>
      <w:r>
        <w:rPr>
          <w:rFonts w:ascii="宋体" w:eastAsia="宋体" w:hAnsi="宋体" w:cs="宋体" w:hint="eastAsia"/>
          <w:sz w:val="28"/>
          <w:szCs w:val="28"/>
          <w:lang w:eastAsia="zh-CN"/>
        </w:rPr>
        <w:t xml:space="preserve">，主要原因是</w:t>
      </w:r>
      <w:r>
        <w:rPr>
          <w:rFonts w:ascii="宋体" w:eastAsia="宋体" w:hAnsi="宋体" w:cs="宋体" w:hint="eastAsia"/>
          <w:sz w:val="28"/>
          <w:szCs w:val="28"/>
          <w:highlight w:val="none"/>
          <w:lang w:val="en-US" w:eastAsia="zh-CN"/>
        </w:rPr>
        <w:t xml:space="preserve">项目资金追加，项目支出增加</w:t>
      </w:r>
      <w:r>
        <w:rPr>
          <w:rFonts w:ascii="宋体" w:eastAsia="宋体" w:hAnsi="宋体" w:cs="宋体" w:hint="eastAsia"/>
          <w:sz w:val="28"/>
          <w:szCs w:val="28"/>
          <w:lang w:eastAsia="zh-CN"/>
        </w:rPr>
        <w:t xml:space="preserve">。主要包括：</w:t>
      </w:r>
      <w:r>
        <w:rPr>
          <w:rFonts w:ascii="宋体" w:eastAsia="宋体" w:hAnsi="宋体" w:cs="宋体" w:hint="eastAsia"/>
          <w:sz w:val="28"/>
          <w:szCs w:val="28"/>
          <w:highlight w:val="none"/>
          <w:lang w:val="en-US" w:eastAsia="zh-CN"/>
        </w:rPr>
        <w:t xml:space="preserve">一般公共服务支出0.11万元；社会保障和就业支出1.38万元；农林水支出8.94万元；住房保障支出1.2万元；</w:t>
      </w:r>
      <w:r>
        <w:rPr>
          <w:rFonts w:ascii="宋体" w:eastAsia="宋体" w:hAnsi="宋体" w:cs="宋体" w:hint="eastAsia"/>
          <w:sz w:val="28"/>
          <w:szCs w:val="28"/>
          <w:lang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after="140" w:line="600" w:lineRule="exact"/>
        <w:ind w:firstLine="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（一）按支出功能分类科目划分，共分为</w:t>
      </w:r>
      <w:r>
        <w:rPr>
          <w:rFonts w:ascii="宋体" w:eastAsia="宋体" w:hAnsi="宋体" w:cs="宋体" w:hint="eastAsia"/>
          <w:sz w:val="28"/>
          <w:szCs w:val="28"/>
          <w:lang w:val="en-US" w:eastAsia="zh-CN"/>
        </w:rPr>
        <w:t xml:space="preserve">4</w:t>
      </w:r>
      <w:r>
        <w:rPr>
          <w:rFonts w:ascii="宋体" w:eastAsia="宋体" w:hAnsi="宋体" w:cs="宋体" w:hint="eastAsia"/>
          <w:sz w:val="28"/>
          <w:szCs w:val="28"/>
        </w:rPr>
        <w:t xml:space="preserve">类，其中:</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农林水支出</w:t>
      </w:r>
      <w:r>
        <w:rPr>
          <w:rFonts w:ascii="宋体" w:eastAsia="宋体" w:hAnsi="宋体" w:cs="宋体" w:hint="eastAsia"/>
          <w:sz w:val="28"/>
          <w:szCs w:val="28"/>
          <w:lang w:val="en-US" w:eastAsia="zh-CN"/>
        </w:rPr>
        <w:t xml:space="preserve">8.94</w:t>
      </w:r>
      <w:r>
        <w:rPr>
          <w:rFonts w:ascii="宋体" w:eastAsia="宋体" w:hAnsi="宋体" w:cs="宋体" w:hint="eastAsia"/>
          <w:sz w:val="28"/>
          <w:szCs w:val="28"/>
        </w:rPr>
        <w:t xml:space="preserve">万元，占支出总预算</w:t>
      </w:r>
      <w:r>
        <w:rPr>
          <w:rFonts w:ascii="宋体" w:eastAsia="宋体" w:hAnsi="宋体" w:cs="宋体" w:hint="eastAsia"/>
          <w:sz w:val="28"/>
          <w:szCs w:val="28"/>
          <w:lang w:val="en-US" w:eastAsia="zh-CN"/>
        </w:rPr>
        <w:t xml:space="preserve">76.87%</w:t>
      </w:r>
      <w:r>
        <w:rPr>
          <w:rFonts w:ascii="宋体" w:eastAsia="宋体" w:hAnsi="宋体" w:cs="宋体" w:hint="eastAsia"/>
          <w:sz w:val="28"/>
          <w:szCs w:val="28"/>
        </w:rPr>
        <w:t xml:space="preserve">,比上年</w:t>
      </w:r>
      <w:r>
        <w:rPr>
          <w:rFonts w:ascii="宋体" w:eastAsia="宋体" w:hAnsi="宋体" w:cs="宋体" w:hint="eastAsia"/>
          <w:sz w:val="28"/>
          <w:szCs w:val="28"/>
          <w:lang w:val="en-US" w:eastAsia="zh-CN"/>
        </w:rPr>
        <w:t xml:space="preserve">增长2.53</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增长39.47%</w:t>
      </w:r>
      <w:r>
        <w:rPr>
          <w:rFonts w:ascii="宋体" w:eastAsia="宋体" w:hAnsi="宋体" w:cs="宋体" w:hint="eastAsia"/>
          <w:sz w:val="28"/>
          <w:szCs w:val="28"/>
        </w:rPr>
        <w:t xml:space="preserve">,</w:t>
      </w:r>
      <w:r>
        <w:rPr>
          <w:rFonts w:ascii="宋体" w:eastAsia="宋体" w:hAnsi="宋体" w:cs="宋体" w:hint="eastAsia"/>
          <w:sz w:val="28"/>
          <w:szCs w:val="28"/>
          <w:highlight w:val="none"/>
        </w:rPr>
        <w:t xml:space="preserve">主要原因是：</w:t>
      </w:r>
      <w:r>
        <w:rPr>
          <w:rFonts w:ascii="宋体" w:eastAsia="宋体" w:hAnsi="宋体" w:cs="宋体" w:hint="eastAsia"/>
          <w:sz w:val="28"/>
          <w:szCs w:val="28"/>
          <w:highlight w:val="none"/>
          <w:lang w:val="en-US" w:eastAsia="zh-CN"/>
        </w:rPr>
        <w:t xml:space="preserve">项目资金追加，项目支出增加</w:t>
      </w:r>
      <w:r>
        <w:rPr>
          <w:rFonts w:ascii="宋体" w:eastAsia="宋体" w:hAnsi="宋体" w:cs="宋体" w:hint="eastAsia"/>
          <w:sz w:val="28"/>
          <w:szCs w:val="28"/>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住房保障支出</w:t>
      </w:r>
      <w:r>
        <w:rPr>
          <w:rFonts w:ascii="宋体" w:eastAsia="宋体" w:hAnsi="宋体" w:cs="宋体" w:hint="eastAsia"/>
          <w:sz w:val="28"/>
          <w:szCs w:val="28"/>
          <w:lang w:val="en-US" w:eastAsia="zh-CN"/>
        </w:rPr>
        <w:t xml:space="preserve">1.20</w:t>
      </w:r>
      <w:r>
        <w:rPr>
          <w:rFonts w:ascii="宋体" w:eastAsia="宋体" w:hAnsi="宋体" w:cs="宋体" w:hint="eastAsia"/>
          <w:sz w:val="28"/>
          <w:szCs w:val="28"/>
        </w:rPr>
        <w:t xml:space="preserve">万元，占支出总预算</w:t>
      </w:r>
      <w:r>
        <w:rPr>
          <w:rFonts w:ascii="宋体" w:eastAsia="宋体" w:hAnsi="宋体" w:cs="宋体" w:hint="eastAsia"/>
          <w:sz w:val="28"/>
          <w:szCs w:val="28"/>
          <w:lang w:val="en-US" w:eastAsia="zh-CN"/>
        </w:rPr>
        <w:t xml:space="preserve">10.32%</w:t>
      </w:r>
      <w:r>
        <w:rPr>
          <w:rFonts w:ascii="宋体" w:eastAsia="宋体" w:hAnsi="宋体" w:cs="宋体" w:hint="eastAsia"/>
          <w:sz w:val="28"/>
          <w:szCs w:val="28"/>
        </w:rPr>
        <w:t xml:space="preserve">,比上年</w:t>
      </w:r>
      <w:r>
        <w:rPr>
          <w:rFonts w:ascii="宋体" w:eastAsia="宋体" w:hAnsi="宋体" w:cs="宋体" w:hint="eastAsia"/>
          <w:sz w:val="28"/>
          <w:szCs w:val="28"/>
          <w:lang w:val="en-US" w:eastAsia="zh-CN"/>
        </w:rPr>
        <w:t xml:space="preserve">增长0.21</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增长21.21%</w:t>
      </w:r>
      <w:r>
        <w:rPr>
          <w:rFonts w:ascii="宋体" w:eastAsia="宋体" w:hAnsi="宋体" w:cs="宋体" w:hint="eastAsia"/>
          <w:sz w:val="28"/>
          <w:szCs w:val="28"/>
        </w:rPr>
        <w:t xml:space="preserve">,</w:t>
      </w:r>
      <w:r>
        <w:rPr>
          <w:rFonts w:ascii="宋体" w:eastAsia="宋体" w:hAnsi="宋体" w:cs="宋体" w:hint="eastAsia"/>
          <w:sz w:val="28"/>
          <w:szCs w:val="28"/>
          <w:highlight w:val="none"/>
        </w:rPr>
        <w:t xml:space="preserve">主要原因是：</w:t>
      </w:r>
      <w:r>
        <w:rPr>
          <w:rFonts w:ascii="宋体" w:eastAsia="宋体" w:hAnsi="宋体" w:cs="宋体" w:hint="eastAsia"/>
          <w:sz w:val="28"/>
          <w:szCs w:val="28"/>
          <w:highlight w:val="none"/>
          <w:lang w:val="en-US" w:eastAsia="zh-CN"/>
        </w:rPr>
        <w:t xml:space="preserve">公积金缴纳基数调整</w:t>
      </w:r>
      <w:r>
        <w:rPr>
          <w:rFonts w:ascii="宋体" w:eastAsia="宋体" w:hAnsi="宋体" w:cs="宋体" w:hint="eastAsia"/>
          <w:sz w:val="28"/>
          <w:szCs w:val="28"/>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w:t>
      </w:r>
      <w:r>
        <w:rPr>
          <w:rFonts w:ascii="宋体" w:eastAsia="宋体" w:hAnsi="宋体" w:cs="宋体"/>
          <w:sz w:val="28"/>
          <w:u w:color="auto"/>
        </w:rPr>
        <w:t xml:space="preserve">3</w:t>
      </w:r>
      <w:r>
        <w:rPr>
          <w:rFonts w:ascii="宋体" w:eastAsia="宋体" w:hAnsi="宋体" w:cs="宋体"/>
          <w:sz w:val="28"/>
          <w:u w:color="auto"/>
        </w:rPr>
        <w:t xml:space="preserve">)</w:t>
      </w:r>
      <w:r>
        <w:rPr>
          <w:rFonts w:ascii="宋体" w:eastAsia="宋体" w:hAnsi="宋体" w:cs="宋体"/>
          <w:sz w:val="28"/>
          <w:u w:color="auto"/>
        </w:rPr>
        <w:t xml:space="preserve">一般公共服务支出</w:t>
      </w:r>
      <w:r>
        <w:rPr>
          <w:rFonts w:ascii="宋体" w:eastAsia="宋体" w:hAnsi="宋体" w:cs="宋体" w:hint="eastAsia"/>
          <w:sz w:val="28"/>
          <w:szCs w:val="28"/>
          <w:lang w:val="en-US" w:eastAsia="zh-CN"/>
        </w:rPr>
        <w:t xml:space="preserve">0.11</w:t>
      </w:r>
      <w:r>
        <w:rPr>
          <w:rFonts w:ascii="宋体" w:eastAsia="宋体" w:hAnsi="宋体" w:cs="宋体" w:hint="eastAsia"/>
          <w:sz w:val="28"/>
          <w:szCs w:val="28"/>
        </w:rPr>
        <w:t xml:space="preserve">万元，占支出总预算</w:t>
      </w:r>
      <w:r>
        <w:rPr>
          <w:rFonts w:ascii="宋体" w:eastAsia="宋体" w:hAnsi="宋体" w:cs="宋体" w:hint="eastAsia"/>
          <w:sz w:val="28"/>
          <w:szCs w:val="28"/>
          <w:lang w:val="en-US" w:eastAsia="zh-CN"/>
        </w:rPr>
        <w:t xml:space="preserve">0.95%</w:t>
      </w:r>
      <w:r>
        <w:rPr>
          <w:rFonts w:ascii="宋体" w:eastAsia="宋体" w:hAnsi="宋体" w:cs="宋体" w:hint="eastAsia"/>
          <w:sz w:val="28"/>
          <w:szCs w:val="28"/>
        </w:rPr>
        <w:t xml:space="preserve">,比上年</w:t>
      </w:r>
      <w:r>
        <w:rPr>
          <w:rFonts w:ascii="宋体" w:eastAsia="宋体" w:hAnsi="宋体" w:cs="宋体" w:hint="eastAsia"/>
          <w:sz w:val="28"/>
          <w:szCs w:val="28"/>
          <w:lang w:val="en-US" w:eastAsia="zh-CN"/>
        </w:rPr>
        <w:t xml:space="preserve">减少0.06</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减少35.29%</w:t>
      </w:r>
      <w:r>
        <w:rPr>
          <w:rFonts w:ascii="宋体" w:eastAsia="宋体" w:hAnsi="宋体" w:cs="宋体" w:hint="eastAsia"/>
          <w:sz w:val="28"/>
          <w:szCs w:val="28"/>
        </w:rPr>
        <w:t xml:space="preserve">,</w:t>
      </w:r>
      <w:r>
        <w:rPr>
          <w:rFonts w:ascii="宋体" w:eastAsia="宋体" w:hAnsi="宋体" w:cs="宋体" w:hint="eastAsia"/>
          <w:sz w:val="28"/>
          <w:szCs w:val="28"/>
          <w:highlight w:val="none"/>
        </w:rPr>
        <w:t xml:space="preserve">主要原因是：</w:t>
      </w:r>
      <w:r>
        <w:rPr>
          <w:rFonts w:ascii="宋体" w:eastAsia="宋体" w:hAnsi="宋体" w:cs="宋体" w:hint="eastAsia"/>
          <w:sz w:val="28"/>
          <w:szCs w:val="28"/>
          <w:highlight w:val="none"/>
          <w:lang w:val="en-US" w:eastAsia="zh-CN"/>
        </w:rPr>
        <w:t xml:space="preserve">2023年办公开支在2024年进行结账导致办公经费增加</w:t>
      </w:r>
      <w:r>
        <w:rPr>
          <w:rFonts w:ascii="宋体" w:eastAsia="宋体" w:hAnsi="宋体" w:cs="宋体" w:hint="eastAsia"/>
          <w:sz w:val="28"/>
          <w:szCs w:val="28"/>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w:t>
      </w:r>
      <w:r>
        <w:rPr>
          <w:rFonts w:ascii="宋体" w:eastAsia="宋体" w:hAnsi="宋体" w:cs="宋体"/>
          <w:sz w:val="28"/>
          <w:u w:color="auto"/>
        </w:rPr>
        <w:t xml:space="preserve">4</w:t>
      </w:r>
      <w:r>
        <w:rPr>
          <w:rFonts w:ascii="宋体" w:eastAsia="宋体" w:hAnsi="宋体" w:cs="宋体"/>
          <w:sz w:val="28"/>
          <w:u w:color="auto"/>
        </w:rPr>
        <w:t xml:space="preserve">)</w:t>
      </w:r>
      <w:r>
        <w:rPr>
          <w:rFonts w:ascii="宋体" w:eastAsia="宋体" w:hAnsi="宋体" w:cs="宋体"/>
          <w:sz w:val="28"/>
          <w:u w:color="auto"/>
        </w:rPr>
        <w:t xml:space="preserve">社会保障和就业支出</w:t>
      </w:r>
      <w:r>
        <w:rPr>
          <w:rFonts w:ascii="宋体" w:eastAsia="宋体" w:hAnsi="宋体" w:cs="宋体" w:hint="eastAsia"/>
          <w:sz w:val="28"/>
          <w:szCs w:val="28"/>
          <w:lang w:val="en-US" w:eastAsia="zh-CN"/>
        </w:rPr>
        <w:t xml:space="preserve">1.38</w:t>
      </w:r>
      <w:r>
        <w:rPr>
          <w:rFonts w:ascii="宋体" w:eastAsia="宋体" w:hAnsi="宋体" w:cs="宋体" w:hint="eastAsia"/>
          <w:sz w:val="28"/>
          <w:szCs w:val="28"/>
        </w:rPr>
        <w:t xml:space="preserve">万元，占支出总预算</w:t>
      </w:r>
      <w:r>
        <w:rPr>
          <w:rFonts w:ascii="宋体" w:eastAsia="宋体" w:hAnsi="宋体" w:cs="宋体" w:hint="eastAsia"/>
          <w:sz w:val="28"/>
          <w:szCs w:val="28"/>
          <w:lang w:val="en-US" w:eastAsia="zh-CN"/>
        </w:rPr>
        <w:t xml:space="preserve">11.87%</w:t>
      </w:r>
      <w:r>
        <w:rPr>
          <w:rFonts w:ascii="宋体" w:eastAsia="宋体" w:hAnsi="宋体" w:cs="宋体" w:hint="eastAsia"/>
          <w:sz w:val="28"/>
          <w:szCs w:val="28"/>
        </w:rPr>
        <w:t xml:space="preserve">,比上年</w:t>
      </w:r>
      <w:r>
        <w:rPr>
          <w:rFonts w:ascii="宋体" w:eastAsia="宋体" w:hAnsi="宋体" w:cs="宋体" w:hint="eastAsia"/>
          <w:sz w:val="28"/>
          <w:szCs w:val="28"/>
          <w:lang w:val="en-US" w:eastAsia="zh-CN"/>
        </w:rPr>
        <w:t xml:space="preserve">增长0.05</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增长3.76%</w:t>
      </w:r>
      <w:r>
        <w:rPr>
          <w:rFonts w:ascii="宋体" w:eastAsia="宋体" w:hAnsi="宋体" w:cs="宋体" w:hint="eastAsia"/>
          <w:sz w:val="28"/>
          <w:szCs w:val="28"/>
        </w:rPr>
        <w:t xml:space="preserve">,</w:t>
      </w:r>
      <w:r>
        <w:rPr>
          <w:rFonts w:ascii="宋体" w:eastAsia="宋体" w:hAnsi="宋体" w:cs="宋体" w:hint="eastAsia"/>
          <w:sz w:val="28"/>
          <w:szCs w:val="28"/>
          <w:highlight w:val="none"/>
        </w:rPr>
        <w:t xml:space="preserve">主要原因是：</w:t>
      </w:r>
      <w:r>
        <w:rPr>
          <w:rFonts w:ascii="宋体" w:eastAsia="宋体" w:hAnsi="宋体" w:cs="宋体" w:hint="eastAsia"/>
          <w:sz w:val="28"/>
          <w:szCs w:val="28"/>
          <w:highlight w:val="none"/>
          <w:lang w:val="en-US" w:eastAsia="zh-CN"/>
        </w:rPr>
        <w:t xml:space="preserve">保险基数调整</w:t>
      </w:r>
      <w:r>
        <w:rPr>
          <w:rFonts w:ascii="宋体" w:eastAsia="宋体" w:hAnsi="宋体" w:cs="宋体" w:hint="eastAsia"/>
          <w:sz w:val="28"/>
          <w:szCs w:val="28"/>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740"/>
        <w:jc w:val="left"/>
        <w:textAlignment w:val="auto"/>
        <w:rPr>
          <w:rFonts w:ascii="宋体" w:eastAsia="宋体" w:hAnsi="宋体" w:cs="宋体" w:hint="eastAsia"/>
          <w:sz w:val="28"/>
          <w:szCs w:val="28"/>
        </w:rPr>
      </w:pPr>
      <w:bookmarkStart w:id="14" w:name="_GoBack"/>
      <w:r>
        <w:rPr>
          <w:rFonts w:ascii="宋体" w:eastAsia="宋体" w:hAnsi="宋体" w:cs="宋体" w:hint="eastAsia"/>
          <w:sz w:val="28"/>
          <w:szCs w:val="28"/>
        </w:rPr>
        <w:t xml:space="preserve">(二)按支出结构分类划分，分为基本支出预算和项目支出预算。</w:t>
      </w:r>
    </w:p>
    <w:p>
      <w:pPr>
        <w:pStyle w:val="Bodytext|1"/>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基本支出预算。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基本支出预算</w:t>
      </w:r>
      <w:r>
        <w:rPr>
          <w:rFonts w:ascii="宋体" w:eastAsia="宋体" w:hAnsi="宋体" w:cs="宋体" w:hint="eastAsia"/>
          <w:sz w:val="28"/>
          <w:szCs w:val="28"/>
          <w:lang w:val="en-US" w:eastAsia="zh-CN"/>
        </w:rPr>
        <w:t xml:space="preserve">11.63</w:t>
      </w:r>
      <w:r>
        <w:rPr>
          <w:rFonts w:ascii="宋体" w:eastAsia="宋体" w:hAnsi="宋体" w:cs="宋体" w:hint="eastAsia"/>
          <w:sz w:val="28"/>
          <w:szCs w:val="28"/>
        </w:rPr>
        <w:t xml:space="preserve">万元，占支出预算</w:t>
      </w:r>
      <w:r>
        <w:rPr>
          <w:rFonts w:ascii="宋体" w:eastAsia="宋体" w:hAnsi="宋体" w:cs="宋体"/>
          <w:sz w:val="28"/>
          <w:u w:color="auto"/>
        </w:rPr>
        <w:t xml:space="preserve">100.00%</w:t>
      </w:r>
      <w:r>
        <w:rPr>
          <w:rFonts w:ascii="宋体" w:eastAsia="宋体" w:hAnsi="宋体" w:cs="宋体"/>
          <w:sz w:val="28"/>
          <w:u w:color="auto"/>
        </w:rPr>
        <w:t xml:space="preserve">,比上年</w:t>
      </w:r>
      <w:r>
        <w:rPr>
          <w:rFonts w:ascii="宋体" w:eastAsia="宋体" w:hAnsi="宋体" w:cs="宋体"/>
          <w:sz w:val="28"/>
          <w:u w:color="auto"/>
        </w:rPr>
        <w:t xml:space="preserve">增长2.73</w:t>
      </w:r>
      <w:r>
        <w:rPr>
          <w:rFonts w:ascii="宋体" w:eastAsia="宋体" w:hAnsi="宋体" w:cs="宋体"/>
          <w:sz w:val="28"/>
          <w:u w:color="auto"/>
        </w:rPr>
        <w:t xml:space="preserve">万元，</w:t>
      </w:r>
      <w:r>
        <w:rPr>
          <w:rFonts w:ascii="宋体" w:eastAsia="宋体" w:hAnsi="宋体" w:cs="宋体"/>
          <w:sz w:val="28"/>
          <w:u w:color="auto"/>
        </w:rPr>
        <w:t xml:space="preserve">增长30.67%</w:t>
      </w:r>
      <w:r>
        <w:rPr>
          <w:rFonts w:ascii="宋体" w:eastAsia="宋体" w:hAnsi="宋体" w:cs="宋体" w:hint="eastAsia"/>
          <w:sz w:val="28"/>
          <w:szCs w:val="28"/>
        </w:rPr>
        <w:t xml:space="preserve">。</w:t>
      </w:r>
      <w:r>
        <w:rPr>
          <w:rFonts w:ascii="宋体" w:eastAsia="宋体" w:hAnsi="宋体" w:cs="宋体" w:hint="eastAsia"/>
          <w:sz w:val="28"/>
          <w:szCs w:val="28"/>
          <w:lang w:val="en-US" w:eastAsia="zh-CN"/>
        </w:rPr>
        <w:t xml:space="preserve">其中：</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工资福利支出</w:t>
      </w:r>
      <w:r>
        <w:rPr>
          <w:rFonts w:ascii="宋体" w:eastAsia="宋体" w:hAnsi="宋体" w:cs="宋体" w:hint="eastAsia"/>
          <w:sz w:val="28"/>
          <w:szCs w:val="28"/>
          <w:lang w:val="en-US" w:eastAsia="zh-CN"/>
        </w:rPr>
        <w:t xml:space="preserve">11.28</w:t>
      </w:r>
      <w:r>
        <w:rPr>
          <w:rFonts w:ascii="宋体" w:eastAsia="宋体" w:hAnsi="宋体" w:cs="宋体" w:hint="eastAsia"/>
          <w:sz w:val="28"/>
          <w:szCs w:val="28"/>
        </w:rPr>
        <w:t xml:space="preserve">万元，占基本</w:t>
      </w:r>
      <w:r>
        <w:rPr>
          <w:rFonts w:ascii="宋体" w:eastAsia="宋体" w:hAnsi="宋体" w:cs="宋体" w:hint="eastAsia"/>
          <w:sz w:val="28"/>
          <w:szCs w:val="28"/>
        </w:rPr>
        <w:t xml:space="preserve">支出总预算</w:t>
      </w:r>
      <w:r>
        <w:rPr>
          <w:rFonts w:ascii="宋体" w:eastAsia="宋体" w:hAnsi="宋体" w:cs="宋体" w:hint="eastAsia"/>
          <w:sz w:val="28"/>
          <w:szCs w:val="28"/>
          <w:lang w:val="en-US" w:eastAsia="zh-CN"/>
        </w:rPr>
        <w:t xml:space="preserve">96.99%</w:t>
      </w:r>
      <w:r>
        <w:rPr>
          <w:rFonts w:ascii="宋体" w:eastAsia="宋体" w:hAnsi="宋体" w:cs="宋体" w:hint="eastAsia"/>
          <w:sz w:val="28"/>
          <w:szCs w:val="28"/>
        </w:rPr>
        <w:t xml:space="preserve">,比上年</w:t>
      </w:r>
      <w:r>
        <w:rPr>
          <w:rFonts w:ascii="宋体" w:eastAsia="宋体" w:hAnsi="宋体" w:cs="宋体"/>
          <w:sz w:val="28"/>
          <w:u w:color="auto"/>
        </w:rPr>
        <w:t xml:space="preserve">增长2.79</w:t>
      </w:r>
      <w:r>
        <w:rPr>
          <w:rFonts w:ascii="宋体" w:eastAsia="宋体" w:hAnsi="宋体" w:cs="宋体"/>
          <w:sz w:val="28"/>
          <w:u w:color="auto"/>
        </w:rPr>
        <w:t xml:space="preserve">万元，</w:t>
      </w:r>
      <w:r>
        <w:rPr>
          <w:rFonts w:ascii="宋体" w:eastAsia="宋体" w:hAnsi="宋体" w:cs="宋体"/>
          <w:sz w:val="28"/>
          <w:u w:color="auto"/>
        </w:rPr>
        <w:t xml:space="preserve">增长32.86%</w:t>
      </w:r>
      <w:r>
        <w:rPr>
          <w:rFonts w:ascii="宋体" w:eastAsia="宋体" w:hAnsi="宋体" w:cs="宋体"/>
          <w:sz w:val="28"/>
          <w:u w:color="auto"/>
        </w:rPr>
        <w:t xml:space="preserve">,主要原因是：奖金按实际金额列入指标</w:t>
      </w:r>
      <w:r>
        <w:rPr>
          <w:rFonts w:ascii="宋体" w:eastAsia="宋体" w:hAnsi="宋体" w:cs="宋体" w:hint="eastAsia"/>
          <w:sz w:val="28"/>
          <w:szCs w:val="28"/>
          <w:lang w:val="en-US" w:eastAsia="zh-CN"/>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商品和服务支出</w:t>
      </w:r>
      <w:r>
        <w:rPr>
          <w:rFonts w:ascii="宋体" w:eastAsia="宋体" w:hAnsi="宋体" w:cs="宋体" w:hint="eastAsia"/>
          <w:sz w:val="28"/>
          <w:szCs w:val="28"/>
          <w:lang w:val="en-US" w:eastAsia="zh-CN"/>
        </w:rPr>
        <w:t xml:space="preserve">0.35</w:t>
      </w:r>
      <w:r>
        <w:rPr>
          <w:rFonts w:ascii="宋体" w:eastAsia="宋体" w:hAnsi="宋体" w:cs="宋体" w:hint="eastAsia"/>
          <w:sz w:val="28"/>
          <w:szCs w:val="28"/>
        </w:rPr>
        <w:t xml:space="preserve">万元，占基本</w:t>
      </w:r>
      <w:r>
        <w:rPr>
          <w:rFonts w:ascii="宋体" w:eastAsia="宋体" w:hAnsi="宋体" w:cs="宋体" w:hint="eastAsia"/>
          <w:sz w:val="28"/>
          <w:szCs w:val="28"/>
        </w:rPr>
        <w:t xml:space="preserve">支出总预算</w:t>
      </w:r>
      <w:r>
        <w:rPr>
          <w:rFonts w:ascii="宋体" w:eastAsia="宋体" w:hAnsi="宋体" w:cs="宋体" w:hint="eastAsia"/>
          <w:sz w:val="28"/>
          <w:szCs w:val="28"/>
          <w:lang w:val="en-US" w:eastAsia="zh-CN"/>
        </w:rPr>
        <w:t xml:space="preserve">3.01%</w:t>
      </w:r>
      <w:r>
        <w:rPr>
          <w:rFonts w:ascii="宋体" w:eastAsia="宋体" w:hAnsi="宋体" w:cs="宋体" w:hint="eastAsia"/>
          <w:sz w:val="28"/>
          <w:szCs w:val="28"/>
        </w:rPr>
        <w:t xml:space="preserve">,比上年</w:t>
      </w:r>
      <w:r>
        <w:rPr>
          <w:rFonts w:ascii="宋体" w:eastAsia="宋体" w:hAnsi="宋体" w:cs="宋体"/>
          <w:sz w:val="28"/>
          <w:u w:color="auto"/>
        </w:rPr>
        <w:t xml:space="preserve">减少0.06</w:t>
      </w:r>
      <w:r>
        <w:rPr>
          <w:rFonts w:ascii="宋体" w:eastAsia="宋体" w:hAnsi="宋体" w:cs="宋体"/>
          <w:sz w:val="28"/>
          <w:u w:color="auto"/>
        </w:rPr>
        <w:t xml:space="preserve">万元，</w:t>
      </w:r>
      <w:r>
        <w:rPr>
          <w:rFonts w:ascii="宋体" w:eastAsia="宋体" w:hAnsi="宋体" w:cs="宋体"/>
          <w:sz w:val="28"/>
          <w:u w:color="auto"/>
        </w:rPr>
        <w:t xml:space="preserve">减少14.63%</w:t>
      </w:r>
      <w:r>
        <w:rPr>
          <w:rFonts w:ascii="宋体" w:eastAsia="宋体" w:hAnsi="宋体" w:cs="宋体"/>
          <w:sz w:val="28"/>
          <w:u w:color="auto"/>
        </w:rPr>
        <w:t xml:space="preserve">,主要原因是：2023年部分项目已支付</w:t>
      </w:r>
      <w:r>
        <w:rPr>
          <w:rFonts w:ascii="宋体" w:eastAsia="宋体" w:hAnsi="宋体" w:cs="宋体" w:hint="eastAsia"/>
          <w:sz w:val="28"/>
          <w:szCs w:val="28"/>
          <w:lang w:val="en-US" w:eastAsia="zh-CN"/>
        </w:rPr>
        <w:t xml:space="preserve">。</w:t>
      </w:r>
    </w:p>
    <w:p>
      <w:pPr>
        <w:pStyle w:val="Bodytext|1"/>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b w:val="0"/>
          <w:bCs w:val="0"/>
          <w:color w:val="000000"/>
          <w:sz w:val="28"/>
          <w:szCs w:val="28"/>
          <w:lang w:val="zh-TW" w:eastAsia="zh-TW" w:bidi="zh-TW"/>
        </w:rPr>
      </w:pPr>
      <w:r>
        <w:rPr>
          <w:rFonts w:ascii="宋体" w:eastAsia="宋体" w:hAnsi="宋体" w:cs="宋体" w:hint="eastAsia"/>
          <w:b w:val="0"/>
          <w:bCs w:val="0"/>
          <w:color w:val="000000"/>
          <w:sz w:val="28"/>
          <w:szCs w:val="28"/>
          <w:lang w:val="zh-TW" w:eastAsia="zh-TW" w:bidi="zh-TW"/>
        </w:rPr>
        <w:t xml:space="preserve">项目支出预算。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项目支出预算</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rPr>
        <w:t xml:space="preserve">万元，占支出预算</w:t>
      </w:r>
      <w:r>
        <w:rPr>
          <w:rFonts w:ascii="宋体" w:eastAsia="宋体" w:hAnsi="宋体" w:cs="宋体"/>
          <w:sz w:val="28"/>
          <w:u w:color="auto"/>
        </w:rPr>
        <w:t xml:space="preserve">0.00%</w:t>
      </w:r>
      <w:r>
        <w:rPr>
          <w:rFonts w:ascii="宋体" w:eastAsia="宋体" w:hAnsi="宋体" w:cs="宋体" w:hint="eastAsia"/>
          <w:sz w:val="28"/>
          <w:szCs w:val="28"/>
        </w:rPr>
        <w:t xml:space="preserve">,比上年</w:t>
      </w:r>
      <w:r>
        <w:rPr>
          <w:rFonts w:ascii="宋体" w:eastAsia="宋体" w:hAnsi="宋体" w:cs="宋体"/>
          <w:sz w:val="28"/>
          <w:u w:color="auto"/>
        </w:rPr>
        <w:t xml:space="preserve">增长0.00</w:t>
      </w:r>
      <w:r>
        <w:rPr>
          <w:rFonts w:ascii="宋体" w:eastAsia="宋体" w:hAnsi="宋体" w:cs="宋体" w:hint="eastAsia"/>
          <w:sz w:val="28"/>
          <w:szCs w:val="28"/>
        </w:rPr>
        <w:t xml:space="preserve">万元，</w:t>
      </w:r>
      <w:r>
        <w:rPr>
          <w:rFonts w:ascii="宋体" w:eastAsia="宋体" w:hAnsi="宋体" w:cs="宋体"/>
          <w:sz w:val="28"/>
          <w:u w:color="auto"/>
        </w:rPr>
        <w:t xml:space="preserve">增长0%</w:t>
      </w:r>
      <w:r>
        <w:rPr>
          <w:rFonts w:ascii="宋体" w:eastAsia="宋体" w:hAnsi="宋体" w:cs="宋体" w:hint="eastAsia"/>
          <w:sz w:val="28"/>
          <w:szCs w:val="28"/>
        </w:rPr>
        <w:t xml:space="preserve">。</w:t>
      </w:r>
      <w:bookmarkEnd w:id="14"/>
    </w:p>
    <w:p>
      <w:pPr>
        <w:pStyle w:val="Bodytext|2"/>
        <w:spacing w:after="0" w:line="619" w:lineRule="exact"/>
        <w:ind w:firstLine="620"/>
        <w:jc w:val="left"/>
        <w:rPr>
          <w:rFonts w:hint="eastAsia"/>
          <w:b/>
          <w:bCs/>
          <w:lang w:val="en-US" w:eastAsia="zh-CN"/>
        </w:rPr>
      </w:pPr>
      <w:r>
        <w:rPr>
          <w:rFonts w:hint="eastAsia"/>
          <w:b/>
          <w:bCs/>
          <w:lang w:val="en-US" w:eastAsia="zh-CN"/>
        </w:rPr>
        <w:t xml:space="preserve">四、财政拨款收支总体情况说明</w:t>
      </w:r>
    </w:p>
    <w:p>
      <w:pPr>
        <w:pStyle w:val="Bodytext|1"/>
        <w:spacing w:line="240" w:lineRule="auto"/>
        <w:ind w:firstLine="0"/>
        <w:jc w:val="left"/>
        <w:rPr>
          <w:lang w:val="en-US" w:eastAsia="zh-CN"/>
        </w:rPr>
      </w:pPr>
      <w:r>
        <w:rPr>
          <w:rFonts w:hint="eastAsia"/>
          <w:lang w:val="en-US" w:eastAsia="zh-CN"/>
        </w:rPr>
        <w:drawing>
          <wp:inline distT="0" distB="0" distL="114300" distR="114300">
            <wp:extent cx="5080000" cy="3810000"/>
            <wp:effectExtent l="4445" t="4445" r="5715" b="10795"/>
            <wp:docPr id="3946" name="图表 13" title="{{img_sz_c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8"/>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u w:color="auto"/>
        </w:rPr>
        <w:t xml:space="preserve">年</w:t>
      </w:r>
      <w:r>
        <w:rPr>
          <w:rFonts w:ascii="宋体" w:eastAsia="宋体" w:hAnsi="宋体" w:cs="宋体" w:hint="eastAsia"/>
          <w:sz w:val="28"/>
          <w:szCs w:val="28"/>
        </w:rPr>
        <w:t xml:space="preserve">财政拨款收入我部门财政拨款总收入</w:t>
      </w:r>
      <w:r>
        <w:rPr>
          <w:rFonts w:ascii="宋体" w:eastAsia="宋体" w:hAnsi="宋体" w:cs="宋体" w:hint="eastAsia"/>
          <w:sz w:val="28"/>
          <w:szCs w:val="28"/>
          <w:lang w:val="en-US" w:eastAsia="zh-CN" w:bidi="en-US"/>
        </w:rPr>
        <w:t xml:space="preserve">11.63</w:t>
      </w:r>
      <w:r>
        <w:rPr>
          <w:rFonts w:ascii="宋体" w:eastAsia="宋体" w:hAnsi="宋体" w:cs="宋体" w:hint="eastAsia"/>
          <w:sz w:val="28"/>
          <w:szCs w:val="28"/>
        </w:rPr>
        <w:t xml:space="preserve">万元，总支出</w:t>
      </w:r>
      <w:r>
        <w:rPr>
          <w:rFonts w:ascii="宋体" w:eastAsia="宋体" w:hAnsi="宋体" w:cs="宋体" w:hint="eastAsia"/>
          <w:sz w:val="28"/>
          <w:szCs w:val="28"/>
          <w:lang w:val="en-US" w:eastAsia="zh-CN" w:bidi="en-US"/>
        </w:rPr>
        <w:t xml:space="preserve">11.63</w:t>
      </w:r>
      <w:r>
        <w:rPr>
          <w:rFonts w:ascii="宋体" w:eastAsia="宋体" w:hAnsi="宋体" w:cs="宋体" w:hint="eastAsia"/>
          <w:sz w:val="28"/>
          <w:szCs w:val="28"/>
        </w:rPr>
        <w:t xml:space="preserve">万元。财政拨款总收入较2023年度预算数</w:t>
      </w:r>
      <w:r>
        <w:rPr>
          <w:rFonts w:ascii="宋体" w:eastAsia="宋体" w:hAnsi="宋体" w:cs="宋体" w:hint="eastAsia"/>
          <w:sz w:val="28"/>
          <w:szCs w:val="28"/>
          <w:lang w:val="en-US" w:eastAsia="zh-CN" w:bidi="en-US"/>
        </w:rPr>
        <w:t xml:space="preserve">8.90</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增加2.73</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增长30.67%</w:t>
      </w:r>
      <w:r>
        <w:rPr>
          <w:rFonts w:ascii="宋体" w:eastAsia="宋体" w:hAnsi="宋体" w:cs="宋体" w:hint="eastAsia"/>
          <w:sz w:val="28"/>
          <w:szCs w:val="28"/>
        </w:rPr>
        <w:t xml:space="preserve">，主要原因是</w:t>
      </w:r>
      <w:r>
        <w:rPr>
          <w:rFonts w:hint="eastAsia"/>
          <w:highlight w:val="none"/>
          <w:lang w:val="en-US" w:eastAsia="zh-CN"/>
        </w:rPr>
        <w:t xml:space="preserve">在编人员经费的增加、项目经费的增加</w:t>
      </w:r>
      <w:r>
        <w:rPr>
          <w:rFonts w:ascii="宋体" w:eastAsia="宋体" w:hAnsi="宋体" w:cs="宋体" w:hint="eastAsia"/>
          <w:sz w:val="28"/>
          <w:szCs w:val="28"/>
        </w:rPr>
        <w:t xml:space="preserve">。财政拨款总支出较2023年度预算数</w:t>
      </w:r>
      <w:r>
        <w:rPr>
          <w:rFonts w:ascii="宋体" w:eastAsia="宋体" w:hAnsi="宋体" w:cs="宋体" w:hint="eastAsia"/>
          <w:sz w:val="28"/>
          <w:szCs w:val="28"/>
          <w:lang w:val="en-US" w:eastAsia="zh-CN" w:bidi="en-US"/>
        </w:rPr>
        <w:t xml:space="preserve">8.90</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增加2.73</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增长30.67%</w:t>
      </w:r>
      <w:r>
        <w:rPr>
          <w:rFonts w:ascii="宋体" w:eastAsia="宋体" w:hAnsi="宋体" w:cs="宋体" w:hint="eastAsia"/>
          <w:sz w:val="28"/>
          <w:szCs w:val="28"/>
        </w:rPr>
        <w:t xml:space="preserve">，主要原因是</w:t>
      </w:r>
      <w:r>
        <w:rPr>
          <w:rFonts w:hint="eastAsia"/>
          <w:highlight w:val="none"/>
          <w:lang w:val="en-US" w:eastAsia="zh-CN"/>
        </w:rPr>
        <w:t xml:space="preserve">在编人员经费的增加、项目经费的增加</w:t>
      </w:r>
      <w:r>
        <w:rPr>
          <w:rFonts w:ascii="宋体" w:eastAsia="宋体" w:hAnsi="宋体" w:cs="宋体" w:hint="eastAsia"/>
          <w:sz w:val="28"/>
          <w:szCs w:val="28"/>
        </w:rPr>
        <w:t xml:space="preserve">。</w:t>
      </w:r>
    </w:p>
    <w:p>
      <w:pPr>
        <w:pStyle w:val="Bodytext|2"/>
        <w:spacing w:after="0" w:line="619" w:lineRule="exact"/>
        <w:ind w:firstLine="620"/>
        <w:jc w:val="left"/>
        <w:rPr>
          <w:rFonts w:hint="eastAsia"/>
          <w:b/>
          <w:bCs/>
          <w:lang w:val="en-US" w:eastAsia="zh-CN"/>
        </w:rPr>
      </w:pPr>
      <w:r>
        <w:rPr>
          <w:rFonts w:hint="eastAsia"/>
          <w:b/>
          <w:bCs/>
          <w:lang w:val="en-US" w:eastAsia="zh-CN"/>
        </w:rPr>
        <w:t xml:space="preserve">五、一般公共预算支出情况说明</w:t>
      </w:r>
    </w:p>
    <w:p>
      <w:pPr>
        <w:pStyle w:val="Bodytext|1"/>
        <w:spacing w:line="240" w:lineRule="auto"/>
        <w:ind w:firstLine="0"/>
        <w:jc w:val="left"/>
        <w:rPr>
          <w:lang w:eastAsia="zh-CN"/>
        </w:rPr>
      </w:pPr>
      <w:r>
        <w:rPr>
          <w:lang w:eastAsia="zh-CN"/>
        </w:rPr>
        <w:drawing>
          <wp:inline distT="0" distB="0" distL="114300" distR="114300">
            <wp:extent cx="5080000" cy="3810000"/>
            <wp:effectExtent l="4445" t="4445" r="20955" b="14605"/>
            <wp:docPr id="3947" name="图表 10" title="{{img_zc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9"/>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lang w:val="en-US" w:eastAsia="zh-CN"/>
        </w:rPr>
        <w:t xml:space="preserve">年</w:t>
      </w:r>
      <w:r>
        <w:rPr>
          <w:rFonts w:ascii="宋体" w:eastAsia="宋体" w:hAnsi="宋体" w:cs="宋体" w:hint="eastAsia"/>
          <w:sz w:val="28"/>
          <w:szCs w:val="28"/>
        </w:rPr>
        <w:t xml:space="preserve">一般公共预算支出共</w:t>
      </w:r>
      <w:r>
        <w:rPr>
          <w:rFonts w:ascii="宋体" w:eastAsia="宋体" w:hAnsi="宋体" w:cs="宋体" w:hint="eastAsia"/>
          <w:sz w:val="28"/>
          <w:szCs w:val="28"/>
          <w:lang w:val="en-US" w:eastAsia="zh-CN"/>
        </w:rPr>
        <w:t xml:space="preserve">11.63</w:t>
      </w:r>
      <w:r>
        <w:rPr>
          <w:rFonts w:ascii="宋体" w:eastAsia="宋体" w:hAnsi="宋体" w:cs="宋体" w:hint="eastAsia"/>
          <w:sz w:val="28"/>
          <w:szCs w:val="28"/>
        </w:rPr>
        <w:t xml:space="preserve">万元，较2023年度预算数</w:t>
      </w:r>
      <w:r>
        <w:rPr>
          <w:rFonts w:ascii="宋体" w:eastAsia="宋体" w:hAnsi="宋体" w:cs="宋体" w:hint="eastAsia"/>
          <w:sz w:val="28"/>
          <w:szCs w:val="28"/>
          <w:lang w:val="en-US" w:eastAsia="zh-CN"/>
        </w:rPr>
        <w:t xml:space="preserve">8.90</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增加2.73</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增长30.67%</w:t>
      </w:r>
      <w:r>
        <w:rPr>
          <w:rFonts w:ascii="宋体" w:eastAsia="宋体" w:hAnsi="宋体" w:cs="宋体" w:hint="eastAsia"/>
          <w:sz w:val="28"/>
          <w:szCs w:val="28"/>
        </w:rPr>
        <w:t xml:space="preserve">，主要原因是</w:t>
      </w:r>
      <w:r>
        <w:rPr>
          <w:rFonts w:hint="eastAsia"/>
          <w:highlight w:val="none"/>
          <w:lang w:val="en-US" w:eastAsia="zh-CN"/>
        </w:rPr>
        <w:t xml:space="preserve">项目资金追加，项目支出增加</w:t>
      </w:r>
      <w:r>
        <w:rPr>
          <w:rFonts w:ascii="宋体" w:eastAsia="宋体" w:hAnsi="宋体" w:cs="宋体" w:hint="eastAsia"/>
          <w:sz w:val="28"/>
          <w:szCs w:val="28"/>
        </w:rPr>
        <w:t xml:space="preserve">。中央提前下达2024年一般公共预算转移支付资金安排的支出</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rPr>
        <w:t xml:space="preserve">万元。具体情况为：</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一般公共服务支出</w:t>
      </w:r>
      <w:r>
        <w:rPr>
          <w:rFonts w:ascii="宋体" w:eastAsia="宋体" w:hAnsi="宋体" w:cs="宋体" w:hint="eastAsia"/>
          <w:sz w:val="28"/>
          <w:szCs w:val="28"/>
        </w:rPr>
        <w:t xml:space="preserve">（类）支出</w:t>
      </w:r>
      <w:r>
        <w:rPr>
          <w:rFonts w:ascii="宋体" w:eastAsia="宋体" w:hAnsi="宋体" w:cs="宋体"/>
          <w:sz w:val="28"/>
          <w:u w:color="auto"/>
        </w:rPr>
        <w:t xml:space="preserve">0.11</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0.95%</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0.17</w:t>
      </w:r>
      <w:r>
        <w:rPr>
          <w:rFonts w:ascii="宋体" w:eastAsia="宋体" w:hAnsi="宋体" w:cs="宋体" w:hint="eastAsia"/>
          <w:sz w:val="28"/>
          <w:szCs w:val="28"/>
        </w:rPr>
        <w:t xml:space="preserve">万元，</w:t>
      </w:r>
      <w:r>
        <w:rPr>
          <w:rFonts w:ascii="宋体" w:eastAsia="宋体" w:hAnsi="宋体" w:cs="宋体"/>
          <w:sz w:val="28"/>
          <w:u w:color="auto"/>
        </w:rPr>
        <w:t xml:space="preserve">减少0.06</w:t>
      </w:r>
      <w:r>
        <w:rPr>
          <w:rFonts w:ascii="宋体" w:eastAsia="宋体" w:hAnsi="宋体" w:cs="宋体" w:hint="eastAsia"/>
          <w:sz w:val="28"/>
          <w:szCs w:val="28"/>
        </w:rPr>
        <w:t xml:space="preserve">万元，</w:t>
      </w:r>
      <w:r>
        <w:rPr>
          <w:rFonts w:ascii="宋体" w:eastAsia="宋体" w:hAnsi="宋体" w:cs="宋体"/>
          <w:sz w:val="28"/>
          <w:u w:color="auto"/>
        </w:rPr>
        <w:t xml:space="preserve">减少35.29%</w:t>
      </w:r>
      <w:r>
        <w:rPr>
          <w:rFonts w:ascii="宋体" w:eastAsia="宋体" w:hAnsi="宋体" w:cs="宋体" w:hint="eastAsia"/>
          <w:sz w:val="28"/>
          <w:szCs w:val="28"/>
        </w:rPr>
        <w:t xml:space="preserve">，主要原因是：</w:t>
      </w:r>
      <w:r>
        <w:rPr>
          <w:rFonts w:hint="eastAsia"/>
          <w:highlight w:val="none"/>
        </w:rPr>
        <w:t xml:space="preserve">2023年已经支付大部分相关费用</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住房保障支出</w:t>
      </w:r>
      <w:r>
        <w:rPr>
          <w:rFonts w:ascii="宋体" w:eastAsia="宋体" w:hAnsi="宋体" w:cs="宋体" w:hint="eastAsia"/>
          <w:sz w:val="28"/>
          <w:szCs w:val="28"/>
        </w:rPr>
        <w:t xml:space="preserve">（类）支出</w:t>
      </w:r>
      <w:r>
        <w:rPr>
          <w:rFonts w:ascii="宋体" w:eastAsia="宋体" w:hAnsi="宋体" w:cs="宋体"/>
          <w:sz w:val="28"/>
          <w:u w:color="auto"/>
        </w:rPr>
        <w:t xml:space="preserve">1.20</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10.32%</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0.99</w:t>
      </w:r>
      <w:r>
        <w:rPr>
          <w:rFonts w:ascii="宋体" w:eastAsia="宋体" w:hAnsi="宋体" w:cs="宋体" w:hint="eastAsia"/>
          <w:sz w:val="28"/>
          <w:szCs w:val="28"/>
        </w:rPr>
        <w:t xml:space="preserve">万元，</w:t>
      </w:r>
      <w:r>
        <w:rPr>
          <w:rFonts w:ascii="宋体" w:eastAsia="宋体" w:hAnsi="宋体" w:cs="宋体"/>
          <w:sz w:val="28"/>
          <w:u w:color="auto"/>
        </w:rPr>
        <w:t xml:space="preserve">增长0.21</w:t>
      </w:r>
      <w:r>
        <w:rPr>
          <w:rFonts w:ascii="宋体" w:eastAsia="宋体" w:hAnsi="宋体" w:cs="宋体" w:hint="eastAsia"/>
          <w:sz w:val="28"/>
          <w:szCs w:val="28"/>
        </w:rPr>
        <w:t xml:space="preserve">万元，</w:t>
      </w:r>
      <w:r>
        <w:rPr>
          <w:rFonts w:ascii="宋体" w:eastAsia="宋体" w:hAnsi="宋体" w:cs="宋体"/>
          <w:sz w:val="28"/>
          <w:u w:color="auto"/>
        </w:rPr>
        <w:t xml:space="preserve">增长21.21%</w:t>
      </w:r>
      <w:r>
        <w:rPr>
          <w:rFonts w:ascii="宋体" w:eastAsia="宋体" w:hAnsi="宋体" w:cs="宋体" w:hint="eastAsia"/>
          <w:sz w:val="28"/>
          <w:szCs w:val="28"/>
        </w:rPr>
        <w:t xml:space="preserve">，主要原因是：</w:t>
      </w:r>
      <w:r>
        <w:rPr>
          <w:rFonts w:hint="eastAsia"/>
          <w:highlight w:val="none"/>
        </w:rPr>
        <w:t xml:space="preserve">公积金基数调整</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农林水支出</w:t>
      </w:r>
      <w:r>
        <w:rPr>
          <w:rFonts w:ascii="宋体" w:eastAsia="宋体" w:hAnsi="宋体" w:cs="宋体" w:hint="eastAsia"/>
          <w:sz w:val="28"/>
          <w:szCs w:val="28"/>
        </w:rPr>
        <w:t xml:space="preserve">（类）支出</w:t>
      </w:r>
      <w:r>
        <w:rPr>
          <w:rFonts w:ascii="宋体" w:eastAsia="宋体" w:hAnsi="宋体" w:cs="宋体"/>
          <w:sz w:val="28"/>
          <w:u w:color="auto"/>
        </w:rPr>
        <w:t xml:space="preserve">8.94</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76.87%</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6.41</w:t>
      </w:r>
      <w:r>
        <w:rPr>
          <w:rFonts w:ascii="宋体" w:eastAsia="宋体" w:hAnsi="宋体" w:cs="宋体" w:hint="eastAsia"/>
          <w:sz w:val="28"/>
          <w:szCs w:val="28"/>
        </w:rPr>
        <w:t xml:space="preserve">万元，</w:t>
      </w:r>
      <w:r>
        <w:rPr>
          <w:rFonts w:ascii="宋体" w:eastAsia="宋体" w:hAnsi="宋体" w:cs="宋体"/>
          <w:sz w:val="28"/>
          <w:u w:color="auto"/>
        </w:rPr>
        <w:t xml:space="preserve">增长2.53</w:t>
      </w:r>
      <w:r>
        <w:rPr>
          <w:rFonts w:ascii="宋体" w:eastAsia="宋体" w:hAnsi="宋体" w:cs="宋体" w:hint="eastAsia"/>
          <w:sz w:val="28"/>
          <w:szCs w:val="28"/>
        </w:rPr>
        <w:t xml:space="preserve">万元，</w:t>
      </w:r>
      <w:r>
        <w:rPr>
          <w:rFonts w:ascii="宋体" w:eastAsia="宋体" w:hAnsi="宋体" w:cs="宋体"/>
          <w:sz w:val="28"/>
          <w:u w:color="auto"/>
        </w:rPr>
        <w:t xml:space="preserve">增长39.47%</w:t>
      </w:r>
      <w:r>
        <w:rPr>
          <w:rFonts w:ascii="宋体" w:eastAsia="宋体" w:hAnsi="宋体" w:cs="宋体" w:hint="eastAsia"/>
          <w:sz w:val="28"/>
          <w:szCs w:val="28"/>
        </w:rPr>
        <w:t xml:space="preserve">，主要原因是：</w:t>
      </w:r>
      <w:r>
        <w:rPr>
          <w:rFonts w:hint="eastAsia"/>
          <w:highlight w:val="none"/>
        </w:rPr>
        <w:t xml:space="preserve">扶贫项目的增加。主要用于各项扶贫项目的资金投入</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社会保障和就业支出</w:t>
      </w:r>
      <w:r>
        <w:rPr>
          <w:rFonts w:ascii="宋体" w:eastAsia="宋体" w:hAnsi="宋体" w:cs="宋体" w:hint="eastAsia"/>
          <w:sz w:val="28"/>
          <w:szCs w:val="28"/>
        </w:rPr>
        <w:t xml:space="preserve">（类）支出</w:t>
      </w:r>
      <w:r>
        <w:rPr>
          <w:rFonts w:ascii="宋体" w:eastAsia="宋体" w:hAnsi="宋体" w:cs="宋体"/>
          <w:sz w:val="28"/>
          <w:u w:color="auto"/>
        </w:rPr>
        <w:t xml:space="preserve">1.38</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11.87%</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1.33</w:t>
      </w:r>
      <w:r>
        <w:rPr>
          <w:rFonts w:ascii="宋体" w:eastAsia="宋体" w:hAnsi="宋体" w:cs="宋体" w:hint="eastAsia"/>
          <w:sz w:val="28"/>
          <w:szCs w:val="28"/>
        </w:rPr>
        <w:t xml:space="preserve">万元，</w:t>
      </w:r>
      <w:r>
        <w:rPr>
          <w:rFonts w:ascii="宋体" w:eastAsia="宋体" w:hAnsi="宋体" w:cs="宋体"/>
          <w:sz w:val="28"/>
          <w:u w:color="auto"/>
        </w:rPr>
        <w:t xml:space="preserve">增长0.05</w:t>
      </w:r>
      <w:r>
        <w:rPr>
          <w:rFonts w:ascii="宋体" w:eastAsia="宋体" w:hAnsi="宋体" w:cs="宋体" w:hint="eastAsia"/>
          <w:sz w:val="28"/>
          <w:szCs w:val="28"/>
        </w:rPr>
        <w:t xml:space="preserve">万元，</w:t>
      </w:r>
      <w:r>
        <w:rPr>
          <w:rFonts w:ascii="宋体" w:eastAsia="宋体" w:hAnsi="宋体" w:cs="宋体"/>
          <w:sz w:val="28"/>
          <w:u w:color="auto"/>
        </w:rPr>
        <w:t xml:space="preserve">增长3.76%</w:t>
      </w:r>
      <w:r>
        <w:rPr>
          <w:rFonts w:ascii="宋体" w:eastAsia="宋体" w:hAnsi="宋体" w:cs="宋体" w:hint="eastAsia"/>
          <w:sz w:val="28"/>
          <w:szCs w:val="28"/>
        </w:rPr>
        <w:t xml:space="preserve">，主要原因是：</w:t>
      </w:r>
      <w:r>
        <w:rPr>
          <w:rFonts w:hint="eastAsia"/>
          <w:highlight w:val="none"/>
        </w:rPr>
        <w:t xml:space="preserve">保险基数调整</w:t>
      </w:r>
      <w:r>
        <w:rPr>
          <w:rFonts w:ascii="宋体" w:eastAsia="宋体" w:hAnsi="宋体" w:cs="宋体" w:hint="eastAsia"/>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六、一般公共预算基本支出情况说明</w:t>
      </w:r>
    </w:p>
    <w:p>
      <w:pPr>
        <w:pStyle w:val="Bodytext|2"/>
        <w:spacing w:after="0"/>
        <w:ind w:firstLine="0"/>
        <w:jc w:val="left"/>
        <w:rPr>
          <w:highlight w:val="yellow"/>
          <w:lang w:val="en-US" w:eastAsia="zh-CN"/>
        </w:rPr>
      </w:pPr>
      <w:r>
        <w:rPr>
          <w:highlight w:val="none"/>
          <w:lang w:val="en-US" w:eastAsia="zh-CN"/>
        </w:rPr>
        <w:drawing>
          <wp:inline distT="0" distB="0" distL="114300" distR="114300">
            <wp:extent cx="5080000" cy="3810000"/>
            <wp:effectExtent l="4445" t="4445" r="20955" b="14605"/>
            <wp:docPr id="3948" name="图表 3" title="{{rep6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0"/>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lang w:val="en-US" w:eastAsia="zh-CN"/>
        </w:rPr>
      </w:pPr>
      <w:r>
        <w:rPr>
          <w:rFonts w:hint="eastAsia"/>
          <w:lang w:val="en-US" w:eastAsia="zh-CN"/>
        </w:rPr>
        <w:t xml:space="preserve">2024</w:t>
      </w:r>
      <w:r>
        <w:rPr>
          <w:u w:color="auto"/>
        </w:rPr>
        <w:t xml:space="preserve">年</w:t>
      </w:r>
      <w:r>
        <w:rPr>
          <w:rFonts w:hint="eastAsia"/>
        </w:rPr>
        <w:t xml:space="preserve">一般公共预算基本支出共</w:t>
      </w:r>
      <w:r>
        <w:rPr>
          <w:rFonts w:hint="eastAsia"/>
          <w:lang w:val="en-US" w:eastAsia="zh-CN"/>
        </w:rPr>
        <w:t xml:space="preserve">11.63</w:t>
      </w:r>
      <w:r>
        <w:rPr>
          <w:rFonts w:hint="eastAsia"/>
        </w:rPr>
        <w:t xml:space="preserve">万元，较2023年度预算数</w:t>
      </w:r>
      <w:r>
        <w:rPr>
          <w:rFonts w:hint="eastAsia"/>
          <w:lang w:val="en-US" w:eastAsia="zh-CN"/>
        </w:rPr>
        <w:t xml:space="preserve">8.90</w:t>
      </w:r>
      <w:r>
        <w:rPr>
          <w:rFonts w:hint="eastAsia"/>
        </w:rPr>
        <w:t xml:space="preserve">万元</w:t>
      </w:r>
      <w:r>
        <w:rPr>
          <w:rFonts w:hint="eastAsia"/>
          <w:lang w:val="en-US" w:eastAsia="zh-CN"/>
        </w:rPr>
        <w:t xml:space="preserve">,</w:t>
      </w:r>
      <w:r>
        <w:rPr>
          <w:u w:color="auto"/>
        </w:rPr>
        <w:t xml:space="preserve">增加2.73</w:t>
      </w:r>
      <w:r>
        <w:rPr>
          <w:rFonts w:hint="eastAsia"/>
        </w:rPr>
        <w:t xml:space="preserve">万元，</w:t>
      </w:r>
      <w:r>
        <w:rPr>
          <w:rFonts w:hint="eastAsia"/>
          <w:lang w:val="en-US" w:eastAsia="zh-CN"/>
        </w:rPr>
        <w:t xml:space="preserve">增长30.67%</w:t>
      </w:r>
      <w:r>
        <w:rPr>
          <w:rFonts w:hint="eastAsia"/>
        </w:rPr>
        <w:t xml:space="preserve">，主要原因是</w:t>
      </w:r>
      <w:r>
        <w:rPr>
          <w:rFonts w:hint="eastAsia"/>
          <w:highlight w:val="none"/>
          <w:lang w:val="en-US" w:eastAsia="zh-CN"/>
        </w:rPr>
        <w:t xml:space="preserve">项目资金追加，项目支出增加</w:t>
      </w:r>
      <w:r>
        <w:rPr>
          <w:rFonts w:hint="eastAsia"/>
        </w:rPr>
        <w:t xml:space="preserve">。具体情况为：</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工资福利支出</w:t>
      </w:r>
      <w:r>
        <w:rPr>
          <w:rFonts w:hint="eastAsia"/>
        </w:rPr>
        <w:t xml:space="preserve">支出预算</w:t>
      </w:r>
      <w:r>
        <w:rPr>
          <w:rFonts w:hint="eastAsia"/>
          <w:lang w:val="en-US" w:eastAsia="zh-CN"/>
        </w:rPr>
        <w:t xml:space="preserve">11.28</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96.99%</w:t>
      </w:r>
      <w:r>
        <w:rPr>
          <w:rFonts w:hint="eastAsia"/>
        </w:rPr>
        <w:t xml:space="preserve">，较2023年度预算数</w:t>
      </w:r>
      <w:r>
        <w:rPr>
          <w:rFonts w:hint="eastAsia"/>
          <w:lang w:val="en-US" w:eastAsia="zh-CN"/>
        </w:rPr>
        <w:t xml:space="preserve">8.49</w:t>
      </w:r>
      <w:r>
        <w:rPr>
          <w:rFonts w:hint="eastAsia"/>
        </w:rPr>
        <w:t xml:space="preserve">万元，</w:t>
      </w:r>
      <w:r>
        <w:rPr>
          <w:rFonts w:hint="eastAsia"/>
          <w:lang w:val="en-US" w:eastAsia="zh-CN"/>
        </w:rPr>
        <w:t xml:space="preserve">增长2.79</w:t>
      </w:r>
      <w:r>
        <w:rPr>
          <w:rFonts w:hint="eastAsia"/>
        </w:rPr>
        <w:t xml:space="preserve">万元，</w:t>
      </w:r>
      <w:r>
        <w:rPr>
          <w:rFonts w:hint="eastAsia"/>
          <w:lang w:val="en-US" w:eastAsia="zh-CN"/>
        </w:rPr>
        <w:t xml:space="preserve">增长32.86%</w:t>
      </w:r>
      <w:r>
        <w:rPr>
          <w:rFonts w:hint="eastAsia"/>
        </w:rPr>
        <w:t xml:space="preserve">，主要原因是：</w:t>
      </w:r>
      <w:r>
        <w:rPr>
          <w:rFonts w:hint="eastAsia"/>
          <w:highlight w:val="none"/>
        </w:rPr>
        <w:t xml:space="preserve">绩效随工资发放</w:t>
      </w:r>
      <w:r>
        <w:rPr>
          <w:rFonts w:hint="eastAsia"/>
          <w:highlight w:val="none"/>
          <w:lang w:val="en-US"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商品和服务支出</w:t>
      </w:r>
      <w:r>
        <w:rPr>
          <w:rFonts w:hint="eastAsia"/>
        </w:rPr>
        <w:t xml:space="preserve">支出预算</w:t>
      </w:r>
      <w:r>
        <w:rPr>
          <w:rFonts w:hint="eastAsia"/>
          <w:lang w:val="en-US" w:eastAsia="zh-CN"/>
        </w:rPr>
        <w:t xml:space="preserve">0.35</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3.01%</w:t>
      </w:r>
      <w:r>
        <w:rPr>
          <w:rFonts w:hint="eastAsia"/>
        </w:rPr>
        <w:t xml:space="preserve">，较2023年度预算数</w:t>
      </w:r>
      <w:r>
        <w:rPr>
          <w:rFonts w:hint="eastAsia"/>
          <w:lang w:val="en-US" w:eastAsia="zh-CN"/>
        </w:rPr>
        <w:t xml:space="preserve">0.41</w:t>
      </w:r>
      <w:r>
        <w:rPr>
          <w:rFonts w:hint="eastAsia"/>
        </w:rPr>
        <w:t xml:space="preserve">万元，</w:t>
      </w:r>
      <w:r>
        <w:rPr>
          <w:rFonts w:hint="eastAsia"/>
          <w:lang w:val="en-US" w:eastAsia="zh-CN"/>
        </w:rPr>
        <w:t xml:space="preserve">减少0.06</w:t>
      </w:r>
      <w:r>
        <w:rPr>
          <w:rFonts w:hint="eastAsia"/>
        </w:rPr>
        <w:t xml:space="preserve">万元，</w:t>
      </w:r>
      <w:r>
        <w:rPr>
          <w:rFonts w:hint="eastAsia"/>
          <w:lang w:val="en-US" w:eastAsia="zh-CN"/>
        </w:rPr>
        <w:t xml:space="preserve">减少14.63%</w:t>
      </w:r>
      <w:r>
        <w:rPr>
          <w:rFonts w:hint="eastAsia"/>
        </w:rPr>
        <w:t xml:space="preserve">，主要原因是：</w:t>
      </w:r>
      <w:r>
        <w:rPr>
          <w:rFonts w:hint="eastAsia"/>
          <w:highlight w:val="none"/>
        </w:rPr>
        <w:t xml:space="preserve">严格控制支出</w:t>
      </w:r>
      <w:r>
        <w:rPr>
          <w:rFonts w:hint="eastAsia"/>
          <w:highlight w:val="none"/>
          <w:lang w:val="en-US" w:eastAsia="zh-CN"/>
        </w:rPr>
        <w:t xml:space="preserve">。</w:t>
      </w:r>
    </w:p>
    <w:p>
      <w:pPr>
        <w:pStyle w:val="Bodytext|2"/>
        <w:spacing w:after="0" w:line="619" w:lineRule="exact"/>
        <w:ind w:firstLine="620"/>
        <w:jc w:val="left"/>
        <w:rPr>
          <w:rFonts w:hint="eastAsia"/>
          <w:b/>
          <w:bCs/>
        </w:rPr>
      </w:pPr>
      <w:r>
        <w:rPr>
          <w:rFonts w:hint="eastAsia"/>
          <w:b/>
          <w:bCs/>
          <w:lang w:val="en-US" w:eastAsia="zh-CN"/>
        </w:rPr>
        <w:t xml:space="preserve">七、一般公共预算</w:t>
      </w:r>
      <w:r>
        <w:rPr>
          <w:rFonts w:hint="eastAsia"/>
          <w:b/>
          <w:bCs/>
          <w:lang w:val="zh-CN" w:eastAsia="zh-CN"/>
        </w:rPr>
        <w:t xml:space="preserve">“三</w:t>
      </w:r>
      <w:r>
        <w:rPr>
          <w:rFonts w:hint="eastAsia"/>
          <w:b/>
          <w:bCs/>
          <w:lang w:val="en-US" w:eastAsia="zh-CN"/>
        </w:rPr>
        <w:t xml:space="preserve">公”经费支出情况说明</w:t>
      </w:r>
    </w:p>
    <w:p>
      <w:pPr>
        <w:pStyle w:val="Bodytext|2"/>
        <w:spacing w:after="0"/>
        <w:ind w:firstLine="0"/>
        <w:jc w:val="left"/>
        <w:rPr>
          <w:highlight w:val="yellow"/>
          <w:lang w:val="en-US" w:eastAsia="zh-CN"/>
        </w:rPr>
      </w:pPr>
      <w:r>
        <w:rPr>
          <w:rFonts w:hint="eastAsia"/>
          <w:highlight w:val="none"/>
          <w:lang w:val="en-US" w:eastAsia="zh-CN"/>
        </w:rPr>
        <w:drawing>
          <wp:inline distT="0" distB="0" distL="114300" distR="114300">
            <wp:extent cx="5080000" cy="3810000"/>
            <wp:effectExtent l="4445" t="4445" r="5715" b="10795"/>
            <wp:docPr id="3949" name="图表 23" title="{{img_sgzc_ys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1"/>
              </a:graphicData>
            </a:graphic>
          </wp:inline>
        </w:drawing>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lang w:eastAsia="zh-CN"/>
        </w:rPr>
      </w:pPr>
      <w:bookmarkStart w:id="15" w:name="bookmark90"/>
      <w:r>
        <w:rPr>
          <w:rFonts w:hint="eastAsia"/>
          <w:b w:val="0"/>
          <w:bCs w:val="0"/>
          <w:sz w:val="28"/>
          <w:szCs w:val="28"/>
          <w:lang w:eastAsia="zh-CN"/>
        </w:rPr>
        <w:t xml:space="preserve">（</w:t>
      </w:r>
      <w:r>
        <w:rPr>
          <w:rFonts w:hint="eastAsia"/>
          <w:b w:val="0"/>
          <w:bCs w:val="0"/>
          <w:sz w:val="28"/>
          <w:szCs w:val="28"/>
          <w:lang w:val="en-US" w:eastAsia="zh-CN"/>
        </w:rPr>
        <w:t xml:space="preserve">一</w:t>
      </w:r>
      <w:r>
        <w:rPr>
          <w:rFonts w:hint="eastAsia"/>
          <w:b w:val="0"/>
          <w:bCs w:val="0"/>
          <w:sz w:val="28"/>
          <w:szCs w:val="28"/>
          <w:lang w:eastAsia="zh-CN"/>
        </w:rPr>
        <w:t xml:space="preserve">）</w:t>
      </w:r>
      <w:r>
        <w:rPr>
          <w:sz w:val="28"/>
          <w:u w:color="auto"/>
        </w:rPr>
        <w:t xml:space="preserve">2024</w:t>
      </w:r>
      <w:r>
        <w:rPr>
          <w:sz w:val="28"/>
          <w:u w:color="auto"/>
        </w:rPr>
        <w:t xml:space="preserve">年部门预算共安排</w:t>
      </w:r>
      <w:r>
        <w:rPr>
          <w:rFonts w:hint="eastAsia"/>
          <w:b w:val="0"/>
          <w:bCs w:val="0"/>
          <w:sz w:val="28"/>
          <w:szCs w:val="28"/>
          <w:lang w:val="zh-CN" w:eastAsia="zh-CN"/>
        </w:rPr>
        <w:t xml:space="preserve">“三公</w:t>
      </w:r>
      <w:r>
        <w:rPr>
          <w:rFonts w:hint="eastAsia"/>
          <w:b w:val="0"/>
          <w:bCs w:val="0"/>
          <w:sz w:val="28"/>
          <w:szCs w:val="28"/>
          <w:lang w:val="en-US" w:eastAsia="zh-CN"/>
        </w:rPr>
        <w:t xml:space="preserve">"</w:t>
      </w:r>
      <w:r>
        <w:rPr>
          <w:rFonts w:hint="eastAsia"/>
          <w:b w:val="0"/>
          <w:bCs w:val="0"/>
          <w:sz w:val="28"/>
          <w:szCs w:val="28"/>
          <w:lang w:eastAsia="zh-CN"/>
        </w:rPr>
        <w:t xml:space="preserve">经费支出预算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万元（全口径），其中：因公出国（境）经费支出预算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万元，公务接待费支出预算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万元，公务用车购置及运行费支出预算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万元（公务用车购置费</w:t>
      </w:r>
      <w:r>
        <w:rPr>
          <w:rFonts w:hint="eastAsia"/>
          <w:b w:val="0"/>
          <w:bCs w:val="0"/>
          <w:sz w:val="28"/>
          <w:szCs w:val="28"/>
          <w:lang w:val="en-US" w:eastAsia="zh-CN"/>
        </w:rPr>
        <w:t xml:space="preserve">0.00</w:t>
      </w:r>
      <w:r>
        <w:rPr>
          <w:rFonts w:hint="eastAsia"/>
          <w:b w:val="0"/>
          <w:bCs w:val="0"/>
          <w:sz w:val="28"/>
          <w:szCs w:val="28"/>
          <w:lang w:eastAsia="zh-CN"/>
        </w:rPr>
        <w:t xml:space="preserve">万元,公务用车运行维护费</w:t>
      </w:r>
      <w:r>
        <w:rPr>
          <w:rFonts w:hint="eastAsia"/>
          <w:b w:val="0"/>
          <w:bCs w:val="0"/>
          <w:sz w:val="28"/>
          <w:szCs w:val="28"/>
          <w:lang w:val="en-US" w:eastAsia="zh-CN"/>
        </w:rPr>
        <w:t xml:space="preserve">0.00</w:t>
      </w:r>
      <w:r>
        <w:rPr>
          <w:rFonts w:hint="eastAsia"/>
          <w:b w:val="0"/>
          <w:bCs w:val="0"/>
          <w:sz w:val="28"/>
          <w:szCs w:val="28"/>
          <w:lang w:eastAsia="zh-CN"/>
        </w:rPr>
        <w:t xml:space="preserve">万元）。</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lang w:eastAsia="zh-CN"/>
        </w:rPr>
        <w:t xml:space="preserve">（</w:t>
      </w:r>
      <w:r>
        <w:rPr>
          <w:rFonts w:hint="eastAsia"/>
          <w:b w:val="0"/>
          <w:bCs w:val="0"/>
          <w:sz w:val="28"/>
          <w:szCs w:val="28"/>
          <w:lang w:val="en-US" w:eastAsia="zh-CN"/>
        </w:rPr>
        <w:t xml:space="preserve">二</w:t>
      </w:r>
      <w:r>
        <w:rPr>
          <w:rFonts w:hint="eastAsia"/>
          <w:b w:val="0"/>
          <w:bCs w:val="0"/>
          <w:sz w:val="28"/>
          <w:szCs w:val="28"/>
          <w:lang w:eastAsia="zh-CN"/>
        </w:rPr>
        <w:t xml:space="preserve">）</w:t>
      </w:r>
      <w:r>
        <w:rPr>
          <w:sz w:val="28"/>
          <w:u w:color="auto"/>
        </w:rPr>
        <w:t xml:space="preserve">2024</w:t>
      </w:r>
      <w:r>
        <w:rPr>
          <w:rFonts w:hint="eastAsia"/>
          <w:b w:val="0"/>
          <w:bCs w:val="0"/>
          <w:sz w:val="28"/>
          <w:szCs w:val="28"/>
        </w:rPr>
        <w:t xml:space="preserve">年一般公共预算安排的“三公”经费支出预算</w:t>
      </w:r>
      <w:r>
        <w:rPr>
          <w:rFonts w:hint="eastAsia"/>
          <w:b w:val="0"/>
          <w:bCs w:val="0"/>
          <w:sz w:val="28"/>
          <w:szCs w:val="28"/>
          <w:lang w:val="en-US" w:eastAsia="zh-CN"/>
        </w:rPr>
        <w:t xml:space="preserve">0.00</w:t>
      </w:r>
      <w:r>
        <w:rPr>
          <w:rFonts w:hint="eastAsia"/>
          <w:b w:val="0"/>
          <w:bCs w:val="0"/>
          <w:sz w:val="28"/>
          <w:szCs w:val="28"/>
        </w:rPr>
        <w:t xml:space="preserve">万元，同口径较2023年度预算数</w:t>
      </w:r>
      <w:r>
        <w:rPr>
          <w:rFonts w:hint="eastAsia"/>
          <w:b w:val="0"/>
          <w:bCs w:val="0"/>
          <w:sz w:val="28"/>
          <w:szCs w:val="28"/>
          <w:lang w:val="en-US" w:eastAsia="zh-CN"/>
        </w:rPr>
        <w:t xml:space="preserve">0.00</w:t>
      </w:r>
      <w:r>
        <w:rPr>
          <w:rFonts w:hint="eastAsia"/>
          <w:b w:val="0"/>
          <w:bCs w:val="0"/>
          <w:sz w:val="28"/>
          <w:szCs w:val="28"/>
        </w:rPr>
        <w:t xml:space="preserve">万元，</w:t>
      </w:r>
      <w:r>
        <w:rPr>
          <w:rFonts w:hint="eastAsia"/>
          <w:b w:val="0"/>
          <w:bCs w:val="0"/>
          <w:sz w:val="28"/>
          <w:szCs w:val="28"/>
          <w:lang w:val="en-US" w:eastAsia="zh-CN"/>
        </w:rPr>
        <w:t xml:space="preserve">增长0.00</w:t>
      </w:r>
      <w:r>
        <w:rPr>
          <w:rFonts w:hint="eastAsia"/>
          <w:b w:val="0"/>
          <w:bCs w:val="0"/>
          <w:sz w:val="28"/>
          <w:szCs w:val="28"/>
        </w:rPr>
        <w:t xml:space="preserve">万元，</w:t>
      </w:r>
      <w:r>
        <w:rPr>
          <w:rFonts w:hint="eastAsia"/>
          <w:b w:val="0"/>
          <w:bCs w:val="0"/>
          <w:sz w:val="28"/>
          <w:szCs w:val="28"/>
          <w:lang w:val="en-US" w:eastAsia="zh-CN"/>
        </w:rPr>
        <w:t xml:space="preserve">增长0%</w:t>
      </w:r>
      <w:r>
        <w:rPr>
          <w:rFonts w:hint="eastAsia"/>
          <w:b w:val="0"/>
          <w:bCs w:val="0"/>
          <w:sz w:val="28"/>
          <w:szCs w:val="28"/>
        </w:rPr>
        <w:t xml:space="preserve">，具体如下：</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1.因公出国（境）费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无因公出国（境）</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2.公务接待费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部门接待统一由政府结算</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 xml:space="preserve">3.公务用车购置及运行费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，其中：</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公务用车购置费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无公务用车购置</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 xml:space="preserve">公务用车运行维护费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无公务用车</w:t>
      </w:r>
      <w:r>
        <w:rPr>
          <w:rFonts w:hint="eastAsia"/>
          <w:b w:val="0"/>
          <w:bCs w:val="0"/>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八</w:t>
      </w:r>
      <w:bookmarkEnd w:id="15"/>
      <w:r>
        <w:rPr>
          <w:rFonts w:hint="eastAsia"/>
          <w:b/>
          <w:bCs/>
          <w:lang w:val="en-US" w:eastAsia="zh-CN"/>
        </w:rPr>
        <w:t xml:space="preserve">、政府性基金预算支出情况说明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eastAsia="宋体" w:hint="eastAsia"/>
          <w:sz w:val="28"/>
          <w:szCs w:val="28"/>
          <w:lang w:eastAsia="zh-CN"/>
        </w:rPr>
      </w:pPr>
      <w:r>
        <w:rPr>
          <w:rFonts w:hint="eastAsia"/>
          <w:sz w:val="28"/>
          <w:szCs w:val="28"/>
        </w:rPr>
        <w:t xml:space="preserve">我部门</w:t>
      </w:r>
      <w:r>
        <w:rPr>
          <w:rFonts w:hint="eastAsia"/>
          <w:b w:val="0"/>
          <w:bCs w:val="0"/>
          <w:sz w:val="28"/>
          <w:szCs w:val="28"/>
          <w:lang w:eastAsia="zh-CN"/>
        </w:rPr>
        <w:t xml:space="preserve">2024</w:t>
      </w:r>
      <w:r>
        <w:rPr>
          <w:rFonts w:hint="eastAsia"/>
          <w:sz w:val="28"/>
          <w:szCs w:val="28"/>
        </w:rPr>
        <w:t xml:space="preserve">年政府性基金预算支出共</w:t>
      </w:r>
      <w:r>
        <w:rPr>
          <w:rFonts w:hint="eastAsia"/>
          <w:b w:val="0"/>
          <w:bCs w:val="0"/>
          <w:sz w:val="28"/>
          <w:szCs w:val="28"/>
          <w:lang w:eastAsia="zh-CN"/>
        </w:rPr>
        <w:t xml:space="preserve">0.00</w:t>
      </w:r>
      <w:r>
        <w:rPr>
          <w:rFonts w:hint="eastAsia"/>
          <w:sz w:val="28"/>
          <w:szCs w:val="28"/>
        </w:rPr>
        <w:t xml:space="preserve">万元，较2023年度预算数</w:t>
      </w:r>
      <w:r>
        <w:rPr>
          <w:rFonts w:hint="eastAsia"/>
          <w:b w:val="0"/>
          <w:bCs w:val="0"/>
          <w:sz w:val="28"/>
          <w:szCs w:val="28"/>
          <w:lang w:eastAsia="zh-CN"/>
        </w:rPr>
        <w:t xml:space="preserve">0.00</w:t>
      </w:r>
      <w:r>
        <w:rPr>
          <w:rFonts w:hint="eastAsia"/>
          <w:sz w:val="28"/>
          <w:szCs w:val="28"/>
        </w:rPr>
        <w:t xml:space="preserve">万元，</w:t>
      </w:r>
      <w:r>
        <w:rPr>
          <w:rFonts w:hint="eastAsia"/>
          <w:b w:val="0"/>
          <w:bCs w:val="0"/>
          <w:sz w:val="28"/>
          <w:szCs w:val="28"/>
          <w:lang w:eastAsia="zh-CN"/>
        </w:rPr>
        <w:t xml:space="preserve">增加0.00</w:t>
      </w:r>
      <w:r>
        <w:rPr>
          <w:rFonts w:hint="eastAsia"/>
          <w:sz w:val="28"/>
          <w:szCs w:val="28"/>
        </w:rPr>
        <w:t xml:space="preserve">万元，</w:t>
      </w:r>
      <w:r>
        <w:rPr>
          <w:rFonts w:hint="eastAsia"/>
          <w:b w:val="0"/>
          <w:bCs w:val="0"/>
          <w:sz w:val="28"/>
          <w:szCs w:val="28"/>
          <w:lang w:eastAsia="zh-CN"/>
        </w:rPr>
        <w:t xml:space="preserve">增长0%</w:t>
      </w:r>
      <w:r>
        <w:rPr>
          <w:rFonts w:hint="eastAsia"/>
          <w:sz w:val="28"/>
          <w:szCs w:val="28"/>
        </w:rPr>
        <w:t xml:space="preserve">，主要原因是</w:t>
      </w:r>
      <w:r>
        <w:rPr>
          <w:rFonts w:hint="eastAsia"/>
          <w:sz w:val="28"/>
          <w:szCs w:val="28"/>
          <w:highlight w:val="none"/>
          <w:lang w:val="en-US" w:eastAsia="zh-CN"/>
        </w:rPr>
        <w:t xml:space="preserve">我部门2024年部门预算无政府性基金预算</w:t>
      </w:r>
      <w:r>
        <w:rPr>
          <w:rFonts w:hint="eastAsia"/>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6" w:name="bookmark91"/>
      <w:r>
        <w:rPr>
          <w:rFonts w:hint="eastAsia"/>
          <w:b/>
          <w:bCs/>
          <w:lang w:val="en-US" w:eastAsia="zh-CN"/>
        </w:rPr>
        <w:t xml:space="preserve">九</w:t>
      </w:r>
      <w:bookmarkEnd w:id="16"/>
      <w:r>
        <w:rPr>
          <w:rFonts w:hint="eastAsia"/>
          <w:b/>
          <w:bCs/>
          <w:lang w:val="en-US" w:eastAsia="zh-CN"/>
        </w:rPr>
        <w:t xml:space="preserve">、国有资本经营预算支出情况说明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eastAsia="宋体" w:hint="eastAsia"/>
          <w:sz w:val="28"/>
          <w:szCs w:val="28"/>
          <w:lang w:eastAsia="zh-CN"/>
        </w:rPr>
      </w:pPr>
      <w:r>
        <w:rPr>
          <w:rFonts w:hint="eastAsia"/>
          <w:sz w:val="28"/>
          <w:szCs w:val="28"/>
        </w:rPr>
        <w:t xml:space="preserve">我部门</w:t>
      </w:r>
      <w:r>
        <w:rPr>
          <w:rFonts w:hint="eastAsia"/>
          <w:sz w:val="28"/>
          <w:szCs w:val="28"/>
          <w:lang w:eastAsia="zh-CN"/>
        </w:rPr>
        <w:t xml:space="preserve">2024</w:t>
      </w:r>
      <w:r>
        <w:rPr>
          <w:rFonts w:hint="eastAsia"/>
          <w:sz w:val="28"/>
          <w:szCs w:val="28"/>
        </w:rPr>
        <w:t xml:space="preserve">年国有资本经营预算支出共</w:t>
      </w:r>
      <w:r>
        <w:rPr>
          <w:rFonts w:hint="eastAsia"/>
          <w:sz w:val="28"/>
          <w:szCs w:val="28"/>
          <w:lang w:eastAsia="zh-CN"/>
        </w:rPr>
        <w:t xml:space="preserve">0.00</w:t>
      </w:r>
      <w:r>
        <w:rPr>
          <w:rFonts w:hint="eastAsia"/>
          <w:sz w:val="28"/>
          <w:szCs w:val="28"/>
        </w:rPr>
        <w:t xml:space="preserve">万元，较2023年度预算数</w:t>
      </w:r>
      <w:r>
        <w:rPr>
          <w:rFonts w:hint="eastAsia"/>
          <w:sz w:val="28"/>
          <w:szCs w:val="28"/>
          <w:lang w:eastAsia="zh-CN"/>
        </w:rPr>
        <w:t xml:space="preserve">0.00</w:t>
      </w:r>
      <w:r>
        <w:rPr>
          <w:rFonts w:hint="eastAsia"/>
          <w:sz w:val="28"/>
          <w:szCs w:val="28"/>
        </w:rPr>
        <w:t xml:space="preserve">万元，</w:t>
      </w:r>
      <w:r>
        <w:rPr>
          <w:rFonts w:hint="eastAsia"/>
          <w:sz w:val="28"/>
          <w:szCs w:val="28"/>
          <w:lang w:eastAsia="zh-CN"/>
        </w:rPr>
        <w:t xml:space="preserve">增加0.00</w:t>
      </w:r>
      <w:r>
        <w:rPr>
          <w:rFonts w:hint="eastAsia"/>
          <w:sz w:val="28"/>
          <w:szCs w:val="28"/>
        </w:rPr>
        <w:t xml:space="preserve">万元，</w:t>
      </w:r>
      <w:r>
        <w:rPr>
          <w:rFonts w:hint="eastAsia"/>
          <w:sz w:val="28"/>
          <w:szCs w:val="28"/>
          <w:lang w:eastAsia="zh-CN"/>
        </w:rPr>
        <w:t xml:space="preserve">增长0%</w:t>
      </w:r>
      <w:r>
        <w:rPr>
          <w:rFonts w:hint="eastAsia"/>
          <w:sz w:val="28"/>
          <w:szCs w:val="28"/>
        </w:rPr>
        <w:t xml:space="preserve">，主要原因是</w:t>
      </w:r>
      <w:r>
        <w:rPr>
          <w:rFonts w:hint="eastAsia"/>
          <w:sz w:val="28"/>
          <w:szCs w:val="28"/>
          <w:lang w:val="en-US" w:eastAsia="zh-CN"/>
        </w:rPr>
        <w:t xml:space="preserve">我部门2024年部门预算无国有资本经营预算</w:t>
      </w:r>
      <w:r>
        <w:rPr>
          <w:rFonts w:hint="eastAsia"/>
          <w:sz w:val="28"/>
          <w:szCs w:val="28"/>
        </w:rPr>
        <w:t xml:space="preserve">。</w:t>
      </w:r>
    </w:p>
    <w:p>
      <w:pPr>
        <w:pStyle w:val="Bodytext|2"/>
        <w:keepNext w:val="0"/>
        <w:keepLines w:val="0"/>
        <w:pageBreakBefore w:val="0"/>
        <w:widowControl w:val="0"/>
        <w:tabs>
          <w:tab w:val="left" w:pos="1235"/>
        </w:tabs>
        <w:kinsoku/>
        <w:wordWrap/>
        <w:overflowPunct/>
        <w:topLinePunct w:val="0"/>
        <w:autoSpaceDE/>
        <w:autoSpaceDN/>
        <w:bidi w:val="0"/>
        <w:adjustRightInd/>
        <w:snapToGrid/>
        <w:spacing w:before="120" w:after="0" w:line="600" w:lineRule="exact"/>
        <w:ind w:firstLine="578"/>
        <w:jc w:val="left"/>
        <w:textAlignment w:val="auto"/>
        <w:rPr>
          <w:b/>
          <w:bCs/>
        </w:rPr>
      </w:pPr>
      <w:r>
        <w:rPr>
          <w:b/>
          <w:bCs/>
        </w:rPr>
        <w:t xml:space="preserve">十、其他重要事项</w:t>
      </w:r>
      <w:r>
        <w:rPr>
          <w:rFonts w:hint="eastAsia"/>
          <w:b/>
          <w:bCs/>
          <w:lang w:val="en-US" w:eastAsia="zh-CN"/>
        </w:rPr>
        <w:t xml:space="preserve">情况</w:t>
      </w:r>
      <w:r>
        <w:rPr>
          <w:b/>
          <w:bCs/>
        </w:rPr>
        <w:t xml:space="preserve">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（一）机关运行经费安排情况说明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2024</w:t>
      </w:r>
      <w:r>
        <w:rPr>
          <w:rFonts w:ascii="宋体" w:eastAsia="宋体" w:hAnsi="宋体" w:cs="宋体"/>
          <w:sz w:val="28"/>
          <w:u w:color="auto"/>
        </w:rPr>
        <w:t xml:space="preserve">年本部门机关运行经费预算</w:t>
      </w:r>
      <w:r>
        <w:rPr>
          <w:rFonts w:ascii="宋体" w:eastAsia="宋体" w:hAnsi="宋体" w:cs="宋体" w:hint="eastAsia"/>
          <w:sz w:val="28"/>
          <w:szCs w:val="28"/>
          <w:lang w:val="en-US" w:eastAsia="zh-CN"/>
        </w:rPr>
        <w:t xml:space="preserve">0.35</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0.41</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减少0.06</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下降14.63%</w:t>
      </w:r>
      <w:r>
        <w:rPr>
          <w:rFonts w:ascii="宋体" w:eastAsia="宋体" w:hAnsi="宋体" w:cs="宋体" w:hint="eastAsia"/>
          <w:sz w:val="28"/>
          <w:szCs w:val="28"/>
          <w:lang w:eastAsia="zh-CN"/>
        </w:rPr>
        <w:t xml:space="preserve">，主要原因是：</w:t>
      </w:r>
      <w:r>
        <w:rPr>
          <w:rFonts w:ascii="宋体" w:eastAsia="宋体" w:hAnsi="宋体" w:cs="宋体" w:hint="eastAsia"/>
          <w:sz w:val="28"/>
          <w:szCs w:val="28"/>
          <w:lang w:val="en-US" w:eastAsia="zh-CN"/>
        </w:rPr>
        <w:t xml:space="preserve">认真贯彻落实中央八项规定精神和厉行节约要求，严控和压缩机关运行相关支出</w:t>
      </w:r>
      <w:r>
        <w:rPr>
          <w:rFonts w:ascii="宋体" w:eastAsia="宋体" w:hAnsi="宋体" w:cs="宋体" w:hint="eastAsia"/>
          <w:sz w:val="28"/>
          <w:szCs w:val="28"/>
          <w:lang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（二）政府采购预算安排情况说明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default"/>
          <w:sz w:val="28"/>
          <w:szCs w:val="28"/>
          <w:lang w:val="en-US" w:eastAsia="zh-CN"/>
        </w:rPr>
      </w:pPr>
      <w:r>
        <w:rPr>
          <w:rFonts w:ascii="宋体" w:eastAsia="宋体" w:hAnsi="宋体" w:cs="宋体" w:hint="eastAsia"/>
          <w:sz w:val="28"/>
          <w:szCs w:val="28"/>
          <w:lang w:eastAsia="zh-CN"/>
        </w:rPr>
        <w:t xml:space="preserve">我部门2024年政府采购预算总金额</w:t>
      </w:r>
      <w:r>
        <w:rPr>
          <w:rFonts w:ascii="宋体" w:eastAsia="宋体" w:hAnsi="宋体" w:cs="宋体" w:hint="eastAsia"/>
          <w:sz w:val="28"/>
          <w:szCs w:val="28"/>
          <w:lang w:val="en-US" w:eastAsia="zh-CN"/>
        </w:rPr>
        <w:t xml:space="preserve">0</w:t>
      </w:r>
      <w:r>
        <w:rPr>
          <w:rFonts w:ascii="宋体" w:eastAsia="宋体" w:hAnsi="宋体" w:cs="宋体" w:hint="eastAsia"/>
          <w:sz w:val="28"/>
          <w:szCs w:val="28"/>
          <w:lang w:eastAsia="zh-CN"/>
        </w:rPr>
        <w:t xml:space="preserve">万元。其中：货物类采购</w:t>
      </w:r>
      <w:r>
        <w:rPr>
          <w:rFonts w:ascii="宋体" w:eastAsia="宋体" w:hAnsi="宋体" w:cs="宋体" w:hint="eastAsia"/>
          <w:sz w:val="28"/>
          <w:szCs w:val="28"/>
          <w:lang w:val="en-US" w:eastAsia="zh-CN"/>
        </w:rPr>
        <w:t xml:space="preserve">0</w:t>
      </w:r>
      <w:r>
        <w:rPr>
          <w:rFonts w:ascii="宋体" w:eastAsia="宋体" w:hAnsi="宋体" w:cs="宋体" w:hint="eastAsia"/>
          <w:sz w:val="28"/>
          <w:szCs w:val="28"/>
          <w:lang w:eastAsia="zh-CN"/>
        </w:rPr>
        <w:t xml:space="preserve">万元、工程类采购</w:t>
      </w:r>
      <w:r>
        <w:rPr>
          <w:rFonts w:ascii="宋体" w:eastAsia="宋体" w:hAnsi="宋体" w:cs="宋体" w:hint="eastAsia"/>
          <w:sz w:val="28"/>
          <w:szCs w:val="28"/>
          <w:lang w:val="en-US" w:eastAsia="zh-CN"/>
        </w:rPr>
        <w:t xml:space="preserve">0</w:t>
      </w:r>
      <w:r>
        <w:rPr>
          <w:rFonts w:ascii="宋体" w:eastAsia="宋体" w:hAnsi="宋体" w:cs="宋体" w:hint="eastAsia"/>
          <w:sz w:val="28"/>
          <w:szCs w:val="28"/>
          <w:lang w:eastAsia="zh-CN"/>
        </w:rPr>
        <w:t xml:space="preserve">万元、服务类采购</w:t>
      </w:r>
      <w:r>
        <w:rPr>
          <w:rFonts w:ascii="宋体" w:eastAsia="宋体" w:hAnsi="宋体" w:cs="宋体" w:hint="eastAsia"/>
          <w:sz w:val="28"/>
          <w:szCs w:val="28"/>
          <w:lang w:val="en-US" w:eastAsia="zh-CN"/>
        </w:rPr>
        <w:t xml:space="preserve">0</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主要用于：无相关采购</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（三）国有资产占用情况说明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截至2023年12月31日，本部门共有车辆</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辆，其中，应急机要通信用车</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辆、一般执法执勤用车</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辆、特种专业技术用车</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辆、其他用车</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辆，单位价值200万元以上大型设备</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台（套）。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（四）预算绩效目标情况说明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1.我部门2024年所有项目支出全面实施绩效目标管理，涉及项目</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个，预算资金</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万元。绩效目标情况详见报表（日常运转类项目、工资类人员经费项目和涉密项目等除外）。</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2.重点项目预算绩效目标说明。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r>
        <w:rPr>
          <w:rFonts w:hint="eastAsia"/>
          <w:sz w:val="28"/>
          <w:szCs w:val="28"/>
          <w:highlight w:val="none"/>
          <w:lang w:val="en-US" w:eastAsia="zh-CN"/>
        </w:rPr>
        <w:t xml:space="preserve">我部门2024年无重点项目预算相关情况</w:t>
      </w:r>
    </w:p>
    <w:p>
      <w:pPr>
        <w:pStyle w:val="Bodytext|1"/>
        <w:spacing w:line="624" w:lineRule="exact"/>
        <w:ind w:firstLine="600"/>
        <w:jc w:val="left"/>
        <w:rPr>
          <w:rFonts w:hint="eastAsia"/>
          <w:sz w:val="28"/>
          <w:szCs w:val="28"/>
          <w:highlight w:val="none"/>
          <w:lang w:val="en-US" w:eastAsia="zh-CN"/>
        </w:rPr>
      </w:pPr>
    </w:p>
    <w:p>
      <w:pPr>
        <w:pStyle w:val="Bodytext|1"/>
        <w:spacing w:line="624" w:lineRule="exact"/>
        <w:jc w:val="left"/>
        <w:rPr>
          <w:rFonts w:hint="default"/>
          <w:sz w:val="28"/>
          <w:szCs w:val="28"/>
          <w:highlight w:val="none"/>
          <w:lang w:val="en-US" w:eastAsia="zh-CN"/>
        </w:rPr>
        <w:sectPr>
          <w:headerReference w:type="default" r:id="rId12"/>
          <w:footerReference w:type="default" r:id="rId13"/>
          <w:pgSz w:w="11900" w:h="16840" w:orient="portrait"/>
          <w:pgMar w:top="1440" w:right="1800" w:bottom="1440" w:left="1800" w:header="0" w:footer="1077" w:gutter="0"/>
          <w:pgBorders>
            <w:top w:val="none" w:sz="0" w:space="0" w:color="auto"/>
            <w:left w:val="none" w:sz="0" w:space="0" w:color="auto"/>
            <w:bottom w:val="none" w:sz="0" w:space="0" w:color="auto"/>
            <w:right w:val="none" w:sz="0" w:space="0" w:color="auto"/>
          </w:pgBorders>
          <w:pgNumType w:fmt="decimal"/>
          <w:cols w:num="1" w:space="720">
            <w:col w:w="8300" w:space="720"/>
          </w:cols>
          <w:docGrid w:linePitch="360" w:charSpace="0"/>
        </w:sectPr>
      </w:pPr>
    </w:p>
    <w:p>
      <w:pPr>
        <w:pStyle w:val="Heading#1|1"/>
        <w:keepNext/>
        <w:keepLines/>
        <w:spacing w:after="980"/>
        <w:jc w:val="center"/>
        <w:rPr>
          <w:rFonts w:ascii="宋体" w:eastAsia="宋体" w:hAnsi="宋体" w:cs="宋体" w:hint="eastAsia"/>
          <w:b/>
          <w:bCs/>
          <w:sz w:val="36"/>
          <w:szCs w:val="36"/>
        </w:rPr>
      </w:pPr>
      <w:bookmarkEnd w:id="10"/>
      <w:bookmarkEnd w:id="11"/>
      <w:bookmarkEnd w:id="12"/>
      <w:r>
        <w:rPr>
          <w:rFonts w:ascii="宋体" w:eastAsia="宋体" w:hAnsi="宋体" w:cs="宋体" w:hint="eastAsia"/>
          <w:b/>
          <w:bCs/>
          <w:sz w:val="36"/>
          <w:szCs w:val="36"/>
        </w:rPr>
        <w:t xml:space="preserve">第</w:t>
      </w:r>
      <w:r>
        <w:rPr>
          <w:rFonts w:ascii="宋体" w:eastAsia="宋体" w:hAnsi="宋体" w:cs="宋体" w:hint="eastAsia"/>
          <w:b/>
          <w:bCs/>
          <w:sz w:val="36"/>
          <w:szCs w:val="36"/>
          <w:lang w:val="en-US" w:eastAsia="zh-CN"/>
        </w:rPr>
        <w:t xml:space="preserve">三</w:t>
      </w:r>
      <w:r>
        <w:rPr>
          <w:rFonts w:ascii="宋体" w:eastAsia="宋体" w:hAnsi="宋体" w:cs="宋体" w:hint="eastAsia"/>
          <w:b/>
          <w:bCs/>
          <w:sz w:val="36"/>
          <w:szCs w:val="36"/>
        </w:rPr>
        <w:t xml:space="preserve">部分</w:t>
      </w:r>
      <w:r>
        <w:rPr>
          <w:rFonts w:ascii="宋体" w:eastAsia="宋体" w:hAnsi="宋体" w:cs="宋体" w:hint="eastAsia"/>
          <w:b/>
          <w:bCs/>
          <w:sz w:val="36"/>
          <w:szCs w:val="36"/>
          <w:lang w:eastAsia="zh-CN"/>
        </w:rPr>
        <w:t xml:space="preserve">环江毛南族自治县东兴镇扶贫站</w:t>
      </w:r>
      <w:r>
        <w:rPr>
          <w:rFonts w:ascii="宋体" w:eastAsia="宋体" w:hAnsi="宋体" w:cs="宋体"/>
          <w:b/>
          <w:sz w:val="36"/>
          <w:u w:color="auto"/>
        </w:rPr>
        <w:t xml:space="preserve">2024</w:t>
      </w:r>
      <w:r>
        <w:rPr>
          <w:rFonts w:ascii="宋体" w:eastAsia="宋体" w:hAnsi="宋体" w:cs="宋体"/>
          <w:b/>
          <w:sz w:val="36"/>
          <w:u w:color="auto"/>
        </w:rPr>
        <w:t xml:space="preserve">年</w:t>
      </w:r>
      <w:r>
        <w:rPr>
          <w:rFonts w:ascii="宋体" w:eastAsia="宋体" w:hAnsi="宋体" w:cs="宋体" w:hint="eastAsia"/>
          <w:b/>
          <w:bCs/>
          <w:sz w:val="36"/>
          <w:szCs w:val="36"/>
        </w:rPr>
        <w:t xml:space="preserve">部门预算表</w:t>
      </w:r>
    </w:p>
    <w:p>
      <w:pPr>
        <w:pStyle w:val="Heading#2|1"/>
        <w:keepNext/>
        <w:keepLines/>
        <w:spacing w:after="240"/>
        <w:jc w:val="center"/>
      </w:pPr>
      <w:bookmarkStart w:id="17" w:name="bookmark29"/>
      <w:bookmarkStart w:id="18" w:name="bookmark30"/>
      <w:bookmarkStart w:id="19" w:name="bookmark31"/>
      <w:r>
        <w:t xml:space="preserve">收支总体情况表</w:t>
      </w:r>
      <w:bookmarkEnd w:id="17"/>
      <w:bookmarkEnd w:id="18"/>
      <w:bookmarkEnd w:id="19"/>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3339"/>
        <w:gridCol w:w="3760"/>
        <w:gridCol w:w="3542"/>
        <w:gridCol w:w="3571"/>
      </w:tblGrid>
      <w:tr>
        <w:tblPrEx>
          <w:tblW w:w="0" w:type="auto"/>
          <w:tblInd w:w="0" w:type="dxa"/>
          <w:tblLayout w:type="fixed"/>
          <w:tblCellMar>
            <w:top w:w="0" w:type="dxa"/>
            <w:left w:w="10" w:type="dxa"/>
            <w:bottom w:w="0" w:type="dxa"/>
            <w:right w:w="10" w:type="dxa"/>
          </w:tblCellMar>
        </w:tblPrEx>
        <w:trPr>
          <w:trHeight w:hRule="exact" w:val="331"/>
        </w:trPr>
        <w:tc>
          <w:tcPr>
            <w:tcW w:w="10641" w:type="dxa"/>
            <w:gridSpan w:val="3"/>
            <w:tcBorders>
              <w:bottom w:val="single" w:sz="4" w:space="0" w:color="auto"/>
            </w:tcBorders>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环江毛南族自治县东兴镇扶贫站</w:t>
            </w:r>
          </w:p>
        </w:tc>
        <w:tc>
          <w:tcPr>
            <w:tcW w:w="3571" w:type="dxa"/>
            <w:tcBorders>
              <w:bottom w:val="single" w:sz="4" w:space="0" w:color="auto"/>
            </w:tcBorders>
            <w:shd w:val="clear" w:color="auto" w:fill="FFFFFF"/>
          </w:tcPr>
          <w:p>
            <w:pPr>
              <w:pStyle w:val="Other|1"/>
              <w:spacing w:line="240" w:lineRule="auto"/>
              <w:ind w:firstLine="2380" w:firstLineChars="14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456"/>
        </w:trPr>
        <w:tc>
          <w:tcPr>
            <w:tcW w:w="7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2890" w:firstLineChars="1700"/>
              <w:jc w:val="both"/>
              <w:rPr>
                <w:sz w:val="17"/>
                <w:szCs w:val="17"/>
              </w:rPr>
            </w:pPr>
            <w:r>
              <w:rPr>
                <w:sz w:val="17"/>
                <w:szCs w:val="17"/>
              </w:rPr>
              <w:t xml:space="preserve">收入</w:t>
            </w:r>
          </w:p>
        </w:tc>
        <w:tc>
          <w:tcPr>
            <w:tcW w:w="71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right="340" w:firstLine="2890" w:firstLineChars="1700"/>
              <w:jc w:val="both"/>
              <w:rPr>
                <w:sz w:val="17"/>
                <w:szCs w:val="17"/>
              </w:rPr>
            </w:pPr>
            <w:r>
              <w:rPr>
                <w:sz w:val="17"/>
                <w:szCs w:val="17"/>
              </w:rPr>
              <w:t xml:space="preserve">支出</w:t>
            </w:r>
          </w:p>
        </w:tc>
      </w:tr>
      <w:tr>
        <w:tblPrEx>
          <w:tblW w:w="0" w:type="auto"/>
          <w:tblInd w:w="0" w:type="dxa"/>
          <w:tblLayout w:type="fixed"/>
          <w:tblCellMar>
            <w:top w:w="0" w:type="dxa"/>
            <w:left w:w="10" w:type="dxa"/>
            <w:bottom w:w="0" w:type="dxa"/>
            <w:right w:w="10" w:type="dxa"/>
          </w:tblCellMar>
        </w:tblPrEx>
        <w:trPr>
          <w:trHeight w:hRule="exact" w:val="432"/>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项目</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tabs>
                <w:tab w:val="left" w:pos="894"/>
              </w:tabs>
              <w:spacing w:line="240" w:lineRule="auto"/>
              <w:jc w:val="left"/>
              <w:rPr>
                <w:sz w:val="17"/>
                <w:szCs w:val="17"/>
              </w:rPr>
            </w:pPr>
            <w:r>
              <w:rPr>
                <w:sz w:val="17"/>
                <w:szCs w:val="17"/>
              </w:rPr>
              <w:t xml:space="preserve">项</w:t>
            </w:r>
            <w:r>
              <w:rPr>
                <w:sz w:val="17"/>
                <w:szCs w:val="17"/>
              </w:rPr>
              <w:tab/>
            </w:r>
            <w:r>
              <w:rPr>
                <w:sz w:val="17"/>
                <w:szCs w:val="17"/>
              </w:rPr>
              <w:t xml:space="preserve">目（按支出功能科目分类）</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一、一般公共预算拨款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11.63</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一、一般公共服务支出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0.11</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二、外交支出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11.63</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三、国防支出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二、政府性基金预算拨款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四、公共安全支出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五、教育支出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六、科学技术支出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三、国有资本经营预算拨款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七、文化旅游体育与传媒支出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八、社会保障和就业支出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1.38</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九、卫生健康支出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四、财政专户管理资金收入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十、节能环保支出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五、事业收入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十一、城乡社区支出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六、事业单位经营收入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十二、农林水支出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8.94</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七、上级补助收入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十三、交通运输支出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八、附属单位上缴收入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十四、资源勘探工业信息等支出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九、其他收入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十五、商业服务业等支出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十六、金融支出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十七、援助其他地区支出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十八、自然资源海洋气象等支出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十九、住房保障支出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1.20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二十、粮油物资储备支出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二十一、国有资本经营预算支出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二十二、灾害防治及应急管理支出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二十三、其他支出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二十四、债务还本支出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二十五、债务付息支出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二十六、债务发行费用支出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本年收入合计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11.63</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本年支出合计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11.63</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上年结转结余</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结转下年支出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收入总计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11.63</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支出总计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11.63</w:t>
            </w:r>
          </w:p>
        </w:tc>
      </w:tr>
    </w:tbl>
    <w:p>
      <w:pPr>
        <w:pStyle w:val="Tablecaption|1"/>
        <w:ind w:left="101"/>
        <w:jc w:val="left"/>
      </w:pPr>
      <w:r>
        <w:t xml:space="preserve">注：报表金额单位转换时可能存在四舍五入尾数误差。</w:t>
      </w: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sectPr>
          <w:headerReference w:type="default" r:id="rId14"/>
          <w:footerReference w:type="default" r:id="rId15"/>
          <w:pgSz w:w="16840" w:h="11900" w:orient="landscape"/>
          <w:pgMar w:top="2397" w:right="761" w:bottom="1966" w:left="739" w:header="0" w:footer="1474" w:gutter="0"/>
          <w:pgBorders>
            <w:top w:val="none" w:sz="0" w:space="0" w:color="auto"/>
            <w:left w:val="none" w:sz="0" w:space="0" w:color="auto"/>
            <w:bottom w:val="none" w:sz="0" w:space="0" w:color="auto"/>
            <w:right w:val="none" w:sz="0" w:space="0" w:color="auto"/>
          </w:pgBorders>
          <w:pgNumType w:fmt="decimal"/>
          <w:cols w:num="1" w:space="720">
            <w:col w:w="15340" w:space="720"/>
          </w:cols>
          <w:docGrid w:linePitch="360" w:charSpace="0"/>
        </w:sectPr>
      </w:pPr>
    </w:p>
    <w:p>
      <w:pPr>
        <w:tabs>
          <w:tab w:val="left" w:pos="859"/>
        </w:tabs>
        <w:jc w:val="left"/>
        <w:rPr>
          <w:rFonts w:eastAsia="宋体"/>
          <w:lang w:eastAsia="zh-CN"/>
        </w:rPr>
      </w:pPr>
    </w:p>
    <w:p>
      <w:pPr>
        <w:tabs>
          <w:tab w:val="left" w:pos="859"/>
        </w:tabs>
        <w:jc w:val="center"/>
        <w:rPr>
          <w:rFonts w:eastAsia="宋体" w:hint="eastAsia"/>
          <w:lang w:val="en-US" w:eastAsia="zh-CN"/>
        </w:rPr>
      </w:pPr>
    </w:p>
    <w:p>
      <w:pPr>
        <w:tabs>
          <w:tab w:val="left" w:pos="859"/>
        </w:tabs>
        <w:jc w:val="center"/>
        <w:rPr>
          <w:rFonts w:eastAsia="宋体" w:hint="eastAsia"/>
          <w:lang w:val="en-US" w:eastAsia="zh-CN"/>
        </w:rPr>
      </w:pPr>
      <w:r>
        <w:rPr>
          <w:rFonts w:eastAsia="宋体" w:hint="eastAsia"/>
          <w:lang w:val="en-US" w:eastAsia="zh-CN"/>
        </w:rPr>
        <w:t xml:space="preserve">收入总体情况表</w:t>
      </w:r>
    </w:p>
    <w:p>
      <w:pPr>
        <w:tabs>
          <w:tab w:val="left" w:pos="859"/>
        </w:tabs>
        <w:jc w:val="center"/>
        <w:rPr>
          <w:rFonts w:eastAsia="宋体" w:hint="eastAsia"/>
          <w:lang w:val="en-US"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firstRow="0" w:lastRow="0" w:firstColumn="0" w:lastColumn="0" w:noHBand="1" w:noVBand="1"/>
      </w:tblPr>
      <w:tblGrid>
        <w:gridCol w:w="1636"/>
        <w:gridCol w:w="1279"/>
        <w:gridCol w:w="990"/>
        <w:gridCol w:w="926"/>
        <w:gridCol w:w="909"/>
        <w:gridCol w:w="968"/>
        <w:gridCol w:w="990"/>
        <w:gridCol w:w="1078"/>
        <w:gridCol w:w="972"/>
        <w:gridCol w:w="919"/>
        <w:gridCol w:w="1011"/>
        <w:gridCol w:w="859"/>
        <w:gridCol w:w="944"/>
        <w:gridCol w:w="150"/>
        <w:gridCol w:w="937"/>
        <w:gridCol w:w="989"/>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70"/>
        </w:trPr>
        <w:tc>
          <w:tcPr>
            <w:tcW w:w="13481" w:type="dxa"/>
            <w:gridSpan w:val="13"/>
            <w:tcBorders>
              <w:top w:val="nil"/>
              <w:left w:val="nil"/>
              <w:right w:val="nil"/>
            </w:tcBorders>
          </w:tcPr>
          <w:p>
            <w:pPr>
              <w:pStyle w:val="Tablecaption|1"/>
              <w:jc w:val="both"/>
              <w:rPr>
                <w:rFonts w:hint="eastAsia"/>
                <w:lang w:val="en-US" w:eastAsia="zh-CN"/>
              </w:rPr>
            </w:pPr>
            <w:r>
              <w:rPr>
                <w:sz w:val="17"/>
                <w:szCs w:val="17"/>
              </w:rPr>
              <w:t xml:space="preserve">单位名称：</w:t>
            </w:r>
            <w:r>
              <w:rPr>
                <w:rFonts w:hint="eastAsia"/>
                <w:sz w:val="17"/>
                <w:szCs w:val="17"/>
                <w:lang w:eastAsia="zh-CN"/>
              </w:rPr>
              <w:t xml:space="preserve">环江毛南族自治县东兴镇扶贫站</w:t>
            </w:r>
            <w:r>
              <w:rPr>
                <w:rFonts w:hint="eastAsia"/>
                <w:lang w:val="en-US" w:eastAsia="zh-CN"/>
              </w:rPr>
              <w:t xml:space="preserve">                                                                                  </w:t>
            </w:r>
          </w:p>
        </w:tc>
        <w:tc>
          <w:tcPr>
            <w:tcW w:w="2076" w:type="dxa"/>
            <w:gridSpan w:val="3"/>
            <w:tcBorders>
              <w:top w:val="nil"/>
              <w:left w:val="nil"/>
              <w:right w:val="nil"/>
            </w:tcBorders>
          </w:tcPr>
          <w:p>
            <w:pPr>
              <w:pStyle w:val="Tablecaption|1"/>
              <w:ind w:firstLine="340" w:firstLineChars="200"/>
              <w:jc w:val="left"/>
              <w:rPr>
                <w:rFonts w:hint="eastAsia"/>
                <w:lang w:val="en-US" w:eastAsia="zh-CN"/>
              </w:rPr>
            </w:pPr>
            <w:r>
              <w:rPr>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Merge w:val="restart"/>
            <w:vAlign w:val="center"/>
          </w:tcPr>
          <w:p>
            <w:pPr>
              <w:tabs>
                <w:tab w:val="left" w:pos="859"/>
              </w:tabs>
              <w:jc w:val="center"/>
              <w:rPr>
                <w:rFonts w:eastAsia="宋体" w:hint="eastAsia"/>
                <w:vertAlign w:val="baseline"/>
                <w:lang w:val="en-US" w:eastAsia="zh-CN"/>
              </w:rPr>
            </w:pPr>
            <w:r>
              <w:rPr>
                <w:sz w:val="17"/>
                <w:szCs w:val="17"/>
              </w:rPr>
              <w:t xml:space="preserve">部门（单位）代码</w:t>
            </w:r>
          </w:p>
        </w:tc>
        <w:tc>
          <w:tcPr>
            <w:tcW w:w="1279" w:type="dxa"/>
            <w:vMerge w:val="restart"/>
            <w:vAlign w:val="center"/>
          </w:tcPr>
          <w:p>
            <w:pPr>
              <w:tabs>
                <w:tab w:val="left" w:pos="859"/>
              </w:tabs>
              <w:jc w:val="center"/>
              <w:rPr>
                <w:rFonts w:eastAsia="宋体" w:hint="eastAsia"/>
                <w:vertAlign w:val="baseline"/>
                <w:lang w:val="en-US" w:eastAsia="zh-CN"/>
              </w:rPr>
            </w:pPr>
            <w:r>
              <w:rPr>
                <w:sz w:val="17"/>
                <w:szCs w:val="17"/>
              </w:rPr>
              <w:t xml:space="preserve">部门（单位）名称</w:t>
            </w:r>
          </w:p>
        </w:tc>
        <w:tc>
          <w:tcPr>
            <w:tcW w:w="990" w:type="dxa"/>
            <w:vMerge w:val="restart"/>
            <w:vAlign w:val="center"/>
          </w:tcPr>
          <w:p>
            <w:pPr>
              <w:pStyle w:val="Other|1"/>
              <w:spacing w:line="240" w:lineRule="auto"/>
              <w:ind w:left="0" w:firstLine="0" w:leftChars="0" w:firstLineChars="0"/>
              <w:jc w:val="center"/>
              <w:rPr>
                <w:rFonts w:eastAsia="宋体" w:hint="eastAsia"/>
                <w:vertAlign w:val="baseline"/>
                <w:lang w:val="en-US" w:eastAsia="zh-CN"/>
              </w:rPr>
            </w:pPr>
            <w:r>
              <w:rPr>
                <w:rFonts w:hint="eastAsia"/>
                <w:sz w:val="17"/>
                <w:szCs w:val="17"/>
                <w:lang w:val="en-US" w:eastAsia="zh-CN"/>
              </w:rPr>
              <w:t xml:space="preserve">合</w:t>
            </w:r>
            <w:r>
              <w:rPr>
                <w:sz w:val="17"/>
                <w:szCs w:val="17"/>
              </w:rPr>
              <w:t xml:space="preserve">计</w:t>
            </w:r>
          </w:p>
        </w:tc>
        <w:tc>
          <w:tcPr>
            <w:tcW w:w="5843" w:type="dxa"/>
            <w:gridSpan w:val="6"/>
          </w:tcPr>
          <w:p>
            <w:pPr>
              <w:tabs>
                <w:tab w:val="left" w:pos="859"/>
              </w:tabs>
              <w:jc w:val="center"/>
              <w:rPr>
                <w:rFonts w:eastAsia="宋体" w:hint="eastAsia"/>
                <w:vertAlign w:val="baseline"/>
                <w:lang w:val="en-US" w:eastAsia="zh-CN"/>
              </w:rPr>
            </w:pPr>
            <w:r>
              <w:rPr>
                <w:sz w:val="17"/>
                <w:szCs w:val="17"/>
              </w:rPr>
              <w:t xml:space="preserve">本年收入</w:t>
            </w:r>
          </w:p>
        </w:tc>
        <w:tc>
          <w:tcPr>
            <w:tcW w:w="5809" w:type="dxa"/>
            <w:gridSpan w:val="7"/>
          </w:tcPr>
          <w:p>
            <w:pPr>
              <w:tabs>
                <w:tab w:val="left" w:pos="859"/>
              </w:tabs>
              <w:jc w:val="center"/>
              <w:rPr>
                <w:rFonts w:eastAsia="宋体" w:hint="eastAsia"/>
                <w:vertAlign w:val="baseline"/>
                <w:lang w:val="en-US" w:eastAsia="zh-CN"/>
              </w:rPr>
            </w:pPr>
            <w:r>
              <w:rPr>
                <w:sz w:val="17"/>
                <w:szCs w:val="17"/>
              </w:rPr>
              <w:t xml:space="preserve">上年结转结余</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058"/>
        </w:trPr>
        <w:tc>
          <w:tcPr>
            <w:tcW w:w="1636" w:type="dxa"/>
            <w:vMerge/>
          </w:tcPr>
          <w:p>
            <w:pPr>
              <w:tabs>
                <w:tab w:val="left" w:pos="859"/>
              </w:tabs>
              <w:jc w:val="center"/>
              <w:rPr>
                <w:rFonts w:eastAsia="宋体" w:hint="eastAsia"/>
                <w:vertAlign w:val="baseline"/>
                <w:lang w:val="en-US" w:eastAsia="zh-CN"/>
              </w:rPr>
            </w:pPr>
          </w:p>
        </w:tc>
        <w:tc>
          <w:tcPr>
            <w:tcW w:w="1279" w:type="dxa"/>
            <w:vMerge/>
          </w:tcPr>
          <w:p>
            <w:pPr>
              <w:tabs>
                <w:tab w:val="left" w:pos="859"/>
              </w:tabs>
              <w:jc w:val="center"/>
              <w:rPr>
                <w:rFonts w:eastAsia="宋体" w:hint="eastAsia"/>
                <w:vertAlign w:val="baseline"/>
                <w:lang w:val="en-US" w:eastAsia="zh-CN"/>
              </w:rPr>
            </w:pPr>
          </w:p>
        </w:tc>
        <w:tc>
          <w:tcPr>
            <w:tcW w:w="990" w:type="dxa"/>
            <w:vMerge/>
            <w:vAlign w:val="center"/>
          </w:tcPr>
          <w:p>
            <w:pPr>
              <w:pStyle w:val="Other|1"/>
              <w:spacing w:line="240" w:lineRule="auto"/>
              <w:ind w:firstLine="300" w:firstLineChars="0"/>
              <w:jc w:val="center"/>
              <w:rPr>
                <w:rFonts w:eastAsia="宋体" w:hint="eastAsia"/>
                <w:vertAlign w:val="baseline"/>
                <w:lang w:val="en-US" w:eastAsia="zh-CN"/>
              </w:rPr>
            </w:pPr>
          </w:p>
        </w:tc>
        <w:tc>
          <w:tcPr>
            <w:tcW w:w="926" w:type="dxa"/>
            <w:vAlign w:val="center"/>
          </w:tcPr>
          <w:p>
            <w:pPr>
              <w:pStyle w:val="Other|1"/>
              <w:spacing w:line="240" w:lineRule="auto"/>
              <w:ind w:firstLine="300" w:firstLineChars="0"/>
              <w:jc w:val="center"/>
              <w:rPr>
                <w:rFonts w:eastAsia="宋体" w:hint="eastAsia"/>
                <w:vertAlign w:val="baseline"/>
                <w:lang w:val="en-US" w:eastAsia="zh-CN"/>
              </w:rPr>
            </w:pPr>
            <w:r>
              <w:rPr>
                <w:sz w:val="17"/>
                <w:szCs w:val="17"/>
              </w:rPr>
              <w:t xml:space="preserve">小计</w:t>
            </w:r>
          </w:p>
        </w:tc>
        <w:tc>
          <w:tcPr>
            <w:tcW w:w="909"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一般公共预算</w:t>
            </w:r>
          </w:p>
        </w:tc>
        <w:tc>
          <w:tcPr>
            <w:tcW w:w="968"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政府性基金预算</w:t>
            </w:r>
          </w:p>
        </w:tc>
        <w:tc>
          <w:tcPr>
            <w:tcW w:w="990"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国有资本经营预算</w:t>
            </w:r>
          </w:p>
        </w:tc>
        <w:tc>
          <w:tcPr>
            <w:tcW w:w="1078" w:type="dxa"/>
          </w:tcPr>
          <w:p>
            <w:pPr>
              <w:pStyle w:val="Other|1"/>
              <w:spacing w:line="312" w:lineRule="exact"/>
              <w:ind w:firstLine="0"/>
              <w:jc w:val="center"/>
              <w:rPr>
                <w:sz w:val="17"/>
                <w:szCs w:val="17"/>
              </w:rPr>
            </w:pPr>
            <w:r>
              <w:rPr>
                <w:sz w:val="17"/>
                <w:szCs w:val="17"/>
              </w:rPr>
              <w:t xml:space="preserve">财政专户管理资金</w:t>
            </w:r>
          </w:p>
          <w:p>
            <w:pPr>
              <w:pStyle w:val="Other|1"/>
              <w:spacing w:line="312" w:lineRule="exact"/>
              <w:ind w:firstLine="0" w:firstLineChars="0"/>
              <w:jc w:val="center"/>
              <w:rPr>
                <w:rFonts w:eastAsia="宋体" w:hint="eastAsia"/>
                <w:vertAlign w:val="baseline"/>
                <w:lang w:val="en-US" w:eastAsia="zh-CN"/>
              </w:rPr>
            </w:pPr>
            <w:r>
              <w:rPr>
                <w:sz w:val="17"/>
                <w:szCs w:val="17"/>
              </w:rPr>
              <w:t xml:space="preserve">收入</w:t>
            </w:r>
          </w:p>
        </w:tc>
        <w:tc>
          <w:tcPr>
            <w:tcW w:w="972" w:type="dxa"/>
            <w:vAlign w:val="center"/>
          </w:tcPr>
          <w:p>
            <w:pPr>
              <w:pStyle w:val="Other|1"/>
              <w:spacing w:line="240" w:lineRule="auto"/>
              <w:ind w:firstLine="0" w:firstLineChars="0"/>
              <w:jc w:val="center"/>
              <w:rPr>
                <w:rFonts w:eastAsia="宋体" w:hint="eastAsia"/>
                <w:vertAlign w:val="baseline"/>
                <w:lang w:val="en-US" w:eastAsia="zh-CN"/>
              </w:rPr>
            </w:pPr>
            <w:r>
              <w:rPr>
                <w:sz w:val="17"/>
                <w:szCs w:val="17"/>
              </w:rPr>
              <w:t xml:space="preserve">单位资金</w:t>
            </w:r>
          </w:p>
        </w:tc>
        <w:tc>
          <w:tcPr>
            <w:tcW w:w="919" w:type="dxa"/>
            <w:vAlign w:val="center"/>
          </w:tcPr>
          <w:p>
            <w:pPr>
              <w:pStyle w:val="Other|1"/>
              <w:spacing w:line="240" w:lineRule="auto"/>
              <w:ind w:firstLine="300" w:firstLineChars="0"/>
              <w:jc w:val="center"/>
              <w:rPr>
                <w:rFonts w:eastAsia="宋体" w:hint="eastAsia"/>
                <w:vertAlign w:val="baseline"/>
                <w:lang w:val="en-US" w:eastAsia="zh-CN"/>
              </w:rPr>
            </w:pPr>
            <w:r>
              <w:rPr>
                <w:sz w:val="17"/>
                <w:szCs w:val="17"/>
              </w:rPr>
              <w:t xml:space="preserve">小计</w:t>
            </w:r>
          </w:p>
        </w:tc>
        <w:tc>
          <w:tcPr>
            <w:tcW w:w="1011"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一般公共预算</w:t>
            </w:r>
          </w:p>
        </w:tc>
        <w:tc>
          <w:tcPr>
            <w:tcW w:w="859"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政府性基金预算</w:t>
            </w:r>
          </w:p>
        </w:tc>
        <w:tc>
          <w:tcPr>
            <w:tcW w:w="1094" w:type="dxa"/>
            <w:gridSpan w:val="2"/>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国有资本经营预算</w:t>
            </w:r>
          </w:p>
        </w:tc>
        <w:tc>
          <w:tcPr>
            <w:tcW w:w="937" w:type="dxa"/>
          </w:tcPr>
          <w:p>
            <w:pPr>
              <w:pStyle w:val="Other|1"/>
              <w:spacing w:line="312" w:lineRule="exact"/>
              <w:ind w:firstLine="0"/>
              <w:jc w:val="center"/>
              <w:rPr>
                <w:sz w:val="17"/>
                <w:szCs w:val="17"/>
              </w:rPr>
            </w:pPr>
            <w:r>
              <w:rPr>
                <w:sz w:val="17"/>
                <w:szCs w:val="17"/>
              </w:rPr>
              <w:t xml:space="preserve">财政专户管理资金</w:t>
            </w:r>
          </w:p>
          <w:p>
            <w:pPr>
              <w:pStyle w:val="Other|1"/>
              <w:spacing w:line="312" w:lineRule="exact"/>
              <w:ind w:right="280" w:firstLine="0" w:rightChars="0" w:firstLineChars="0"/>
              <w:jc w:val="center"/>
              <w:rPr>
                <w:rFonts w:eastAsia="宋体" w:hint="eastAsia"/>
                <w:vertAlign w:val="baseline"/>
                <w:lang w:val="en-US" w:eastAsia="zh-CN"/>
              </w:rPr>
            </w:pPr>
            <w:r>
              <w:rPr>
                <w:sz w:val="17"/>
                <w:szCs w:val="17"/>
              </w:rPr>
              <w:t xml:space="preserve">收入</w:t>
            </w:r>
          </w:p>
        </w:tc>
        <w:tc>
          <w:tcPr>
            <w:tcW w:w="989" w:type="dxa"/>
            <w:vAlign w:val="center"/>
          </w:tcPr>
          <w:p>
            <w:pPr>
              <w:pStyle w:val="Other|1"/>
              <w:spacing w:line="240" w:lineRule="auto"/>
              <w:ind w:firstLine="140" w:firstLineChars="0"/>
              <w:jc w:val="center"/>
              <w:rPr>
                <w:rFonts w:eastAsia="宋体" w:hint="eastAsia"/>
                <w:vertAlign w:val="baseline"/>
                <w:lang w:val="en-US" w:eastAsia="zh-CN"/>
              </w:rPr>
            </w:pPr>
            <w:r>
              <w:rPr>
                <w:sz w:val="17"/>
                <w:szCs w:val="17"/>
              </w:rPr>
              <w:t xml:space="preserve">单位资金</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tcPr>
          <w:p>
            <w:pPr>
              <w:tabs>
                <w:tab w:val="left" w:pos="859"/>
              </w:tabs>
              <w:jc w:val="both"/>
              <w:rPr>
                <w:rFonts w:eastAsia="宋体" w:hint="eastAsia"/>
                <w:vertAlign w:val="baseline"/>
                <w:lang w:val="en-US" w:eastAsia="zh-CN"/>
              </w:rPr>
            </w:pPr>
          </w:p>
        </w:tc>
        <w:tc>
          <w:tcPr>
            <w:tcW w:w="1279" w:type="dxa"/>
          </w:tcPr>
          <w:p>
            <w:pPr>
              <w:tabs>
                <w:tab w:val="left" w:pos="859"/>
              </w:tabs>
              <w:jc w:val="both"/>
              <w:rPr>
                <w:rFonts w:eastAsia="宋体" w:hint="eastAsia"/>
                <w:vertAlign w:val="baseline"/>
                <w:lang w:val="en-US" w:eastAsia="zh-CN"/>
              </w:rPr>
            </w:pPr>
          </w:p>
        </w:tc>
        <w:tc>
          <w:tcPr>
            <w:tcW w:w="990" w:type="dxa"/>
            <w:vAlign w:val="center"/>
          </w:tcPr>
          <w:p>
            <w:pPr>
              <w:pStyle w:val="Other|1"/>
              <w:spacing w:line="240" w:lineRule="auto"/>
              <w:ind w:firstLine="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w:t>
            </w:r>
          </w:p>
        </w:tc>
        <w:tc>
          <w:tcPr>
            <w:tcW w:w="926" w:type="dxa"/>
            <w:vAlign w:val="center"/>
          </w:tcPr>
          <w:p>
            <w:pPr>
              <w:pStyle w:val="Other|1"/>
              <w:spacing w:line="240" w:lineRule="auto"/>
              <w:ind w:firstLine="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2</w:t>
            </w:r>
          </w:p>
        </w:tc>
        <w:tc>
          <w:tcPr>
            <w:tcW w:w="909" w:type="dxa"/>
            <w:vAlign w:val="center"/>
          </w:tcPr>
          <w:p>
            <w:pPr>
              <w:pStyle w:val="Other|1"/>
              <w:spacing w:line="240" w:lineRule="auto"/>
              <w:ind w:firstLine="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3</w:t>
            </w:r>
          </w:p>
        </w:tc>
        <w:tc>
          <w:tcPr>
            <w:tcW w:w="968"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4</w:t>
            </w:r>
          </w:p>
        </w:tc>
        <w:tc>
          <w:tcPr>
            <w:tcW w:w="990"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5</w:t>
            </w:r>
          </w:p>
        </w:tc>
        <w:tc>
          <w:tcPr>
            <w:tcW w:w="1078"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6</w:t>
            </w:r>
          </w:p>
        </w:tc>
        <w:tc>
          <w:tcPr>
            <w:tcW w:w="972"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7</w:t>
            </w:r>
          </w:p>
        </w:tc>
        <w:tc>
          <w:tcPr>
            <w:tcW w:w="919"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8</w:t>
            </w:r>
          </w:p>
        </w:tc>
        <w:tc>
          <w:tcPr>
            <w:tcW w:w="1011"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9</w:t>
            </w:r>
          </w:p>
        </w:tc>
        <w:tc>
          <w:tcPr>
            <w:tcW w:w="859" w:type="dxa"/>
            <w:vAlign w:val="center"/>
          </w:tcPr>
          <w:p>
            <w:pPr>
              <w:pStyle w:val="Other|1"/>
              <w:spacing w:line="240" w:lineRule="auto"/>
              <w:ind w:right="360" w:firstLine="0" w:righ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10</w:t>
            </w:r>
          </w:p>
        </w:tc>
        <w:tc>
          <w:tcPr>
            <w:tcW w:w="1094" w:type="dxa"/>
            <w:gridSpan w:val="2"/>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11</w:t>
            </w:r>
          </w:p>
        </w:tc>
        <w:tc>
          <w:tcPr>
            <w:tcW w:w="937" w:type="dxa"/>
            <w:vAlign w:val="center"/>
          </w:tcPr>
          <w:p>
            <w:pPr>
              <w:pStyle w:val="Other|1"/>
              <w:spacing w:line="240" w:lineRule="auto"/>
              <w:ind w:right="380" w:firstLine="0" w:righ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12</w:t>
            </w:r>
          </w:p>
        </w:tc>
        <w:tc>
          <w:tcPr>
            <w:tcW w:w="989" w:type="dxa"/>
            <w:vAlign w:val="center"/>
          </w:tcPr>
          <w:p>
            <w:pPr>
              <w:pStyle w:val="Other|1"/>
              <w:spacing w:line="240" w:lineRule="auto"/>
              <w:ind w:right="420" w:firstLine="0" w:righ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13</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rPr>
              <w:t xml:space="preserve">710006</w:t>
            </w:r>
          </w:p>
        </w:tc>
        <w:tc>
          <w:tcPr>
            <w:tcW w:w="1279" w:type="dxa"/>
          </w:tcPr>
          <w:p>
            <w:pPr>
              <w:pStyle w:val="Other|1"/>
              <w:spacing w:line="326" w:lineRule="exact"/>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rPr>
              <w:t xml:space="preserve">环江毛南族自治县东兴镇扶贫站</w:t>
            </w:r>
          </w:p>
        </w:tc>
        <w:tc>
          <w:tcPr>
            <w:tcW w:w="990" w:type="dxa"/>
            <w:vAlign w:val="center"/>
          </w:tcPr>
          <w:p>
            <w:pPr>
              <w:pStyle w:val="Other|1"/>
              <w:spacing w:line="240" w:lineRule="auto"/>
              <w:ind w:left="0" w:firstLine="0" w:leftChars="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11.63</w:t>
            </w:r>
          </w:p>
        </w:tc>
        <w:tc>
          <w:tcPr>
            <w:tcW w:w="926" w:type="dxa"/>
            <w:vAlign w:val="center"/>
          </w:tcPr>
          <w:p>
            <w:pPr>
              <w:pStyle w:val="Other|1"/>
              <w:spacing w:line="240" w:lineRule="auto"/>
              <w:ind w:left="0" w:firstLine="0" w:leftChars="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11.63</w:t>
            </w:r>
          </w:p>
        </w:tc>
        <w:tc>
          <w:tcPr>
            <w:tcW w:w="909" w:type="dxa"/>
            <w:vAlign w:val="center"/>
          </w:tcPr>
          <w:p>
            <w:pPr>
              <w:pStyle w:val="Other|1"/>
              <w:spacing w:line="240" w:lineRule="auto"/>
              <w:ind w:left="0" w:firstLine="0" w:leftChars="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11.63</w:t>
            </w:r>
          </w:p>
        </w:tc>
        <w:tc>
          <w:tcPr>
            <w:tcW w:w="968" w:type="dxa"/>
            <w:vAlign w:val="center"/>
          </w:tcPr>
          <w:p>
            <w:pPr>
              <w:pStyle w:val="Other|1"/>
              <w:spacing w:line="240" w:lineRule="auto"/>
              <w:ind w:left="0" w:firstLine="0" w:leftChars="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990" w:type="dxa"/>
            <w:vAlign w:val="center"/>
          </w:tcPr>
          <w:p>
            <w:pPr>
              <w:pStyle w:val="Other|1"/>
              <w:spacing w:line="240" w:lineRule="auto"/>
              <w:ind w:left="0" w:firstLine="0" w:leftChars="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1078" w:type="dxa"/>
            <w:vAlign w:val="center"/>
          </w:tcPr>
          <w:p>
            <w:pPr>
              <w:pStyle w:val="Other|1"/>
              <w:spacing w:line="240" w:lineRule="auto"/>
              <w:ind w:firstLine="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972" w:type="dxa"/>
            <w:vAlign w:val="center"/>
          </w:tcPr>
          <w:p>
            <w:pPr>
              <w:pStyle w:val="Other|1"/>
              <w:spacing w:line="240" w:lineRule="auto"/>
              <w:ind w:firstLine="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919" w:type="dxa"/>
            <w:vAlign w:val="center"/>
          </w:tcPr>
          <w:p>
            <w:pPr>
              <w:spacing w:line="240" w:lineRule="auto"/>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1011" w:type="dxa"/>
            <w:vAlign w:val="center"/>
          </w:tcPr>
          <w:p>
            <w:pPr>
              <w:spacing w:line="240" w:lineRule="auto"/>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59" w:type="dxa"/>
            <w:vAlign w:val="center"/>
          </w:tcPr>
          <w:p>
            <w:pPr>
              <w:spacing w:line="240" w:lineRule="auto"/>
              <w:ind w:firstLine="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1094" w:type="dxa"/>
            <w:gridSpan w:val="2"/>
            <w:vAlign w:val="center"/>
          </w:tcPr>
          <w:p>
            <w:pPr>
              <w:spacing w:line="240" w:lineRule="auto"/>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937" w:type="dxa"/>
            <w:vAlign w:val="center"/>
          </w:tcPr>
          <w:p>
            <w:pPr>
              <w:spacing w:line="240" w:lineRule="auto"/>
              <w:ind w:firstLine="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989" w:type="dxa"/>
            <w:vAlign w:val="center"/>
          </w:tcPr>
          <w:p>
            <w:pPr>
              <w:spacing w:line="240" w:lineRule="auto"/>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5557" w:type="dxa"/>
            <w:gridSpan w:val="16"/>
            <w:tcBorders>
              <w:left w:val="nil"/>
              <w:bottom w:val="nil"/>
              <w:right w:val="nil"/>
            </w:tcBorders>
          </w:tcPr>
          <w:p>
            <w:pPr>
              <w:pStyle w:val="Tablecaption|1"/>
              <w:jc w:val="left"/>
              <w:rPr>
                <w:rFonts w:eastAsia="宋体" w:hint="eastAsia"/>
                <w:vertAlign w:val="baseline"/>
                <w:lang w:val="en-US" w:eastAsia="zh-CN"/>
              </w:rPr>
            </w:pPr>
            <w:r>
              <w:t xml:space="preserve">注：本报表金额单位转换时可能存在四舍五入尾数误差。</w:t>
            </w:r>
          </w:p>
        </w:tc>
      </w:tr>
    </w:tbl>
    <w:p>
      <w:pPr>
        <w:tabs>
          <w:tab w:val="left" w:pos="859"/>
        </w:tabs>
        <w:jc w:val="both"/>
        <w:rPr>
          <w:rFonts w:eastAsia="宋体" w:hint="eastAsia"/>
          <w:lang w:val="en-US" w:eastAsia="zh-CN"/>
        </w:rPr>
      </w:pPr>
    </w:p>
    <w:p>
      <w:pPr>
        <w:tabs>
          <w:tab w:val="left" w:pos="859"/>
        </w:tabs>
        <w:jc w:val="center"/>
        <w:rPr>
          <w:rFonts w:eastAsia="宋体" w:hint="eastAsia"/>
          <w:lang w:val="en-US" w:eastAsia="zh-CN"/>
        </w:rPr>
      </w:pPr>
    </w:p>
    <w:p>
      <w:pPr>
        <w:tabs>
          <w:tab w:val="left" w:pos="859"/>
        </w:tabs>
        <w:jc w:val="both"/>
        <w:rPr>
          <w:rFonts w:eastAsia="宋体" w:hint="eastAsia"/>
          <w:lang w:val="en-US" w:eastAsia="zh-CN"/>
        </w:rPr>
      </w:pPr>
    </w:p>
    <w:p>
      <w:pPr>
        <w:spacing w:line="1" w:lineRule="exact"/>
        <w:jc w:val="left"/>
        <w:rPr>
          <w:lang w:eastAsia="zh-CN"/>
        </w:rPr>
        <w:sectPr>
          <w:headerReference w:type="default" r:id="rId16"/>
          <w:footerReference w:type="default" r:id="rId17"/>
          <w:pgSz w:w="16840" w:h="11900" w:orient="landscape"/>
          <w:pgMar w:top="2709" w:right="764" w:bottom="2709" w:left="735" w:header="2281" w:footer="1474" w:gutter="0"/>
          <w:pgBorders>
            <w:top w:val="none" w:sz="0" w:space="0" w:color="auto"/>
            <w:left w:val="none" w:sz="0" w:space="0" w:color="auto"/>
            <w:bottom w:val="none" w:sz="0" w:space="0" w:color="auto"/>
            <w:right w:val="none" w:sz="0" w:space="0" w:color="auto"/>
          </w:pgBorders>
          <w:pgNumType w:fmt="decimal"/>
          <w:cols w:num="1" w:space="720">
            <w:col w:w="15341" w:space="720"/>
          </w:cols>
          <w:docGrid w:linePitch="360" w:charSpace="0"/>
        </w:sectPr>
      </w:pPr>
    </w:p>
    <w:p>
      <w:pPr>
        <w:pStyle w:val="Heading#2|1"/>
        <w:keepNext/>
        <w:keepLines/>
        <w:spacing w:after="240"/>
        <w:jc w:val="center"/>
      </w:pPr>
      <w:bookmarkStart w:id="20" w:name="bookmark41"/>
      <w:bookmarkStart w:id="21" w:name="bookmark43"/>
      <w:bookmarkStart w:id="22" w:name="bookmark42"/>
      <w:r>
        <w:t xml:space="preserve">支出总体情况表</w:t>
      </w:r>
      <w:bookmarkEnd w:id="20"/>
      <w:bookmarkEnd w:id="21"/>
      <w:bookmarkEnd w:id="22"/>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1934"/>
        <w:gridCol w:w="2390"/>
        <w:gridCol w:w="2280"/>
        <w:gridCol w:w="2299"/>
        <w:gridCol w:w="2222"/>
        <w:gridCol w:w="2371"/>
      </w:tblGrid>
      <w:tr>
        <w:tblPrEx>
          <w:tblW w:w="0" w:type="auto"/>
          <w:tblInd w:w="0" w:type="dxa"/>
          <w:tblLayout w:type="fixed"/>
          <w:tblCellMar>
            <w:top w:w="0" w:type="dxa"/>
            <w:left w:w="10" w:type="dxa"/>
            <w:bottom w:w="0" w:type="dxa"/>
            <w:right w:w="10" w:type="dxa"/>
          </w:tblCellMar>
        </w:tblPrEx>
        <w:trPr>
          <w:trHeight w:hRule="exact" w:val="346"/>
        </w:trPr>
        <w:tc>
          <w:tcPr>
            <w:tcW w:w="12968" w:type="dxa"/>
            <w:gridSpan w:val="6"/>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环江毛南族自治县东兴镇扶贫站</w:t>
            </w:r>
          </w:p>
        </w:tc>
        <w:tc>
          <w:tcPr>
            <w:tcW w:w="2371" w:type="dxa"/>
            <w:shd w:val="clear" w:color="auto" w:fill="FFFFFF"/>
          </w:tcPr>
          <w:p>
            <w:pPr>
              <w:pStyle w:val="Other|1"/>
              <w:spacing w:line="240" w:lineRule="auto"/>
              <w:ind w:firstLine="1190" w:firstLineChars="7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854"/>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科目编码</w:t>
            </w:r>
          </w:p>
        </w:tc>
        <w:tc>
          <w:tcPr>
            <w:tcW w:w="1934"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left"/>
              <w:rPr>
                <w:sz w:val="17"/>
                <w:szCs w:val="17"/>
              </w:rPr>
            </w:pPr>
            <w:r>
              <w:rPr>
                <w:sz w:val="17"/>
                <w:szCs w:val="17"/>
              </w:rPr>
              <w:t xml:space="preserve">部门（单位）代码</w:t>
            </w:r>
          </w:p>
        </w:tc>
        <w:tc>
          <w:tcPr>
            <w:tcW w:w="2390" w:type="dxa"/>
            <w:tcBorders>
              <w:top w:val="single" w:sz="4" w:space="0" w:color="auto"/>
              <w:left w:val="single" w:sz="4" w:space="0" w:color="auto"/>
              <w:bottom w:val="single" w:sz="4" w:space="0" w:color="auto"/>
            </w:tcBorders>
            <w:shd w:val="clear" w:color="auto" w:fill="FFFFFF"/>
            <w:vAlign w:val="center"/>
          </w:tcPr>
          <w:p>
            <w:pPr>
              <w:pStyle w:val="Other|1"/>
              <w:spacing w:after="120" w:line="240" w:lineRule="auto"/>
              <w:ind w:firstLine="0"/>
              <w:jc w:val="left"/>
              <w:rPr>
                <w:sz w:val="17"/>
                <w:szCs w:val="17"/>
              </w:rPr>
            </w:pPr>
            <w:r>
              <w:rPr>
                <w:sz w:val="17"/>
                <w:szCs w:val="17"/>
              </w:rPr>
              <w:t xml:space="preserve">部门（单位）名称</w:t>
            </w:r>
          </w:p>
          <w:p>
            <w:pPr>
              <w:pStyle w:val="Other|1"/>
              <w:spacing w:line="240" w:lineRule="auto"/>
              <w:ind w:firstLine="0"/>
              <w:jc w:val="left"/>
              <w:rPr>
                <w:sz w:val="17"/>
                <w:szCs w:val="17"/>
              </w:rPr>
            </w:pPr>
            <w:r>
              <w:rPr>
                <w:sz w:val="17"/>
                <w:szCs w:val="17"/>
              </w:rPr>
              <w:t xml:space="preserve">（功能分类科目名称）</w:t>
            </w:r>
          </w:p>
        </w:tc>
        <w:tc>
          <w:tcPr>
            <w:tcW w:w="228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合计</w:t>
            </w:r>
          </w:p>
        </w:tc>
        <w:tc>
          <w:tcPr>
            <w:tcW w:w="229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基本支出</w:t>
            </w:r>
          </w:p>
        </w:tc>
        <w:tc>
          <w:tcPr>
            <w:tcW w:w="2222"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项目支出</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结转下年支出</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 </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 </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合计</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11.63</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11.63</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710006</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11.63</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11.63</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2012999</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其他群众团体事务支出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0.11</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0.11</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2080505</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机关事业单位基本养老保险缴费支出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1.38</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1.38</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2130104</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事业运行</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8.94</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8.94</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2210201</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住房公积金</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1.20</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1.20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bl>
    <w:p>
      <w:pPr>
        <w:pStyle w:val="Tablecaption|1"/>
        <w:ind w:left="672"/>
        <w:jc w:val="left"/>
      </w:pPr>
      <w:r>
        <w:t xml:space="preserve">注：本报表金额单位转换时可能存在四舍五入尾数误差。</w:t>
      </w:r>
      <w:r>
        <w:br w:type="page"/>
      </w:r>
    </w:p>
    <w:p>
      <w:pPr>
        <w:pStyle w:val="Heading#2|1"/>
        <w:keepNext/>
        <w:keepLines/>
        <w:spacing w:after="240"/>
        <w:jc w:val="center"/>
      </w:pPr>
      <w:bookmarkStart w:id="23" w:name="bookmark45"/>
      <w:bookmarkStart w:id="24" w:name="bookmark46"/>
      <w:bookmarkStart w:id="25" w:name="bookmark44"/>
      <w:r>
        <w:t xml:space="preserve">财政拨款收支总体情况表</w:t>
      </w:r>
      <w:bookmarkEnd w:id="23"/>
      <w:bookmarkEnd w:id="24"/>
      <w:bookmarkEnd w:id="25"/>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2885"/>
        <w:gridCol w:w="955"/>
        <w:gridCol w:w="3830"/>
        <w:gridCol w:w="3826"/>
        <w:gridCol w:w="3845"/>
        <w:gridCol w:w="1"/>
      </w:tblGrid>
      <w:tr>
        <w:tblPrEx>
          <w:tblW w:w="0" w:type="auto"/>
          <w:tblInd w:w="0" w:type="dxa"/>
          <w:tblLayout w:type="fixed"/>
          <w:tblCellMar>
            <w:top w:w="0" w:type="dxa"/>
            <w:left w:w="10" w:type="dxa"/>
            <w:bottom w:w="0" w:type="dxa"/>
            <w:right w:w="10" w:type="dxa"/>
          </w:tblCellMar>
        </w:tblPrEx>
        <w:trPr>
          <w:gridAfter w:val="1"/>
          <w:wAfter w:w="1" w:type="dxa"/>
          <w:trHeight w:hRule="exact" w:val="346"/>
        </w:trPr>
        <w:tc>
          <w:tcPr>
            <w:tcW w:w="11496" w:type="dxa"/>
            <w:gridSpan w:val="4"/>
            <w:shd w:val="clear" w:color="auto" w:fill="FFFFFF"/>
          </w:tcPr>
          <w:p>
            <w:pPr>
              <w:pStyle w:val="Other|1"/>
              <w:spacing w:line="240" w:lineRule="auto"/>
              <w:ind w:firstLine="0"/>
              <w:jc w:val="left"/>
              <w:rPr>
                <w:rFonts w:hint="default"/>
                <w:sz w:val="17"/>
                <w:szCs w:val="17"/>
                <w:lang w:val="en-US"/>
              </w:rPr>
            </w:pPr>
            <w:r>
              <w:rPr>
                <w:sz w:val="17"/>
                <w:szCs w:val="17"/>
              </w:rPr>
              <w:t xml:space="preserve">单位名称：</w:t>
            </w:r>
            <w:r>
              <w:rPr>
                <w:rFonts w:hint="eastAsia"/>
                <w:sz w:val="17"/>
                <w:szCs w:val="17"/>
                <w:lang w:eastAsia="zh-CN"/>
              </w:rPr>
              <w:t xml:space="preserve">环江毛南族自治县东兴镇扶贫站</w:t>
            </w:r>
            <w:r>
              <w:rPr>
                <w:rFonts w:hint="eastAsia"/>
                <w:sz w:val="17"/>
                <w:szCs w:val="17"/>
                <w:lang w:val="en-US" w:eastAsia="zh-CN"/>
              </w:rPr>
              <w:t xml:space="preserve">                         </w:t>
            </w:r>
          </w:p>
        </w:tc>
        <w:tc>
          <w:tcPr>
            <w:tcW w:w="3845" w:type="dxa"/>
            <w:shd w:val="clear" w:color="auto" w:fill="FFFFFF"/>
          </w:tcPr>
          <w:p>
            <w:pPr>
              <w:pStyle w:val="Other|1"/>
              <w:spacing w:line="240" w:lineRule="auto"/>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2885" w:type="dxa"/>
            <w:tcBorders>
              <w:top w:val="single" w:sz="4" w:space="0" w:color="auto"/>
              <w:left w:val="single" w:sz="4" w:space="0" w:color="auto"/>
            </w:tcBorders>
            <w:shd w:val="clear" w:color="auto" w:fill="FFFFFF"/>
          </w:tcPr>
          <w:p>
            <w:pPr>
              <w:jc w:val="left"/>
              <w:rPr>
                <w:sz w:val="10"/>
                <w:szCs w:val="10"/>
              </w:rPr>
            </w:pPr>
          </w:p>
        </w:tc>
        <w:tc>
          <w:tcPr>
            <w:tcW w:w="955" w:type="dxa"/>
            <w:tcBorders>
              <w:top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收</w:t>
            </w:r>
          </w:p>
        </w:tc>
        <w:tc>
          <w:tcPr>
            <w:tcW w:w="3830" w:type="dxa"/>
            <w:tcBorders>
              <w:top w:val="single" w:sz="4" w:space="0" w:color="auto"/>
            </w:tcBorders>
            <w:shd w:val="clear" w:color="auto" w:fill="FFFFFF"/>
            <w:vAlign w:val="center"/>
          </w:tcPr>
          <w:p>
            <w:pPr>
              <w:pStyle w:val="Other|1"/>
              <w:spacing w:line="240" w:lineRule="auto"/>
              <w:ind w:firstLine="340"/>
              <w:jc w:val="left"/>
              <w:rPr>
                <w:sz w:val="17"/>
                <w:szCs w:val="17"/>
              </w:rPr>
            </w:pPr>
            <w:r>
              <w:rPr>
                <w:sz w:val="17"/>
                <w:szCs w:val="17"/>
              </w:rPr>
              <w:t xml:space="preserve">入</w:t>
            </w:r>
          </w:p>
        </w:tc>
        <w:tc>
          <w:tcPr>
            <w:tcW w:w="3826" w:type="dxa"/>
            <w:tcBorders>
              <w:top w:val="single" w:sz="4" w:space="0" w:color="auto"/>
              <w:left w:val="single" w:sz="4" w:space="0" w:color="auto"/>
            </w:tcBorders>
            <w:shd w:val="clear" w:color="auto" w:fill="FFFFFF"/>
            <w:vAlign w:val="center"/>
          </w:tcPr>
          <w:p>
            <w:pPr>
              <w:pStyle w:val="Other|1"/>
              <w:spacing w:line="240" w:lineRule="auto"/>
              <w:ind w:right="340" w:firstLine="2720" w:firstLineChars="1600"/>
              <w:jc w:val="left"/>
              <w:rPr>
                <w:sz w:val="17"/>
                <w:szCs w:val="17"/>
              </w:rPr>
            </w:pPr>
            <w:r>
              <w:rPr>
                <w:sz w:val="17"/>
                <w:szCs w:val="17"/>
              </w:rPr>
              <w:t xml:space="preserve">支</w:t>
            </w:r>
          </w:p>
        </w:tc>
        <w:tc>
          <w:tcPr>
            <w:tcW w:w="3845" w:type="dxa"/>
            <w:tcBorders>
              <w:top w:val="single" w:sz="4" w:space="0" w:color="auto"/>
              <w:right w:val="single" w:sz="4" w:space="0" w:color="auto"/>
            </w:tcBorders>
            <w:shd w:val="clear" w:color="auto" w:fill="FFFFFF"/>
            <w:vAlign w:val="center"/>
          </w:tcPr>
          <w:p>
            <w:pPr>
              <w:pStyle w:val="Other|1"/>
              <w:spacing w:line="240" w:lineRule="auto"/>
              <w:ind w:firstLine="935" w:firstLineChars="550"/>
              <w:jc w:val="left"/>
              <w:rPr>
                <w:sz w:val="17"/>
                <w:szCs w:val="17"/>
              </w:rPr>
            </w:pPr>
            <w:r>
              <w:rPr>
                <w:sz w:val="17"/>
                <w:szCs w:val="17"/>
              </w:rPr>
              <w:t xml:space="preserve">出</w:t>
            </w:r>
          </w:p>
        </w:tc>
      </w:tr>
      <w:tr>
        <w:tblPrEx>
          <w:tblW w:w="0" w:type="auto"/>
          <w:tblInd w:w="0" w:type="dxa"/>
          <w:tblLayout w:type="fixed"/>
          <w:tblCellMar>
            <w:top w:w="0" w:type="dxa"/>
            <w:left w:w="10" w:type="dxa"/>
            <w:bottom w:w="0" w:type="dxa"/>
            <w:right w:w="10" w:type="dxa"/>
          </w:tblCellMar>
        </w:tblPrEx>
        <w:trPr>
          <w:gridAfter w:val="1"/>
          <w:wAfter w:w="1" w:type="dxa"/>
          <w:trHeight w:hRule="exact" w:val="451"/>
        </w:trPr>
        <w:tc>
          <w:tcPr>
            <w:tcW w:w="3840" w:type="dxa"/>
            <w:gridSpan w:val="2"/>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项目</w:t>
            </w:r>
          </w:p>
        </w:tc>
        <w:tc>
          <w:tcPr>
            <w:tcW w:w="3830" w:type="dxa"/>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c>
          <w:tcPr>
            <w:tcW w:w="3826" w:type="dxa"/>
            <w:tcBorders>
              <w:top w:val="single" w:sz="4" w:space="0" w:color="auto"/>
              <w:left w:val="single" w:sz="4" w:space="0" w:color="auto"/>
            </w:tcBorders>
            <w:shd w:val="clear" w:color="auto" w:fill="FFFFFF"/>
            <w:vAlign w:val="center"/>
          </w:tcPr>
          <w:p>
            <w:pPr>
              <w:pStyle w:val="Other|1"/>
              <w:tabs>
                <w:tab w:val="left" w:pos="1034"/>
              </w:tabs>
              <w:spacing w:line="240" w:lineRule="auto"/>
              <w:ind w:firstLine="540"/>
              <w:jc w:val="center"/>
              <w:rPr>
                <w:sz w:val="17"/>
                <w:szCs w:val="17"/>
              </w:rPr>
            </w:pPr>
            <w:r>
              <w:rPr>
                <w:sz w:val="17"/>
                <w:szCs w:val="17"/>
              </w:rPr>
              <w:t xml:space="preserve">项</w:t>
            </w:r>
            <w:r>
              <w:rPr>
                <w:sz w:val="17"/>
                <w:szCs w:val="17"/>
              </w:rPr>
              <w:tab/>
            </w:r>
            <w:r>
              <w:rPr>
                <w:sz w:val="17"/>
                <w:szCs w:val="17"/>
              </w:rPr>
              <w:t xml:space="preserve">目（按支出功能科目分类）</w:t>
            </w:r>
          </w:p>
        </w:tc>
        <w:tc>
          <w:tcPr>
            <w:tcW w:w="3845" w:type="dxa"/>
            <w:tcBorders>
              <w:top w:val="single" w:sz="4" w:space="0" w:color="auto"/>
              <w:left w:val="single" w:sz="4" w:space="0" w:color="auto"/>
              <w:righ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一、一般公共预算拨款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11.63</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一、一般公共服务支出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0.11</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二、外交支出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11.63</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三、国防支出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二、政府性基金预算拨款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四、公共安全支出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五、教育支出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六、科学技术支出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三、国有资本经营预算拨款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七、文化旅游体育与传媒支出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八、社会保障和就业支出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1.38</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九、卫生健康支出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十、节能环保支出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十一、城乡社区支出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十二、农林水支出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8.94</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十三、交通运输支出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十四、资源勘探工业信息等支出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十五、商业服务业等支出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十六、金融支出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十七、援助其他地区支出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十八、自然资源海洋气象等支出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十九、住房保障支出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1.20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二十、粮油物资储备支出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二十一、国有资本经营预算支出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二十二、灾害防治及应急管理支出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二十三、其他支出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二十四、债务还本支出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二十五、债务付息支出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二十六、债务发行费用支出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本年收入合计</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11.63</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本年支出合计</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11.63</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上年结转结余</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结转下年支出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收入总计</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11.63</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支出总计</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11.63</w:t>
            </w:r>
          </w:p>
        </w:tc>
      </w:tr>
      <w:tr>
        <w:tblPrEx>
          <w:tblW w:w="0" w:type="auto"/>
          <w:tblInd w:w="0" w:type="dxa"/>
          <w:tblLayout w:type="fixed"/>
          <w:tblCellMar>
            <w:top w:w="0" w:type="dxa"/>
            <w:left w:w="10" w:type="dxa"/>
            <w:bottom w:w="0" w:type="dxa"/>
            <w:right w:w="10" w:type="dxa"/>
          </w:tblCellMar>
        </w:tblPrEx>
        <w:trPr>
          <w:trHeight w:hRule="exact" w:val="352"/>
        </w:trPr>
        <w:tc>
          <w:tcPr>
            <w:tcW w:w="15342" w:type="dxa"/>
            <w:gridSpan w:val="6"/>
            <w:tcBorders>
              <w:top w:val="single" w:sz="4" w:space="0" w:color="auto"/>
            </w:tcBorders>
            <w:shd w:val="clear" w:color="auto" w:fill="FFFFFF"/>
          </w:tcPr>
          <w:p>
            <w:pPr>
              <w:jc w:val="left"/>
              <w:rPr>
                <w:sz w:val="10"/>
                <w:szCs w:val="10"/>
                <w:lang w:eastAsia="zh-CN"/>
              </w:rPr>
            </w:pPr>
            <w:r>
              <w:rPr>
                <w:sz w:val="17"/>
                <w:szCs w:val="17"/>
              </w:rPr>
              <w:t xml:space="preserve">注：表中功能分类科目，根据各部门实际预算编制情况编列。</w:t>
            </w:r>
          </w:p>
        </w:tc>
      </w:tr>
      <w:tr>
        <w:tblPrEx>
          <w:tblW w:w="0" w:type="auto"/>
          <w:tblInd w:w="0" w:type="dxa"/>
          <w:tblLayout w:type="fixed"/>
          <w:tblCellMar>
            <w:top w:w="0" w:type="dxa"/>
            <w:left w:w="10" w:type="dxa"/>
            <w:bottom w:w="0" w:type="dxa"/>
            <w:right w:w="10" w:type="dxa"/>
          </w:tblCellMar>
        </w:tblPrEx>
        <w:trPr>
          <w:trHeight w:hRule="exact" w:val="274"/>
        </w:trPr>
        <w:tc>
          <w:tcPr>
            <w:tcW w:w="15342" w:type="dxa"/>
            <w:gridSpan w:val="6"/>
            <w:shd w:val="clear" w:color="auto" w:fill="FFFFFF"/>
            <w:vAlign w:val="bottom"/>
          </w:tcPr>
          <w:p>
            <w:pPr>
              <w:jc w:val="left"/>
              <w:rPr>
                <w:sz w:val="10"/>
                <w:szCs w:val="10"/>
                <w:lang w:eastAsia="zh-CN"/>
              </w:rPr>
            </w:pPr>
            <w:r>
              <w:rPr>
                <w:sz w:val="17"/>
                <w:szCs w:val="17"/>
              </w:rPr>
              <w:t xml:space="preserve">报表金额单位转换时可能存在四舍五入尾数误差。</w:t>
            </w:r>
          </w:p>
        </w:tc>
      </w:tr>
    </w:tbl>
    <w:p>
      <w:pPr>
        <w:jc w:val="left"/>
        <w:rPr>
          <w:lang w:eastAsia="zh-CN"/>
        </w:rPr>
      </w:pPr>
      <w:r>
        <w:br w:type="page"/>
      </w:r>
    </w:p>
    <w:p>
      <w:pPr>
        <w:jc w:val="center"/>
        <w:rPr>
          <w:rFonts w:hint="eastAsia"/>
          <w:lang w:eastAsia="zh-CN"/>
        </w:rPr>
      </w:pPr>
      <w:r>
        <w:rPr>
          <w:rFonts w:hint="eastAsia"/>
          <w:lang w:eastAsia="zh-CN"/>
        </w:rPr>
        <w:t xml:space="preserve">一般公共预算支出情况表</w:t>
      </w:r>
    </w:p>
    <w:p>
      <w:pPr>
        <w:jc w:val="center"/>
        <w:rPr>
          <w:rFonts w:hint="eastAsia"/>
          <w:lang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1715"/>
        <w:gridCol w:w="1676"/>
        <w:gridCol w:w="1662"/>
        <w:gridCol w:w="1717"/>
        <w:gridCol w:w="1879"/>
        <w:gridCol w:w="1729"/>
        <w:gridCol w:w="1718"/>
        <w:gridCol w:w="72"/>
        <w:gridCol w:w="1694"/>
        <w:gridCol w:w="1695"/>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2096" w:type="dxa"/>
            <w:gridSpan w:val="7"/>
            <w:tcBorders>
              <w:top w:val="nil"/>
              <w:left w:val="nil"/>
              <w:right w:val="nil"/>
            </w:tcBorders>
          </w:tcPr>
          <w:p>
            <w:pPr>
              <w:jc w:val="left"/>
              <w:rPr>
                <w:rFonts w:hint="eastAsia"/>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环江毛南族自治县东兴镇扶贫站</w:t>
            </w:r>
            <w:r>
              <w:rPr>
                <w:rFonts w:ascii="宋体" w:eastAsia="宋体" w:hAnsi="宋体" w:cs="宋体"/>
                <w:sz w:val="16"/>
                <w:u w:color="auto"/>
              </w:rPr>
              <w:t xml:space="preserve">                                                            </w:t>
            </w:r>
            <w:r>
              <w:rPr>
                <w:rFonts w:ascii="宋体" w:eastAsia="宋体" w:hAnsi="宋体" w:cs="宋体" w:hint="eastAsia"/>
                <w:sz w:val="16"/>
                <w:szCs w:val="16"/>
                <w:vertAlign w:val="baseline"/>
                <w:lang w:val="en-US" w:eastAsia="zh-CN"/>
              </w:rPr>
              <w:t xml:space="preserve">                    </w:t>
            </w:r>
            <w:r>
              <w:rPr>
                <w:rFonts w:ascii="宋体" w:eastAsia="宋体" w:hAnsi="宋体" w:cs="宋体" w:hint="eastAsia"/>
                <w:sz w:val="16"/>
                <w:szCs w:val="16"/>
                <w:vertAlign w:val="baseline"/>
                <w:lang w:eastAsia="zh-CN"/>
              </w:rPr>
              <w:t xml:space="preserve">                                                                  </w:t>
            </w:r>
          </w:p>
        </w:tc>
        <w:tc>
          <w:tcPr>
            <w:tcW w:w="3461" w:type="dxa"/>
            <w:gridSpan w:val="3"/>
            <w:tcBorders>
              <w:top w:val="nil"/>
              <w:left w:val="nil"/>
              <w:right w:val="nil"/>
            </w:tcBorders>
          </w:tcPr>
          <w:p>
            <w:pPr>
              <w:ind w:firstLine="1760" w:firstLineChars="1100"/>
              <w:jc w:val="left"/>
              <w:rPr>
                <w:rFonts w:hint="eastAsia"/>
                <w:vertAlign w:val="baseline"/>
                <w:lang w:eastAsia="zh-CN"/>
              </w:rPr>
            </w:pPr>
            <w:r>
              <w:rPr>
                <w:rFonts w:ascii="宋体" w:eastAsia="宋体" w:hAnsi="宋体" w:cs="宋体" w:hint="eastAsia"/>
                <w:sz w:val="16"/>
                <w:szCs w:val="16"/>
                <w:vertAlign w:val="baseline"/>
                <w:lang w:eastAsia="zh-CN"/>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Merge w:val="restart"/>
          </w:tcPr>
          <w:p>
            <w:pPr>
              <w:jc w:val="center"/>
              <w:rPr>
                <w:rFonts w:hint="eastAsia"/>
                <w:vertAlign w:val="baseline"/>
                <w:lang w:eastAsia="zh-CN"/>
              </w:rPr>
            </w:pPr>
            <w:r>
              <w:rPr>
                <w:sz w:val="17"/>
                <w:szCs w:val="17"/>
              </w:rPr>
              <w:t xml:space="preserve">科目编码</w:t>
            </w:r>
          </w:p>
        </w:tc>
        <w:tc>
          <w:tcPr>
            <w:tcW w:w="1676" w:type="dxa"/>
            <w:vMerge w:val="restart"/>
          </w:tcPr>
          <w:p>
            <w:pPr>
              <w:jc w:val="center"/>
              <w:rPr>
                <w:rFonts w:hint="eastAsia"/>
                <w:vertAlign w:val="baseline"/>
                <w:lang w:eastAsia="zh-CN"/>
              </w:rPr>
            </w:pPr>
            <w:r>
              <w:rPr>
                <w:sz w:val="17"/>
                <w:szCs w:val="17"/>
              </w:rPr>
              <w:t xml:space="preserve">部门（单位）代码</w:t>
            </w:r>
          </w:p>
        </w:tc>
        <w:tc>
          <w:tcPr>
            <w:tcW w:w="1662" w:type="dxa"/>
            <w:vMerge w:val="restart"/>
          </w:tcPr>
          <w:p>
            <w:pPr>
              <w:pStyle w:val="Other|1"/>
              <w:spacing w:after="120" w:line="240" w:lineRule="auto"/>
              <w:ind w:firstLine="0"/>
              <w:jc w:val="center"/>
              <w:rPr>
                <w:sz w:val="17"/>
                <w:szCs w:val="17"/>
              </w:rPr>
            </w:pPr>
            <w:r>
              <w:rPr>
                <w:sz w:val="17"/>
                <w:szCs w:val="17"/>
              </w:rPr>
              <w:t xml:space="preserve">部门（单位）名称</w:t>
            </w:r>
          </w:p>
          <w:p>
            <w:pPr>
              <w:jc w:val="center"/>
              <w:rPr>
                <w:rFonts w:hint="eastAsia"/>
                <w:vertAlign w:val="baseline"/>
                <w:lang w:eastAsia="zh-CN"/>
              </w:rPr>
            </w:pPr>
            <w:r>
              <w:rPr>
                <w:sz w:val="17"/>
                <w:szCs w:val="17"/>
              </w:rPr>
              <w:t xml:space="preserve">（功能分类科目名称）</w:t>
            </w:r>
          </w:p>
        </w:tc>
        <w:tc>
          <w:tcPr>
            <w:tcW w:w="1717" w:type="dxa"/>
            <w:vMerge w:val="restart"/>
          </w:tcPr>
          <w:p>
            <w:pPr>
              <w:jc w:val="center"/>
              <w:rPr>
                <w:rFonts w:hint="eastAsia"/>
                <w:vertAlign w:val="baseline"/>
                <w:lang w:eastAsia="zh-CN"/>
              </w:rPr>
            </w:pPr>
            <w:r>
              <w:rPr>
                <w:sz w:val="17"/>
                <w:szCs w:val="17"/>
              </w:rPr>
              <w:t xml:space="preserve">合计</w:t>
            </w:r>
          </w:p>
        </w:tc>
        <w:tc>
          <w:tcPr>
            <w:tcW w:w="5398" w:type="dxa"/>
            <w:gridSpan w:val="4"/>
          </w:tcPr>
          <w:p>
            <w:pPr>
              <w:jc w:val="center"/>
              <w:rPr>
                <w:rFonts w:hint="eastAsia"/>
                <w:vertAlign w:val="baseline"/>
                <w:lang w:eastAsia="zh-CN"/>
              </w:rPr>
            </w:pPr>
            <w:r>
              <w:rPr>
                <w:sz w:val="17"/>
                <w:szCs w:val="17"/>
              </w:rPr>
              <w:t xml:space="preserve">基本支出</w:t>
            </w:r>
          </w:p>
        </w:tc>
        <w:tc>
          <w:tcPr>
            <w:tcW w:w="1694" w:type="dxa"/>
            <w:vMerge w:val="restart"/>
          </w:tcPr>
          <w:p>
            <w:pPr>
              <w:jc w:val="center"/>
              <w:rPr>
                <w:rFonts w:hint="eastAsia"/>
                <w:vertAlign w:val="baseline"/>
                <w:lang w:eastAsia="zh-CN"/>
              </w:rPr>
            </w:pPr>
            <w:r>
              <w:rPr>
                <w:sz w:val="17"/>
                <w:szCs w:val="17"/>
              </w:rPr>
              <w:t xml:space="preserve">项目支出</w:t>
            </w:r>
          </w:p>
        </w:tc>
        <w:tc>
          <w:tcPr>
            <w:tcW w:w="1695" w:type="dxa"/>
            <w:vMerge w:val="restart"/>
          </w:tcPr>
          <w:p>
            <w:pPr>
              <w:jc w:val="center"/>
              <w:rPr>
                <w:rFonts w:hint="eastAsia"/>
                <w:vertAlign w:val="baseline"/>
                <w:lang w:eastAsia="zh-CN"/>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Merge/>
          </w:tcPr>
          <w:p>
            <w:pPr>
              <w:jc w:val="center"/>
              <w:rPr>
                <w:rFonts w:hint="eastAsia"/>
                <w:vertAlign w:val="baseline"/>
                <w:lang w:eastAsia="zh-CN"/>
              </w:rPr>
            </w:pPr>
          </w:p>
        </w:tc>
        <w:tc>
          <w:tcPr>
            <w:tcW w:w="1676" w:type="dxa"/>
            <w:vMerge/>
          </w:tcPr>
          <w:p>
            <w:pPr>
              <w:jc w:val="center"/>
              <w:rPr>
                <w:rFonts w:hint="eastAsia"/>
                <w:vertAlign w:val="baseline"/>
                <w:lang w:eastAsia="zh-CN"/>
              </w:rPr>
            </w:pPr>
          </w:p>
        </w:tc>
        <w:tc>
          <w:tcPr>
            <w:tcW w:w="1662" w:type="dxa"/>
            <w:vMerge/>
          </w:tcPr>
          <w:p>
            <w:pPr>
              <w:jc w:val="center"/>
              <w:rPr>
                <w:rFonts w:hint="eastAsia"/>
                <w:vertAlign w:val="baseline"/>
                <w:lang w:eastAsia="zh-CN"/>
              </w:rPr>
            </w:pPr>
          </w:p>
        </w:tc>
        <w:tc>
          <w:tcPr>
            <w:tcW w:w="1717" w:type="dxa"/>
            <w:vMerge/>
          </w:tcPr>
          <w:p>
            <w:pPr>
              <w:jc w:val="center"/>
              <w:rPr>
                <w:rFonts w:hint="eastAsia"/>
                <w:vertAlign w:val="baseline"/>
                <w:lang w:eastAsia="zh-CN"/>
              </w:rPr>
            </w:pPr>
          </w:p>
        </w:tc>
        <w:tc>
          <w:tcPr>
            <w:tcW w:w="187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小计</w:t>
            </w:r>
          </w:p>
        </w:tc>
        <w:tc>
          <w:tcPr>
            <w:tcW w:w="172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人员经费</w:t>
            </w:r>
          </w:p>
        </w:tc>
        <w:tc>
          <w:tcPr>
            <w:tcW w:w="1790" w:type="dxa"/>
            <w:gridSpan w:val="2"/>
            <w:vAlign w:val="center"/>
          </w:tcPr>
          <w:p>
            <w:pPr>
              <w:pStyle w:val="Other|1"/>
              <w:spacing w:line="240" w:lineRule="auto"/>
              <w:ind w:firstLine="440" w:firstLineChars="0"/>
              <w:jc w:val="center"/>
              <w:rPr>
                <w:rFonts w:hint="eastAsia"/>
                <w:vertAlign w:val="baseline"/>
                <w:lang w:eastAsia="zh-CN"/>
              </w:rPr>
            </w:pPr>
            <w:r>
              <w:rPr>
                <w:sz w:val="17"/>
                <w:szCs w:val="17"/>
              </w:rPr>
              <w:t xml:space="preserve">公用经费</w:t>
            </w:r>
          </w:p>
        </w:tc>
        <w:tc>
          <w:tcPr>
            <w:tcW w:w="1694" w:type="dxa"/>
            <w:vMerge/>
          </w:tcPr>
          <w:p>
            <w:pPr>
              <w:jc w:val="center"/>
              <w:rPr>
                <w:rFonts w:hint="eastAsia"/>
                <w:vertAlign w:val="baseline"/>
                <w:lang w:eastAsia="zh-CN"/>
              </w:rPr>
            </w:pPr>
          </w:p>
        </w:tc>
        <w:tc>
          <w:tcPr>
            <w:tcW w:w="1695" w:type="dxa"/>
            <w:vMerge/>
          </w:tcPr>
          <w:p>
            <w:pPr>
              <w:jc w:val="center"/>
              <w:rPr>
                <w:rFonts w:hint="eastAsia"/>
                <w:vertAlign w:val="baseline"/>
                <w:lang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jc w:val="center"/>
              <w:rPr>
                <w:rFonts w:hint="eastAsia"/>
                <w:vertAlign w:val="baseline"/>
                <w:lang w:eastAsia="zh-CN"/>
              </w:rPr>
            </w:pPr>
          </w:p>
        </w:tc>
        <w:tc>
          <w:tcPr>
            <w:tcW w:w="1676" w:type="dxa"/>
            <w:vAlign w:val="center"/>
          </w:tcPr>
          <w:p>
            <w:pPr>
              <w:jc w:val="center"/>
              <w:rPr>
                <w:rFonts w:hint="eastAsia"/>
                <w:vertAlign w:val="baseline"/>
                <w:lang w:eastAsia="zh-CN"/>
              </w:rPr>
            </w:pPr>
          </w:p>
        </w:tc>
        <w:tc>
          <w:tcPr>
            <w:tcW w:w="1662" w:type="dxa"/>
            <w:vAlign w:val="center"/>
          </w:tcPr>
          <w:p>
            <w:pPr>
              <w:jc w:val="center"/>
              <w:rPr>
                <w:rFonts w:hint="eastAsia"/>
                <w:vertAlign w:val="baseline"/>
                <w:lang w:eastAsia="zh-CN"/>
              </w:rPr>
            </w:pPr>
          </w:p>
        </w:tc>
        <w:tc>
          <w:tcPr>
            <w:tcW w:w="1717"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1</w:t>
            </w:r>
          </w:p>
        </w:tc>
        <w:tc>
          <w:tcPr>
            <w:tcW w:w="187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2</w:t>
            </w:r>
          </w:p>
        </w:tc>
        <w:tc>
          <w:tcPr>
            <w:tcW w:w="172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3</w:t>
            </w:r>
          </w:p>
        </w:tc>
        <w:tc>
          <w:tcPr>
            <w:tcW w:w="1790" w:type="dxa"/>
            <w:gridSpan w:val="2"/>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4</w:t>
            </w:r>
          </w:p>
        </w:tc>
        <w:tc>
          <w:tcPr>
            <w:tcW w:w="1694" w:type="dxa"/>
            <w:vAlign w:val="center"/>
          </w:tcPr>
          <w:p>
            <w:pPr>
              <w:pStyle w:val="Other|1"/>
              <w:spacing w:line="240" w:lineRule="auto"/>
              <w:ind w:firstLine="660" w:firstLineChars="0"/>
              <w:jc w:val="center"/>
              <w:rPr>
                <w:rFonts w:hint="eastAsia"/>
                <w:vertAlign w:val="baseline"/>
                <w:lang w:eastAsia="zh-CN"/>
              </w:rPr>
            </w:pPr>
            <w:r>
              <w:rPr>
                <w:rFonts w:ascii="Times New Roman" w:eastAsia="Times New Roman" w:hAnsi="Times New Roman" w:cs="Times New Roman"/>
                <w:b/>
                <w:bCs/>
                <w:sz w:val="17"/>
                <w:szCs w:val="17"/>
              </w:rPr>
              <w:t xml:space="preserve">5</w:t>
            </w:r>
          </w:p>
        </w:tc>
        <w:tc>
          <w:tcPr>
            <w:tcW w:w="1695" w:type="dxa"/>
            <w:vAlign w:val="center"/>
          </w:tcPr>
          <w:p>
            <w:pPr>
              <w:pStyle w:val="Other|1"/>
              <w:spacing w:line="240" w:lineRule="auto"/>
              <w:ind w:right="700" w:firstLine="0" w:rightChars="0" w:firstLineChars="0"/>
              <w:jc w:val="center"/>
              <w:rPr>
                <w:rFonts w:hint="eastAsia"/>
                <w:vertAlign w:val="baseline"/>
                <w:lang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p>
        </w:tc>
        <w:tc>
          <w:tcPr>
            <w:tcW w:w="1676"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710006</w:t>
            </w:r>
          </w:p>
        </w:tc>
        <w:tc>
          <w:tcPr>
            <w:tcW w:w="1662" w:type="dxa"/>
            <w:vAlign w:val="center"/>
          </w:tcPr>
          <w:p>
            <w:pPr>
              <w:pStyle w:val="Other|1"/>
              <w:spacing w:line="240" w:lineRule="auto"/>
              <w:ind w:firstLine="0" w:firstLineChars="0"/>
              <w:jc w:val="center"/>
              <w:rPr>
                <w:rFonts w:hint="eastAsia"/>
                <w:vertAlign w:val="baseline"/>
                <w:lang w:eastAsia="zh-CN"/>
              </w:rPr>
            </w:pP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11.63</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11.63</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11.28</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0.35</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2012999</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其他群众团体事务支出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0.11</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0.11</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0.11</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2080505</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机关事业单位基本养老保险缴费支出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1.38</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1.38</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1.38</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2130104</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事业运行</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8.94</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8.94</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8.70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0.24</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2210201</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住房公积金</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1.20</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1.20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1.20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10"/>
            <w:tcBorders>
              <w:left w:val="nil"/>
              <w:bottom w:val="nil"/>
              <w:right w:val="nil"/>
            </w:tcBorders>
          </w:tcPr>
          <w:p>
            <w:pPr>
              <w:jc w:val="left"/>
              <w:rPr>
                <w:rFonts w:hint="eastAsia"/>
                <w:vertAlign w:val="baseline"/>
                <w:lang w:eastAsia="zh-CN"/>
              </w:rPr>
            </w:pPr>
            <w:r>
              <w:rPr>
                <w:sz w:val="16"/>
                <w:szCs w:val="16"/>
              </w:rPr>
              <w:t xml:space="preserve">注：本报表金额单位转换时可能存在四舍五入尾数误差。</w:t>
            </w:r>
          </w:p>
        </w:tc>
      </w:tr>
    </w:tbl>
    <w:p>
      <w:pPr>
        <w:jc w:val="left"/>
        <w:rPr>
          <w:rFonts w:hint="eastAsia"/>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Heading#2|1"/>
        <w:keepNext/>
        <w:keepLines/>
        <w:spacing w:after="240"/>
        <w:jc w:val="center"/>
      </w:pPr>
      <w:bookmarkStart w:id="26" w:name="bookmark56"/>
      <w:bookmarkStart w:id="27" w:name="bookmark57"/>
      <w:bookmarkStart w:id="28" w:name="bookmark58"/>
      <w:r>
        <w:t xml:space="preserve">一般公共预算基本支出情况表</w:t>
      </w:r>
      <w:bookmarkEnd w:id="26"/>
      <w:bookmarkEnd w:id="27"/>
      <w:bookmarkEnd w:id="28"/>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3110"/>
        <w:gridCol w:w="3111"/>
        <w:gridCol w:w="3111"/>
        <w:gridCol w:w="3112"/>
        <w:gridCol w:w="311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2444" w:type="dxa"/>
            <w:gridSpan w:val="4"/>
            <w:tcBorders>
              <w:top w:val="nil"/>
              <w:left w:val="nil"/>
              <w:right w:val="nil"/>
            </w:tcBorders>
          </w:tcPr>
          <w:p>
            <w:pPr>
              <w:jc w:val="left"/>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环江毛南族自治县东兴镇扶贫站</w:t>
            </w:r>
            <w:r>
              <w:rPr>
                <w:rFonts w:ascii="宋体" w:eastAsia="宋体" w:hAnsi="宋体" w:cs="宋体"/>
                <w:sz w:val="16"/>
                <w:u w:color="auto"/>
              </w:rPr>
              <w:t xml:space="preserve">                                                          </w:t>
            </w:r>
            <w:r>
              <w:rPr>
                <w:rFonts w:ascii="宋体" w:eastAsia="宋体" w:hAnsi="宋体" w:cs="宋体" w:hint="eastAsia"/>
                <w:sz w:val="16"/>
                <w:szCs w:val="16"/>
                <w:vertAlign w:val="baseline"/>
                <w:lang w:val="en-US" w:eastAsia="zh-CN"/>
              </w:rPr>
              <w:t xml:space="preserve">                    </w:t>
            </w:r>
            <w:r>
              <w:rPr>
                <w:rFonts w:ascii="宋体" w:eastAsia="宋体" w:hAnsi="宋体" w:cs="宋体" w:hint="eastAsia"/>
                <w:sz w:val="16"/>
                <w:szCs w:val="16"/>
                <w:vertAlign w:val="baseline"/>
                <w:lang w:eastAsia="zh-CN"/>
              </w:rPr>
              <w:t xml:space="preserve">                                                                    </w:t>
            </w:r>
          </w:p>
        </w:tc>
        <w:tc>
          <w:tcPr>
            <w:tcW w:w="3113" w:type="dxa"/>
            <w:tcBorders>
              <w:top w:val="nil"/>
              <w:left w:val="nil"/>
              <w:right w:val="nil"/>
            </w:tcBorders>
          </w:tcPr>
          <w:p>
            <w:pPr>
              <w:ind w:firstLine="1760" w:firstLineChars="1100"/>
              <w:jc w:val="left"/>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  </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5"/>
        </w:trPr>
        <w:tc>
          <w:tcPr>
            <w:tcW w:w="6221" w:type="dxa"/>
            <w:gridSpan w:val="2"/>
          </w:tcPr>
          <w:p>
            <w:pPr>
              <w:jc w:val="left"/>
              <w:rPr>
                <w:vertAlign w:val="baseline"/>
                <w:lang w:eastAsia="zh-CN"/>
              </w:rPr>
            </w:pPr>
            <w:r>
              <w:rPr>
                <w:sz w:val="17"/>
                <w:szCs w:val="17"/>
              </w:rPr>
              <w:t xml:space="preserve">部门预算支出经济分类科目</w:t>
            </w:r>
          </w:p>
        </w:tc>
        <w:tc>
          <w:tcPr>
            <w:tcW w:w="9336" w:type="dxa"/>
            <w:gridSpan w:val="3"/>
          </w:tcPr>
          <w:p>
            <w:pPr>
              <w:jc w:val="left"/>
              <w:rPr>
                <w:vertAlign w:val="baseline"/>
                <w:lang w:eastAsia="zh-CN"/>
              </w:rPr>
            </w:pPr>
            <w:r>
              <w:rPr>
                <w:sz w:val="17"/>
                <w:szCs w:val="17"/>
              </w:rPr>
              <w:t xml:space="preserve">本年一般公共预算基本支出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20"/>
        </w:trPr>
        <w:tc>
          <w:tcPr>
            <w:tcW w:w="3110" w:type="dxa"/>
            <w:vAlign w:val="center"/>
          </w:tcPr>
          <w:p>
            <w:pPr>
              <w:pStyle w:val="Other|1"/>
              <w:spacing w:line="240" w:lineRule="auto"/>
              <w:ind w:firstLine="0" w:firstLineChars="0"/>
              <w:jc w:val="center"/>
              <w:rPr>
                <w:vertAlign w:val="baseline"/>
                <w:lang w:eastAsia="zh-CN"/>
              </w:rPr>
            </w:pPr>
            <w:r>
              <w:rPr>
                <w:sz w:val="17"/>
                <w:szCs w:val="17"/>
              </w:rPr>
              <w:t xml:space="preserve">科目编码</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科目名称</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合计</w:t>
            </w:r>
          </w:p>
        </w:tc>
        <w:tc>
          <w:tcPr>
            <w:tcW w:w="3112" w:type="dxa"/>
            <w:vAlign w:val="center"/>
          </w:tcPr>
          <w:p>
            <w:pPr>
              <w:pStyle w:val="Other|1"/>
              <w:spacing w:line="240" w:lineRule="auto"/>
              <w:ind w:firstLine="0" w:firstLineChars="0"/>
              <w:jc w:val="center"/>
              <w:rPr>
                <w:vertAlign w:val="baseline"/>
                <w:lang w:eastAsia="zh-CN"/>
              </w:rPr>
            </w:pPr>
            <w:r>
              <w:rPr>
                <w:sz w:val="17"/>
                <w:szCs w:val="17"/>
              </w:rPr>
              <w:t xml:space="preserve">人员经费</w:t>
            </w:r>
          </w:p>
        </w:tc>
        <w:tc>
          <w:tcPr>
            <w:tcW w:w="3113" w:type="dxa"/>
            <w:vAlign w:val="center"/>
          </w:tcPr>
          <w:p>
            <w:pPr>
              <w:pStyle w:val="Other|1"/>
              <w:spacing w:line="240" w:lineRule="auto"/>
              <w:ind w:firstLine="0" w:firstLineChars="0"/>
              <w:jc w:val="center"/>
              <w:rPr>
                <w:vertAlign w:val="baseline"/>
                <w:lang w:eastAsia="zh-CN"/>
              </w:rPr>
            </w:pPr>
            <w:r>
              <w:rPr>
                <w:sz w:val="17"/>
                <w:szCs w:val="17"/>
              </w:rPr>
              <w:t xml:space="preserve">公用经费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 </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合计</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11.63</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11.28</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0.35</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工资福利支出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11.28</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11.28</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基本工资</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3.59</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3.59</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津贴补贴</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1.04</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1.04</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奖金</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1.76</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1.76</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30107</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绩效工资</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1.69</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1.69</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30108</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机关事业单位基本养老保险缴费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1.38</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1.38</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30110</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职工基本医疗保险缴费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0.55</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0.55</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其他社会保障缴费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0.06</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0.06</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住房公积金</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1.20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1.20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商品和服务支出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0.35</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0.35</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办公费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0.24</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0.24</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30228</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工会经费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0.11</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0.11</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2"/>
        </w:trPr>
        <w:tc>
          <w:tcPr>
            <w:tcW w:w="15557" w:type="dxa"/>
            <w:gridSpan w:val="5"/>
            <w:tcBorders>
              <w:left w:val="nil"/>
              <w:bottom w:val="nil"/>
              <w:right w:val="nil"/>
            </w:tcBorders>
          </w:tcPr>
          <w:p>
            <w:pPr>
              <w:jc w:val="left"/>
              <w:rPr>
                <w:sz w:val="16"/>
                <w:szCs w:val="16"/>
              </w:rPr>
            </w:pPr>
          </w:p>
          <w:p>
            <w:pPr>
              <w:jc w:val="left"/>
              <w:rPr>
                <w:vertAlign w:val="baseline"/>
                <w:lang w:eastAsia="zh-CN"/>
              </w:rPr>
            </w:pPr>
            <w:r>
              <w:rPr>
                <w:sz w:val="16"/>
                <w:szCs w:val="16"/>
              </w:rPr>
              <w:t xml:space="preserve">注：本报表金额单位转换时可能存在四舍五入尾数误差。</w:t>
            </w:r>
          </w:p>
        </w:tc>
      </w:tr>
    </w:tbl>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Heading#2|1"/>
        <w:keepNext/>
        <w:keepLines/>
        <w:spacing w:after="240"/>
        <w:jc w:val="center"/>
        <w:rPr>
          <w:rFonts w:hint="default"/>
          <w:sz w:val="28"/>
          <w:szCs w:val="28"/>
          <w:lang w:val="en-US" w:eastAsia="zh-CN"/>
        </w:rPr>
      </w:pPr>
      <w:bookmarkStart w:id="29" w:name="bookmark65"/>
      <w:bookmarkStart w:id="30" w:name="bookmark67"/>
      <w:bookmarkStart w:id="31" w:name="bookmark66"/>
      <w:r>
        <w:rPr>
          <w:rFonts w:hint="default"/>
          <w:sz w:val="28"/>
          <w:szCs w:val="28"/>
          <w:lang w:val="en-US" w:eastAsia="zh-CN"/>
        </w:rPr>
        <w:t xml:space="preserve">一般公共预算“三公”经费预算表</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296"/>
        <w:gridCol w:w="1918"/>
        <w:gridCol w:w="1884"/>
        <w:gridCol w:w="1895"/>
        <w:gridCol w:w="1888"/>
        <w:gridCol w:w="1890"/>
        <w:gridCol w:w="1895"/>
        <w:gridCol w:w="2"/>
        <w:gridCol w:w="1889"/>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3666" w:type="dxa"/>
            <w:gridSpan w:val="7"/>
            <w:tcBorders>
              <w:top w:val="nil"/>
              <w:left w:val="nil"/>
              <w:right w:val="nil"/>
            </w:tcBorders>
          </w:tcPr>
          <w:p>
            <w:pPr>
              <w:pStyle w:val="Tablecaption|1"/>
              <w:bidi w:val="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环江毛南族自治县东兴镇扶贫站</w:t>
            </w:r>
            <w:r>
              <w:rPr>
                <w:rFonts w:ascii="宋体" w:eastAsia="宋体" w:hAnsi="宋体" w:cs="宋体"/>
                <w:sz w:val="16"/>
                <w:u w:color="auto"/>
              </w:rPr>
              <w:t xml:space="preserve">                                           </w:t>
            </w:r>
            <w:r>
              <w:rPr>
                <w:rFonts w:cs="宋体" w:hint="eastAsia"/>
                <w:sz w:val="16"/>
                <w:szCs w:val="16"/>
                <w:vertAlign w:val="baseline"/>
                <w:lang w:val="en-US" w:eastAsia="zh-CN"/>
              </w:rPr>
              <w:t xml:space="preserve">                    </w:t>
            </w:r>
            <w:r>
              <w:rPr>
                <w:rFonts w:ascii="宋体" w:eastAsia="宋体" w:hAnsi="宋体" w:cs="宋体" w:hint="eastAsia"/>
                <w:sz w:val="16"/>
                <w:szCs w:val="16"/>
                <w:vertAlign w:val="baseline"/>
                <w:lang w:eastAsia="zh-CN"/>
              </w:rPr>
              <w:t xml:space="preserve">                                                                                   </w:t>
            </w:r>
          </w:p>
        </w:tc>
        <w:tc>
          <w:tcPr>
            <w:tcW w:w="1891" w:type="dxa"/>
            <w:gridSpan w:val="2"/>
            <w:tcBorders>
              <w:top w:val="nil"/>
              <w:left w:val="nil"/>
              <w:right w:val="nil"/>
            </w:tcBorders>
          </w:tcPr>
          <w:p>
            <w:pPr>
              <w:pStyle w:val="Tablecaption|1"/>
              <w:bidi w:val="0"/>
              <w:ind w:firstLine="480" w:firstLineChars="30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  </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val="restart"/>
          </w:tcPr>
          <w:p>
            <w:pPr>
              <w:pStyle w:val="Tablecaption|1"/>
              <w:bidi w:val="0"/>
              <w:jc w:val="center"/>
              <w:rPr>
                <w:rFonts w:hint="eastAsia"/>
                <w:vertAlign w:val="baseline"/>
                <w:lang w:val="en-US" w:eastAsia="zh-CN"/>
              </w:rPr>
            </w:pPr>
            <w:r>
              <w:rPr>
                <w:sz w:val="17"/>
                <w:szCs w:val="17"/>
              </w:rPr>
              <w:t xml:space="preserve">门（单位）代码</w:t>
            </w:r>
          </w:p>
        </w:tc>
        <w:tc>
          <w:tcPr>
            <w:tcW w:w="1918" w:type="dxa"/>
            <w:vMerge w:val="restart"/>
          </w:tcPr>
          <w:p>
            <w:pPr>
              <w:pStyle w:val="Tablecaption|1"/>
              <w:bidi w:val="0"/>
              <w:jc w:val="center"/>
              <w:rPr>
                <w:rFonts w:hint="eastAsia"/>
                <w:vertAlign w:val="baseline"/>
                <w:lang w:val="en-US" w:eastAsia="zh-CN"/>
              </w:rPr>
            </w:pPr>
            <w:r>
              <w:rPr>
                <w:sz w:val="17"/>
                <w:szCs w:val="17"/>
              </w:rPr>
              <w:t xml:space="preserve">部门（单位）名称</w:t>
            </w:r>
          </w:p>
        </w:tc>
        <w:tc>
          <w:tcPr>
            <w:tcW w:w="11343" w:type="dxa"/>
            <w:gridSpan w:val="7"/>
          </w:tcPr>
          <w:p>
            <w:pPr>
              <w:pStyle w:val="Tablecaption|1"/>
              <w:bidi w:val="0"/>
              <w:jc w:val="center"/>
              <w:rPr>
                <w:rFonts w:hint="eastAsia"/>
                <w:vertAlign w:val="baseline"/>
                <w:lang w:val="en-US" w:eastAsia="zh-CN"/>
              </w:rPr>
            </w:pPr>
            <w:r>
              <w:rPr>
                <w:sz w:val="17"/>
                <w:szCs w:val="17"/>
                <w:lang w:val="zh-CN" w:eastAsia="zh-CN" w:bidi="zh-CN"/>
              </w:rPr>
              <w:t xml:space="preserve">“三</w:t>
            </w:r>
            <w:r>
              <w:rPr>
                <w:sz w:val="17"/>
                <w:szCs w:val="17"/>
              </w:rPr>
              <w:t xml:space="preserve">公”经费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val="restart"/>
          </w:tcPr>
          <w:p>
            <w:pPr>
              <w:pStyle w:val="Tablecaption|1"/>
              <w:bidi w:val="0"/>
              <w:jc w:val="center"/>
              <w:rPr>
                <w:rFonts w:hint="eastAsia"/>
                <w:vertAlign w:val="baseline"/>
                <w:lang w:val="en-US" w:eastAsia="zh-CN"/>
              </w:rPr>
            </w:pPr>
            <w:r>
              <w:rPr>
                <w:sz w:val="17"/>
                <w:szCs w:val="17"/>
              </w:rPr>
              <w:t xml:space="preserve">合计</w:t>
            </w:r>
          </w:p>
        </w:tc>
        <w:tc>
          <w:tcPr>
            <w:tcW w:w="1895" w:type="dxa"/>
            <w:vMerge w:val="restart"/>
          </w:tcPr>
          <w:p>
            <w:pPr>
              <w:pStyle w:val="Tablecaption|1"/>
              <w:bidi w:val="0"/>
              <w:jc w:val="center"/>
              <w:rPr>
                <w:rFonts w:hint="eastAsia"/>
                <w:vertAlign w:val="baseline"/>
                <w:lang w:val="en-US" w:eastAsia="zh-CN"/>
              </w:rPr>
            </w:pPr>
            <w:r>
              <w:rPr>
                <w:sz w:val="17"/>
                <w:szCs w:val="17"/>
              </w:rPr>
              <w:t xml:space="preserve">因公出国（境）费</w:t>
            </w:r>
          </w:p>
        </w:tc>
        <w:tc>
          <w:tcPr>
            <w:tcW w:w="5675" w:type="dxa"/>
            <w:gridSpan w:val="4"/>
          </w:tcPr>
          <w:p>
            <w:pPr>
              <w:pStyle w:val="Tablecaption|1"/>
              <w:bidi w:val="0"/>
              <w:jc w:val="center"/>
              <w:rPr>
                <w:rFonts w:hint="eastAsia"/>
                <w:vertAlign w:val="baseline"/>
                <w:lang w:val="en-US" w:eastAsia="zh-CN"/>
              </w:rPr>
            </w:pPr>
            <w:r>
              <w:rPr>
                <w:sz w:val="17"/>
                <w:szCs w:val="17"/>
              </w:rPr>
              <w:t xml:space="preserve">公务用车购置及运行维护费</w:t>
            </w:r>
          </w:p>
        </w:tc>
        <w:tc>
          <w:tcPr>
            <w:tcW w:w="1889" w:type="dxa"/>
            <w:vMerge w:val="restart"/>
          </w:tcPr>
          <w:p>
            <w:pPr>
              <w:pStyle w:val="Tablecaption|1"/>
              <w:bidi w:val="0"/>
              <w:jc w:val="center"/>
              <w:rPr>
                <w:rFonts w:hint="eastAsia"/>
                <w:vertAlign w:val="baseline"/>
                <w:lang w:val="en-US" w:eastAsia="zh-CN"/>
              </w:rPr>
            </w:pPr>
            <w:r>
              <w:rPr>
                <w:sz w:val="17"/>
                <w:szCs w:val="17"/>
              </w:rPr>
              <w:t xml:space="preserve">公务接待费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tcPr>
          <w:p>
            <w:pPr>
              <w:pStyle w:val="Tablecaption|1"/>
              <w:bidi w:val="0"/>
              <w:jc w:val="center"/>
              <w:rPr>
                <w:rFonts w:hint="eastAsia"/>
                <w:vertAlign w:val="baseline"/>
                <w:lang w:val="en-US" w:eastAsia="zh-CN"/>
              </w:rPr>
            </w:pPr>
          </w:p>
        </w:tc>
        <w:tc>
          <w:tcPr>
            <w:tcW w:w="1895" w:type="dxa"/>
            <w:vMerge/>
          </w:tcPr>
          <w:p>
            <w:pPr>
              <w:pStyle w:val="Tablecaption|1"/>
              <w:bidi w:val="0"/>
              <w:jc w:val="center"/>
              <w:rPr>
                <w:rFonts w:hint="eastAsia"/>
                <w:vertAlign w:val="baseline"/>
                <w:lang w:val="en-US" w:eastAsia="zh-CN"/>
              </w:rPr>
            </w:pPr>
          </w:p>
        </w:tc>
        <w:tc>
          <w:tcPr>
            <w:tcW w:w="1888" w:type="dxa"/>
            <w:vAlign w:val="center"/>
          </w:tcPr>
          <w:p>
            <w:pPr>
              <w:pStyle w:val="Other|1"/>
              <w:spacing w:line="240" w:lineRule="auto"/>
              <w:ind w:firstLine="0" w:firstLineChars="0"/>
              <w:jc w:val="center"/>
              <w:rPr>
                <w:rFonts w:hint="eastAsia"/>
                <w:vertAlign w:val="baseline"/>
                <w:lang w:val="en-US" w:eastAsia="zh-CN"/>
              </w:rPr>
            </w:pPr>
            <w:r>
              <w:rPr>
                <w:sz w:val="17"/>
                <w:szCs w:val="17"/>
              </w:rPr>
              <w:t xml:space="preserve">小计</w:t>
            </w:r>
          </w:p>
        </w:tc>
        <w:tc>
          <w:tcPr>
            <w:tcW w:w="1890" w:type="dxa"/>
            <w:vAlign w:val="center"/>
          </w:tcPr>
          <w:p>
            <w:pPr>
              <w:pStyle w:val="Other|1"/>
              <w:spacing w:line="240" w:lineRule="auto"/>
              <w:ind w:firstLine="220" w:firstLineChars="0"/>
              <w:jc w:val="center"/>
              <w:rPr>
                <w:rFonts w:hint="eastAsia"/>
                <w:vertAlign w:val="baseline"/>
                <w:lang w:val="en-US" w:eastAsia="zh-CN"/>
              </w:rPr>
            </w:pPr>
            <w:r>
              <w:rPr>
                <w:sz w:val="17"/>
                <w:szCs w:val="17"/>
              </w:rPr>
              <w:t xml:space="preserve">公务用车运行维护费</w:t>
            </w:r>
          </w:p>
        </w:tc>
        <w:tc>
          <w:tcPr>
            <w:tcW w:w="1897" w:type="dxa"/>
            <w:gridSpan w:val="2"/>
            <w:vAlign w:val="center"/>
          </w:tcPr>
          <w:p>
            <w:pPr>
              <w:pStyle w:val="Other|1"/>
              <w:spacing w:line="240" w:lineRule="auto"/>
              <w:ind w:firstLine="400" w:firstLineChars="0"/>
              <w:jc w:val="center"/>
              <w:rPr>
                <w:rFonts w:hint="eastAsia"/>
                <w:vertAlign w:val="baseline"/>
                <w:lang w:val="en-US" w:eastAsia="zh-CN"/>
              </w:rPr>
            </w:pPr>
            <w:r>
              <w:rPr>
                <w:sz w:val="17"/>
                <w:szCs w:val="17"/>
              </w:rPr>
              <w:t xml:space="preserve">公务用车购置费</w:t>
            </w:r>
          </w:p>
        </w:tc>
        <w:tc>
          <w:tcPr>
            <w:tcW w:w="1889" w:type="dxa"/>
            <w:vMerge/>
          </w:tcPr>
          <w:p>
            <w:pPr>
              <w:pStyle w:val="Tablecaption|1"/>
              <w:bidi w:val="0"/>
              <w:jc w:val="center"/>
              <w:rPr>
                <w:rFonts w:hint="eastAsia"/>
                <w:vertAlign w:val="baseline"/>
                <w:lang w:val="en-US"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Align w:val="center"/>
          </w:tcPr>
          <w:p>
            <w:pPr>
              <w:jc w:val="center"/>
              <w:rPr>
                <w:rFonts w:hint="eastAsia"/>
                <w:vertAlign w:val="baseline"/>
                <w:lang w:val="en-US" w:eastAsia="zh-CN"/>
              </w:rPr>
            </w:pPr>
          </w:p>
        </w:tc>
        <w:tc>
          <w:tcPr>
            <w:tcW w:w="1918" w:type="dxa"/>
            <w:vAlign w:val="center"/>
          </w:tcPr>
          <w:p>
            <w:pPr>
              <w:jc w:val="center"/>
              <w:rPr>
                <w:rFonts w:hint="eastAsia"/>
                <w:vertAlign w:val="baseline"/>
                <w:lang w:val="en-US" w:eastAsia="zh-CN"/>
              </w:rPr>
            </w:pPr>
          </w:p>
        </w:tc>
        <w:tc>
          <w:tcPr>
            <w:tcW w:w="1884"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1</w:t>
            </w:r>
          </w:p>
        </w:tc>
        <w:tc>
          <w:tcPr>
            <w:tcW w:w="1895"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2</w:t>
            </w:r>
          </w:p>
        </w:tc>
        <w:tc>
          <w:tcPr>
            <w:tcW w:w="1888"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3</w:t>
            </w:r>
          </w:p>
        </w:tc>
        <w:tc>
          <w:tcPr>
            <w:tcW w:w="1890"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4</w:t>
            </w:r>
          </w:p>
        </w:tc>
        <w:tc>
          <w:tcPr>
            <w:tcW w:w="1897" w:type="dxa"/>
            <w:gridSpan w:val="2"/>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5</w:t>
            </w:r>
          </w:p>
        </w:tc>
        <w:tc>
          <w:tcPr>
            <w:tcW w:w="1889"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Align w:val="center"/>
          </w:tcPr>
          <w:p>
            <w:pPr>
              <w:pStyle w:val="Other|1"/>
              <w:spacing w:line="240" w:lineRule="auto"/>
              <w:ind w:firstLine="0" w:firstLineChars="0"/>
              <w:jc w:val="lef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710006</w:t>
            </w:r>
          </w:p>
        </w:tc>
        <w:tc>
          <w:tcPr>
            <w:tcW w:w="1918" w:type="dxa"/>
            <w:vAlign w:val="center"/>
          </w:tcPr>
          <w:p>
            <w:pPr>
              <w:pStyle w:val="Other|1"/>
              <w:spacing w:line="240" w:lineRule="auto"/>
              <w:ind w:firstLine="0" w:firstLineChars="0"/>
              <w:jc w:val="left"/>
              <w:rPr>
                <w:rFonts w:hint="eastAsia"/>
                <w:vertAlign w:val="baseline"/>
                <w:lang w:val="en-US" w:eastAsia="zh-CN"/>
              </w:rPr>
            </w:pPr>
          </w:p>
        </w:tc>
        <w:tc>
          <w:tcPr>
            <w:tcW w:w="1884"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95"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88"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90"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97" w:type="dxa"/>
            <w:gridSpan w:val="2"/>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89"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2"/>
        </w:trPr>
        <w:tc>
          <w:tcPr>
            <w:tcW w:w="15557" w:type="dxa"/>
            <w:gridSpan w:val="9"/>
            <w:tcBorders>
              <w:left w:val="nil"/>
              <w:bottom w:val="nil"/>
              <w:right w:val="nil"/>
            </w:tcBorders>
          </w:tcPr>
          <w:p>
            <w:pPr>
              <w:pStyle w:val="Tablecaption|1"/>
              <w:bidi w:val="0"/>
              <w:jc w:val="both"/>
              <w:rPr>
                <w:rFonts w:hint="eastAsia"/>
                <w:vertAlign w:val="baseline"/>
                <w:lang w:val="en-US" w:eastAsia="zh-CN"/>
              </w:rPr>
            </w:pPr>
            <w:r>
              <w:rPr>
                <w:rFonts w:ascii="宋体" w:eastAsia="宋体" w:hAnsi="宋体" w:cs="宋体" w:hint="eastAsia"/>
                <w:sz w:val="16"/>
                <w:szCs w:val="16"/>
              </w:rPr>
              <w:t xml:space="preserve">注：本报表金额单位转换时可能存在四舍五入尾数误差</w:t>
            </w:r>
          </w:p>
        </w:tc>
      </w:tr>
    </w:tbl>
    <w:p>
      <w:pPr>
        <w:pStyle w:val="Tablecaption|1"/>
        <w:bidi w:val="0"/>
        <w:rPr>
          <w:rFonts w:hint="eastAsia"/>
          <w:lang w:val="en-US" w:eastAsia="zh-CN"/>
        </w:rP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Tablecaption|1"/>
        <w:bidi w:val="0"/>
      </w:pPr>
    </w:p>
    <w:p>
      <w:pPr>
        <w:pStyle w:val="Heading#2|1"/>
        <w:keepNext/>
        <w:keepLines/>
        <w:spacing w:after="240"/>
        <w:jc w:val="center"/>
      </w:pPr>
      <w:r>
        <w:t xml:space="preserve">政府性基金预算支出情况表</w:t>
      </w:r>
      <w:bookmarkEnd w:id="29"/>
      <w:bookmarkEnd w:id="30"/>
      <w:bookmarkEnd w:id="31"/>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27"/>
        <w:gridCol w:w="2161"/>
        <w:gridCol w:w="2162"/>
        <w:gridCol w:w="2222"/>
        <w:gridCol w:w="2161"/>
        <w:gridCol w:w="2161"/>
        <w:gridCol w:w="216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5"/>
        </w:trPr>
        <w:tc>
          <w:tcPr>
            <w:tcW w:w="13394" w:type="dxa"/>
            <w:gridSpan w:val="6"/>
            <w:tcBorders>
              <w:top w:val="nil"/>
              <w:left w:val="nil"/>
              <w:right w:val="nil"/>
            </w:tcBorders>
          </w:tcPr>
          <w:p>
            <w:pPr>
              <w:pStyle w:val="Tablecaption|1"/>
              <w:tabs>
                <w:tab w:val="left" w:pos="14213"/>
              </w:tabs>
              <w:ind w:left="101"/>
              <w:jc w:val="left"/>
            </w:pPr>
            <w:r>
              <w:t xml:space="preserve">单位名称：</w:t>
            </w:r>
            <w:r>
              <w:rPr>
                <w:rFonts w:hint="eastAsia"/>
                <w:lang w:eastAsia="zh-CN"/>
              </w:rPr>
              <w:t xml:space="preserve">环江毛南族自治县东兴镇扶贫站</w:t>
            </w:r>
            <w:r>
              <w:tab/>
            </w:r>
            <w:r>
              <w:t xml:space="preserve">单位：万元</w:t>
            </w:r>
          </w:p>
        </w:tc>
        <w:tc>
          <w:tcPr>
            <w:tcW w:w="2163" w:type="dxa"/>
            <w:tcBorders>
              <w:top w:val="nil"/>
              <w:left w:val="nil"/>
              <w:right w:val="nil"/>
            </w:tcBorders>
          </w:tcPr>
          <w:p>
            <w:pPr>
              <w:pStyle w:val="Tablecaption|1"/>
              <w:tabs>
                <w:tab w:val="left" w:pos="14213"/>
              </w:tabs>
              <w:ind w:left="101" w:firstLine="680" w:firstLineChars="400"/>
              <w:jc w:val="left"/>
            </w:pPr>
            <w:r>
              <w:rPr>
                <w:rFonts w:hint="eastAsia"/>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tcPr>
          <w:p>
            <w:pPr>
              <w:pStyle w:val="Tablecaption|1"/>
              <w:bidi w:val="0"/>
              <w:jc w:val="center"/>
              <w:rPr>
                <w:vertAlign w:val="baseline"/>
              </w:rPr>
            </w:pPr>
            <w:r>
              <w:rPr>
                <w:sz w:val="17"/>
                <w:szCs w:val="17"/>
              </w:rPr>
              <w:t xml:space="preserve">科目编码</w:t>
            </w:r>
          </w:p>
        </w:tc>
        <w:tc>
          <w:tcPr>
            <w:tcW w:w="2161" w:type="dxa"/>
          </w:tcPr>
          <w:p>
            <w:pPr>
              <w:pStyle w:val="Tablecaption|1"/>
              <w:bidi w:val="0"/>
              <w:jc w:val="center"/>
              <w:rPr>
                <w:vertAlign w:val="baseline"/>
              </w:rPr>
            </w:pPr>
            <w:r>
              <w:rPr>
                <w:sz w:val="17"/>
                <w:szCs w:val="17"/>
              </w:rPr>
              <w:t xml:space="preserve">部门（单位）代码</w:t>
            </w:r>
          </w:p>
        </w:tc>
        <w:tc>
          <w:tcPr>
            <w:tcW w:w="2162" w:type="dxa"/>
          </w:tcPr>
          <w:p>
            <w:pPr>
              <w:pStyle w:val="Tablecaption|1"/>
              <w:bidi w:val="0"/>
              <w:jc w:val="center"/>
              <w:rPr>
                <w:vertAlign w:val="baseline"/>
              </w:rPr>
            </w:pPr>
            <w:r>
              <w:rPr>
                <w:sz w:val="17"/>
                <w:szCs w:val="17"/>
              </w:rPr>
              <w:t xml:space="preserve">部门（单位）名称（功能分类科目名称）</w:t>
            </w:r>
          </w:p>
        </w:tc>
        <w:tc>
          <w:tcPr>
            <w:tcW w:w="2222" w:type="dxa"/>
            <w:vAlign w:val="center"/>
          </w:tcPr>
          <w:p>
            <w:pPr>
              <w:pStyle w:val="Other|1"/>
              <w:spacing w:line="240" w:lineRule="auto"/>
              <w:ind w:firstLine="0" w:firstLineChars="0"/>
              <w:jc w:val="center"/>
              <w:rPr>
                <w:vertAlign w:val="baseline"/>
              </w:rPr>
            </w:pPr>
            <w:r>
              <w:rPr>
                <w:sz w:val="17"/>
                <w:szCs w:val="17"/>
              </w:rPr>
              <w:t xml:space="preserve">合计</w:t>
            </w:r>
          </w:p>
        </w:tc>
        <w:tc>
          <w:tcPr>
            <w:tcW w:w="2161" w:type="dxa"/>
            <w:vAlign w:val="center"/>
          </w:tcPr>
          <w:p>
            <w:pPr>
              <w:pStyle w:val="Other|1"/>
              <w:spacing w:line="240" w:lineRule="auto"/>
              <w:ind w:firstLine="0" w:firstLineChars="0"/>
              <w:jc w:val="center"/>
              <w:rPr>
                <w:vertAlign w:val="baseline"/>
              </w:rPr>
            </w:pPr>
            <w:r>
              <w:rPr>
                <w:sz w:val="17"/>
                <w:szCs w:val="17"/>
              </w:rPr>
              <w:t xml:space="preserve">基本支出</w:t>
            </w:r>
          </w:p>
        </w:tc>
        <w:tc>
          <w:tcPr>
            <w:tcW w:w="2161" w:type="dxa"/>
            <w:vAlign w:val="center"/>
          </w:tcPr>
          <w:p>
            <w:pPr>
              <w:pStyle w:val="Other|1"/>
              <w:spacing w:line="240" w:lineRule="auto"/>
              <w:ind w:firstLine="0" w:firstLineChars="0"/>
              <w:jc w:val="center"/>
              <w:rPr>
                <w:vertAlign w:val="baseline"/>
              </w:rPr>
            </w:pPr>
            <w:r>
              <w:rPr>
                <w:sz w:val="17"/>
                <w:szCs w:val="17"/>
              </w:rPr>
              <w:t xml:space="preserve">项目支出</w:t>
            </w:r>
          </w:p>
        </w:tc>
        <w:tc>
          <w:tcPr>
            <w:tcW w:w="2163" w:type="dxa"/>
            <w:vAlign w:val="center"/>
          </w:tcPr>
          <w:p>
            <w:pPr>
              <w:pStyle w:val="Other|1"/>
              <w:spacing w:line="240" w:lineRule="auto"/>
              <w:ind w:firstLine="0" w:firstLineChars="0"/>
              <w:jc w:val="center"/>
              <w:rPr>
                <w:vertAlign w:val="baseline"/>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2012999</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其他群众团体事务支出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2080505</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机关事业单位基本养老保险缴费支出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2130104</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事业运行</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2210201</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住房公积金</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7"/>
            <w:tcBorders>
              <w:left w:val="nil"/>
              <w:bottom w:val="nil"/>
              <w:right w:val="nil"/>
            </w:tcBorders>
          </w:tcPr>
          <w:p>
            <w:pPr>
              <w:pStyle w:val="Tablecaption|1"/>
              <w:bidi w:val="0"/>
              <w:jc w:val="both"/>
              <w:rPr>
                <w:vertAlign w:val="baseline"/>
              </w:rPr>
            </w:pPr>
            <w:r>
              <w:t xml:space="preserve">注：本报表金额单位转换时可能存在四舍五入尾数误差</w:t>
            </w:r>
          </w:p>
        </w:tc>
      </w:tr>
    </w:tbl>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jc w:val="center"/>
        <w:rPr>
          <w:sz w:val="28"/>
          <w:szCs w:val="28"/>
        </w:rPr>
      </w:pPr>
      <w:r>
        <w:rPr>
          <w:sz w:val="28"/>
          <w:szCs w:val="28"/>
        </w:rPr>
        <w:t xml:space="preserve">国有资本经营预算支出情况表</w:t>
      </w:r>
    </w:p>
    <w:p>
      <w:pPr>
        <w:pStyle w:val="Tablecaption|1"/>
        <w:bidi w:val="0"/>
        <w:jc w:val="center"/>
        <w:rPr>
          <w:sz w:val="28"/>
          <w:szCs w:val="28"/>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27"/>
        <w:gridCol w:w="2161"/>
        <w:gridCol w:w="2162"/>
        <w:gridCol w:w="2222"/>
        <w:gridCol w:w="2161"/>
        <w:gridCol w:w="2161"/>
        <w:gridCol w:w="216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3394" w:type="dxa"/>
            <w:gridSpan w:val="6"/>
            <w:tcBorders>
              <w:top w:val="nil"/>
              <w:left w:val="nil"/>
              <w:right w:val="nil"/>
            </w:tcBorders>
          </w:tcPr>
          <w:p>
            <w:pPr>
              <w:pStyle w:val="Tablecaption|1"/>
              <w:tabs>
                <w:tab w:val="left" w:pos="14213"/>
              </w:tabs>
              <w:ind w:left="101"/>
              <w:jc w:val="left"/>
            </w:pPr>
            <w:r>
              <w:t xml:space="preserve">单位名称：</w:t>
            </w:r>
            <w:r>
              <w:rPr>
                <w:rFonts w:hint="eastAsia"/>
                <w:lang w:eastAsia="zh-CN"/>
              </w:rPr>
              <w:t xml:space="preserve">环江毛南族自治县东兴镇扶贫站</w:t>
            </w:r>
            <w:r>
              <w:tab/>
            </w:r>
            <w:r>
              <w:t xml:space="preserve">单位：万元</w:t>
            </w:r>
          </w:p>
        </w:tc>
        <w:tc>
          <w:tcPr>
            <w:tcW w:w="2163" w:type="dxa"/>
            <w:tcBorders>
              <w:top w:val="nil"/>
              <w:left w:val="nil"/>
              <w:right w:val="nil"/>
            </w:tcBorders>
          </w:tcPr>
          <w:p>
            <w:pPr>
              <w:pStyle w:val="Tablecaption|1"/>
              <w:tabs>
                <w:tab w:val="left" w:pos="14213"/>
              </w:tabs>
              <w:ind w:left="101"/>
              <w:jc w:val="left"/>
            </w:pPr>
            <w:r>
              <w:rPr>
                <w:rFonts w:ascii="宋体" w:eastAsia="宋体" w:hAnsi="宋体" w:cs="宋体" w:hint="eastAsia"/>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vMerge w:val="restart"/>
          </w:tcPr>
          <w:p>
            <w:pPr>
              <w:pStyle w:val="Tablecaption|1"/>
              <w:bidi w:val="0"/>
              <w:jc w:val="center"/>
              <w:rPr>
                <w:vertAlign w:val="baseline"/>
              </w:rPr>
            </w:pPr>
            <w:r>
              <w:rPr>
                <w:sz w:val="17"/>
                <w:szCs w:val="17"/>
              </w:rPr>
              <w:t xml:space="preserve">科目编码</w:t>
            </w:r>
          </w:p>
        </w:tc>
        <w:tc>
          <w:tcPr>
            <w:tcW w:w="2161" w:type="dxa"/>
            <w:vMerge w:val="restart"/>
          </w:tcPr>
          <w:p>
            <w:pPr>
              <w:pStyle w:val="Tablecaption|1"/>
              <w:bidi w:val="0"/>
              <w:jc w:val="center"/>
              <w:rPr>
                <w:vertAlign w:val="baseline"/>
              </w:rPr>
            </w:pPr>
            <w:r>
              <w:rPr>
                <w:sz w:val="17"/>
                <w:szCs w:val="17"/>
              </w:rPr>
              <w:t xml:space="preserve">部门（单位）代码</w:t>
            </w:r>
          </w:p>
        </w:tc>
        <w:tc>
          <w:tcPr>
            <w:tcW w:w="2162" w:type="dxa"/>
            <w:vMerge w:val="restart"/>
          </w:tcPr>
          <w:p>
            <w:pPr>
              <w:pStyle w:val="Tablecaption|1"/>
              <w:bidi w:val="0"/>
              <w:jc w:val="center"/>
              <w:rPr>
                <w:vertAlign w:val="baseline"/>
              </w:rPr>
            </w:pPr>
            <w:r>
              <w:rPr>
                <w:sz w:val="17"/>
                <w:szCs w:val="17"/>
              </w:rPr>
              <w:t xml:space="preserve">部门（单位）名称（功能分类科目名称）</w:t>
            </w:r>
          </w:p>
        </w:tc>
        <w:tc>
          <w:tcPr>
            <w:tcW w:w="2222" w:type="dxa"/>
            <w:vAlign w:val="center"/>
          </w:tcPr>
          <w:p>
            <w:pPr>
              <w:pStyle w:val="Other|1"/>
              <w:spacing w:line="240" w:lineRule="auto"/>
              <w:ind w:firstLine="0" w:firstLineChars="0"/>
              <w:jc w:val="center"/>
              <w:rPr>
                <w:vertAlign w:val="baseline"/>
              </w:rPr>
            </w:pPr>
            <w:r>
              <w:rPr>
                <w:sz w:val="17"/>
                <w:szCs w:val="17"/>
              </w:rPr>
              <w:t xml:space="preserve">合计</w:t>
            </w:r>
          </w:p>
        </w:tc>
        <w:tc>
          <w:tcPr>
            <w:tcW w:w="2161" w:type="dxa"/>
            <w:vAlign w:val="center"/>
          </w:tcPr>
          <w:p>
            <w:pPr>
              <w:pStyle w:val="Other|1"/>
              <w:spacing w:line="240" w:lineRule="auto"/>
              <w:ind w:firstLine="0" w:firstLineChars="0"/>
              <w:jc w:val="center"/>
              <w:rPr>
                <w:vertAlign w:val="baseline"/>
              </w:rPr>
            </w:pPr>
            <w:r>
              <w:rPr>
                <w:sz w:val="17"/>
                <w:szCs w:val="17"/>
              </w:rPr>
              <w:t xml:space="preserve">基本支出</w:t>
            </w:r>
          </w:p>
        </w:tc>
        <w:tc>
          <w:tcPr>
            <w:tcW w:w="2161" w:type="dxa"/>
            <w:vAlign w:val="center"/>
          </w:tcPr>
          <w:p>
            <w:pPr>
              <w:pStyle w:val="Other|1"/>
              <w:spacing w:line="240" w:lineRule="auto"/>
              <w:ind w:firstLine="0" w:firstLineChars="0"/>
              <w:jc w:val="center"/>
              <w:rPr>
                <w:vertAlign w:val="baseline"/>
              </w:rPr>
            </w:pPr>
            <w:r>
              <w:rPr>
                <w:sz w:val="17"/>
                <w:szCs w:val="17"/>
              </w:rPr>
              <w:t xml:space="preserve">项目支出</w:t>
            </w:r>
          </w:p>
        </w:tc>
        <w:tc>
          <w:tcPr>
            <w:tcW w:w="2163" w:type="dxa"/>
            <w:vAlign w:val="center"/>
          </w:tcPr>
          <w:p>
            <w:pPr>
              <w:pStyle w:val="Other|1"/>
              <w:spacing w:line="240" w:lineRule="auto"/>
              <w:ind w:firstLine="0" w:firstLineChars="0"/>
              <w:jc w:val="center"/>
              <w:rPr>
                <w:vertAlign w:val="baseline"/>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vMerge/>
          </w:tcPr>
          <w:p>
            <w:pPr>
              <w:pStyle w:val="Tablecaption|1"/>
              <w:bidi w:val="0"/>
              <w:jc w:val="both"/>
              <w:rPr>
                <w:vertAlign w:val="baseline"/>
              </w:rPr>
            </w:pPr>
          </w:p>
        </w:tc>
        <w:tc>
          <w:tcPr>
            <w:tcW w:w="2161" w:type="dxa"/>
            <w:vMerge/>
          </w:tcPr>
          <w:p>
            <w:pPr>
              <w:pStyle w:val="Tablecaption|1"/>
              <w:bidi w:val="0"/>
              <w:jc w:val="both"/>
              <w:rPr>
                <w:vertAlign w:val="baseline"/>
              </w:rPr>
            </w:pPr>
          </w:p>
        </w:tc>
        <w:tc>
          <w:tcPr>
            <w:tcW w:w="2162" w:type="dxa"/>
            <w:vMerge/>
          </w:tcPr>
          <w:p>
            <w:pPr>
              <w:pStyle w:val="Tablecaption|1"/>
              <w:bidi w:val="0"/>
              <w:jc w:val="both"/>
              <w:rPr>
                <w:vertAlign w:val="baseline"/>
              </w:rPr>
            </w:pPr>
          </w:p>
        </w:tc>
        <w:tc>
          <w:tcPr>
            <w:tcW w:w="2222"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1</w:t>
            </w:r>
          </w:p>
        </w:tc>
        <w:tc>
          <w:tcPr>
            <w:tcW w:w="2161"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2</w:t>
            </w:r>
          </w:p>
        </w:tc>
        <w:tc>
          <w:tcPr>
            <w:tcW w:w="2161"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3</w:t>
            </w:r>
          </w:p>
        </w:tc>
        <w:tc>
          <w:tcPr>
            <w:tcW w:w="2163"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4</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tcPr>
          <w:p>
            <w:pPr>
              <w:jc w:val="left"/>
              <w:rPr>
                <w:vertAlign w:val="baseline"/>
              </w:rPr>
            </w:pPr>
          </w:p>
        </w:tc>
        <w:tc>
          <w:tcPr>
            <w:tcW w:w="2161" w:type="dxa"/>
          </w:tcPr>
          <w:p>
            <w:pPr>
              <w:jc w:val="left"/>
              <w:rPr>
                <w:vertAlign w:val="baseline"/>
              </w:rPr>
            </w:pPr>
          </w:p>
        </w:tc>
        <w:tc>
          <w:tcPr>
            <w:tcW w:w="2162" w:type="dxa"/>
            <w:vAlign w:val="center"/>
          </w:tcPr>
          <w:p>
            <w:pPr>
              <w:pStyle w:val="Other|1"/>
              <w:spacing w:line="240" w:lineRule="auto"/>
              <w:ind w:firstLine="0" w:firstLineChars="0"/>
              <w:jc w:val="left"/>
              <w:rPr>
                <w:vertAlign w:val="baseline"/>
              </w:rPr>
            </w:pPr>
            <w:r>
              <w:rPr>
                <w:sz w:val="17"/>
                <w:szCs w:val="17"/>
              </w:rPr>
              <w:t xml:space="preserve">合计</w:t>
            </w:r>
          </w:p>
        </w:tc>
        <w:tc>
          <w:tcPr>
            <w:tcW w:w="2222" w:type="dxa"/>
            <w:vAlign w:val="center"/>
          </w:tcPr>
          <w:p>
            <w:pPr>
              <w:pStyle w:val="Other|1"/>
              <w:spacing w:line="240" w:lineRule="auto"/>
              <w:ind w:left="1700" w:firstLine="0" w:leftChars="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1"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1"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3"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7"/>
            <w:tcBorders>
              <w:left w:val="nil"/>
              <w:bottom w:val="nil"/>
              <w:right w:val="nil"/>
            </w:tcBorders>
          </w:tcPr>
          <w:p>
            <w:pPr>
              <w:pStyle w:val="Tablecaption|1"/>
              <w:spacing w:line="302" w:lineRule="exact"/>
              <w:ind w:left="672"/>
              <w:jc w:val="left"/>
            </w:pPr>
            <w:r>
              <w:t xml:space="preserve">注：本报表金额单位转换时可能存在四舍五入尾数误差。本部门</w:t>
            </w:r>
            <w:r>
              <w:rPr>
                <w:rFonts w:ascii="Times New Roman" w:hAnsi="Times New Roman" w:cs="Times New Roman" w:hint="eastAsia"/>
                <w:b/>
                <w:bCs/>
                <w:lang w:eastAsia="zh-CN"/>
              </w:rPr>
              <w:t xml:space="preserve">2024</w:t>
            </w:r>
            <w:r>
              <w:rPr>
                <w:rFonts w:ascii="Times New Roman" w:hAnsi="Times New Roman" w:cs="Times New Roman"/>
                <w:b/>
                <w:u w:color="auto"/>
              </w:rPr>
              <w:t xml:space="preserve">年</w:t>
            </w:r>
            <w:r>
              <w:t xml:space="preserve">度没有国有资本经营预算支出，故本表无数据</w:t>
            </w:r>
          </w:p>
          <w:p>
            <w:pPr>
              <w:pStyle w:val="Tablecaption|1"/>
              <w:bidi w:val="0"/>
              <w:jc w:val="both"/>
              <w:rPr>
                <w:vertAlign w:val="baseline"/>
              </w:rPr>
            </w:pPr>
          </w:p>
        </w:tc>
      </w:tr>
    </w:tbl>
    <w:p>
      <w:pPr>
        <w:pStyle w:val="Tablecaption|1"/>
        <w:bidi w:val="0"/>
      </w:pPr>
    </w:p>
    <w:p>
      <w:pPr/>
      <w:r>
        <w:br w:type="page"/>
      </w:r>
    </w:p>
    <w:p>
      <w:pPr>
        <w:pStyle w:val="Heading#2|1"/>
        <w:keepNext/>
        <w:keepLines/>
        <w:spacing w:after="240"/>
        <w:jc w:val="center"/>
        <w:rPr>
          <w:rFonts w:eastAsia="宋体" w:hint="default"/>
          <w:lang w:val="en-US" w:eastAsia="zh-CN"/>
        </w:rPr>
      </w:pPr>
      <w:r>
        <w:rPr>
          <w:rFonts w:hint="eastAsia"/>
          <w:lang w:val="en-US" w:eastAsia="zh-CN"/>
        </w:rPr>
        <w:t xml:space="preserve">2024年度预算项目绩效目标公开表</w:t>
      </w:r>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2559"/>
        <w:gridCol w:w="3350"/>
        <w:gridCol w:w="1511"/>
        <w:gridCol w:w="6076"/>
      </w:tblGrid>
      <w:tr>
        <w:tblPrEx>
          <w:tblW w:w="0" w:type="auto"/>
          <w:tblInd w:w="0" w:type="dxa"/>
          <w:tblLayout w:type="fixed"/>
          <w:tblCellMar>
            <w:top w:w="0" w:type="dxa"/>
            <w:left w:w="10" w:type="dxa"/>
            <w:bottom w:w="0" w:type="dxa"/>
            <w:right w:w="10" w:type="dxa"/>
          </w:tblCellMar>
        </w:tblPrEx>
        <w:trPr>
          <w:trHeight w:hRule="exact" w:val="346"/>
        </w:trPr>
        <w:tc>
          <w:tcPr>
            <w:tcW w:w="9263" w:type="dxa"/>
            <w:gridSpan w:val="4"/>
            <w:shd w:val="clear" w:color="auto" w:fill="FFFFFF"/>
          </w:tcPr>
          <w:p>
            <w:pPr>
              <w:pStyle w:val="Other|1"/>
              <w:spacing w:line="240" w:lineRule="auto"/>
              <w:ind w:firstLine="0"/>
              <w:jc w:val="left"/>
              <w:rPr>
                <w:rFonts w:ascii="宋体" w:eastAsia="宋体" w:hAnsi="宋体" w:cs="宋体" w:hint="default"/>
                <w:sz w:val="17"/>
                <w:szCs w:val="17"/>
                <w:lang w:val="en-US"/>
              </w:rPr>
            </w:pPr>
            <w:r>
              <w:rPr>
                <w:rFonts w:ascii="宋体" w:eastAsia="宋体" w:hAnsi="宋体" w:cs="宋体" w:hint="eastAsia"/>
                <w:sz w:val="17"/>
                <w:szCs w:val="17"/>
              </w:rPr>
              <w:t xml:space="preserve">单位名称：</w:t>
            </w:r>
            <w:r>
              <w:rPr>
                <w:rFonts w:ascii="宋体" w:eastAsia="宋体" w:hAnsi="宋体" w:cs="宋体" w:hint="eastAsia"/>
                <w:sz w:val="17"/>
                <w:szCs w:val="17"/>
                <w:lang w:eastAsia="zh-CN"/>
              </w:rPr>
              <w:t xml:space="preserve">环江毛南族自治县东兴镇扶贫站</w:t>
            </w:r>
            <w:r>
              <w:rPr>
                <w:rFonts w:cs="宋体" w:hint="eastAsia"/>
                <w:sz w:val="17"/>
                <w:szCs w:val="17"/>
                <w:lang w:val="en-US" w:eastAsia="zh-CN"/>
              </w:rPr>
              <w:t xml:space="preserve">            </w:t>
            </w:r>
          </w:p>
        </w:tc>
        <w:tc>
          <w:tcPr>
            <w:tcW w:w="6076" w:type="dxa"/>
            <w:shd w:val="clear" w:color="auto" w:fill="FFFFFF"/>
          </w:tcPr>
          <w:p>
            <w:pPr>
              <w:pStyle w:val="Other|1"/>
              <w:spacing w:line="240" w:lineRule="auto"/>
              <w:ind w:firstLine="4760" w:firstLineChars="2800"/>
              <w:jc w:val="left"/>
              <w:rPr>
                <w:rFonts w:ascii="宋体" w:eastAsia="宋体" w:hAnsi="宋体" w:cs="宋体" w:hint="eastAsia"/>
                <w:sz w:val="17"/>
                <w:szCs w:val="17"/>
              </w:rPr>
            </w:pPr>
            <w:r>
              <w:rPr>
                <w:rFonts w:ascii="宋体" w:eastAsia="宋体" w:hAnsi="宋体" w:cs="宋体" w:hint="eastAsia"/>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854"/>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sz w:val="17"/>
                <w:u w:color="auto"/>
              </w:rPr>
              <w:t xml:space="preserve">单位代码</w:t>
            </w:r>
          </w:p>
        </w:tc>
        <w:tc>
          <w:tcPr>
            <w:tcW w:w="255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单位名称</w:t>
            </w:r>
          </w:p>
        </w:tc>
        <w:tc>
          <w:tcPr>
            <w:tcW w:w="335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项目名称</w:t>
            </w:r>
          </w:p>
        </w:tc>
        <w:tc>
          <w:tcPr>
            <w:tcW w:w="1511"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预算金额</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年度绩效目标</w:t>
            </w:r>
          </w:p>
        </w:tc>
      </w:tr>
    </w:tbl>
    <w:p>
      <w:pPr>
        <w:jc w:val="left"/>
        <w:rPr>
          <w:rFonts w:hint="eastAsia"/>
        </w:rPr>
      </w:pPr>
      <w:r>
        <w:t xml:space="preserve">注：本报表金额单位转换时可能存在四舍五入尾数误差。</w:t>
      </w:r>
    </w:p>
    <w:p>
      <w:pPr>
        <w:jc w:val="left"/>
        <w:rPr>
          <w:rFonts w:hint="eastAsia"/>
          <w:lang w:eastAsia="zh-CN"/>
        </w:rPr>
        <w:sectPr>
          <w:headerReference w:type="default" r:id="rId18"/>
          <w:footerReference w:type="default" r:id="rId19"/>
          <w:pgSz w:w="16840" w:h="11900" w:orient="landscape"/>
          <w:pgMar w:top="2714" w:right="764" w:bottom="2714" w:left="735" w:header="2286" w:footer="1474" w:gutter="0"/>
          <w:pgBorders>
            <w:top w:val="none" w:sz="0" w:space="0" w:color="auto"/>
            <w:left w:val="none" w:sz="0" w:space="0" w:color="auto"/>
            <w:bottom w:val="none" w:sz="0" w:space="0" w:color="auto"/>
            <w:right w:val="none" w:sz="0" w:space="0" w:color="auto"/>
          </w:pgBorders>
          <w:pgNumType w:fmt="decimal"/>
          <w:cols w:num="1" w:space="720">
            <w:col w:w="15341" w:space="720"/>
          </w:cols>
          <w:docGrid w:linePitch="360" w:charSpace="0"/>
        </w:sectPr>
      </w:pPr>
    </w:p>
    <w:p>
      <w:pPr>
        <w:pStyle w:val="Heading#1|1"/>
        <w:keepNext/>
        <w:keepLines/>
        <w:spacing w:before="200" w:after="0"/>
        <w:jc w:val="center"/>
        <w:rPr>
          <w:sz w:val="40"/>
          <w:szCs w:val="40"/>
        </w:rPr>
      </w:pPr>
      <w:bookmarkStart w:id="32" w:name="bookmark96"/>
      <w:bookmarkStart w:id="33" w:name="bookmark95"/>
      <w:bookmarkStart w:id="34" w:name="bookmark94"/>
      <w:r>
        <w:rPr>
          <w:sz w:val="40"/>
          <w:szCs w:val="40"/>
        </w:rPr>
        <w:t xml:space="preserve">第四部</w:t>
      </w:r>
      <w:r>
        <w:rPr>
          <w:rFonts w:hint="eastAsia"/>
          <w:sz w:val="40"/>
          <w:szCs w:val="40"/>
          <w:lang w:val="en-US" w:eastAsia="zh-CN"/>
        </w:rPr>
        <w:t xml:space="preserve">  </w:t>
      </w:r>
      <w:r>
        <w:rPr>
          <w:sz w:val="40"/>
          <w:szCs w:val="40"/>
        </w:rPr>
        <w:t xml:space="preserve">分名词解释</w:t>
      </w:r>
      <w:bookmarkEnd w:id="32"/>
      <w:bookmarkEnd w:id="33"/>
      <w:bookmarkEnd w:id="34"/>
    </w:p>
    <w:p>
      <w:pPr>
        <w:pStyle w:val="Bodytext|1"/>
        <w:tabs>
          <w:tab w:val="left" w:pos="1270"/>
        </w:tabs>
        <w:spacing w:line="626" w:lineRule="exact"/>
        <w:ind w:firstLine="640"/>
        <w:jc w:val="left"/>
      </w:pPr>
      <w:bookmarkStart w:id="35" w:name="bookmark97"/>
      <w:r>
        <w:t xml:space="preserve">一</w:t>
      </w:r>
      <w:bookmarkEnd w:id="35"/>
      <w:r>
        <w:t xml:space="preserve">、</w:t>
      </w:r>
      <w:r>
        <w:tab/>
      </w:r>
      <w:r>
        <w:t xml:space="preserve">财政拨款收入：指预算单位从本级财政部门取得的财政预算资金收入。</w:t>
      </w:r>
    </w:p>
    <w:p>
      <w:pPr>
        <w:pStyle w:val="Bodytext|1"/>
        <w:tabs>
          <w:tab w:val="left" w:pos="1280"/>
        </w:tabs>
        <w:spacing w:line="626" w:lineRule="exact"/>
        <w:ind w:firstLine="640"/>
        <w:jc w:val="left"/>
      </w:pPr>
      <w:bookmarkStart w:id="36" w:name="bookmark98"/>
      <w:r>
        <w:t xml:space="preserve">二</w:t>
      </w:r>
      <w:bookmarkEnd w:id="36"/>
      <w:r>
        <w:t xml:space="preserve">、</w:t>
      </w:r>
      <w:r>
        <w:tab/>
      </w:r>
      <w:r>
        <w:t xml:space="preserve">事业收入：指事业单位开展专业业务活动及辅助活动所取得的收入。</w:t>
      </w:r>
    </w:p>
    <w:p>
      <w:pPr>
        <w:pStyle w:val="Bodytext|1"/>
        <w:tabs>
          <w:tab w:val="left" w:pos="1275"/>
        </w:tabs>
        <w:spacing w:line="626" w:lineRule="exact"/>
        <w:ind w:firstLine="640"/>
        <w:jc w:val="left"/>
      </w:pPr>
      <w:bookmarkStart w:id="37" w:name="bookmark99"/>
      <w:r>
        <w:t xml:space="preserve">三</w:t>
      </w:r>
      <w:bookmarkEnd w:id="37"/>
      <w:r>
        <w:t xml:space="preserve">、</w:t>
      </w:r>
      <w:r>
        <w:tab/>
      </w:r>
      <w:r>
        <w:t xml:space="preserve">经营收入：指事业单位在专业业务活动及其辅助活动之外开展非独立核算经营活动取得的收入。</w:t>
      </w:r>
    </w:p>
    <w:p>
      <w:pPr>
        <w:pStyle w:val="Bodytext|1"/>
        <w:tabs>
          <w:tab w:val="left" w:pos="1309"/>
        </w:tabs>
        <w:spacing w:line="626" w:lineRule="exact"/>
        <w:ind w:firstLine="640"/>
        <w:jc w:val="left"/>
      </w:pPr>
      <w:bookmarkStart w:id="38" w:name="bookmark100"/>
      <w:r>
        <w:t xml:space="preserve">四</w:t>
      </w:r>
      <w:bookmarkEnd w:id="38"/>
      <w:r>
        <w:t xml:space="preserve">、</w:t>
      </w:r>
      <w:r>
        <w:tab/>
      </w:r>
      <w:r>
        <w:t xml:space="preserve">其他收入：指除上述</w:t>
      </w:r>
      <w:r>
        <w:rPr>
          <w:lang w:val="zh-CN" w:eastAsia="zh-CN" w:bidi="zh-CN"/>
        </w:rPr>
        <w:t xml:space="preserve">“财</w:t>
      </w:r>
      <w:r>
        <w:t xml:space="preserve">政拨款收入”、</w:t>
      </w:r>
      <w:r>
        <w:rPr>
          <w:lang w:val="zh-CN" w:eastAsia="zh-CN" w:bidi="zh-CN"/>
        </w:rPr>
        <w:t xml:space="preserve">“事</w:t>
      </w:r>
      <w:r>
        <w:t xml:space="preserve">业收入"、</w:t>
      </w:r>
      <w:r>
        <w:rPr>
          <w:lang w:val="zh-CN" w:eastAsia="zh-CN" w:bidi="zh-CN"/>
        </w:rPr>
        <w:t xml:space="preserve">“经营</w:t>
      </w:r>
      <w:r>
        <w:t xml:space="preserve">收入"等以外的收入。主要是非本级财政拨款、存款利息收入、事业单位固定资产出租收入等。</w:t>
      </w:r>
    </w:p>
    <w:p>
      <w:pPr>
        <w:pStyle w:val="Bodytext|1"/>
        <w:tabs>
          <w:tab w:val="left" w:pos="1275"/>
        </w:tabs>
        <w:spacing w:line="626" w:lineRule="exact"/>
        <w:ind w:firstLine="640"/>
        <w:jc w:val="left"/>
      </w:pPr>
      <w:bookmarkStart w:id="39" w:name="bookmark101"/>
      <w:r>
        <w:t xml:space="preserve">五</w:t>
      </w:r>
      <w:bookmarkEnd w:id="39"/>
      <w:r>
        <w:t xml:space="preserve">、</w:t>
      </w:r>
      <w:r>
        <w:tab/>
      </w:r>
      <w:r>
        <w:t xml:space="preserve">用事业基金弥补收支差额：指事业单位在用当年的</w:t>
      </w:r>
      <w:r>
        <w:rPr>
          <w:lang w:val="zh-CN" w:eastAsia="zh-CN" w:bidi="zh-CN"/>
        </w:rPr>
        <w:t xml:space="preserve">“财</w:t>
      </w:r>
      <w:r>
        <w:t xml:space="preserve">政拨款收入"、</w:t>
      </w:r>
      <w:r>
        <w:rPr>
          <w:lang w:val="zh-CN" w:eastAsia="zh-CN" w:bidi="zh-CN"/>
        </w:rPr>
        <w:t xml:space="preserve">“事业</w:t>
      </w:r>
      <w:r>
        <w:t xml:space="preserve">收入"、</w:t>
      </w:r>
      <w:r>
        <w:rPr>
          <w:lang w:val="zh-CN" w:eastAsia="zh-CN" w:bidi="zh-CN"/>
        </w:rPr>
        <w:t xml:space="preserve">“经营</w:t>
      </w:r>
      <w:r>
        <w:t xml:space="preserve">收入"、</w:t>
      </w:r>
      <w:r>
        <w:rPr>
          <w:lang w:val="zh-CN" w:eastAsia="zh-CN" w:bidi="zh-CN"/>
        </w:rPr>
        <w:t xml:space="preserve">“其他</w:t>
      </w:r>
      <w:r>
        <w:t xml:space="preserve">收入"不足以安排当年支出的情况下，使用以前年度积累的事业基金（事业单位当年收支相抵后按国家规定提取、用于弥补以后年度收支差额的基金）弥补本年度收支缺口的资金。</w:t>
      </w:r>
    </w:p>
    <w:p>
      <w:pPr>
        <w:pStyle w:val="Bodytext|1"/>
        <w:tabs>
          <w:tab w:val="left" w:pos="1270"/>
        </w:tabs>
        <w:spacing w:line="626" w:lineRule="exact"/>
        <w:ind w:firstLine="640"/>
        <w:jc w:val="left"/>
      </w:pPr>
      <w:bookmarkStart w:id="40" w:name="bookmark102"/>
      <w:r>
        <w:t xml:space="preserve">六</w:t>
      </w:r>
      <w:bookmarkEnd w:id="40"/>
      <w:r>
        <w:t xml:space="preserve">、</w:t>
      </w:r>
      <w:r>
        <w:tab/>
      </w:r>
      <w:r>
        <w:t xml:space="preserve">年初结转和结余：指以前年度尚未完成、结转到本年按有关规定继续使用的资金。</w:t>
      </w:r>
    </w:p>
    <w:p>
      <w:pPr>
        <w:pStyle w:val="Bodytext|1"/>
        <w:tabs>
          <w:tab w:val="left" w:pos="1275"/>
        </w:tabs>
        <w:spacing w:line="626" w:lineRule="exact"/>
        <w:ind w:firstLine="640"/>
        <w:jc w:val="left"/>
      </w:pPr>
      <w:bookmarkStart w:id="41" w:name="bookmark103"/>
      <w:r>
        <w:t xml:space="preserve">七</w:t>
      </w:r>
      <w:bookmarkEnd w:id="41"/>
      <w:r>
        <w:t xml:space="preserve">、</w:t>
      </w:r>
      <w:r>
        <w:tab/>
      </w:r>
      <w:r>
        <w:t xml:space="preserve">结余分配：指事业单位按规定提取的职工福利基金、事业基金和缴纳的所得税，以及建设单位按规定应交回的基本建设竣工项目结余资金。</w:t>
      </w:r>
    </w:p>
    <w:p>
      <w:pPr>
        <w:pStyle w:val="Bodytext|1"/>
        <w:tabs>
          <w:tab w:val="left" w:pos="632"/>
        </w:tabs>
        <w:spacing w:line="626" w:lineRule="exact"/>
        <w:ind w:firstLine="640"/>
        <w:jc w:val="left"/>
      </w:pPr>
      <w:bookmarkStart w:id="42" w:name="bookmark104"/>
      <w:r>
        <w:t xml:space="preserve">八</w:t>
      </w:r>
      <w:bookmarkEnd w:id="42"/>
      <w:r>
        <w:t xml:space="preserve">、</w:t>
      </w:r>
      <w:r>
        <w:tab/>
      </w:r>
      <w:r>
        <w:t xml:space="preserve">年末结转和结余：指本年度或以前年度预算安排、因客观条件发生变化无法按原计划实施，需要延迟到以后年度按有关规定继续使用的资金。</w:t>
      </w:r>
    </w:p>
    <w:p>
      <w:pPr>
        <w:pStyle w:val="Bodytext|1"/>
        <w:spacing w:line="628" w:lineRule="exact"/>
        <w:ind w:firstLine="640"/>
        <w:jc w:val="left"/>
      </w:pPr>
      <w:bookmarkStart w:id="43" w:name="bookmark105"/>
      <w:r>
        <w:t xml:space="preserve">九</w:t>
      </w:r>
      <w:bookmarkEnd w:id="43"/>
      <w:r>
        <w:t xml:space="preserve">、基本支出：指为保障机构正常运转、完成日常工作任务而发生的人员支出和公用支出。</w:t>
      </w:r>
    </w:p>
    <w:p>
      <w:pPr>
        <w:pStyle w:val="Bodytext|1"/>
        <w:spacing w:line="628" w:lineRule="exact"/>
        <w:ind w:firstLine="640"/>
        <w:jc w:val="left"/>
      </w:pPr>
      <w:r>
        <w:t xml:space="preserve">十、项目支出：指在基本支出之外为完成特定行政任务和事业发展目标所发生的支出。</w:t>
      </w:r>
    </w:p>
    <w:p>
      <w:pPr>
        <w:pStyle w:val="Bodytext|1"/>
        <w:spacing w:line="628" w:lineRule="exact"/>
        <w:ind w:firstLine="640"/>
        <w:jc w:val="left"/>
      </w:pPr>
      <w:r>
        <w:t xml:space="preserve">十一、经营支出：指事业单位在专业业务活动及其辅助活动之外开展非独立核算经营活动所发生的支出。</w:t>
      </w:r>
    </w:p>
    <w:p>
      <w:pPr>
        <w:pStyle w:val="Bodytext|1"/>
        <w:spacing w:line="628" w:lineRule="exact"/>
        <w:ind w:firstLine="640"/>
        <w:jc w:val="left"/>
      </w:pPr>
      <w:r>
        <w:t xml:space="preserve">十二、</w:t>
      </w:r>
      <w:r>
        <w:rPr>
          <w:lang w:val="zh-CN" w:eastAsia="zh-CN" w:bidi="zh-CN"/>
        </w:rPr>
        <w:t xml:space="preserve">“三</w:t>
      </w:r>
      <w:r>
        <w:t xml:space="preserve">公”经费：纳入财政预决算管理的</w:t>
      </w:r>
      <w:r>
        <w:rPr>
          <w:lang w:val="zh-CN" w:eastAsia="zh-CN" w:bidi="zh-CN"/>
        </w:rPr>
        <w:t xml:space="preserve">“三公</w:t>
      </w:r>
      <w:r>
        <w:t xml:space="preserve">”经费，是指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Bodytext|1"/>
        <w:spacing w:line="628" w:lineRule="exact"/>
        <w:ind w:firstLine="640"/>
        <w:jc w:val="left"/>
      </w:pPr>
      <w:r>
        <w:t xml:space="preserve">十三、机关运行经费：为保障行政单位（含参照公务员法管理的事业单位、机关服务中心）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w:type="default" r:id="rId20"/>
      <w:footerReference w:type="default" r:id="rId21"/>
      <w:type w:val="continuous"/>
      <w:pgSz w:w="11900" w:h="16840" w:orient="portrait"/>
      <w:pgMar w:top="1302" w:right="1735" w:bottom="1568" w:left="1793" w:header="874" w:footer="1077" w:gutter="0"/>
      <w:pgBorders>
        <w:top w:val="none" w:sz="0" w:space="0" w:color="auto"/>
        <w:left w:val="none" w:sz="0" w:space="0" w:color="auto"/>
        <w:bottom w:val="none" w:sz="0" w:space="0" w:color="auto"/>
        <w:right w:val="none" w:sz="0" w:space="0" w:color="auto"/>
      </w:pgBorders>
      <w:pgNumType w:fmt="decimal"/>
      <w:cols w:num="1" w:space="720">
        <w:col w:w="8372" w:space="720"/>
      </w:cols>
      <w:docGrid w:linePitch="360"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E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4002EFF" w:usb1="C200247B" w:usb2="00000009" w:usb3="00000000" w:csb0="200001FF"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943" name="文本框 2"/>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2</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2" o:spid="_x0000_s7237"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1312"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2</w:t>
                    </w:r>
                    <w:r>
                      <w:fldChar w:fldCharType="end"/>
                    </w:r>
                  </w:p>
                </w:txbxContent>
              </v:textbox>
            </v:shape>
          </w:pict>
        </mc:Fallback>
      </mc:AlternateContent>
    </w: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2336" behindDoc="0" locked="0" layoutInCell="1" allowOverlap="1">
              <wp:simplePos x="0" y="0"/>
              <wp:positionH relativeFrom="margin">
                <wp:posOffset>2574925</wp:posOffset>
              </wp:positionH>
              <wp:positionV relativeFrom="paragraph">
                <wp:posOffset>0</wp:posOffset>
              </wp:positionV>
              <wp:extent cx="394970" cy="168910"/>
              <wp:effectExtent l="0" t="0" r="0" b="0"/>
              <wp:wrapNone/>
              <wp:docPr id="3951" name="文本框 4"/>
              <wp:cNvGraphicFramePr>
                <a:graphicFrameLocks noChangeAspect="0"/>
              </wp:cNvGraphicFramePr>
              <a:graphic>
                <a:graphicData uri="http://schemas.microsoft.com/office/word/2010/wordprocessingShape">
                  <wps:wsp>
                    <wps:cNvSpPr/>
                    <wps:spPr>
                      <a:xfrm>
                        <a:off x="0" y="0"/>
                        <a:ext cx="394970" cy="16891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4</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4" o:spid="_x0000_s7239" type="#_x0000_t202" style="height:13.3pt;margin-left:202.75pt;margin-top:0;mso-height-relative:page;mso-position-horizontal-relative:margin;mso-width-relative:page;mso-wrap-distance-bottom:0;mso-wrap-distance-left:9pt;mso-wrap-distance-right:9pt;mso-wrap-distance-top:0;mso-wrap-style:square;position:absolute;v-text-anchor:top;width:31.1pt;z-index:251662336"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4</w:t>
                    </w:r>
                    <w:r>
                      <w:fldChar w:fldCharType="end"/>
                    </w:r>
                  </w:p>
                </w:txbxContent>
              </v:textbox>
            </v:shape>
          </w:pict>
        </mc:Fallback>
      </mc:AlternateContent>
    </w:r>
  </w:p>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3360" behindDoc="0" locked="0" layoutInCell="1" allowOverlap="1">
              <wp:simplePos x="0" y="0"/>
              <wp:positionH relativeFrom="margin">
                <wp:posOffset>4810125</wp:posOffset>
              </wp:positionH>
              <wp:positionV relativeFrom="paragraph">
                <wp:posOffset>0</wp:posOffset>
              </wp:positionV>
              <wp:extent cx="440055" cy="206375"/>
              <wp:effectExtent l="0" t="0" r="0" b="0"/>
              <wp:wrapNone/>
              <wp:docPr id="3953" name="文本框 7"/>
              <wp:cNvGraphicFramePr>
                <a:graphicFrameLocks noChangeAspect="0"/>
              </wp:cNvGraphicFramePr>
              <a:graphic>
                <a:graphicData uri="http://schemas.microsoft.com/office/word/2010/wordprocessingShape">
                  <wps:wsp>
                    <wps:cNvSpPr/>
                    <wps:spPr>
                      <a:xfrm>
                        <a:off x="0" y="0"/>
                        <a:ext cx="440055" cy="206375"/>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15</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7" o:spid="_x0000_s7241" type="#_x0000_t202" style="height:16.25pt;margin-left:378.75pt;margin-top:0;mso-height-relative:page;mso-position-horizontal-relative:margin;mso-width-relative:page;mso-wrap-distance-bottom:0;mso-wrap-distance-left:9pt;mso-wrap-distance-right:9pt;mso-wrap-distance-top:0;mso-wrap-style:square;position:absolute;v-text-anchor:top;width:34.65pt;z-index:251663360"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15</w:t>
                    </w:r>
                    <w:r>
                      <w:fldChar w:fldCharType="end"/>
                    </w:r>
                  </w:p>
                </w:txbxContent>
              </v:textbox>
            </v:shape>
          </w:pict>
        </mc:Fallback>
      </mc:AlternateContent>
    </w: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954" name="文本框 9"/>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16</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9" o:spid="_x0000_s7242"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4384"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16</w:t>
                    </w:r>
                    <w:r>
                      <w:fldChar w:fldCharType="end"/>
                    </w:r>
                  </w:p>
                </w:txbxContent>
              </v:textbox>
            </v:shape>
          </w:pict>
        </mc:Fallback>
      </mc:AlternateContent>
    </w:r>
  </w:p>
</w:ftr>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955" name="文本框 11"/>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17</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11" o:spid="_x0000_s7243"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5408"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17</w:t>
                    </w:r>
                    <w:r>
                      <w:fldChar w:fldCharType="end"/>
                    </w:r>
                  </w:p>
                </w:txbxContent>
              </v:textbox>
            </v:shape>
          </w:pict>
        </mc:Fallback>
      </mc:AlternateContent>
    </w: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956" name="文本框 12"/>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25</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12" o:spid="_x0000_s7244"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6432"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25</w:t>
                    </w:r>
                    <w:r>
                      <w:fldChar w:fldCharType="end"/>
                    </w:r>
                  </w:p>
                </w:txbxContent>
              </v:textbox>
            </v:shape>
          </w:pict>
        </mc:Fallback>
      </mc:AlternateConten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59264"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3950"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7238"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8031" coordsize="21600,21600" filled="f" stroked="f">
              <v:textbox style="mso-fit-shape-to-text:t" inset="0,0,0,0">
                <w:txbxContent>
                  <w:p>
                    <w:pPr>
                      <w:pStyle w:val="Headerorfooter|1"/>
                    </w:pPr>
                  </w:p>
                </w:txbxContent>
              </v:textbox>
            </v:shape>
          </w:pict>
        </mc:Fallback>
      </mc:AlternateContent>
    </w:r>
  </w:p>
</w:hdr>
</file>

<file path=word/header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60288"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3952"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7240"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7007" coordsize="21600,21600" filled="f" stroked="f">
              <v:textbox style="mso-fit-shape-to-text:t" inset="0,0,0,0">
                <w:txbxContent>
                  <w:p>
                    <w:pPr>
                      <w:pStyle w:val="Headerorfooter|1"/>
                    </w:pPr>
                  </w:p>
                </w:txbxContent>
              </v:textbox>
            </v:shape>
          </w:pict>
        </mc:Fallback>
      </mc:AlternateContent>
    </w: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4.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singleLevel"/>
    <w:lvl w:ilvl="0">
      <w:start w:val="1"/>
      <w:numFmt w:val="decimal"/>
      <w:suff w:val="nothing"/>
      <w:lvlText w:val="%1．"/>
      <w:lvlJc w:val="left"/>
      <w:pPr>
        <w:ind w:left="0" w:firstLine="4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60"/>
  <w:bordersDoNotSurroundFooter w:val="0"/>
  <w:bordersDoNotSurroundHeader w:val="0"/>
  <w:doNotTrackMoves/>
  <w:documentProtection w:enforcement="1" w:edit="readOnly" w:salt="p8spmC2wN+qCxfGywXHiYA==" w:hash="DiErTbsEJSlUfqCGGDW4tU1ExqDUaZC6IgLvFxSi5Sx70u22RjhN/GByQlcbhpXFydPjX/zz+PSkGXctuadklA==" w:cryptSpinCount="100000" w:cryptAlgorithmType="typeAny" w:cryptAlgorithmClass="hash" w:cryptProviderType="rsaAES" w:cryptAlgorithmSid="14"/>
  <w:defaultTabStop w:val="420"/>
  <w:drawingGridHorizontalSpacing w:val="181"/>
  <w:drawingGridVerticalSpacing w:val="181"/>
  <w:noPunctuationKerning/>
  <w:characterSpacingControl w:val="compressPunctuation"/>
  <w:compat>
    <w:doNotExpandShiftReturn/>
    <w:doNotWrapTextWithPunct/>
    <w:doNotUseEastAsianBreakRules/>
    <w:useFELayout/>
    <w:doNotUseIndentAsNumberingTabStop/>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w:docVars>
    <w:docVar w:name="commondata" w:val="eyJoZGlkIjoiYmQ3NjQxYmZmN2ZkODIxYWNiNTEzMzQyMTZmNzQ1MmMifQ=="/>
  </w:docVars>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qFormat="1"/>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qFormat="1"/>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qFormat="1"/>
    <w:lsdException w:name="annotation subject" w:semiHidden="0" w:uiPriority="0" w:unhideWhenUsed="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iPriority="0" w:unhideWhenUsed="0"/>
    <w:lsdException w:name="Table Grid" w:semiHidden="0" w:uiPriority="0" w:unhideWhenUsed="0" w:qFormat="1"/>
    <w:lsdException w:name="Table Theme"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autoRedefine/>
    <w:qFormat/>
    <w:pPr>
      <w:widowControl w:val="0"/>
    </w:pPr>
    <w:rPr>
      <w:rFonts w:ascii="Times New Roman" w:eastAsia="Times New Roman" w:hAnsi="Times New Roman" w:cs="Times New Roman"/>
      <w:color w:val="000000"/>
      <w:sz w:val="24"/>
      <w:szCs w:val="24"/>
      <w:lang w:val="en-US" w:eastAsia="en-US" w:bidi="en-US"/>
    </w:rPr>
  </w:style>
  <w:style w:type="character" w:default="1" w:styleId="DefaultParagraphFont">
    <w:name w:val="Default Paragraph Font"/>
    <w:autoRedefine/>
    <w:uiPriority w:val="1"/>
    <w:semiHidden/>
    <w:unhideWhenUsed/>
    <w:qFormat/>
    <w:rPr/>
  </w:style>
  <w:style w:type="table" w:default="1" w:styleId="NormalTable">
    <w:name w:val="Normal Table"/>
    <w:autoRedefine/>
    <w:uiPriority w:val="99"/>
    <w:semiHidden/>
    <w:unhideWhenUsed/>
    <w:qFormat/>
    <w:rPr/>
    <w:tblPr>
      <w:tblCellMar>
        <w:top w:w="0" w:type="dxa"/>
        <w:left w:w="108" w:type="dxa"/>
        <w:bottom w:w="0" w:type="dxa"/>
        <w:right w:w="108" w:type="dxa"/>
      </w:tblCellMar>
    </w:tblPr>
  </w:style>
  <w:style w:type="paragraph" w:styleId="CommentText">
    <w:name w:val="Comment Text"/>
    <w:basedOn w:val="Normal"/>
    <w:autoRedefine/>
    <w:qFormat/>
    <w:rPr/>
  </w:style>
  <w:style w:type="paragraph" w:styleId="Footer">
    <w:name w:val="Footer"/>
    <w:basedOn w:val="Normal"/>
    <w:autoRedefine/>
    <w:qFormat/>
    <w:pPr>
      <w:tabs>
        <w:tab w:val="center" w:pos="4153"/>
        <w:tab w:val="right" w:pos="8306"/>
      </w:tabs>
      <w:snapToGrid w:val="0"/>
    </w:pPr>
    <w:rPr>
      <w:sz w:val="18"/>
    </w:rPr>
  </w:style>
  <w:style w:type="paragraph" w:styleId="Header">
    <w:name w:val="Header"/>
    <w:basedOn w:val="Normal"/>
    <w:autoRedefine/>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TableGrid">
    <w:name w:val="Table Grid"/>
    <w:basedOn w:val="NormalTable"/>
    <w:autoRedefine/>
    <w:qFormat/>
    <w:pPr>
      <w:widowControl w:val="0"/>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Comment Reference"/>
    <w:basedOn w:val="DefaultParagraphFont"/>
    <w:autoRedefine/>
    <w:qFormat/>
    <w:rPr>
      <w:sz w:val="21"/>
      <w:szCs w:val="21"/>
    </w:rPr>
  </w:style>
  <w:style w:type="character" w:customStyle="1" w:styleId="Bodytext|5_">
    <w:name w:val="Body text|5_"/>
    <w:basedOn w:val="DefaultParagraphFont"/>
    <w:link w:val="Bodytext|5"/>
    <w:autoRedefine/>
    <w:qFormat/>
    <w:rPr>
      <w:rFonts w:ascii="宋体" w:eastAsia="宋体" w:hAnsi="宋体" w:cs="宋体"/>
      <w:sz w:val="54"/>
      <w:szCs w:val="54"/>
      <w:u w:val="none"/>
      <w:shd w:val="clear" w:color="auto" w:fill="auto"/>
      <w:lang w:val="zh-TW" w:eastAsia="zh-TW" w:bidi="zh-TW"/>
    </w:rPr>
  </w:style>
  <w:style w:type="paragraph" w:customStyle="1" w:styleId="Bodytext|5">
    <w:name w:val="Body text|5"/>
    <w:basedOn w:val="Normal"/>
    <w:link w:val="Bodytext|5_"/>
    <w:autoRedefine/>
    <w:qFormat/>
    <w:pPr>
      <w:jc w:val="center"/>
    </w:pPr>
    <w:rPr>
      <w:rFonts w:ascii="宋体" w:eastAsia="宋体" w:hAnsi="宋体" w:cs="宋体"/>
      <w:sz w:val="54"/>
      <w:szCs w:val="54"/>
      <w:lang w:val="zh-TW" w:eastAsia="zh-TW" w:bidi="zh-TW"/>
    </w:rPr>
  </w:style>
  <w:style w:type="character" w:customStyle="1" w:styleId="Heading#1|1_">
    <w:name w:val="Heading #1|1_"/>
    <w:basedOn w:val="DefaultParagraphFont"/>
    <w:link w:val="Heading#1|1"/>
    <w:autoRedefine/>
    <w:qFormat/>
    <w:rPr>
      <w:rFonts w:ascii="宋体" w:eastAsia="宋体" w:hAnsi="宋体" w:cs="宋体"/>
      <w:sz w:val="44"/>
      <w:szCs w:val="44"/>
      <w:u w:val="none"/>
      <w:shd w:val="clear" w:color="auto" w:fill="auto"/>
      <w:lang w:val="zh-TW" w:eastAsia="zh-TW" w:bidi="zh-TW"/>
    </w:rPr>
  </w:style>
  <w:style w:type="paragraph" w:customStyle="1" w:styleId="Heading#1|1">
    <w:name w:val="Heading #1|1"/>
    <w:basedOn w:val="Normal"/>
    <w:link w:val="Heading#1|1_"/>
    <w:autoRedefine/>
    <w:qFormat/>
    <w:pPr>
      <w:spacing w:after="400"/>
      <w:jc w:val="center"/>
      <w:outlineLvl w:val="0"/>
    </w:pPr>
    <w:rPr>
      <w:rFonts w:ascii="宋体" w:eastAsia="宋体" w:hAnsi="宋体" w:cs="宋体"/>
      <w:sz w:val="44"/>
      <w:szCs w:val="44"/>
      <w:lang w:val="zh-TW" w:eastAsia="zh-TW" w:bidi="zh-TW"/>
    </w:rPr>
  </w:style>
  <w:style w:type="character" w:customStyle="1" w:styleId="Headerorfooter|2_">
    <w:name w:val="Header or footer|2_"/>
    <w:basedOn w:val="DefaultParagraphFont"/>
    <w:link w:val="Headerorfooter|2"/>
    <w:autoRedefine/>
    <w:qFormat/>
    <w:rPr>
      <w:sz w:val="20"/>
      <w:szCs w:val="20"/>
      <w:u w:val="none"/>
      <w:shd w:val="clear" w:color="auto" w:fill="auto"/>
      <w:lang w:val="zh-TW" w:eastAsia="zh-TW" w:bidi="zh-TW"/>
    </w:rPr>
  </w:style>
  <w:style w:type="paragraph" w:customStyle="1" w:styleId="Headerorfooter|2">
    <w:name w:val="Header or footer|2"/>
    <w:basedOn w:val="Normal"/>
    <w:link w:val="Headerorfooter|2_"/>
    <w:autoRedefine/>
    <w:qFormat/>
    <w:rPr>
      <w:sz w:val="20"/>
      <w:szCs w:val="20"/>
      <w:lang w:val="zh-TW" w:eastAsia="zh-TW" w:bidi="zh-TW"/>
    </w:rPr>
  </w:style>
  <w:style w:type="character" w:customStyle="1" w:styleId="Bodytext|2_">
    <w:name w:val="Body text|2_"/>
    <w:basedOn w:val="DefaultParagraphFont"/>
    <w:link w:val="Bodytext|2"/>
    <w:autoRedefine/>
    <w:qFormat/>
    <w:rPr>
      <w:rFonts w:ascii="宋体" w:eastAsia="宋体" w:hAnsi="宋体" w:cs="宋体"/>
      <w:sz w:val="32"/>
      <w:szCs w:val="32"/>
      <w:u w:val="none"/>
      <w:shd w:val="clear" w:color="auto" w:fill="auto"/>
      <w:lang w:val="zh-TW" w:eastAsia="zh-TW" w:bidi="zh-TW"/>
    </w:rPr>
  </w:style>
  <w:style w:type="paragraph" w:customStyle="1" w:styleId="Bodytext|2">
    <w:name w:val="Body text|2"/>
    <w:basedOn w:val="Normal"/>
    <w:link w:val="Bodytext|2_"/>
    <w:autoRedefine/>
    <w:qFormat/>
    <w:pPr>
      <w:spacing w:after="240"/>
      <w:ind w:firstLine="560"/>
    </w:pPr>
    <w:rPr>
      <w:rFonts w:ascii="宋体" w:eastAsia="宋体" w:hAnsi="宋体" w:cs="宋体"/>
      <w:sz w:val="32"/>
      <w:szCs w:val="32"/>
      <w:lang w:val="zh-TW" w:eastAsia="zh-TW" w:bidi="zh-TW"/>
    </w:rPr>
  </w:style>
  <w:style w:type="character" w:customStyle="1" w:styleId="Bodytext|1_">
    <w:name w:val="Body text|1_"/>
    <w:basedOn w:val="DefaultParagraphFont"/>
    <w:link w:val="Bodytext|1"/>
    <w:autoRedefine/>
    <w:qFormat/>
    <w:rPr>
      <w:rFonts w:ascii="宋体" w:eastAsia="宋体" w:hAnsi="宋体" w:cs="宋体"/>
      <w:sz w:val="28"/>
      <w:szCs w:val="28"/>
      <w:u w:val="none"/>
      <w:shd w:val="clear" w:color="auto" w:fill="auto"/>
      <w:lang w:val="zh-TW" w:eastAsia="zh-TW" w:bidi="zh-TW"/>
    </w:rPr>
  </w:style>
  <w:style w:type="paragraph" w:customStyle="1" w:styleId="Bodytext|1">
    <w:name w:val="Body text|1"/>
    <w:basedOn w:val="Normal"/>
    <w:link w:val="Bodytext|1_"/>
    <w:autoRedefine/>
    <w:qFormat/>
    <w:pPr>
      <w:spacing w:line="468" w:lineRule="auto"/>
      <w:ind w:firstLine="400"/>
    </w:pPr>
    <w:rPr>
      <w:rFonts w:ascii="宋体" w:eastAsia="宋体" w:hAnsi="宋体" w:cs="宋体"/>
      <w:sz w:val="28"/>
      <w:szCs w:val="28"/>
      <w:lang w:val="zh-TW" w:eastAsia="zh-TW" w:bidi="zh-TW"/>
    </w:rPr>
  </w:style>
  <w:style w:type="character" w:customStyle="1" w:styleId="Headerorfooter|1_">
    <w:name w:val="Header or footer|1_"/>
    <w:basedOn w:val="DefaultParagraphFont"/>
    <w:link w:val="Headerorfooter|1"/>
    <w:autoRedefine/>
    <w:qFormat/>
    <w:rPr>
      <w:b/>
      <w:bCs/>
      <w:sz w:val="17"/>
      <w:szCs w:val="17"/>
      <w:u w:val="none"/>
      <w:shd w:val="clear" w:color="auto" w:fill="auto"/>
      <w:lang w:val="zh-TW" w:eastAsia="zh-TW" w:bidi="zh-TW"/>
    </w:rPr>
  </w:style>
  <w:style w:type="paragraph" w:customStyle="1" w:styleId="Headerorfooter|1">
    <w:name w:val="Header or footer|1"/>
    <w:basedOn w:val="Normal"/>
    <w:link w:val="Headerorfooter|1_"/>
    <w:autoRedefine/>
    <w:qFormat/>
    <w:rPr>
      <w:b/>
      <w:bCs/>
      <w:sz w:val="17"/>
      <w:szCs w:val="17"/>
      <w:lang w:val="zh-TW" w:eastAsia="zh-TW" w:bidi="zh-TW"/>
    </w:rPr>
  </w:style>
  <w:style w:type="character" w:customStyle="1" w:styleId="Heading#2|1_">
    <w:name w:val="Heading #2|1_"/>
    <w:basedOn w:val="DefaultParagraphFont"/>
    <w:link w:val="Heading#2|1"/>
    <w:autoRedefine/>
    <w:qFormat/>
    <w:rPr>
      <w:rFonts w:ascii="宋体" w:eastAsia="宋体" w:hAnsi="宋体" w:cs="宋体"/>
      <w:sz w:val="26"/>
      <w:szCs w:val="26"/>
      <w:u w:val="none"/>
      <w:shd w:val="clear" w:color="auto" w:fill="auto"/>
      <w:lang w:val="zh-TW" w:eastAsia="zh-TW" w:bidi="zh-TW"/>
    </w:rPr>
  </w:style>
  <w:style w:type="paragraph" w:customStyle="1" w:styleId="Heading#2|1">
    <w:name w:val="Heading #2|1"/>
    <w:basedOn w:val="Normal"/>
    <w:link w:val="Heading#2|1_"/>
    <w:autoRedefine/>
    <w:qFormat/>
    <w:pPr>
      <w:spacing w:after="230"/>
      <w:jc w:val="center"/>
      <w:outlineLvl w:val="1"/>
    </w:pPr>
    <w:rPr>
      <w:rFonts w:ascii="宋体" w:eastAsia="宋体" w:hAnsi="宋体" w:cs="宋体"/>
      <w:sz w:val="26"/>
      <w:szCs w:val="26"/>
      <w:lang w:val="zh-TW" w:eastAsia="zh-TW" w:bidi="zh-TW"/>
    </w:rPr>
  </w:style>
  <w:style w:type="character" w:customStyle="1" w:styleId="Other|1_">
    <w:name w:val="Other|1_"/>
    <w:basedOn w:val="DefaultParagraphFont"/>
    <w:link w:val="Other|1"/>
    <w:autoRedefine/>
    <w:qFormat/>
    <w:rPr>
      <w:rFonts w:ascii="宋体" w:eastAsia="宋体" w:hAnsi="宋体" w:cs="宋体"/>
      <w:sz w:val="28"/>
      <w:szCs w:val="28"/>
      <w:u w:val="none"/>
      <w:shd w:val="clear" w:color="auto" w:fill="auto"/>
      <w:lang w:val="zh-TW" w:eastAsia="zh-TW" w:bidi="zh-TW"/>
    </w:rPr>
  </w:style>
  <w:style w:type="paragraph" w:customStyle="1" w:styleId="Other|1">
    <w:name w:val="Other|1"/>
    <w:basedOn w:val="Normal"/>
    <w:link w:val="Other|1_"/>
    <w:autoRedefine/>
    <w:qFormat/>
    <w:pPr>
      <w:spacing w:line="468" w:lineRule="auto"/>
      <w:ind w:firstLine="400"/>
    </w:pPr>
    <w:rPr>
      <w:rFonts w:ascii="宋体" w:eastAsia="宋体" w:hAnsi="宋体" w:cs="宋体"/>
      <w:sz w:val="28"/>
      <w:szCs w:val="28"/>
      <w:lang w:val="zh-TW" w:eastAsia="zh-TW" w:bidi="zh-TW"/>
    </w:rPr>
  </w:style>
  <w:style w:type="character" w:customStyle="1" w:styleId="Tablecaption|1_">
    <w:name w:val="Table caption|1_"/>
    <w:basedOn w:val="DefaultParagraphFont"/>
    <w:link w:val="Tablecaption|1"/>
    <w:autoRedefine/>
    <w:qFormat/>
    <w:rPr>
      <w:rFonts w:ascii="宋体" w:eastAsia="宋体" w:hAnsi="宋体" w:cs="宋体"/>
      <w:sz w:val="17"/>
      <w:szCs w:val="17"/>
      <w:u w:val="none"/>
      <w:shd w:val="clear" w:color="auto" w:fill="auto"/>
      <w:lang w:val="zh-TW" w:eastAsia="zh-TW" w:bidi="zh-TW"/>
    </w:rPr>
  </w:style>
  <w:style w:type="paragraph" w:customStyle="1" w:styleId="Tablecaption|1">
    <w:name w:val="Table caption|1"/>
    <w:basedOn w:val="Normal"/>
    <w:link w:val="Tablecaption|1_"/>
    <w:autoRedefine/>
    <w:qFormat/>
    <w:rPr>
      <w:rFonts w:ascii="宋体" w:eastAsia="宋体" w:hAnsi="宋体" w:cs="宋体"/>
      <w:sz w:val="17"/>
      <w:szCs w:val="17"/>
      <w:lang w:val="zh-TW" w:eastAsia="zh-TW" w:bidi="zh-TW"/>
    </w:rPr>
  </w:style>
  <w:style w:type="character" w:customStyle="1" w:styleId="Bodytext|4_">
    <w:name w:val="Body text|4_"/>
    <w:basedOn w:val="DefaultParagraphFont"/>
    <w:link w:val="Bodytext|4"/>
    <w:autoRedefine/>
    <w:qFormat/>
    <w:rPr>
      <w:rFonts w:ascii="宋体" w:eastAsia="宋体" w:hAnsi="宋体" w:cs="宋体"/>
      <w:sz w:val="17"/>
      <w:szCs w:val="17"/>
      <w:u w:val="none"/>
      <w:shd w:val="clear" w:color="auto" w:fill="auto"/>
      <w:lang w:val="zh-TW" w:eastAsia="zh-TW" w:bidi="zh-TW"/>
    </w:rPr>
  </w:style>
  <w:style w:type="paragraph" w:customStyle="1" w:styleId="Bodytext|4">
    <w:name w:val="Body text|4"/>
    <w:basedOn w:val="Normal"/>
    <w:link w:val="Bodytext|4_"/>
    <w:autoRedefine/>
    <w:qFormat/>
    <w:pPr>
      <w:ind w:firstLine="680"/>
    </w:pPr>
    <w:rPr>
      <w:rFonts w:ascii="宋体" w:eastAsia="宋体" w:hAnsi="宋体" w:cs="宋体"/>
      <w:sz w:val="17"/>
      <w:szCs w:val="17"/>
      <w:lang w:val="zh-TW" w:eastAsia="zh-TW" w:bidi="zh-TW"/>
    </w:rPr>
  </w:style>
  <w:style w:type="character" w:customStyle="1" w:styleId="Bodytext|3_">
    <w:name w:val="Body text|3_"/>
    <w:basedOn w:val="DefaultParagraphFont"/>
    <w:link w:val="Bodytext|3"/>
    <w:autoRedefine/>
    <w:qFormat/>
    <w:rPr>
      <w:sz w:val="30"/>
      <w:szCs w:val="30"/>
      <w:u w:val="none"/>
      <w:shd w:val="clear" w:color="auto" w:fill="auto"/>
      <w:lang w:val="zh-TW" w:eastAsia="zh-TW" w:bidi="zh-TW"/>
    </w:rPr>
  </w:style>
  <w:style w:type="paragraph" w:customStyle="1" w:styleId="Bodytext|3">
    <w:name w:val="Body text|3"/>
    <w:basedOn w:val="Normal"/>
    <w:link w:val="Bodytext|3_"/>
    <w:autoRedefine/>
    <w:qFormat/>
    <w:pPr>
      <w:spacing w:after="140" w:line="336" w:lineRule="auto"/>
      <w:ind w:firstLine="370"/>
    </w:pPr>
    <w:rPr>
      <w:sz w:val="30"/>
      <w:szCs w:val="30"/>
      <w:lang w:val="zh-TW" w:eastAsia="zh-TW" w:bidi="zh-TW"/>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charts/chart5.xml" Type="http://schemas.openxmlformats.org/officeDocument/2006/relationships/chart"/><Relationship Id="rId11" Target="charts/chart6.xml" Type="http://schemas.openxmlformats.org/officeDocument/2006/relationships/chart"/><Relationship Id="rId12" Target="header1.xml" Type="http://schemas.openxmlformats.org/officeDocument/2006/relationships/header"/><Relationship Id="rId13" Target="footer2.xml" Type="http://schemas.openxmlformats.org/officeDocument/2006/relationships/footer"/><Relationship Id="rId14" Target="header2.xml" Type="http://schemas.openxmlformats.org/officeDocument/2006/relationships/header"/><Relationship Id="rId15" Target="footer3.xml" Type="http://schemas.openxmlformats.org/officeDocument/2006/relationships/footer"/><Relationship Id="rId16" Target="header3.xml" Type="http://schemas.openxmlformats.org/officeDocument/2006/relationships/header"/><Relationship Id="rId17" Target="footer4.xml" Type="http://schemas.openxmlformats.org/officeDocument/2006/relationships/footer"/><Relationship Id="rId18" Target="header4.xml" Type="http://schemas.openxmlformats.org/officeDocument/2006/relationships/header"/><Relationship Id="rId19" Target="footer5.xml" Type="http://schemas.openxmlformats.org/officeDocument/2006/relationships/footer"/><Relationship Id="rId2" Target="../customXml/item2.xml" Type="http://schemas.openxmlformats.org/officeDocument/2006/relationships/customXml"/><Relationship Id="rId20" Target="header5.xml" Type="http://schemas.openxmlformats.org/officeDocument/2006/relationships/header"/><Relationship Id="rId21" Target="footer6.xml" Type="http://schemas.openxmlformats.org/officeDocument/2006/relationships/footer"/><Relationship Id="rId22" Target="theme/theme1.xml" Type="http://schemas.openxmlformats.org/officeDocument/2006/relationships/theme"/><Relationship Id="rId23" Target="styles.xml" Type="http://schemas.openxmlformats.org/officeDocument/2006/relationships/styles"/><Relationship Id="rId24" Target="webSettings.xml" Type="http://schemas.openxmlformats.org/officeDocument/2006/relationships/webSettings"/><Relationship Id="rId25" Target="numbering.xml" Type="http://schemas.openxmlformats.org/officeDocument/2006/relationships/numbering"/><Relationship Id="rId26" Target="fontTable.xml" Type="http://schemas.openxmlformats.org/officeDocument/2006/relationships/fontTable"/><Relationship Id="rId27" Target="settings.xml" Type="http://schemas.openxmlformats.org/officeDocument/2006/relationships/settings"/><Relationship Id="rId3" Target="../customXml/item3.xml" Type="http://schemas.openxmlformats.org/officeDocument/2006/relationships/customXml"/><Relationship Id="rId4" Target="../customXml/item4.xml" Type="http://schemas.openxmlformats.org/officeDocument/2006/relationships/customXml"/><Relationship Id="rId5" Target="footer1.xml" Type="http://schemas.openxmlformats.org/officeDocument/2006/relationships/footer"/><Relationship Id="rId6" Target="charts/chart1.xml" Type="http://schemas.openxmlformats.org/officeDocument/2006/relationships/chart"/><Relationship Id="rId7" Target="charts/chart2.xml" Type="http://schemas.openxmlformats.org/officeDocument/2006/relationships/chart"/><Relationship Id="rId8" Target="charts/chart3.xml" Type="http://schemas.openxmlformats.org/officeDocument/2006/relationships/chart"/><Relationship Id="rId9" Target="charts/chart4.xml" Type="http://schemas.openxmlformats.org/officeDocument/2006/relationships/chart"/></Relationships>
</file>

<file path=word/charts/_rels/chart1.xml.rels><?xml version="1.0" encoding="UTF-8" standalone="yes"?><Relationships xmlns="http://schemas.openxmlformats.org/package/2006/relationships"><Relationship Id="rId1" Target="../embeddings/Microsoft_Office_Excel_Worksheet1.xlsx" Type="http://schemas.openxmlformats.org/officeDocument/2006/relationships/package"/></Relationships>
</file>

<file path=word/charts/_rels/chart2.xml.rels><?xml version="1.0" encoding="UTF-8" standalone="yes"?><Relationships xmlns="http://schemas.openxmlformats.org/package/2006/relationships"><Relationship Id="rId1" Target="../embeddings/Microsoft_Office_Excel_Worksheet2.xlsx" Type="http://schemas.openxmlformats.org/officeDocument/2006/relationships/package"/></Relationships>
</file>

<file path=word/charts/_rels/chart3.xml.rels><?xml version="1.0" encoding="UTF-8" standalone="yes"?><Relationships xmlns="http://schemas.openxmlformats.org/package/2006/relationships"><Relationship Id="rId1" Target="../embeddings/Microsoft_Office_Excel_Worksheet3.xlsx" Type="http://schemas.openxmlformats.org/officeDocument/2006/relationships/package"/></Relationships>
</file>

<file path=word/charts/_rels/chart4.xml.rels><?xml version="1.0" encoding="UTF-8" standalone="yes"?><Relationships xmlns="http://schemas.openxmlformats.org/package/2006/relationships"><Relationship Id="rId1" Target="../embeddings/Microsoft_Office_Excel_Worksheet4.xlsx" Type="http://schemas.openxmlformats.org/officeDocument/2006/relationships/package"/></Relationships>
</file>

<file path=word/charts/_rels/chart5.xml.rels><?xml version="1.0" encoding="UTF-8" standalone="yes"?><Relationships xmlns="http://schemas.openxmlformats.org/package/2006/relationships"><Relationship Id="rId1" Target="../embeddings/Microsoft_Office_Excel_Worksheet5.xlsx" Type="http://schemas.openxmlformats.org/officeDocument/2006/relationships/package"/></Relationships>
</file>

<file path=word/charts/_rels/chart6.xml.rels><?xml version="1.0" encoding="UTF-8" standalone="yes"?><Relationships xmlns="http://schemas.openxmlformats.org/package/2006/relationships"><Relationship Id="rId1" Target="../embeddings/Microsoft_Office_Excel_Worksheet6.xlsx" Type="http://schemas.openxmlformats.org/officeDocument/2006/relationships/package"/></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部门收入总体情况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一般公共预算拨款</c:v>
                </c:pt>
              </c:strCache>
            </c:strRef>
          </c:cat>
          <c:val>
            <c:numRef>
              <c:f>Sheet1!$B$2</c:f>
              <c:numCache>
                <c:ptCount val="1"/>
                <c:pt idx="0">
                  <c:v>11.63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部门支出总体情况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Sheet1!$A$2:$A$5</c:f>
              <c:strCache>
                <c:ptCount val="4"/>
                <c:pt idx="0">
                  <c:v>一般公共服务支出</c:v>
                </c:pt>
                <c:pt idx="1">
                  <c:v>社会保障和就业支出</c:v>
                </c:pt>
                <c:pt idx="2">
                  <c:v>农林水支出</c:v>
                </c:pt>
                <c:pt idx="3">
                  <c:v>住房保障支出</c:v>
                </c:pt>
              </c:strCache>
            </c:strRef>
          </c:cat>
          <c:val>
            <c:numRef>
              <c:f>Sheet1!$B$2:$B$5</c:f>
              <c:numCache>
                <c:ptCount val="4"/>
                <c:pt idx="0">
                  <c:v>0.11</c:v>
                </c:pt>
                <c:pt idx="1">
                  <c:v>1.38</c:v>
                </c:pt>
                <c:pt idx="2">
                  <c:v>8.94</c:v>
                </c:pt>
                <c:pt idx="3">
                  <c:v>1.2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财政拨款收支总体情况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c:f>
              <c:strCache>
                <c:ptCount val="1"/>
                <c:pt idx="0">
                  <c:v>收入</c:v>
                </c:pt>
              </c:strCache>
            </c:strRef>
          </c:cat>
          <c:val>
            <c:numRef>
              <c:f>Sheet1!$B$2</c:f>
              <c:numCache>
                <c:formatCode>General</c:formatCode>
                <c:ptCount val="1"/>
                <c:pt idx="0">
                  <c:v>8.9</c:v>
                </c:pt>
              </c:numCache>
            </c:numRef>
          </c:val>
        </c:ser>
        <c:ser>
          <c:idx val="1"/>
          <c:order val="1"/>
          <c:tx>
            <c:strRef>
              <c:f>Sheet1!$C$1</c:f>
              <c:strCache>
                <c:ptCount val="1"/>
                <c:pt idx="0">
                  <c:v>当年</c:v>
                </c:pt>
              </c:strCache>
            </c:strRef>
          </c:tx>
          <c:spPr>
            <a:solidFill>
              <a:schemeClr val="accent2"/>
            </a:solidFill>
            <a:ln>
              <a:noFill/>
            </a:ln>
            <a:effectLst/>
          </c:spPr>
          <c:invertIfNegative val="0"/>
          <c:dLbls>
            <c:delete val="1"/>
          </c:dLbls>
          <c:cat>
            <c:strRef>
              <c:f>Sheet1!$A$2</c:f>
              <c:strCache>
                <c:ptCount val="1"/>
                <c:pt idx="0">
                  <c:v>收入</c:v>
                </c:pt>
              </c:strCache>
            </c:strRef>
          </c:cat>
          <c:val>
            <c:numRef>
              <c:f>Sheet1!$C$2</c:f>
              <c:numCache>
                <c:formatCode>General</c:formatCode>
                <c:ptCount val="1"/>
                <c:pt idx="0">
                  <c:v>11.63</c:v>
                </c:pt>
              </c:numCache>
            </c:numRef>
          </c:val>
        </c:ser>
        <c:dLbls>
          <c:showLegendKey val="0"/>
          <c:showVal val="0"/>
          <c:showCatName val="0"/>
          <c:showSerName val="0"/>
          <c:showPercent val="0"/>
          <c:showBubbleSize val="0"/>
        </c:dLbls>
        <c:gapWidth val="219"/>
        <c:overlap val="-27"/>
        <c:axId val="811850650"/>
        <c:axId val="698020238"/>
      </c:barChart>
      <c:catAx>
        <c:axId val="81185065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020238"/>
        <c:crosses val="autoZero"/>
        <c:auto val="1"/>
        <c:lblAlgn val="ctr"/>
        <c:lblOffset val="100"/>
        <c:noMultiLvlLbl val="0"/>
      </c:catAx>
      <c:valAx>
        <c:axId val="69802023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85065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en-US"/>
              <a:t>一般公共预算支出情况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bar"/>
        <c:grouping val="clustered"/>
        <c:varyColors val="0"/>
        <c:ser>
          <c:idx val="0"/>
          <c:order val="0"/>
          <c:tx>
            <c:strRef>
              <c:f>Sheet1!$B$1</c:f>
              <c:strCache>
                <c:ptCount val="1"/>
                <c:pt idx="0">
                  <c:v>基本支出</c:v>
                </c:pt>
              </c:strCache>
            </c:strRef>
          </c:tx>
          <c:spPr>
            <a:solidFill>
              <a:schemeClr val="accent1"/>
            </a:solidFill>
            <a:ln>
              <a:noFill/>
            </a:ln>
            <a:effectLst/>
          </c:spPr>
          <c:invertIfNegative val="0"/>
          <c:dLbls>
            <c:delete val="1"/>
          </c:dLbls>
          <c:cat>
            <c:strRef>
              <c:f>Sheet1!$A$2</c:f>
              <c:strCache>
                <c:ptCount val="1"/>
                <c:pt idx="0">
                  <c:v>当年</c:v>
                </c:pt>
              </c:strCache>
            </c:strRef>
          </c:cat>
          <c:val>
            <c:numRef>
              <c:f>Sheet1!$B$2</c:f>
              <c:numCache>
                <c:formatCode>General</c:formatCode>
                <c:ptCount val="1"/>
                <c:pt idx="0">
                  <c:v>11.63</c:v>
                </c:pt>
              </c:numCache>
            </c:numRef>
          </c:val>
        </c:ser>
        <c:ser>
          <c:idx val="1"/>
          <c:order val="1"/>
          <c:tx>
            <c:strRef>
              <c:f>Sheet1!$C$1</c:f>
              <c:strCache>
                <c:ptCount val="1"/>
                <c:pt idx="0">
                  <c:v>结转下年支出</c:v>
                </c:pt>
              </c:strCache>
            </c:strRef>
          </c:tx>
          <c:cat>
            <c:strRef>
              <c:f>Sheet1!$A$2</c:f>
              <c:strCache>
                <c:ptCount val="1"/>
                <c:pt idx="0">
                  <c:v>当年</c:v>
                </c:pt>
              </c:strCache>
            </c:strRef>
          </c:cat>
          <c:val>
            <c:numRef>
              <c:f>Sheet1!$C$2</c:f>
              <c:numCache>
                <c:ptCount val="1"/>
                <c:pt idx="0">
                  <c:v>0.0</c:v>
                </c:pt>
              </c:numCache>
            </c:numRef>
          </c:val>
        </c:ser>
        <c:ser>
          <c:idx val="2"/>
          <c:order val="2"/>
          <c:tx>
            <c:strRef>
              <c:f>Sheet1!$D$1</c:f>
              <c:strCache>
                <c:ptCount val="1"/>
                <c:pt idx="0">
                  <c:v>项目支出</c:v>
                </c:pt>
              </c:strCache>
            </c:strRef>
          </c:tx>
          <c:cat>
            <c:strRef>
              <c:f>Sheet1!$A$2</c:f>
              <c:strCache>
                <c:ptCount val="1"/>
                <c:pt idx="0">
                  <c:v>当年</c:v>
                </c:pt>
              </c:strCache>
            </c:strRef>
          </c:cat>
          <c:val>
            <c:numRef>
              <c:f>Sheet1!$D$2</c:f>
              <c:numCache>
                <c:ptCount val="1"/>
                <c:pt idx="0">
                  <c:v>0.0</c:v>
                </c:pt>
              </c:numCache>
            </c:numRef>
          </c:val>
        </c:ser>
        <c:ser>
          <c:idx val="3"/>
          <c:order val="3"/>
          <c:tx>
            <c:strRef>
              <c:f>Sheet1!$E$1</c:f>
              <c:strCache>
                <c:ptCount val="1"/>
                <c:pt idx="0">
                  <c:v>公用经费</c:v>
                </c:pt>
              </c:strCache>
            </c:strRef>
          </c:tx>
          <c:cat>
            <c:strRef>
              <c:f>Sheet1!$A$2</c:f>
              <c:strCache>
                <c:ptCount val="1"/>
                <c:pt idx="0">
                  <c:v>当年</c:v>
                </c:pt>
              </c:strCache>
            </c:strRef>
          </c:cat>
          <c:val>
            <c:numRef>
              <c:f>Sheet1!$E$2</c:f>
              <c:numCache>
                <c:ptCount val="1"/>
                <c:pt idx="0">
                  <c:v>0.35</c:v>
                </c:pt>
              </c:numCache>
            </c:numRef>
          </c:val>
        </c:ser>
        <c:ser>
          <c:idx val="4"/>
          <c:order val="4"/>
          <c:tx>
            <c:strRef>
              <c:f>Sheet1!$F$1</c:f>
              <c:strCache>
                <c:ptCount val="1"/>
                <c:pt idx="0">
                  <c:v>人员经费</c:v>
                </c:pt>
              </c:strCache>
            </c:strRef>
          </c:tx>
          <c:cat>
            <c:strRef>
              <c:f>Sheet1!$A$2</c:f>
              <c:strCache>
                <c:ptCount val="1"/>
                <c:pt idx="0">
                  <c:v>当年</c:v>
                </c:pt>
              </c:strCache>
            </c:strRef>
          </c:cat>
          <c:val>
            <c:numRef>
              <c:f>Sheet1!$F$2</c:f>
              <c:numCache>
                <c:ptCount val="1"/>
                <c:pt idx="0">
                  <c:v>11.28</c:v>
                </c:pt>
              </c:numCache>
            </c:numRef>
          </c:val>
        </c:ser>
        <c:dLbls>
          <c:showLegendKey val="0"/>
          <c:showVal val="0"/>
          <c:showCatName val="0"/>
          <c:showSerName val="0"/>
          <c:showPercent val="0"/>
          <c:showBubbleSize val="0"/>
        </c:dLbls>
        <c:gapWidth val="182"/>
        <c:overlap val="0"/>
        <c:axId val="691519273"/>
        <c:axId val="850134922"/>
      </c:barChart>
      <c:catAx>
        <c:axId val="691519273"/>
        <c:scaling>
          <c:orientation val="minMax"/>
        </c:scaling>
        <c:delete val="1"/>
        <c:axPos val="l"/>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134922"/>
        <c:crosses val="autoZero"/>
        <c:auto val="1"/>
        <c:lblAlgn val="ctr"/>
        <c:lblOffset val="100"/>
        <c:noMultiLvlLbl val="0"/>
      </c:catAx>
      <c:valAx>
        <c:axId val="85013492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5192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en-US"/>
              <a:t>一般公共预算基本支出情况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Sheet1!$A$2:$A$3</c:f>
              <c:strCache>
                <c:ptCount val="2"/>
                <c:pt idx="0">
                  <c:v>人员经费</c:v>
                </c:pt>
                <c:pt idx="1">
                  <c:v>公用经费</c:v>
                </c:pt>
              </c:strCache>
            </c:strRef>
          </c:cat>
          <c:val>
            <c:numRef>
              <c:f>Sheet1!$B$2:$B$3</c:f>
              <c:numCache>
                <c:ptCount val="2"/>
                <c:pt idx="0">
                  <c:v>11.28</c:v>
                </c:pt>
                <c:pt idx="1">
                  <c:v>0.35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一般公共预算“三公”经费安排情况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Sheet1!$B$2:$B$4</c:f>
              <c:numCache>
                <c:formatCode>General</c:formatCode>
                <c:ptCount val="3"/>
                <c:pt idx="0">
                  <c:v>0.0</c:v>
                </c:pt>
                <c:pt idx="1">
                  <c:v>0.0</c:v>
                </c:pt>
                <c:pt idx="2">
                  <c:v>0.0</c:v>
                </c:pt>
              </c:numCache>
            </c:numRef>
          </c:val>
        </c:ser>
        <c:ser>
          <c:idx val="1"/>
          <c:order val="1"/>
          <c:tx>
            <c:strRef>
              <c:f>Sheet1!$C$1</c:f>
              <c:strCache>
                <c:ptCount val="1"/>
                <c:pt idx="0">
                  <c:v>当年</c:v>
                </c:pt>
              </c:strCache>
            </c:strRef>
          </c:tx>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Sheet1!$C$2:$C$4</c:f>
              <c:numCache>
                <c:formatCode>General</c:formatCode>
                <c:ptCount val="3"/>
                <c:pt idx="0">
                  <c:v>0.0</c:v>
                </c:pt>
                <c:pt idx="1">
                  <c:v>0.0</c:v>
                </c:pt>
                <c:pt idx="2">
                  <c:v>0.0</c:v>
                </c:pt>
              </c:numCache>
            </c:numRef>
          </c:val>
        </c:ser>
        <c:dLbls>
          <c:showLegendKey val="0"/>
          <c:showVal val="0"/>
          <c:showCatName val="0"/>
          <c:showSerName val="0"/>
          <c:showPercent val="0"/>
          <c:showBubbleSize val="0"/>
        </c:dLbls>
        <c:gapWidth val="182"/>
        <c:overlap val="0"/>
        <c:axId val="587647791"/>
        <c:axId val="468612210"/>
      </c:barChart>
      <c:catAx>
        <c:axId val="5876477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612210"/>
        <c:crosses val="autoZero"/>
        <c:auto val="1"/>
        <c:lblAlgn val="ctr"/>
        <c:lblOffset val="100"/>
        <c:noMultiLvlLbl val="0"/>
      </c:catAx>
      <c:valAx>
        <c:axId val="46861221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6477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A sentiment</cp:lastModifiedBy>
  <dcterms:modified xsi:type="dcterms:W3CDTF">2024-02-29T07:46:33Z</dcterms:modified>
  <cp:revision>3</cp:revision>
</cp:coreProperties>
</file>

<file path=customXml/item2.xml><?xml version="1.0" encoding="utf-8"?>
<Properties xmlns="http://schemas.openxmlformats.org/officeDocument/2006/extended-properties" xmlns:vt="http://schemas.openxmlformats.org/officeDocument/2006/docPropsVTypes">
  <Template>Normal.dotm</Template>
  <Pages>35</Pages>
  <Words>8576</Words>
  <Characters>11046</Characters>
  <Lines>105</Lines>
  <Paragraphs>29</Paragraphs>
  <TotalTime>8</TotalTime>
  <ScaleCrop>false</ScaleCrop>
  <LinksUpToDate>false</LinksUpToDate>
  <CharactersWithSpaces>11333</CharactersWithSpaces>
  <Application>WPS Office_12.1.0.16388_F1E327BC-269C-435d-A152-05C5408002CA</Application>
  <DocSecurity>0</DocSecurity>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21347EF5C0FE487782B835694F4A0AB2_13</vt:lpwstr>
  </property>
</Properties>
</file>

<file path=customXml/item4.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Normal.dotm</Template>
  <TotalTime>8</TotalTime>
  <Pages>35</Pages>
  <Words>8576</Words>
  <Characters>11046</Characters>
  <Application>WPS Office_12.1.0.16388_F1E327BC-269C-435d-A152-05C5408002CA</Application>
  <DocSecurity>0</DocSecurity>
  <Lines>105</Lines>
  <Paragraphs>29</Paragraphs>
  <CharactersWithSpaces>11333</CharactersWithSpaces>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A sentiment</cp:lastModifiedBy>
  <dcterms:modified xsi:type="dcterms:W3CDTF">2024-02-29T11:05:28Z</dcterms:modified>
  <cp:revision>3</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2052-12.1.0.16388</vt:lpstr>
  </property>
  <property fmtid="{D5CDD505-2E9C-101B-9397-08002B2CF9AE}" pid="3" name="ICV">
    <vt:lpstr>21347EF5C0FE487782B835694F4A0AB2_13</vt:lpstr>
  </property>
</Properties>
</file>