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lang w:eastAsia="zh-CN"/>
        </w:rPr>
      </w:pPr>
      <w:r>
        <w:rPr>
          <w:rFonts w:hint="eastAsia"/>
          <w:lang w:eastAsia="zh-CN"/>
        </w:rPr>
        <w:t>环江毛南族自治县明伦镇文化站</w:t>
      </w:r>
    </w:p>
    <w:p>
      <w:pPr>
        <w:pStyle w:val="10"/>
        <w:jc w:val="center"/>
        <w:sectPr>
          <w:pgSz w:w="11900" w:h="16840"/>
          <w:pgMar w:top="4713" w:right="1913" w:bottom="4713" w:left="2020" w:header="4285" w:footer="4285" w:gutter="0"/>
          <w:pgBorders>
            <w:top w:val="none" w:sz="0" w:space="0"/>
            <w:left w:val="none" w:sz="0" w:space="0"/>
            <w:bottom w:val="none" w:sz="0" w:space="0"/>
            <w:right w:val="none" w:sz="0" w:space="0"/>
          </w:pgBorders>
          <w:pgNumType w:start="1"/>
          <w:cols w:space="720" w:num="1"/>
          <w:docGrid w:linePitch="360" w:charSpace="0"/>
        </w:sectPr>
      </w:pPr>
      <w:r>
        <w:rPr>
          <w:rFonts w:hint="eastAsia"/>
          <w:lang w:eastAsia="zh-CN"/>
        </w:rPr>
        <w:t>2024</w:t>
      </w:r>
      <w:r>
        <w:rPr>
          <w:rFonts w:ascii="Times New Roman" w:hAnsi="Times New Roman" w:eastAsia="Times New Roman" w:cs="Times New Roman"/>
          <w:sz w:val="56"/>
          <w:u w:color="auto"/>
        </w:rPr>
        <w:t>年</w:t>
      </w:r>
      <w:r>
        <w:t>度部门预算</w:t>
      </w:r>
    </w:p>
    <w:p>
      <w:pPr>
        <w:pStyle w:val="12"/>
        <w:keepNext/>
        <w:keepLines/>
        <w:spacing w:after="240"/>
        <w:jc w:val="center"/>
      </w:pPr>
      <w:bookmarkStart w:id="0" w:name="bookmark2"/>
      <w:bookmarkStart w:id="1" w:name="bookmark1"/>
      <w:bookmarkStart w:id="2" w:name="bookmark0"/>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环江毛南族自治县明伦镇文化站单位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环江毛南族自治县明伦镇文化站2024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环江毛南族自治县明伦镇文化站2024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1080" w:footer="3" w:gutter="0"/>
          <w:pgBorders>
            <w:top w:val="none" w:sz="0" w:space="0"/>
            <w:left w:val="none" w:sz="0" w:space="0"/>
            <w:bottom w:val="none" w:sz="0" w:space="0"/>
            <w:right w:val="none" w:sz="0" w:space="0"/>
          </w:pgBorders>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spacing w:after="560"/>
        <w:jc w:val="both"/>
      </w:pPr>
      <w:bookmarkStart w:id="3" w:name="bookmark13"/>
      <w:bookmarkStart w:id="4" w:name="bookmark12"/>
      <w:bookmarkStart w:id="5" w:name="bookmark14"/>
    </w:p>
    <w:p>
      <w:pPr>
        <w:pStyle w:val="12"/>
        <w:keepNext/>
        <w:keepLines/>
        <w:spacing w:after="560"/>
        <w:jc w:val="center"/>
        <w:rPr>
          <w:b/>
          <w:bCs/>
          <w:sz w:val="40"/>
          <w:szCs w:val="40"/>
        </w:rPr>
      </w:pPr>
      <w:r>
        <w:rPr>
          <w:b/>
          <w:bCs/>
          <w:sz w:val="40"/>
          <w:szCs w:val="40"/>
        </w:rPr>
        <w:t>第一部分</w:t>
      </w:r>
      <w:r>
        <w:rPr>
          <w:rFonts w:hint="eastAsia"/>
          <w:b/>
          <w:bCs/>
          <w:sz w:val="40"/>
          <w:szCs w:val="40"/>
          <w:lang w:eastAsia="zh-CN"/>
        </w:rPr>
        <w:t>：</w:t>
      </w:r>
      <w:r>
        <w:rPr>
          <w:b/>
          <w:sz w:val="40"/>
          <w:u w:color="auto"/>
        </w:rPr>
        <w:t>环江毛南族自治县明伦镇文化站</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承担文化、体育、广播电视事业的宣传和活动组织工作、文化体育相关组织的管理、相关培训工作，受权管理乡文化市场，对村级文化体育活动中心、信息共享工程、农家书屋进行业务指导，组织文化交流，对民族间文化体育遗产进行收集整理与保护，扶持文化体育产业的创建发展；负责本辖区内文化、体育、广播电视事业的建设和管理工作；完成上级业务部门和乡党委、政府交给的其他工作任务。</w:t>
      </w:r>
    </w:p>
    <w:p>
      <w:pPr>
        <w:pStyle w:val="16"/>
        <w:tabs>
          <w:tab w:val="left" w:pos="1369"/>
        </w:tabs>
        <w:spacing w:after="0" w:line="623" w:lineRule="exact"/>
        <w:ind w:firstLine="620"/>
        <w:jc w:val="left"/>
        <w:rPr>
          <w:b/>
          <w:bCs/>
        </w:rPr>
      </w:pPr>
      <w:bookmarkStart w:id="6" w:name="bookmark24"/>
      <w:r>
        <w:rPr>
          <w:b/>
          <w:bCs/>
        </w:rPr>
        <w:t>二</w:t>
      </w:r>
      <w:bookmarkEnd w:id="6"/>
      <w:r>
        <w:rPr>
          <w:b/>
          <w:bCs/>
        </w:rPr>
        <w:t>、</w:t>
      </w:r>
      <w:r>
        <w:rPr>
          <w:b/>
          <w:bCs/>
        </w:rPr>
        <w:tab/>
      </w:r>
      <w:r>
        <w:rPr>
          <w:rFonts w:hint="eastAsia"/>
          <w:b/>
          <w:bCs/>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本部门的上级主管部门是环江毛南族自治县明伦镇人民政府，是财政全额拨款的事业单位，人员编制共2名，领导职数：站长1名。本部门无内设机构。</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spacing w:before="120" w:after="0" w:line="629" w:lineRule="exact"/>
        <w:jc w:val="center"/>
        <w:rPr>
          <w:b/>
          <w:bCs/>
          <w:sz w:val="40"/>
          <w:szCs w:val="40"/>
        </w:rPr>
      </w:pPr>
      <w:bookmarkStart w:id="7" w:name="bookmark70"/>
      <w:bookmarkStart w:id="8" w:name="bookmark69"/>
      <w:bookmarkStart w:id="9" w:name="bookmark68"/>
      <w:bookmarkStart w:id="10" w:name="bookmark28"/>
      <w:bookmarkStart w:id="11" w:name="bookmark27"/>
      <w:bookmarkStart w:id="12" w:name="bookmark26"/>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环江毛南族自治县明伦镇文化站</w:t>
      </w:r>
      <w:r>
        <w:rPr>
          <w:b/>
          <w:sz w:val="40"/>
          <w:u w:color="auto"/>
        </w:rPr>
        <w:t>2024年部门预算情况说明</w:t>
      </w:r>
    </w:p>
    <w:p>
      <w:pPr>
        <w:pStyle w:val="16"/>
        <w:tabs>
          <w:tab w:val="left" w:pos="1235"/>
        </w:tabs>
        <w:spacing w:after="0" w:line="624" w:lineRule="exact"/>
        <w:ind w:firstLine="580"/>
        <w:jc w:val="left"/>
        <w:rPr>
          <w:b/>
          <w:bCs/>
        </w:rPr>
      </w:pPr>
      <w:bookmarkStart w:id="13" w:name="bookmark71"/>
      <w:r>
        <w:rPr>
          <w:b/>
          <w:bCs/>
        </w:rPr>
        <w:t>一</w:t>
      </w:r>
      <w:bookmarkEnd w:id="13"/>
      <w:r>
        <w:rPr>
          <w:b/>
          <w:bCs/>
        </w:rPr>
        <w:t>、</w:t>
      </w:r>
      <w:r>
        <w:rPr>
          <w:b/>
          <w:bCs/>
        </w:rPr>
        <w:tab/>
      </w:r>
      <w:r>
        <w:rPr>
          <w:b/>
          <w:bCs/>
        </w:rPr>
        <w:t>部门预算收支总体情况说明</w:t>
      </w:r>
    </w:p>
    <w:p>
      <w:pPr>
        <w:pStyle w:val="18"/>
        <w:spacing w:line="623" w:lineRule="exact"/>
        <w:ind w:left="0" w:leftChars="0" w:firstLine="560" w:firstLineChars="200"/>
        <w:jc w:val="left"/>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37.20</w:t>
      </w:r>
      <w:r>
        <w:rPr>
          <w:rFonts w:hint="eastAsia"/>
          <w:b w:val="0"/>
          <w:bCs w:val="0"/>
          <w:sz w:val="28"/>
          <w:szCs w:val="28"/>
        </w:rPr>
        <w:t>万元，总支出</w:t>
      </w:r>
      <w:r>
        <w:rPr>
          <w:rFonts w:hint="eastAsia"/>
          <w:sz w:val="28"/>
          <w:szCs w:val="28"/>
          <w:lang w:val="en-US" w:eastAsia="zh-CN"/>
        </w:rPr>
        <w:t>37.20</w:t>
      </w:r>
      <w:r>
        <w:rPr>
          <w:rFonts w:hint="eastAsia"/>
          <w:b w:val="0"/>
          <w:bCs w:val="0"/>
          <w:sz w:val="28"/>
          <w:szCs w:val="28"/>
        </w:rPr>
        <w:t>万元。总收入较2023年度预算数</w:t>
      </w:r>
      <w:r>
        <w:rPr>
          <w:rFonts w:hint="eastAsia"/>
          <w:sz w:val="28"/>
          <w:szCs w:val="28"/>
          <w:lang w:val="en-US" w:eastAsia="zh-CN"/>
        </w:rPr>
        <w:t>30.91</w:t>
      </w:r>
      <w:r>
        <w:rPr>
          <w:rFonts w:hint="eastAsia"/>
          <w:b w:val="0"/>
          <w:bCs w:val="0"/>
          <w:sz w:val="28"/>
          <w:szCs w:val="28"/>
        </w:rPr>
        <w:t>万元，</w:t>
      </w:r>
      <w:r>
        <w:rPr>
          <w:rFonts w:hint="eastAsia"/>
          <w:sz w:val="28"/>
          <w:szCs w:val="28"/>
        </w:rPr>
        <w:t>增加6.29</w:t>
      </w:r>
      <w:r>
        <w:rPr>
          <w:rFonts w:hint="eastAsia"/>
          <w:b w:val="0"/>
          <w:bCs w:val="0"/>
          <w:sz w:val="28"/>
          <w:szCs w:val="28"/>
        </w:rPr>
        <w:t>万元，</w:t>
      </w:r>
      <w:r>
        <w:rPr>
          <w:rFonts w:hint="eastAsia"/>
          <w:sz w:val="28"/>
          <w:szCs w:val="28"/>
        </w:rPr>
        <w:t>增长20.35%</w:t>
      </w:r>
      <w:r>
        <w:rPr>
          <w:rFonts w:hint="eastAsia"/>
          <w:b w:val="0"/>
          <w:bCs w:val="0"/>
          <w:sz w:val="28"/>
          <w:szCs w:val="28"/>
        </w:rPr>
        <w:t>，主要原因是</w:t>
      </w:r>
      <w:r>
        <w:rPr>
          <w:rFonts w:hint="eastAsia"/>
          <w:highlight w:val="none"/>
          <w:lang w:val="en-US" w:eastAsia="zh-CN"/>
        </w:rPr>
        <w:t>本部门2024年人员工资待遇补助增加</w:t>
      </w:r>
      <w:r>
        <w:rPr>
          <w:rFonts w:hint="eastAsia"/>
          <w:b w:val="0"/>
          <w:bCs w:val="0"/>
          <w:sz w:val="28"/>
          <w:szCs w:val="28"/>
        </w:rPr>
        <w:t>。总支出较2023年度预算数</w:t>
      </w:r>
      <w:r>
        <w:rPr>
          <w:rFonts w:hint="eastAsia"/>
          <w:sz w:val="28"/>
          <w:szCs w:val="28"/>
          <w:lang w:val="en-US" w:eastAsia="zh-CN"/>
        </w:rPr>
        <w:t>30.91</w:t>
      </w:r>
      <w:r>
        <w:rPr>
          <w:rFonts w:hint="eastAsia"/>
          <w:b w:val="0"/>
          <w:bCs w:val="0"/>
          <w:sz w:val="28"/>
          <w:szCs w:val="28"/>
        </w:rPr>
        <w:t>万元，</w:t>
      </w:r>
      <w:r>
        <w:rPr>
          <w:rFonts w:hint="eastAsia"/>
          <w:sz w:val="28"/>
          <w:szCs w:val="28"/>
        </w:rPr>
        <w:t>增加6.29</w:t>
      </w:r>
      <w:r>
        <w:rPr>
          <w:rFonts w:hint="eastAsia"/>
          <w:b w:val="0"/>
          <w:bCs w:val="0"/>
          <w:sz w:val="28"/>
          <w:szCs w:val="28"/>
        </w:rPr>
        <w:t>万元，</w:t>
      </w:r>
      <w:r>
        <w:rPr>
          <w:rFonts w:hint="eastAsia"/>
          <w:sz w:val="28"/>
          <w:szCs w:val="28"/>
        </w:rPr>
        <w:t>增长20.35%</w:t>
      </w:r>
      <w:r>
        <w:rPr>
          <w:rFonts w:hint="eastAsia"/>
          <w:b w:val="0"/>
          <w:bCs w:val="0"/>
          <w:sz w:val="28"/>
          <w:szCs w:val="28"/>
        </w:rPr>
        <w:t>，主要原因是</w:t>
      </w:r>
      <w:r>
        <w:rPr>
          <w:rFonts w:hint="eastAsia"/>
          <w:highlight w:val="none"/>
          <w:lang w:val="en-US" w:eastAsia="zh-CN"/>
        </w:rPr>
        <w:t>本部门2024年人员工资待遇补助增加</w:t>
      </w:r>
      <w:r>
        <w:rPr>
          <w:rFonts w:hint="eastAsia"/>
          <w:b w:val="0"/>
          <w:bCs w:val="0"/>
          <w:sz w:val="28"/>
          <w:szCs w:val="28"/>
        </w:rPr>
        <w:t>。</w:t>
      </w:r>
    </w:p>
    <w:p>
      <w:pPr>
        <w:pStyle w:val="16"/>
        <w:tabs>
          <w:tab w:val="left" w:pos="1235"/>
        </w:tabs>
        <w:spacing w:after="0" w:line="624" w:lineRule="exact"/>
        <w:ind w:firstLine="580"/>
        <w:jc w:val="left"/>
        <w:rPr>
          <w:b/>
          <w:bCs/>
          <w:lang w:val="en-US" w:eastAsia="zh-CN"/>
        </w:rPr>
      </w:pPr>
      <w:r>
        <w:rPr>
          <w:rFonts w:hint="eastAsia"/>
          <w:b/>
          <w:bCs/>
          <w:lang w:val="en-US" w:eastAsia="zh-CN"/>
        </w:rPr>
        <w:t>二、</w:t>
      </w:r>
      <w:r>
        <w:rPr>
          <w:b/>
          <w:bCs/>
        </w:rPr>
        <w:t>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1381"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37.20</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30.91</w:t>
      </w:r>
      <w:r>
        <w:rPr>
          <w:rFonts w:hint="eastAsia" w:ascii="宋体" w:hAnsi="宋体" w:eastAsia="宋体" w:cs="宋体"/>
          <w:sz w:val="28"/>
          <w:szCs w:val="28"/>
          <w:u w:color="auto"/>
        </w:rPr>
        <w:t>万元，</w:t>
      </w:r>
      <w:r>
        <w:rPr>
          <w:rFonts w:hint="eastAsia" w:ascii="宋体" w:hAnsi="宋体" w:eastAsia="宋体" w:cs="宋体"/>
          <w:sz w:val="28"/>
          <w:szCs w:val="28"/>
        </w:rPr>
        <w:t>增加6.29</w:t>
      </w:r>
      <w:r>
        <w:rPr>
          <w:rFonts w:hint="eastAsia" w:ascii="宋体" w:hAnsi="宋体" w:eastAsia="宋体" w:cs="宋体"/>
          <w:sz w:val="28"/>
          <w:szCs w:val="28"/>
          <w:u w:color="auto"/>
        </w:rPr>
        <w:t>万元，</w:t>
      </w:r>
      <w:r>
        <w:rPr>
          <w:rFonts w:hint="eastAsia" w:ascii="宋体" w:hAnsi="宋体" w:eastAsia="宋体" w:cs="宋体"/>
          <w:sz w:val="28"/>
          <w:szCs w:val="28"/>
        </w:rPr>
        <w:t>增长20.35%</w:t>
      </w:r>
      <w:r>
        <w:rPr>
          <w:rFonts w:hint="eastAsia" w:ascii="宋体" w:hAnsi="宋体" w:eastAsia="宋体" w:cs="宋体"/>
          <w:sz w:val="28"/>
          <w:szCs w:val="28"/>
          <w:u w:color="auto"/>
        </w:rPr>
        <w:t>，主要原因是</w:t>
      </w:r>
      <w:r>
        <w:rPr>
          <w:rFonts w:hint="eastAsia"/>
          <w:highlight w:val="none"/>
          <w:lang w:val="en-US" w:eastAsia="zh-CN"/>
        </w:rPr>
        <w:t>本部门2024年人员工资待遇补助增加</w:t>
      </w:r>
      <w:r>
        <w:rPr>
          <w:rFonts w:hint="eastAsia" w:ascii="宋体" w:hAnsi="宋体" w:eastAsia="宋体" w:cs="宋体"/>
          <w:sz w:val="28"/>
          <w:szCs w:val="28"/>
          <w:u w:color="auto"/>
        </w:rPr>
        <w:t>。</w:t>
      </w:r>
    </w:p>
    <w:p>
      <w:pPr>
        <w:pStyle w:val="16"/>
        <w:tabs>
          <w:tab w:val="left" w:pos="1235"/>
        </w:tabs>
        <w:spacing w:after="0" w:line="624" w:lineRule="exact"/>
        <w:ind w:firstLine="580"/>
        <w:jc w:val="left"/>
        <w:rPr>
          <w:b/>
          <w:bCs/>
        </w:rPr>
      </w:pPr>
      <w:r>
        <w:rPr>
          <w:rFonts w:hint="eastAsia"/>
          <w:b/>
          <w:bCs/>
          <w:lang w:val="en-US" w:eastAsia="zh-CN"/>
        </w:rPr>
        <w:t>三、</w:t>
      </w:r>
      <w:r>
        <w:rPr>
          <w:b/>
          <w:bCs/>
        </w:rPr>
        <w:t>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1382"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spacing w:line="623" w:lineRule="exact"/>
        <w:ind w:left="0" w:leftChars="0" w:firstLine="560" w:firstLineChars="200"/>
        <w:jc w:val="left"/>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37.20</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30.91</w:t>
      </w:r>
      <w:r>
        <w:rPr>
          <w:rFonts w:hint="eastAsia" w:ascii="宋体" w:hAnsi="宋体" w:eastAsia="宋体" w:cs="宋体"/>
          <w:sz w:val="28"/>
          <w:szCs w:val="28"/>
          <w:lang w:eastAsia="zh-CN"/>
        </w:rPr>
        <w:t>万元，</w:t>
      </w:r>
      <w:r>
        <w:rPr>
          <w:rFonts w:hint="eastAsia" w:ascii="宋体" w:hAnsi="宋体" w:eastAsia="宋体" w:cs="宋体"/>
          <w:sz w:val="28"/>
          <w:szCs w:val="28"/>
        </w:rPr>
        <w:t>增加6.29</w:t>
      </w:r>
      <w:r>
        <w:rPr>
          <w:rFonts w:hint="eastAsia" w:ascii="宋体" w:hAnsi="宋体" w:eastAsia="宋体" w:cs="宋体"/>
          <w:sz w:val="28"/>
          <w:szCs w:val="28"/>
          <w:lang w:eastAsia="zh-CN"/>
        </w:rPr>
        <w:t>万元，</w:t>
      </w:r>
      <w:r>
        <w:rPr>
          <w:rFonts w:hint="eastAsia" w:ascii="宋体" w:hAnsi="宋体" w:eastAsia="宋体" w:cs="宋体"/>
          <w:sz w:val="28"/>
          <w:szCs w:val="28"/>
        </w:rPr>
        <w:t>增长20.35%</w:t>
      </w:r>
      <w:r>
        <w:rPr>
          <w:rFonts w:hint="eastAsia" w:ascii="宋体" w:hAnsi="宋体" w:eastAsia="宋体" w:cs="宋体"/>
          <w:sz w:val="28"/>
          <w:szCs w:val="28"/>
          <w:lang w:eastAsia="zh-CN"/>
        </w:rPr>
        <w:t>，主要原因是</w:t>
      </w:r>
      <w:r>
        <w:rPr>
          <w:rFonts w:hint="eastAsia"/>
          <w:highlight w:val="none"/>
          <w:lang w:val="en-US" w:eastAsia="zh-CN"/>
        </w:rPr>
        <w:t>本部门2024年人员工资待遇补助增加</w:t>
      </w:r>
      <w:r>
        <w:rPr>
          <w:rFonts w:hint="eastAsia" w:ascii="Times New Roman" w:hAnsi="Times New Roman" w:cs="Times New Roman"/>
          <w:sz w:val="30"/>
          <w:szCs w:val="30"/>
          <w:lang w:eastAsia="zh-CN"/>
        </w:rPr>
        <w:t>。主要包括：</w:t>
      </w:r>
      <w:r>
        <w:rPr>
          <w:rFonts w:hint="eastAsia"/>
          <w:highlight w:val="none"/>
          <w:lang w:val="en-US" w:eastAsia="zh-CN"/>
        </w:rPr>
        <w:t>主要是文化旅游体育与传媒支出，主要用于确保本部门正常运转的办公费、印刷费、水电费、培训费、差旅费、会议费等日常公用经费支出</w:t>
      </w:r>
      <w:r>
        <w:rPr>
          <w:rFonts w:hint="eastAsia" w:ascii="Times New Roman" w:hAnsi="Times New Roman" w:cs="Times New Roman"/>
          <w:sz w:val="30"/>
          <w:szCs w:val="30"/>
          <w:lang w:eastAsia="zh-CN"/>
        </w:rPr>
        <w:t>。</w:t>
      </w:r>
    </w:p>
    <w:p>
      <w:pPr>
        <w:pStyle w:val="18"/>
        <w:spacing w:after="140" w:line="240" w:lineRule="auto"/>
        <w:ind w:firstLine="0"/>
        <w:jc w:val="left"/>
      </w:pPr>
      <w:r>
        <w:t>（一）按支出功能分类科目划分，共分为</w:t>
      </w:r>
      <w:r>
        <w:rPr>
          <w:rFonts w:hint="eastAsia"/>
          <w:lang w:val="en-US" w:eastAsia="zh-CN"/>
        </w:rPr>
        <w:t>4</w:t>
      </w:r>
      <w:r>
        <w:t>类，其中:</w:t>
      </w:r>
    </w:p>
    <w:p>
      <w:pPr>
        <w:pStyle w:val="18"/>
        <w:spacing w:line="623" w:lineRule="exact"/>
        <w:ind w:left="0" w:leftChars="0" w:firstLine="560" w:firstLineChars="200"/>
        <w:jc w:val="left"/>
        <w:rPr>
          <w:rFonts w:hint="eastAsia"/>
        </w:rPr>
      </w:pPr>
      <w:r>
        <w:rPr>
          <w:rFonts w:hint="eastAsia"/>
        </w:rPr>
        <w:t>(</w:t>
      </w:r>
      <w:r>
        <w:rPr>
          <w:u w:color="auto"/>
        </w:rPr>
        <w:t>1)住房保障支出</w:t>
      </w:r>
      <w:r>
        <w:rPr>
          <w:rFonts w:hint="eastAsia"/>
          <w:lang w:val="en-US" w:eastAsia="zh-CN"/>
        </w:rPr>
        <w:t>3.73</w:t>
      </w:r>
      <w:r>
        <w:rPr>
          <w:rFonts w:hint="eastAsia"/>
        </w:rPr>
        <w:t>万元，占支出总预算</w:t>
      </w:r>
      <w:r>
        <w:rPr>
          <w:rFonts w:hint="eastAsia"/>
          <w:lang w:val="en-US" w:eastAsia="zh-CN"/>
        </w:rPr>
        <w:t>10.03%</w:t>
      </w:r>
      <w:r>
        <w:rPr>
          <w:rFonts w:hint="eastAsia"/>
        </w:rPr>
        <w:t>,比上年</w:t>
      </w:r>
      <w:r>
        <w:rPr>
          <w:rFonts w:hint="eastAsia"/>
          <w:lang w:val="en-US" w:eastAsia="zh-CN"/>
        </w:rPr>
        <w:t>增长0.35</w:t>
      </w:r>
      <w:r>
        <w:rPr>
          <w:rFonts w:hint="eastAsia"/>
        </w:rPr>
        <w:t>万元，</w:t>
      </w:r>
      <w:r>
        <w:rPr>
          <w:rFonts w:hint="eastAsia"/>
          <w:lang w:val="en-US" w:eastAsia="zh-CN"/>
        </w:rPr>
        <w:t>增长10.36%</w:t>
      </w:r>
      <w:r>
        <w:rPr>
          <w:rFonts w:hint="eastAsia"/>
        </w:rPr>
        <w:t>,</w:t>
      </w:r>
      <w:r>
        <w:rPr>
          <w:rFonts w:hint="eastAsia"/>
          <w:highlight w:val="none"/>
        </w:rPr>
        <w:t>主要原因是：</w:t>
      </w:r>
      <w:r>
        <w:rPr>
          <w:rFonts w:hint="eastAsia"/>
          <w:highlight w:val="none"/>
          <w:lang w:val="en-US" w:eastAsia="zh-CN"/>
        </w:rPr>
        <w:t>本部门2024年人员工资待遇补助增加，调整公积金基数，公积金预算支出增加</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2)文化旅游体育与传媒支出</w:t>
      </w:r>
      <w:r>
        <w:rPr>
          <w:rFonts w:hint="eastAsia"/>
          <w:lang w:val="en-US" w:eastAsia="zh-CN"/>
        </w:rPr>
        <w:t>28.84</w:t>
      </w:r>
      <w:r>
        <w:rPr>
          <w:rFonts w:hint="eastAsia"/>
        </w:rPr>
        <w:t>万元，占支出总预算</w:t>
      </w:r>
      <w:r>
        <w:rPr>
          <w:rFonts w:hint="eastAsia"/>
          <w:lang w:val="en-US" w:eastAsia="zh-CN"/>
        </w:rPr>
        <w:t>77.53%</w:t>
      </w:r>
      <w:r>
        <w:rPr>
          <w:rFonts w:hint="eastAsia"/>
        </w:rPr>
        <w:t>,比上年</w:t>
      </w:r>
      <w:r>
        <w:rPr>
          <w:rFonts w:hint="eastAsia"/>
          <w:lang w:val="en-US" w:eastAsia="zh-CN"/>
        </w:rPr>
        <w:t>增长6.39</w:t>
      </w:r>
      <w:r>
        <w:rPr>
          <w:rFonts w:hint="eastAsia"/>
        </w:rPr>
        <w:t>万元，</w:t>
      </w:r>
      <w:r>
        <w:rPr>
          <w:rFonts w:hint="eastAsia"/>
          <w:lang w:val="en-US" w:eastAsia="zh-CN"/>
        </w:rPr>
        <w:t>增长28.46%</w:t>
      </w:r>
      <w:r>
        <w:rPr>
          <w:rFonts w:hint="eastAsia"/>
        </w:rPr>
        <w:t>,</w:t>
      </w:r>
      <w:r>
        <w:rPr>
          <w:rFonts w:hint="eastAsia"/>
          <w:highlight w:val="none"/>
        </w:rPr>
        <w:t>主要原因是：</w:t>
      </w:r>
      <w:r>
        <w:rPr>
          <w:rFonts w:hint="eastAsia"/>
          <w:highlight w:val="none"/>
          <w:lang w:val="en-US" w:eastAsia="zh-CN"/>
        </w:rPr>
        <w:t>主要用于办公费、印刷费、水电费、培训费、差旅费、会议费等日常公用经费支出</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3)一般公共服务支出</w:t>
      </w:r>
      <w:r>
        <w:rPr>
          <w:rFonts w:hint="eastAsia"/>
          <w:lang w:val="en-US" w:eastAsia="zh-CN"/>
        </w:rPr>
        <w:t>0.35</w:t>
      </w:r>
      <w:r>
        <w:rPr>
          <w:rFonts w:hint="eastAsia"/>
        </w:rPr>
        <w:t>万元，占支出总预算</w:t>
      </w:r>
      <w:r>
        <w:rPr>
          <w:rFonts w:hint="eastAsia"/>
          <w:lang w:val="en-US" w:eastAsia="zh-CN"/>
        </w:rPr>
        <w:t>0.94%</w:t>
      </w:r>
      <w:r>
        <w:rPr>
          <w:rFonts w:hint="eastAsia"/>
        </w:rPr>
        <w:t>,比上年</w:t>
      </w:r>
      <w:r>
        <w:rPr>
          <w:rFonts w:hint="eastAsia"/>
          <w:lang w:val="en-US" w:eastAsia="zh-CN"/>
        </w:rPr>
        <w:t>减少0.21</w:t>
      </w:r>
      <w:r>
        <w:rPr>
          <w:rFonts w:hint="eastAsia"/>
        </w:rPr>
        <w:t>万元，</w:t>
      </w:r>
      <w:r>
        <w:rPr>
          <w:rFonts w:hint="eastAsia"/>
          <w:lang w:val="en-US" w:eastAsia="zh-CN"/>
        </w:rPr>
        <w:t>减少37.50%</w:t>
      </w:r>
      <w:r>
        <w:rPr>
          <w:rFonts w:hint="eastAsia"/>
        </w:rPr>
        <w:t>,</w:t>
      </w:r>
      <w:r>
        <w:rPr>
          <w:rFonts w:hint="eastAsia"/>
          <w:highlight w:val="none"/>
        </w:rPr>
        <w:t>主要原因是：</w:t>
      </w:r>
      <w:r>
        <w:rPr>
          <w:rFonts w:hint="eastAsia"/>
          <w:highlight w:val="none"/>
          <w:lang w:val="en-US" w:eastAsia="zh-CN"/>
        </w:rPr>
        <w:t>主要用于人员经费支出减少</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4)社会保障和就业支出</w:t>
      </w:r>
      <w:r>
        <w:rPr>
          <w:rFonts w:hint="eastAsia"/>
          <w:lang w:val="en-US" w:eastAsia="zh-CN"/>
        </w:rPr>
        <w:t>4.28</w:t>
      </w:r>
      <w:r>
        <w:rPr>
          <w:rFonts w:hint="eastAsia"/>
        </w:rPr>
        <w:t>万元，占支出总预算</w:t>
      </w:r>
      <w:r>
        <w:rPr>
          <w:rFonts w:hint="eastAsia"/>
          <w:lang w:val="en-US" w:eastAsia="zh-CN"/>
        </w:rPr>
        <w:t>11.51%</w:t>
      </w:r>
      <w:r>
        <w:rPr>
          <w:rFonts w:hint="eastAsia"/>
        </w:rPr>
        <w:t>,比上年</w:t>
      </w:r>
      <w:r>
        <w:rPr>
          <w:rFonts w:hint="eastAsia"/>
          <w:lang w:val="en-US" w:eastAsia="zh-CN"/>
        </w:rPr>
        <w:t>减少0.23</w:t>
      </w:r>
      <w:r>
        <w:rPr>
          <w:rFonts w:hint="eastAsia"/>
        </w:rPr>
        <w:t>万元，</w:t>
      </w:r>
      <w:r>
        <w:rPr>
          <w:rFonts w:hint="eastAsia"/>
          <w:lang w:val="en-US" w:eastAsia="zh-CN"/>
        </w:rPr>
        <w:t>减少5.10%</w:t>
      </w:r>
      <w:r>
        <w:rPr>
          <w:rFonts w:hint="eastAsia"/>
        </w:rPr>
        <w:t>,</w:t>
      </w:r>
      <w:r>
        <w:rPr>
          <w:rFonts w:hint="eastAsia"/>
          <w:highlight w:val="none"/>
        </w:rPr>
        <w:t>主要原因是：</w:t>
      </w:r>
      <w:r>
        <w:rPr>
          <w:rFonts w:hint="eastAsia"/>
          <w:highlight w:val="none"/>
          <w:lang w:val="en-US" w:eastAsia="zh-CN"/>
        </w:rPr>
        <w:t>主要用于社会保障和就业支出减少</w:t>
      </w:r>
      <w:r>
        <w:rPr>
          <w:rFonts w:hint="eastAsia"/>
          <w:highlight w:val="none"/>
        </w:rPr>
        <w:t>。</w:t>
      </w:r>
    </w:p>
    <w:p>
      <w:pPr>
        <w:pStyle w:val="18"/>
        <w:spacing w:line="635" w:lineRule="exact"/>
        <w:ind w:firstLine="740"/>
        <w:jc w:val="left"/>
      </w:pPr>
      <w:r>
        <w:t>(二)按支出结构分类划分，分为基本支出预算和项目支出预算。</w:t>
      </w:r>
    </w:p>
    <w:p>
      <w:pPr>
        <w:pStyle w:val="18"/>
        <w:spacing w:line="635" w:lineRule="exact"/>
        <w:ind w:firstLine="600"/>
        <w:jc w:val="left"/>
      </w:pPr>
      <w:r>
        <w:rPr>
          <w:rFonts w:ascii="Times New Roman" w:hAnsi="Times New Roman" w:eastAsia="Times New Roman" w:cs="Times New Roman"/>
          <w:sz w:val="30"/>
          <w:szCs w:val="30"/>
        </w:rPr>
        <w:t>1</w:t>
      </w:r>
      <w:r>
        <w:t>.基本支出预算。</w:t>
      </w:r>
    </w:p>
    <w:p>
      <w:pPr>
        <w:pStyle w:val="18"/>
        <w:spacing w:line="619" w:lineRule="exact"/>
        <w:ind w:firstLine="600"/>
        <w:jc w:val="left"/>
        <w:rPr>
          <w:rFonts w:hint="eastAsia"/>
          <w:lang w:val="en-US" w:eastAsia="zh-CN"/>
        </w:rPr>
      </w:pPr>
      <w:r>
        <w:rPr>
          <w:rFonts w:hint="eastAsia"/>
        </w:rPr>
        <w:t>基本支出预算</w:t>
      </w:r>
      <w:r>
        <w:rPr>
          <w:rFonts w:hint="eastAsia"/>
          <w:lang w:val="en-US" w:eastAsia="zh-CN"/>
        </w:rPr>
        <w:t>37.20</w:t>
      </w:r>
      <w:r>
        <w:rPr>
          <w:rFonts w:hint="eastAsia"/>
        </w:rPr>
        <w:t>万元，占支出预算</w:t>
      </w:r>
      <w:r>
        <w:rPr>
          <w:u w:color="auto"/>
        </w:rPr>
        <w:t>100.00%,比上年增长6.29万元，增长20.35%</w:t>
      </w:r>
      <w:r>
        <w:t>。</w:t>
      </w:r>
      <w:r>
        <w:rPr>
          <w:rFonts w:hint="eastAsia"/>
          <w:lang w:val="en-US" w:eastAsia="zh-CN"/>
        </w:rPr>
        <w:t>其中：</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36.13</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97.12%</w:t>
      </w:r>
      <w:r>
        <w:rPr>
          <w:rFonts w:hint="eastAsia"/>
        </w:rPr>
        <w:t>,</w:t>
      </w:r>
      <w:r>
        <w:t>比上年</w:t>
      </w:r>
      <w:r>
        <w:rPr>
          <w:rFonts w:hint="eastAsia"/>
        </w:rPr>
        <w:t>增长6.51</w:t>
      </w:r>
      <w:r>
        <w:t>万元，</w:t>
      </w:r>
      <w:r>
        <w:rPr>
          <w:rFonts w:hint="eastAsia"/>
        </w:rPr>
        <w:t>增长21.98%</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人员增资，增加社会保险缴费基数</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1.07</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2.88%</w:t>
      </w:r>
      <w:r>
        <w:rPr>
          <w:rFonts w:hint="eastAsia"/>
        </w:rPr>
        <w:t>,</w:t>
      </w:r>
      <w:r>
        <w:t>比上年</w:t>
      </w:r>
      <w:r>
        <w:rPr>
          <w:rFonts w:hint="eastAsia"/>
        </w:rPr>
        <w:t>减少0.21</w:t>
      </w:r>
      <w:r>
        <w:t>万元，</w:t>
      </w:r>
      <w:r>
        <w:rPr>
          <w:rFonts w:hint="eastAsia"/>
        </w:rPr>
        <w:t>减少16.41%</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对比2023年工会经费减少</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3)对个人和家庭的补助</w:t>
      </w:r>
      <w:r>
        <w:rPr>
          <w:rFonts w:hint="eastAsia" w:ascii="宋体" w:hAnsi="宋体" w:eastAsia="宋体" w:cs="宋体"/>
          <w:sz w:val="28"/>
          <w:szCs w:val="28"/>
          <w:lang w:val="en-US" w:eastAsia="zh-CN"/>
        </w:rPr>
        <w:t>0.00</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0.00%</w:t>
      </w:r>
      <w:r>
        <w:rPr>
          <w:rFonts w:hint="eastAsia"/>
        </w:rPr>
        <w:t>,</w:t>
      </w:r>
      <w:r>
        <w:t>比上年</w:t>
      </w:r>
      <w:r>
        <w:rPr>
          <w:rFonts w:hint="eastAsia"/>
        </w:rPr>
        <w:t>减少0.01</w:t>
      </w:r>
      <w:r>
        <w:t>万元，</w:t>
      </w:r>
      <w:r>
        <w:rPr>
          <w:rFonts w:hint="eastAsia"/>
        </w:rPr>
        <w:t>减少100.00%</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无对个人和家庭的补助支出</w:t>
      </w:r>
      <w:r>
        <w:rPr>
          <w:rFonts w:hint="eastAsia"/>
          <w:highlight w:val="none"/>
          <w:lang w:val="en-US" w:eastAsia="zh-CN"/>
        </w:rPr>
        <w:t>。</w:t>
      </w:r>
    </w:p>
    <w:p>
      <w:pPr>
        <w:pStyle w:val="18"/>
        <w:numPr>
          <w:ilvl w:val="0"/>
          <w:numId w:val="1"/>
        </w:numPr>
        <w:spacing w:line="614" w:lineRule="exact"/>
        <w:ind w:firstLine="600"/>
        <w:jc w:val="left"/>
      </w:pPr>
      <w:r>
        <w:t>项目支出预算。</w:t>
      </w:r>
    </w:p>
    <w:p>
      <w:pPr>
        <w:pStyle w:val="18"/>
        <w:spacing w:line="619" w:lineRule="exact"/>
        <w:ind w:firstLine="600"/>
        <w:jc w:val="left"/>
        <w:rPr>
          <w:rFonts w:hint="eastAsia"/>
          <w:lang w:val="en-US" w:eastAsia="zh-CN"/>
        </w:rPr>
      </w:pPr>
      <w:r>
        <w:rPr>
          <w:rFonts w:hint="eastAsia"/>
        </w:rPr>
        <w:t>项目支出预算</w:t>
      </w:r>
      <w:r>
        <w:rPr>
          <w:rFonts w:hint="eastAsia"/>
          <w:lang w:val="en-US" w:eastAsia="zh-CN"/>
        </w:rPr>
        <w:t>0.00</w:t>
      </w:r>
      <w:r>
        <w:rPr>
          <w:rFonts w:hint="eastAsia"/>
        </w:rPr>
        <w:t>万元，占支出预算</w:t>
      </w:r>
      <w:r>
        <w:rPr>
          <w:u w:color="auto"/>
        </w:rPr>
        <w:t>0.00%</w:t>
      </w:r>
      <w:r>
        <w:rPr>
          <w:rFonts w:hint="eastAsia"/>
        </w:rPr>
        <w:t>,比上年</w:t>
      </w:r>
      <w:r>
        <w:rPr>
          <w:u w:color="auto"/>
        </w:rPr>
        <w:t>增长0.00</w:t>
      </w:r>
      <w:r>
        <w:rPr>
          <w:rFonts w:hint="eastAsia"/>
        </w:rPr>
        <w:t>万元，</w:t>
      </w:r>
      <w:r>
        <w:rPr>
          <w:u w:color="auto"/>
        </w:rPr>
        <w:t>增长0%</w:t>
      </w:r>
      <w:r>
        <w:t>。</w:t>
      </w:r>
    </w:p>
    <w:p>
      <w:pPr>
        <w:pStyle w:val="16"/>
        <w:numPr>
          <w:ilvl w:val="0"/>
          <w:numId w:val="0"/>
        </w:numPr>
        <w:tabs>
          <w:tab w:val="left" w:pos="1238"/>
        </w:tabs>
        <w:spacing w:after="0" w:line="625" w:lineRule="exact"/>
        <w:jc w:val="left"/>
        <w:rPr>
          <w:b/>
          <w:bCs/>
        </w:rPr>
      </w:pPr>
    </w:p>
    <w:p>
      <w:pPr>
        <w:pStyle w:val="16"/>
        <w:tabs>
          <w:tab w:val="left" w:pos="1235"/>
        </w:tabs>
        <w:spacing w:after="0" w:line="624" w:lineRule="exact"/>
        <w:ind w:firstLine="580"/>
        <w:jc w:val="left"/>
        <w:rPr>
          <w:b/>
          <w:bCs/>
        </w:rPr>
      </w:pPr>
      <w:r>
        <w:rPr>
          <w:rFonts w:hint="eastAsia"/>
          <w:b/>
          <w:bCs/>
          <w:lang w:val="en-US" w:eastAsia="zh-CN"/>
        </w:rPr>
        <w:t>四、</w:t>
      </w:r>
      <w:r>
        <w:rPr>
          <w:b/>
          <w:bCs/>
        </w:rPr>
        <w:t>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1383"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spacing w:line="624" w:lineRule="exact"/>
        <w:ind w:firstLine="6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37.20</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37.20</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30.91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增加6.29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增长20.35%</w:t>
      </w:r>
      <w:r>
        <w:rPr>
          <w:rFonts w:hint="eastAsia" w:ascii="宋体" w:hAnsi="宋体" w:eastAsia="宋体" w:cs="宋体"/>
          <w:sz w:val="28"/>
          <w:szCs w:val="28"/>
        </w:rPr>
        <w:t>，主要原因是</w:t>
      </w:r>
      <w:r>
        <w:rPr>
          <w:rFonts w:hint="eastAsia"/>
          <w:highlight w:val="none"/>
          <w:lang w:val="en-US" w:eastAsia="zh-CN"/>
        </w:rPr>
        <w:t>2024年人员经费支出增加</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30.91</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增加6.29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增长20.35%</w:t>
      </w:r>
      <w:r>
        <w:rPr>
          <w:rFonts w:hint="eastAsia" w:ascii="宋体" w:hAnsi="宋体" w:eastAsia="宋体" w:cs="宋体"/>
          <w:sz w:val="28"/>
          <w:szCs w:val="28"/>
        </w:rPr>
        <w:t>，主要原因是</w:t>
      </w:r>
      <w:r>
        <w:rPr>
          <w:rFonts w:hint="eastAsia"/>
          <w:highlight w:val="none"/>
          <w:lang w:val="en-US" w:eastAsia="zh-CN"/>
        </w:rPr>
        <w:t>2024年人员经费支出增加</w:t>
      </w:r>
      <w:r>
        <w:rPr>
          <w:rFonts w:hint="eastAsia" w:ascii="宋体" w:hAnsi="宋体" w:eastAsia="宋体" w:cs="宋体"/>
          <w:sz w:val="28"/>
          <w:szCs w:val="28"/>
        </w:rPr>
        <w:t>。</w:t>
      </w:r>
    </w:p>
    <w:p>
      <w:pPr>
        <w:pStyle w:val="16"/>
        <w:numPr>
          <w:ilvl w:val="0"/>
          <w:numId w:val="0"/>
        </w:numPr>
        <w:tabs>
          <w:tab w:val="left" w:pos="1238"/>
        </w:tabs>
        <w:spacing w:after="0" w:line="625" w:lineRule="exact"/>
        <w:ind w:firstLine="560" w:firstLineChars="200"/>
        <w:jc w:val="left"/>
        <w:rPr>
          <w:rFonts w:hint="eastAsia"/>
          <w:sz w:val="28"/>
          <w:szCs w:val="28"/>
        </w:rPr>
      </w:pPr>
    </w:p>
    <w:p>
      <w:pPr>
        <w:pStyle w:val="16"/>
        <w:tabs>
          <w:tab w:val="left" w:pos="1235"/>
        </w:tabs>
        <w:spacing w:after="0" w:line="624" w:lineRule="exact"/>
        <w:ind w:firstLine="580"/>
        <w:jc w:val="left"/>
        <w:rPr>
          <w:b/>
          <w:bCs/>
        </w:rPr>
      </w:pPr>
      <w:r>
        <w:rPr>
          <w:rFonts w:hint="eastAsia"/>
          <w:b/>
          <w:bCs/>
          <w:lang w:val="en-US" w:eastAsia="zh-CN"/>
        </w:rPr>
        <w:t>五、</w:t>
      </w:r>
      <w:r>
        <w:rPr>
          <w:b/>
          <w:bCs/>
        </w:rPr>
        <w:t>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1384"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43" w:name="_GoBack"/>
      <w:bookmarkEnd w:id="43"/>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37.20</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30.91</w:t>
      </w:r>
      <w:r>
        <w:rPr>
          <w:rFonts w:hint="eastAsia" w:ascii="宋体" w:hAnsi="宋体" w:eastAsia="宋体" w:cs="宋体"/>
          <w:sz w:val="28"/>
          <w:szCs w:val="28"/>
        </w:rPr>
        <w:t>万元，</w:t>
      </w:r>
      <w:r>
        <w:rPr>
          <w:rFonts w:hint="eastAsia" w:ascii="宋体" w:hAnsi="宋体" w:eastAsia="宋体" w:cs="宋体"/>
          <w:sz w:val="28"/>
          <w:szCs w:val="28"/>
          <w:lang w:val="en-US" w:eastAsia="zh-CN"/>
        </w:rPr>
        <w:t>增加6.29</w:t>
      </w:r>
      <w:r>
        <w:rPr>
          <w:rFonts w:hint="eastAsia" w:ascii="宋体" w:hAnsi="宋体" w:eastAsia="宋体" w:cs="宋体"/>
          <w:sz w:val="28"/>
          <w:szCs w:val="28"/>
        </w:rPr>
        <w:t>万元，</w:t>
      </w:r>
      <w:r>
        <w:rPr>
          <w:rFonts w:hint="eastAsia" w:ascii="宋体" w:hAnsi="宋体" w:eastAsia="宋体" w:cs="宋体"/>
          <w:sz w:val="28"/>
          <w:szCs w:val="28"/>
          <w:lang w:val="en-US" w:eastAsia="zh-CN"/>
        </w:rPr>
        <w:t>增长20.35%</w:t>
      </w:r>
      <w:r>
        <w:rPr>
          <w:rFonts w:hint="eastAsia" w:ascii="宋体" w:hAnsi="宋体" w:eastAsia="宋体" w:cs="宋体"/>
          <w:sz w:val="28"/>
          <w:szCs w:val="28"/>
        </w:rPr>
        <w:t>，主要原因是</w:t>
      </w:r>
      <w:r>
        <w:rPr>
          <w:rFonts w:hint="eastAsia"/>
          <w:highlight w:val="none"/>
          <w:lang w:val="en-US" w:eastAsia="zh-CN"/>
        </w:rPr>
        <w:t>2024年人员经费支出增加</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0.35</w:t>
      </w:r>
      <w:r>
        <w:rPr>
          <w:rFonts w:hint="eastAsia" w:ascii="宋体" w:hAnsi="宋体" w:eastAsia="宋体" w:cs="宋体"/>
          <w:sz w:val="28"/>
          <w:szCs w:val="28"/>
        </w:rPr>
        <w:t>万元，占支出总预算的</w:t>
      </w:r>
      <w:r>
        <w:rPr>
          <w:rFonts w:ascii="宋体" w:hAnsi="宋体" w:eastAsia="宋体" w:cs="宋体"/>
          <w:sz w:val="28"/>
          <w:u w:color="auto"/>
        </w:rPr>
        <w:t>0.94%</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0.56</w:t>
      </w:r>
      <w:r>
        <w:rPr>
          <w:rFonts w:hint="eastAsia" w:ascii="宋体" w:hAnsi="宋体" w:eastAsia="宋体" w:cs="宋体"/>
          <w:sz w:val="28"/>
          <w:szCs w:val="28"/>
        </w:rPr>
        <w:t>万元，</w:t>
      </w:r>
      <w:r>
        <w:rPr>
          <w:rFonts w:ascii="宋体" w:hAnsi="宋体" w:eastAsia="宋体" w:cs="宋体"/>
          <w:sz w:val="28"/>
          <w:u w:color="auto"/>
        </w:rPr>
        <w:t>减少0.21</w:t>
      </w:r>
      <w:r>
        <w:rPr>
          <w:rFonts w:hint="eastAsia" w:ascii="宋体" w:hAnsi="宋体" w:eastAsia="宋体" w:cs="宋体"/>
          <w:sz w:val="28"/>
          <w:szCs w:val="28"/>
        </w:rPr>
        <w:t>万元，</w:t>
      </w:r>
      <w:r>
        <w:rPr>
          <w:rFonts w:ascii="宋体" w:hAnsi="宋体" w:eastAsia="宋体" w:cs="宋体"/>
          <w:sz w:val="28"/>
          <w:u w:color="auto"/>
        </w:rPr>
        <w:t>减少37.50%</w:t>
      </w:r>
      <w:r>
        <w:rPr>
          <w:rFonts w:hint="eastAsia" w:ascii="宋体" w:hAnsi="宋体" w:eastAsia="宋体" w:cs="宋体"/>
          <w:sz w:val="28"/>
          <w:szCs w:val="28"/>
        </w:rPr>
        <w:t>，主要原因是：</w:t>
      </w:r>
      <w:r>
        <w:rPr>
          <w:rFonts w:hint="eastAsia"/>
          <w:highlight w:val="none"/>
        </w:rPr>
        <w:t>严格落实中央八项规定精神，减少不必要开支</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3.73</w:t>
      </w:r>
      <w:r>
        <w:rPr>
          <w:rFonts w:hint="eastAsia" w:ascii="宋体" w:hAnsi="宋体" w:eastAsia="宋体" w:cs="宋体"/>
          <w:sz w:val="28"/>
          <w:szCs w:val="28"/>
        </w:rPr>
        <w:t>万元，占支出总预算的</w:t>
      </w:r>
      <w:r>
        <w:rPr>
          <w:rFonts w:ascii="宋体" w:hAnsi="宋体" w:eastAsia="宋体" w:cs="宋体"/>
          <w:sz w:val="28"/>
          <w:u w:color="auto"/>
        </w:rPr>
        <w:t>10.03%</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3.38</w:t>
      </w:r>
      <w:r>
        <w:rPr>
          <w:rFonts w:hint="eastAsia" w:ascii="宋体" w:hAnsi="宋体" w:eastAsia="宋体" w:cs="宋体"/>
          <w:sz w:val="28"/>
          <w:szCs w:val="28"/>
        </w:rPr>
        <w:t>万元，</w:t>
      </w:r>
      <w:r>
        <w:rPr>
          <w:rFonts w:ascii="宋体" w:hAnsi="宋体" w:eastAsia="宋体" w:cs="宋体"/>
          <w:sz w:val="28"/>
          <w:u w:color="auto"/>
        </w:rPr>
        <w:t>增长0.35</w:t>
      </w:r>
      <w:r>
        <w:rPr>
          <w:rFonts w:hint="eastAsia" w:ascii="宋体" w:hAnsi="宋体" w:eastAsia="宋体" w:cs="宋体"/>
          <w:sz w:val="28"/>
          <w:szCs w:val="28"/>
        </w:rPr>
        <w:t>万元，</w:t>
      </w:r>
      <w:r>
        <w:rPr>
          <w:rFonts w:ascii="宋体" w:hAnsi="宋体" w:eastAsia="宋体" w:cs="宋体"/>
          <w:sz w:val="28"/>
          <w:u w:color="auto"/>
        </w:rPr>
        <w:t>增长10.36%</w:t>
      </w:r>
      <w:r>
        <w:rPr>
          <w:rFonts w:hint="eastAsia" w:ascii="宋体" w:hAnsi="宋体" w:eastAsia="宋体" w:cs="宋体"/>
          <w:sz w:val="28"/>
          <w:szCs w:val="28"/>
        </w:rPr>
        <w:t>，主要原因是：</w:t>
      </w:r>
      <w:r>
        <w:rPr>
          <w:rFonts w:hint="eastAsia"/>
          <w:highlight w:val="none"/>
        </w:rPr>
        <w:t>本部门2024年人员工资待遇补助增加，调整公积金基数，公积金预算支出增加</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文化旅游体育与传媒支出（类）支出</w:t>
      </w:r>
      <w:r>
        <w:rPr>
          <w:rFonts w:ascii="宋体" w:hAnsi="宋体" w:eastAsia="宋体" w:cs="宋体"/>
          <w:sz w:val="28"/>
          <w:u w:color="auto"/>
        </w:rPr>
        <w:t>28.84</w:t>
      </w:r>
      <w:r>
        <w:rPr>
          <w:rFonts w:hint="eastAsia" w:ascii="宋体" w:hAnsi="宋体" w:eastAsia="宋体" w:cs="宋体"/>
          <w:sz w:val="28"/>
          <w:szCs w:val="28"/>
        </w:rPr>
        <w:t>万元，占支出总预算的</w:t>
      </w:r>
      <w:r>
        <w:rPr>
          <w:rFonts w:ascii="宋体" w:hAnsi="宋体" w:eastAsia="宋体" w:cs="宋体"/>
          <w:sz w:val="28"/>
          <w:u w:color="auto"/>
        </w:rPr>
        <w:t>77.53%</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22.45</w:t>
      </w:r>
      <w:r>
        <w:rPr>
          <w:rFonts w:hint="eastAsia" w:ascii="宋体" w:hAnsi="宋体" w:eastAsia="宋体" w:cs="宋体"/>
          <w:sz w:val="28"/>
          <w:szCs w:val="28"/>
        </w:rPr>
        <w:t>万元，</w:t>
      </w:r>
      <w:r>
        <w:rPr>
          <w:rFonts w:ascii="宋体" w:hAnsi="宋体" w:eastAsia="宋体" w:cs="宋体"/>
          <w:sz w:val="28"/>
          <w:u w:color="auto"/>
        </w:rPr>
        <w:t>增长6.39</w:t>
      </w:r>
      <w:r>
        <w:rPr>
          <w:rFonts w:hint="eastAsia" w:ascii="宋体" w:hAnsi="宋体" w:eastAsia="宋体" w:cs="宋体"/>
          <w:sz w:val="28"/>
          <w:szCs w:val="28"/>
        </w:rPr>
        <w:t>万元，</w:t>
      </w:r>
      <w:r>
        <w:rPr>
          <w:rFonts w:ascii="宋体" w:hAnsi="宋体" w:eastAsia="宋体" w:cs="宋体"/>
          <w:sz w:val="28"/>
          <w:u w:color="auto"/>
        </w:rPr>
        <w:t>增长28.46%</w:t>
      </w:r>
      <w:r>
        <w:rPr>
          <w:rFonts w:hint="eastAsia" w:ascii="宋体" w:hAnsi="宋体" w:eastAsia="宋体" w:cs="宋体"/>
          <w:sz w:val="28"/>
          <w:szCs w:val="28"/>
        </w:rPr>
        <w:t>，主要原因是：</w:t>
      </w:r>
      <w:r>
        <w:rPr>
          <w:rFonts w:hint="eastAsia"/>
          <w:highlight w:val="none"/>
        </w:rPr>
        <w:t>主要用于文化旅游体育与传媒活动支出增加</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4.28</w:t>
      </w:r>
      <w:r>
        <w:rPr>
          <w:rFonts w:hint="eastAsia" w:ascii="宋体" w:hAnsi="宋体" w:eastAsia="宋体" w:cs="宋体"/>
          <w:sz w:val="28"/>
          <w:szCs w:val="28"/>
        </w:rPr>
        <w:t>万元，占支出总预算的</w:t>
      </w:r>
      <w:r>
        <w:rPr>
          <w:rFonts w:ascii="宋体" w:hAnsi="宋体" w:eastAsia="宋体" w:cs="宋体"/>
          <w:sz w:val="28"/>
          <w:u w:color="auto"/>
        </w:rPr>
        <w:t>11.51%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4.51</w:t>
      </w:r>
      <w:r>
        <w:rPr>
          <w:rFonts w:hint="eastAsia" w:ascii="宋体" w:hAnsi="宋体" w:eastAsia="宋体" w:cs="宋体"/>
          <w:sz w:val="28"/>
          <w:szCs w:val="28"/>
        </w:rPr>
        <w:t>万元，</w:t>
      </w:r>
      <w:r>
        <w:rPr>
          <w:rFonts w:ascii="宋体" w:hAnsi="宋体" w:eastAsia="宋体" w:cs="宋体"/>
          <w:sz w:val="28"/>
          <w:u w:color="auto"/>
        </w:rPr>
        <w:t>减少0.23</w:t>
      </w:r>
      <w:r>
        <w:rPr>
          <w:rFonts w:hint="eastAsia" w:ascii="宋体" w:hAnsi="宋体" w:eastAsia="宋体" w:cs="宋体"/>
          <w:sz w:val="28"/>
          <w:szCs w:val="28"/>
        </w:rPr>
        <w:t>万元，</w:t>
      </w:r>
      <w:r>
        <w:rPr>
          <w:rFonts w:ascii="宋体" w:hAnsi="宋体" w:eastAsia="宋体" w:cs="宋体"/>
          <w:sz w:val="28"/>
          <w:u w:color="auto"/>
        </w:rPr>
        <w:t>减少5.10%</w:t>
      </w:r>
      <w:r>
        <w:rPr>
          <w:rFonts w:hint="eastAsia" w:ascii="宋体" w:hAnsi="宋体" w:eastAsia="宋体" w:cs="宋体"/>
          <w:sz w:val="28"/>
          <w:szCs w:val="28"/>
        </w:rPr>
        <w:t>，主要原因是：</w:t>
      </w:r>
      <w:r>
        <w:rPr>
          <w:rFonts w:hint="eastAsia"/>
          <w:highlight w:val="none"/>
        </w:rPr>
        <w:t>社会保障和就业部门及社会保险经办机构工资性支出减少</w:t>
      </w:r>
      <w:r>
        <w:rPr>
          <w:rFonts w:hint="eastAsia" w:ascii="宋体" w:hAnsi="宋体" w:eastAsia="宋体" w:cs="宋体"/>
          <w:sz w:val="28"/>
          <w:szCs w:val="28"/>
        </w:rPr>
        <w:t>。</w:t>
      </w:r>
    </w:p>
    <w:p>
      <w:pPr>
        <w:pStyle w:val="16"/>
        <w:tabs>
          <w:tab w:val="left" w:pos="1235"/>
        </w:tabs>
        <w:spacing w:after="0" w:line="624" w:lineRule="exact"/>
        <w:ind w:firstLine="580"/>
        <w:jc w:val="left"/>
        <w:rPr>
          <w:b/>
          <w:bCs/>
        </w:rPr>
      </w:pPr>
      <w:r>
        <w:rPr>
          <w:rFonts w:hint="eastAsia"/>
          <w:b/>
          <w:bCs/>
          <w:lang w:val="en-US" w:eastAsia="zh-CN"/>
        </w:rPr>
        <w:t>六、</w:t>
      </w:r>
      <w:r>
        <w:rPr>
          <w:b/>
          <w:bCs/>
        </w:rPr>
        <w:t>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1385"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spacing w:line="623" w:lineRule="exact"/>
        <w:ind w:left="0" w:leftChars="0" w:firstLine="560" w:firstLineChars="200"/>
        <w:jc w:val="left"/>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37.20</w:t>
      </w:r>
      <w:r>
        <w:rPr>
          <w:rFonts w:hint="eastAsia"/>
        </w:rPr>
        <w:t>万元，较2023年度预算数</w:t>
      </w:r>
      <w:r>
        <w:rPr>
          <w:rFonts w:hint="eastAsia"/>
          <w:lang w:val="en-US" w:eastAsia="zh-CN"/>
        </w:rPr>
        <w:t>30.91</w:t>
      </w:r>
      <w:r>
        <w:rPr>
          <w:rFonts w:hint="eastAsia"/>
        </w:rPr>
        <w:t>万元</w:t>
      </w:r>
      <w:r>
        <w:rPr>
          <w:rFonts w:hint="eastAsia"/>
          <w:lang w:val="en-US" w:eastAsia="zh-CN"/>
        </w:rPr>
        <w:t>,</w:t>
      </w:r>
      <w:r>
        <w:rPr>
          <w:u w:color="auto"/>
        </w:rPr>
        <w:t>增加6.29</w:t>
      </w:r>
      <w:r>
        <w:rPr>
          <w:rFonts w:hint="eastAsia"/>
        </w:rPr>
        <w:t>万元，</w:t>
      </w:r>
      <w:r>
        <w:rPr>
          <w:rFonts w:hint="eastAsia"/>
          <w:lang w:val="en-US" w:eastAsia="zh-CN"/>
        </w:rPr>
        <w:t>增长20.35%</w:t>
      </w:r>
      <w:r>
        <w:rPr>
          <w:rFonts w:hint="eastAsia"/>
        </w:rPr>
        <w:t>，主要原因是</w:t>
      </w:r>
      <w:r>
        <w:rPr>
          <w:rFonts w:hint="eastAsia"/>
          <w:highlight w:val="none"/>
          <w:lang w:val="en-US" w:eastAsia="zh-CN"/>
        </w:rPr>
        <w:t>人员经费增加</w:t>
      </w:r>
      <w:r>
        <w:rPr>
          <w:rFonts w:hint="eastAsia"/>
        </w:rPr>
        <w:t>。具体情况为：</w:t>
      </w:r>
    </w:p>
    <w:p>
      <w:pPr>
        <w:pStyle w:val="18"/>
        <w:spacing w:line="626" w:lineRule="exact"/>
        <w:ind w:firstLine="600"/>
        <w:jc w:val="left"/>
        <w:rPr>
          <w:rFonts w:hint="default"/>
          <w:lang w:val="en-US" w:eastAsia="zh-CN"/>
        </w:rPr>
      </w:pPr>
      <w:r>
        <w:rPr>
          <w:rFonts w:hint="eastAsia"/>
          <w:lang w:val="en-US" w:eastAsia="zh-CN"/>
        </w:rPr>
        <w:t>工资福利支出</w:t>
      </w:r>
      <w:r>
        <w:rPr>
          <w:rFonts w:hint="eastAsia"/>
        </w:rPr>
        <w:t>支出预算</w:t>
      </w:r>
      <w:r>
        <w:rPr>
          <w:rFonts w:hint="eastAsia"/>
          <w:lang w:val="en-US" w:eastAsia="zh-CN"/>
        </w:rPr>
        <w:t>36.13</w:t>
      </w:r>
      <w:r>
        <w:t>万元</w:t>
      </w:r>
      <w:r>
        <w:rPr>
          <w:rFonts w:hint="eastAsia"/>
          <w:lang w:eastAsia="zh-CN"/>
        </w:rPr>
        <w:t>，</w:t>
      </w:r>
      <w:r>
        <w:rPr>
          <w:rFonts w:hint="eastAsia"/>
        </w:rPr>
        <w:t>占基本支出预算的</w:t>
      </w:r>
      <w:r>
        <w:rPr>
          <w:rFonts w:hint="eastAsia"/>
          <w:lang w:val="en-US" w:eastAsia="zh-CN"/>
        </w:rPr>
        <w:t>97.12%</w:t>
      </w:r>
      <w:r>
        <w:rPr>
          <w:rFonts w:hint="eastAsia"/>
        </w:rPr>
        <w:t>，较2023年度预算数</w:t>
      </w:r>
      <w:r>
        <w:rPr>
          <w:rFonts w:hint="eastAsia"/>
          <w:lang w:val="en-US" w:eastAsia="zh-CN"/>
        </w:rPr>
        <w:t>29.62</w:t>
      </w:r>
      <w:r>
        <w:rPr>
          <w:rFonts w:hint="eastAsia"/>
        </w:rPr>
        <w:t>万元，</w:t>
      </w:r>
      <w:r>
        <w:rPr>
          <w:rFonts w:hint="eastAsia"/>
          <w:lang w:val="en-US" w:eastAsia="zh-CN"/>
        </w:rPr>
        <w:t>增长6.51</w:t>
      </w:r>
      <w:r>
        <w:rPr>
          <w:rFonts w:hint="eastAsia"/>
        </w:rPr>
        <w:t>万元，</w:t>
      </w:r>
      <w:r>
        <w:rPr>
          <w:rFonts w:hint="eastAsia"/>
          <w:lang w:val="en-US" w:eastAsia="zh-CN"/>
        </w:rPr>
        <w:t>增长21.98%</w:t>
      </w:r>
      <w:r>
        <w:rPr>
          <w:rFonts w:hint="eastAsia"/>
        </w:rPr>
        <w:t>，主要原因是：</w:t>
      </w:r>
      <w:r>
        <w:rPr>
          <w:rFonts w:hint="eastAsia"/>
          <w:highlight w:val="none"/>
        </w:rPr>
        <w:t>部分人员调整工资和晋升职务职级。调整五险一金基数，基础性绩效工资调增</w:t>
      </w:r>
      <w:r>
        <w:rPr>
          <w:rFonts w:hint="eastAsia"/>
          <w:highlight w:val="none"/>
          <w:lang w:val="en-US" w:eastAsia="zh-CN"/>
        </w:rPr>
        <w:t>。</w:t>
      </w:r>
    </w:p>
    <w:p>
      <w:pPr>
        <w:pStyle w:val="18"/>
        <w:spacing w:line="626" w:lineRule="exact"/>
        <w:ind w:firstLine="600"/>
        <w:jc w:val="left"/>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1.07</w:t>
      </w:r>
      <w:r>
        <w:t>万元</w:t>
      </w:r>
      <w:r>
        <w:rPr>
          <w:rFonts w:hint="eastAsia"/>
          <w:lang w:eastAsia="zh-CN"/>
        </w:rPr>
        <w:t>，</w:t>
      </w:r>
      <w:r>
        <w:rPr>
          <w:rFonts w:hint="eastAsia"/>
        </w:rPr>
        <w:t>占基本支出预算的</w:t>
      </w:r>
      <w:r>
        <w:rPr>
          <w:rFonts w:hint="eastAsia"/>
          <w:lang w:val="en-US" w:eastAsia="zh-CN"/>
        </w:rPr>
        <w:t>2.88%</w:t>
      </w:r>
      <w:r>
        <w:rPr>
          <w:rFonts w:hint="eastAsia"/>
        </w:rPr>
        <w:t>，较2023年度预算数</w:t>
      </w:r>
      <w:r>
        <w:rPr>
          <w:rFonts w:hint="eastAsia"/>
          <w:lang w:val="en-US" w:eastAsia="zh-CN"/>
        </w:rPr>
        <w:t>1.28</w:t>
      </w:r>
      <w:r>
        <w:rPr>
          <w:rFonts w:hint="eastAsia"/>
        </w:rPr>
        <w:t>万元，</w:t>
      </w:r>
      <w:r>
        <w:rPr>
          <w:rFonts w:hint="eastAsia"/>
          <w:lang w:val="en-US" w:eastAsia="zh-CN"/>
        </w:rPr>
        <w:t>减少0.21</w:t>
      </w:r>
      <w:r>
        <w:rPr>
          <w:rFonts w:hint="eastAsia"/>
        </w:rPr>
        <w:t>万元，</w:t>
      </w:r>
      <w:r>
        <w:rPr>
          <w:rFonts w:hint="eastAsia"/>
          <w:lang w:val="en-US" w:eastAsia="zh-CN"/>
        </w:rPr>
        <w:t>减少16.41%</w:t>
      </w:r>
      <w:r>
        <w:rPr>
          <w:rFonts w:hint="eastAsia"/>
        </w:rPr>
        <w:t>，主要原因是：</w:t>
      </w:r>
      <w:r>
        <w:rPr>
          <w:rFonts w:hint="eastAsia"/>
          <w:highlight w:val="none"/>
        </w:rPr>
        <w:t>工会经费预算支出减少</w:t>
      </w:r>
      <w:r>
        <w:rPr>
          <w:rFonts w:hint="eastAsia"/>
          <w:highlight w:val="none"/>
          <w:lang w:val="en-US" w:eastAsia="zh-CN"/>
        </w:rPr>
        <w:t>。</w:t>
      </w:r>
    </w:p>
    <w:p>
      <w:pPr>
        <w:pStyle w:val="18"/>
        <w:spacing w:line="626" w:lineRule="exact"/>
        <w:ind w:firstLine="600"/>
        <w:jc w:val="left"/>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0.00</w:t>
      </w:r>
      <w:r>
        <w:t>万元</w:t>
      </w:r>
      <w:r>
        <w:rPr>
          <w:rFonts w:hint="eastAsia"/>
          <w:lang w:eastAsia="zh-CN"/>
        </w:rPr>
        <w:t>，</w:t>
      </w:r>
      <w:r>
        <w:rPr>
          <w:rFonts w:hint="eastAsia"/>
        </w:rPr>
        <w:t>占基本支出预算的</w:t>
      </w:r>
      <w:r>
        <w:rPr>
          <w:rFonts w:hint="eastAsia"/>
          <w:lang w:val="en-US" w:eastAsia="zh-CN"/>
        </w:rPr>
        <w:t>0.00%</w:t>
      </w:r>
      <w:r>
        <w:rPr>
          <w:rFonts w:hint="eastAsia"/>
        </w:rPr>
        <w:t>，较2023年度预算数</w:t>
      </w:r>
      <w:r>
        <w:rPr>
          <w:rFonts w:hint="eastAsia"/>
          <w:lang w:val="en-US" w:eastAsia="zh-CN"/>
        </w:rPr>
        <w:t>0.01</w:t>
      </w:r>
      <w:r>
        <w:rPr>
          <w:rFonts w:hint="eastAsia"/>
        </w:rPr>
        <w:t>万元，</w:t>
      </w:r>
      <w:r>
        <w:rPr>
          <w:rFonts w:hint="eastAsia"/>
          <w:lang w:val="en-US" w:eastAsia="zh-CN"/>
        </w:rPr>
        <w:t>减少0.01</w:t>
      </w:r>
      <w:r>
        <w:rPr>
          <w:rFonts w:hint="eastAsia"/>
        </w:rPr>
        <w:t>万元，</w:t>
      </w:r>
      <w:r>
        <w:rPr>
          <w:rFonts w:hint="eastAsia"/>
          <w:lang w:val="en-US" w:eastAsia="zh-CN"/>
        </w:rPr>
        <w:t>减少100.00%</w:t>
      </w:r>
      <w:r>
        <w:rPr>
          <w:rFonts w:hint="eastAsia"/>
        </w:rPr>
        <w:t>，主要原因是：</w:t>
      </w:r>
      <w:r>
        <w:rPr>
          <w:rFonts w:hint="eastAsia"/>
          <w:highlight w:val="none"/>
        </w:rPr>
        <w:t>减少不必要的支出</w:t>
      </w:r>
      <w:r>
        <w:rPr>
          <w:rFonts w:hint="eastAsia"/>
          <w:highlight w:val="none"/>
          <w:lang w:val="en-US" w:eastAsia="zh-CN"/>
        </w:rPr>
        <w:t>。</w:t>
      </w:r>
    </w:p>
    <w:p>
      <w:pPr>
        <w:pStyle w:val="16"/>
        <w:tabs>
          <w:tab w:val="left" w:pos="1235"/>
        </w:tabs>
        <w:spacing w:after="0" w:line="624" w:lineRule="exact"/>
        <w:ind w:firstLine="580"/>
        <w:jc w:val="left"/>
        <w:rPr>
          <w:rFonts w:hint="eastAsia"/>
          <w:b/>
          <w:bCs/>
        </w:rPr>
      </w:pPr>
      <w:r>
        <w:rPr>
          <w:rFonts w:hint="eastAsia"/>
          <w:b/>
          <w:bCs/>
          <w:lang w:val="en-US" w:eastAsia="zh-CN"/>
        </w:rPr>
        <w:t>七、</w:t>
      </w:r>
      <w:r>
        <w:rPr>
          <w:b/>
          <w:bCs/>
        </w:rPr>
        <w:t>一般公共预算</w:t>
      </w:r>
      <w:r>
        <w:rPr>
          <w:b/>
          <w:bCs/>
          <w:lang w:val="zh-CN" w:eastAsia="zh-CN" w:bidi="zh-CN"/>
        </w:rPr>
        <w:t>“三</w:t>
      </w:r>
      <w:r>
        <w:rPr>
          <w:b/>
          <w:bCs/>
        </w:rPr>
        <w:t>公”</w:t>
      </w:r>
      <w:r>
        <w:rPr>
          <w:rFonts w:hint="eastAsia"/>
          <w:b/>
          <w:bCs/>
        </w:rPr>
        <w:t>经费支出情况说明</w:t>
      </w:r>
    </w:p>
    <w:p>
      <w:pPr>
        <w:pStyle w:val="16"/>
        <w:numPr>
          <w:ilvl w:val="0"/>
          <w:numId w:val="0"/>
        </w:numPr>
        <w:spacing w:after="0"/>
        <w:jc w:val="left"/>
        <w:rPr>
          <w:rFonts w:hint="eastAsia"/>
          <w:b/>
          <w:bCs/>
        </w:rPr>
      </w:pP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1386"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0.00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0.00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0.00</w:t>
      </w:r>
      <w:r>
        <w:rPr>
          <w:rFonts w:hint="eastAsia"/>
          <w:b w:val="0"/>
          <w:bCs w:val="0"/>
          <w:sz w:val="28"/>
          <w:szCs w:val="28"/>
          <w:lang w:eastAsia="zh-CN"/>
        </w:rPr>
        <w:t>万元）。</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本部门2024年度无因公出国（境）人员</w:t>
      </w:r>
      <w:r>
        <w:rPr>
          <w:rFonts w:hint="eastAsia"/>
          <w:b w:val="0"/>
          <w:bCs w:val="0"/>
          <w:sz w:val="28"/>
          <w:szCs w:val="28"/>
        </w:rPr>
        <w:t>。</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本部门无公务接待费预算</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本单位无公务车</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本单位无公务用车</w:t>
      </w:r>
      <w:r>
        <w:rPr>
          <w:rFonts w:hint="eastAsia"/>
          <w:b w:val="0"/>
          <w:bCs w:val="0"/>
          <w:sz w:val="28"/>
          <w:szCs w:val="28"/>
        </w:rPr>
        <w:t>。</w:t>
      </w:r>
    </w:p>
    <w:p>
      <w:pPr>
        <w:pStyle w:val="16"/>
        <w:tabs>
          <w:tab w:val="left" w:pos="1235"/>
        </w:tabs>
        <w:spacing w:after="0" w:line="624" w:lineRule="exact"/>
        <w:ind w:firstLine="580"/>
        <w:jc w:val="left"/>
        <w:rPr>
          <w:b/>
          <w:bCs/>
        </w:rPr>
      </w:pPr>
      <w:r>
        <w:rPr>
          <w:b/>
          <w:bCs/>
        </w:rPr>
        <w:t>八</w:t>
      </w:r>
      <w:bookmarkEnd w:id="14"/>
      <w:r>
        <w:rPr>
          <w:b/>
          <w:bCs/>
        </w:rPr>
        <w:t>、</w:t>
      </w:r>
      <w:r>
        <w:rPr>
          <w:b/>
          <w:bCs/>
        </w:rPr>
        <w:tab/>
      </w:r>
      <w:r>
        <w:rPr>
          <w:b/>
          <w:bCs/>
        </w:rPr>
        <w:t>政府性基金预算支出情况说明</w:t>
      </w:r>
    </w:p>
    <w:p>
      <w:pPr>
        <w:pStyle w:val="18"/>
        <w:spacing w:line="629" w:lineRule="exact"/>
        <w:ind w:firstLine="600"/>
        <w:jc w:val="left"/>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0.00</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增加0.00</w:t>
      </w:r>
      <w:r>
        <w:rPr>
          <w:rFonts w:hint="eastAsia"/>
        </w:rPr>
        <w:t>万元，</w:t>
      </w:r>
      <w:r>
        <w:rPr>
          <w:rFonts w:hint="eastAsia"/>
          <w:b w:val="0"/>
          <w:bCs w:val="0"/>
          <w:sz w:val="28"/>
          <w:szCs w:val="28"/>
          <w:lang w:eastAsia="zh-CN"/>
        </w:rPr>
        <w:t>增长0%</w:t>
      </w:r>
      <w:r>
        <w:rPr>
          <w:rFonts w:hint="eastAsia"/>
        </w:rPr>
        <w:t>，主要原因是</w:t>
      </w:r>
      <w:r>
        <w:rPr>
          <w:rFonts w:hint="eastAsia"/>
          <w:highlight w:val="none"/>
          <w:lang w:val="en-US" w:eastAsia="zh-CN"/>
        </w:rPr>
        <w:t>我部门2024年部门预算无政府性基金预算</w:t>
      </w:r>
      <w:r>
        <w:rPr>
          <w:rFonts w:hint="eastAsia"/>
        </w:rPr>
        <w:t>。</w:t>
      </w:r>
    </w:p>
    <w:p>
      <w:pPr>
        <w:pStyle w:val="16"/>
        <w:tabs>
          <w:tab w:val="left" w:pos="1235"/>
        </w:tabs>
        <w:spacing w:after="0" w:line="624" w:lineRule="exact"/>
        <w:ind w:firstLine="580"/>
        <w:jc w:val="left"/>
        <w:rPr>
          <w:b/>
          <w:bCs/>
        </w:rPr>
      </w:pPr>
      <w:bookmarkStart w:id="15" w:name="bookmark91"/>
      <w:r>
        <w:rPr>
          <w:b/>
          <w:bCs/>
        </w:rPr>
        <w:t>九</w:t>
      </w:r>
      <w:bookmarkEnd w:id="15"/>
      <w:r>
        <w:rPr>
          <w:b/>
          <w:bCs/>
        </w:rPr>
        <w:t>、</w:t>
      </w:r>
      <w:r>
        <w:rPr>
          <w:b/>
          <w:bCs/>
        </w:rPr>
        <w:tab/>
      </w:r>
      <w:r>
        <w:rPr>
          <w:b/>
          <w:bCs/>
        </w:rPr>
        <w:t>国有资本经营预算支出情况说明</w:t>
      </w:r>
    </w:p>
    <w:p>
      <w:pPr>
        <w:pStyle w:val="18"/>
        <w:spacing w:line="437" w:lineRule="auto"/>
        <w:ind w:firstLine="600"/>
        <w:jc w:val="left"/>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我部门2024年部门预算无国有资本经营预算预算</w:t>
      </w:r>
      <w:r>
        <w:rPr>
          <w:rFonts w:hint="eastAsia"/>
        </w:rPr>
        <w:t>。</w:t>
      </w:r>
    </w:p>
    <w:p>
      <w:pPr>
        <w:pStyle w:val="16"/>
        <w:tabs>
          <w:tab w:val="left" w:pos="1235"/>
        </w:tabs>
        <w:spacing w:after="0" w:line="624" w:lineRule="exact"/>
        <w:ind w:firstLine="580"/>
        <w:jc w:val="left"/>
        <w:rPr>
          <w:b/>
          <w:bCs/>
        </w:rPr>
      </w:pPr>
      <w:r>
        <w:rPr>
          <w:b/>
          <w:bCs/>
        </w:rPr>
        <w:t>十、其他重要事项</w:t>
      </w:r>
      <w:r>
        <w:rPr>
          <w:rFonts w:hint="eastAsia"/>
          <w:b/>
          <w:bCs/>
          <w:lang w:val="en-US" w:eastAsia="zh-CN"/>
        </w:rPr>
        <w:t>情况</w:t>
      </w:r>
      <w:r>
        <w:rPr>
          <w:b/>
          <w:bCs/>
        </w:rPr>
        <w:t>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b w:val="0"/>
          <w:bCs w:val="0"/>
          <w:sz w:val="28"/>
          <w:szCs w:val="28"/>
          <w:lang w:eastAsia="zh-CN"/>
        </w:rPr>
        <w:t>2024</w:t>
      </w:r>
      <w:r>
        <w:rPr>
          <w:rFonts w:hint="eastAsia" w:ascii="宋体" w:hAnsi="宋体" w:eastAsia="宋体" w:cs="宋体"/>
          <w:sz w:val="28"/>
          <w:szCs w:val="28"/>
          <w:lang w:eastAsia="zh-CN"/>
        </w:rPr>
        <w:t>年本部门机关运行经费预算</w:t>
      </w:r>
      <w:r>
        <w:rPr>
          <w:rFonts w:hint="eastAsia" w:ascii="宋体" w:hAnsi="宋体" w:eastAsia="宋体" w:cs="宋体"/>
          <w:sz w:val="28"/>
          <w:szCs w:val="28"/>
          <w:lang w:val="en-US" w:eastAsia="zh-CN"/>
        </w:rPr>
        <w:t>1.07</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1.28</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减少0.21</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下降16.41%</w:t>
      </w:r>
      <w:r>
        <w:rPr>
          <w:rFonts w:hint="eastAsia" w:ascii="宋体" w:hAnsi="宋体" w:eastAsia="宋体" w:cs="宋体"/>
          <w:sz w:val="28"/>
          <w:szCs w:val="28"/>
          <w:lang w:eastAsia="zh-CN"/>
        </w:rPr>
        <w:t>，主要原因是：</w:t>
      </w:r>
      <w:r>
        <w:rPr>
          <w:rFonts w:hint="eastAsia"/>
          <w:highlight w:val="none"/>
          <w:lang w:val="en-US" w:eastAsia="zh-CN"/>
        </w:rPr>
        <w:t>主要用于开支办公费、水费、电费、邮电费、差旅费及其他商品和服务支出</w:t>
      </w:r>
      <w:r>
        <w:rPr>
          <w:rFonts w:hint="eastAsia" w:ascii="宋体" w:hAnsi="宋体" w:eastAsia="宋体" w:cs="宋体"/>
          <w:sz w:val="28"/>
          <w:szCs w:val="28"/>
          <w:lang w:eastAsia="zh-CN"/>
        </w:rPr>
        <w:t>。</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spacing w:line="624" w:lineRule="exact"/>
        <w:ind w:firstLine="600"/>
        <w:jc w:val="left"/>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highlight w:val="none"/>
          <w:lang w:val="en-US" w:eastAsia="zh-CN"/>
        </w:rPr>
        <w:t>0</w:t>
      </w:r>
      <w:r>
        <w:rPr>
          <w:rFonts w:hint="eastAsia" w:ascii="宋体" w:hAnsi="宋体" w:eastAsia="宋体" w:cs="宋体"/>
          <w:sz w:val="28"/>
          <w:szCs w:val="28"/>
          <w:lang w:eastAsia="zh-CN"/>
        </w:rPr>
        <w:t>万元。其中：货物类采购</w:t>
      </w:r>
      <w:r>
        <w:rPr>
          <w:rFonts w:hint="eastAsia"/>
          <w:highlight w:val="none"/>
          <w:lang w:val="en-US" w:eastAsia="zh-CN"/>
        </w:rPr>
        <w:t>0</w:t>
      </w:r>
      <w:r>
        <w:rPr>
          <w:rFonts w:hint="eastAsia" w:ascii="宋体" w:hAnsi="宋体" w:eastAsia="宋体" w:cs="宋体"/>
          <w:sz w:val="28"/>
          <w:szCs w:val="28"/>
          <w:lang w:eastAsia="zh-CN"/>
        </w:rPr>
        <w:t>万元、工程类采购</w:t>
      </w:r>
      <w:r>
        <w:rPr>
          <w:rFonts w:hint="eastAsia"/>
          <w:highlight w:val="none"/>
          <w:lang w:val="en-US" w:eastAsia="zh-CN"/>
        </w:rPr>
        <w:t>0</w:t>
      </w:r>
      <w:r>
        <w:rPr>
          <w:rFonts w:hint="eastAsia" w:ascii="宋体" w:hAnsi="宋体" w:eastAsia="宋体" w:cs="宋体"/>
          <w:sz w:val="28"/>
          <w:szCs w:val="28"/>
          <w:lang w:eastAsia="zh-CN"/>
        </w:rPr>
        <w:t>万元、服务类采购</w:t>
      </w:r>
      <w:r>
        <w:rPr>
          <w:rFonts w:hint="eastAsia"/>
          <w:highlight w:val="none"/>
          <w:lang w:val="en-US" w:eastAsia="zh-CN"/>
        </w:rPr>
        <w:t>0</w:t>
      </w:r>
      <w:r>
        <w:rPr>
          <w:rFonts w:hint="eastAsia" w:ascii="宋体" w:hAnsi="宋体" w:eastAsia="宋体" w:cs="宋体"/>
          <w:sz w:val="28"/>
          <w:szCs w:val="28"/>
          <w:lang w:eastAsia="zh-CN"/>
        </w:rPr>
        <w:t>万元。</w:t>
      </w:r>
      <w:r>
        <w:rPr>
          <w:rFonts w:hint="eastAsia" w:cs="宋体"/>
          <w:sz w:val="28"/>
          <w:szCs w:val="28"/>
          <w:lang w:val="en-US" w:eastAsia="zh-CN"/>
        </w:rPr>
        <w:t>主要用于：</w:t>
      </w:r>
      <w:r>
        <w:rPr>
          <w:rFonts w:hint="eastAsia"/>
          <w:highlight w:val="none"/>
          <w:lang w:val="en-US" w:eastAsia="zh-CN"/>
        </w:rPr>
        <w:t>0</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0</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0</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0</w:t>
      </w:r>
      <w:r>
        <w:rPr>
          <w:rFonts w:hint="eastAsia" w:ascii="宋体" w:hAnsi="宋体" w:eastAsia="宋体" w:cs="宋体"/>
          <w:sz w:val="28"/>
          <w:szCs w:val="28"/>
          <w:lang w:eastAsia="zh-CN"/>
        </w:rPr>
        <w:t>个，预算资金</w:t>
      </w:r>
      <w:r>
        <w:rPr>
          <w:rFonts w:hint="eastAsia"/>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spacing w:line="624" w:lineRule="exact"/>
        <w:ind w:firstLine="600"/>
        <w:jc w:val="left"/>
        <w:rPr>
          <w:rFonts w:hint="eastAsia"/>
          <w:highlight w:val="none"/>
          <w:lang w:val="en-US" w:eastAsia="zh-CN"/>
        </w:rPr>
      </w:pPr>
      <w:r>
        <w:rPr>
          <w:rFonts w:hint="eastAsia"/>
          <w:highlight w:val="none"/>
          <w:lang w:val="en-US" w:eastAsia="zh-CN"/>
        </w:rPr>
        <w:t>重点项目集中在政府部门预算，故我部门2024年无重点项目预算。</w:t>
      </w:r>
    </w:p>
    <w:p>
      <w:pPr>
        <w:pStyle w:val="18"/>
        <w:spacing w:line="624" w:lineRule="exact"/>
        <w:ind w:firstLine="600"/>
        <w:jc w:val="left"/>
        <w:rPr>
          <w:rFonts w:hint="eastAsia"/>
          <w:highlight w:val="none"/>
          <w:lang w:val="en-US" w:eastAsia="zh-CN"/>
        </w:rPr>
      </w:pPr>
    </w:p>
    <w:p>
      <w:pPr>
        <w:pStyle w:val="18"/>
        <w:spacing w:line="624" w:lineRule="exact"/>
        <w:ind w:firstLine="600"/>
        <w:jc w:val="left"/>
        <w:rPr>
          <w:rFonts w:hint="default"/>
          <w:highlight w:val="none"/>
          <w:lang w:val="en-US" w:eastAsia="zh-CN"/>
        </w:rPr>
        <w:sectPr>
          <w:headerReference r:id="rId4" w:type="default"/>
          <w:footerReference r:id="rId5" w:type="default"/>
          <w:pgSz w:w="11900" w:h="16840"/>
          <w:pgMar w:top="1440" w:right="1800" w:bottom="1440" w:left="1800" w:header="0" w:footer="3" w:gutter="0"/>
          <w:pgBorders>
            <w:top w:val="none" w:sz="0" w:space="0"/>
            <w:left w:val="none" w:sz="0" w:space="0"/>
            <w:bottom w:val="none" w:sz="0" w:space="0"/>
            <w:right w:val="none" w:sz="0" w:space="0"/>
          </w:pgBorders>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环江毛南族自治县明伦镇文化站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1"/>
      <w:bookmarkStart w:id="17" w:name="bookmark29"/>
      <w:bookmarkStart w:id="18" w:name="bookmark30"/>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环江毛南族自治县明伦镇文化站</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37.20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0.35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37.20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28.84</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4.28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3.73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37.20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37.20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37.20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37.20</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3" w:gutter="0"/>
          <w:pgBorders>
            <w:top w:val="none" w:sz="0" w:space="0"/>
            <w:left w:val="none" w:sz="0" w:space="0"/>
            <w:bottom w:val="none" w:sz="0" w:space="0"/>
            <w:right w:val="none" w:sz="0" w:space="0"/>
          </w:pgBorders>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环江毛南族自治县明伦镇文化站</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37.20</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37.20</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37.20</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709004</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37.20</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37.20</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37.20</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0.00</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3" w:gutter="0"/>
          <w:pgBorders>
            <w:top w:val="none" w:sz="0" w:space="0"/>
            <w:left w:val="none" w:sz="0" w:space="0"/>
            <w:bottom w:val="none" w:sz="0" w:space="0"/>
            <w:right w:val="none" w:sz="0" w:space="0"/>
          </w:pgBorders>
          <w:cols w:space="720" w:num="1"/>
          <w:docGrid w:linePitch="360" w:charSpace="0"/>
        </w:sectPr>
      </w:pPr>
    </w:p>
    <w:p>
      <w:pPr>
        <w:pStyle w:val="22"/>
        <w:keepNext/>
        <w:keepLines/>
        <w:spacing w:after="240"/>
        <w:jc w:val="center"/>
      </w:pPr>
      <w:bookmarkStart w:id="19" w:name="bookmark41"/>
      <w:bookmarkStart w:id="20" w:name="bookmark43"/>
      <w:bookmarkStart w:id="21" w:name="bookmark42"/>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环江毛南族自治县明伦镇文化站</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37.20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37.20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709004</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37.20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37.20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0.35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0.35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2070109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群众文化</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28.84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28.84</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4.28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4.28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3.73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环江毛南族自治县明伦镇文化站</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37.20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0.35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37.20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28.84</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4.28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3.73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37.20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37.20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37.20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37.20</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环江毛南族自治县明伦镇文化站</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709004</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37.20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37.20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36.13</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1.07</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0.35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0.35</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0.35</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2070109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群众文化</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28.84</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28.84</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28.12</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0.72</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4.28</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4.28</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4.28</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3.73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3.73</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3.73</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8"/>
      <w:bookmarkStart w:id="26" w:name="bookmark56"/>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环江毛南族自治县明伦镇文化站</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37.20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36.13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36.13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36.13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11.24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11.24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2.84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6.60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6.60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5.53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4.28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4.28</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1.71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3.73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6"/>
      <w:bookmarkStart w:id="29" w:name="bookmark65"/>
      <w:bookmarkStart w:id="30" w:name="bookmark67"/>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环江毛南族自治县明伦镇文化站</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709004</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环江毛南族自治县明伦镇文化站</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2070109</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群众文化</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环江毛南族自治县明伦镇文化站</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环江毛南族自治县明伦镇文化站</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3" w:gutter="0"/>
          <w:pgBorders>
            <w:top w:val="none" w:sz="0" w:space="0"/>
            <w:left w:val="none" w:sz="0" w:space="0"/>
            <w:bottom w:val="none" w:sz="0" w:space="0"/>
            <w:right w:val="none" w:sz="0" w:space="0"/>
          </w:pgBorders>
          <w:cols w:space="720" w:num="1"/>
          <w:docGrid w:linePitch="360" w:charSpace="0"/>
        </w:sectPr>
      </w:pPr>
    </w:p>
    <w:p>
      <w:pPr>
        <w:pStyle w:val="12"/>
        <w:keepNext/>
        <w:keepLines/>
        <w:spacing w:before="200" w:after="0"/>
        <w:jc w:val="center"/>
        <w:rPr>
          <w:sz w:val="40"/>
          <w:szCs w:val="40"/>
        </w:rPr>
      </w:pPr>
      <w:bookmarkStart w:id="31" w:name="bookmark95"/>
      <w:bookmarkStart w:id="32" w:name="bookmark96"/>
      <w:bookmarkStart w:id="33" w:name="bookmark94"/>
      <w:r>
        <w:rPr>
          <w:sz w:val="40"/>
          <w:szCs w:val="40"/>
        </w:rPr>
        <w:t>第四部分名词解释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3"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387"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Cl7fI16gEAAOUDAAAOAAAAAAAAAAEAIAAAACoBAABkcnMvZTJvRG9jLnhtbFBLBQYAAAAA&#10;BgAGAFkBAACGBQ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388"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GyLLhP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dit="readOnly" w:enforcement="1" w:cryptProviderType="rsaAES" w:cryptAlgorithmClass="hash" w:cryptAlgorithmType="typeAny" w:cryptAlgorithmSid="14" w:cryptSpinCount="100000" w:hash="P+/RVAbefN9C1/bt7nHRGZJ0TztnNm5U0jbFOcjf1DBaTlh5GCYt3p5xFOQ2QLBm3gK5zMIYHmcvjuORXwv9UQ==" w:salt="VXJ9TVnUp3ALisokini5ZA=="/>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wNzBhZmMxZDgzY2QxOGU5MzhjNWE0MTE4NzM3ZTcifQ=="/>
  </w:docVars>
  <w:rsids>
    <w:rsidRoot w:val="00000000"/>
    <w:rsid w:val="045221F3"/>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autoRedefine/>
    <w:qFormat/>
    <w:uiPriority w:val="0"/>
  </w:style>
  <w:style w:type="character" w:customStyle="1" w:styleId="8">
    <w:name w:val="Comment Reference"/>
    <w:basedOn w:val="6"/>
    <w:autoRedefine/>
    <w:qFormat/>
    <w:uiPriority w:val="0"/>
    <w:rPr>
      <w:sz w:val="21"/>
      <w:szCs w:val="21"/>
    </w:rPr>
  </w:style>
  <w:style w:type="character" w:customStyle="1" w:styleId="9">
    <w:name w:val="Body text|5_"/>
    <w:basedOn w:val="6"/>
    <w:link w:val="10"/>
    <w:autoRedefine/>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autoRedefine/>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autoRedefine/>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autoRedefine/>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rPr>
      <w:sz w:val="20"/>
      <w:szCs w:val="20"/>
      <w:lang w:val="zh-TW" w:eastAsia="zh-TW" w:bidi="zh-TW"/>
    </w:rPr>
  </w:style>
  <w:style w:type="character" w:customStyle="1" w:styleId="15">
    <w:name w:val="Body text|2_"/>
    <w:basedOn w:val="6"/>
    <w:link w:val="16"/>
    <w:autoRedefine/>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autoRedefine/>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autoRedefine/>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autoRedefine/>
    <w:qFormat/>
    <w:uiPriority w:val="0"/>
    <w:rPr>
      <w:b/>
      <w:bCs/>
      <w:sz w:val="17"/>
      <w:szCs w:val="17"/>
      <w:u w:val="none"/>
      <w:shd w:val="clear" w:color="auto" w:fill="auto"/>
      <w:lang w:val="zh-TW" w:eastAsia="zh-TW" w:bidi="zh-TW"/>
    </w:rPr>
  </w:style>
  <w:style w:type="paragraph" w:customStyle="1" w:styleId="20">
    <w:name w:val="Header or footer|1"/>
    <w:basedOn w:val="1"/>
    <w:link w:val="19"/>
    <w:autoRedefine/>
    <w:qFormat/>
    <w:uiPriority w:val="0"/>
    <w:rPr>
      <w:b/>
      <w:bCs/>
      <w:sz w:val="17"/>
      <w:szCs w:val="17"/>
      <w:lang w:val="zh-TW" w:eastAsia="zh-TW" w:bidi="zh-TW"/>
    </w:rPr>
  </w:style>
  <w:style w:type="character" w:customStyle="1" w:styleId="21">
    <w:name w:val="Heading #2|1_"/>
    <w:basedOn w:val="6"/>
    <w:link w:val="22"/>
    <w:autoRedefine/>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autoRedefine/>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autoRedefine/>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autoRedefine/>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autoRedefine/>
    <w:qFormat/>
    <w:uiPriority w:val="0"/>
    <w:rPr>
      <w:rFonts w:ascii="宋体" w:hAnsi="宋体" w:eastAsia="宋体" w:cs="宋体"/>
      <w:sz w:val="17"/>
      <w:szCs w:val="17"/>
      <w:lang w:val="zh-TW" w:eastAsia="zh-TW" w:bidi="zh-TW"/>
    </w:rPr>
  </w:style>
  <w:style w:type="character" w:customStyle="1" w:styleId="27">
    <w:name w:val="Body text|4_"/>
    <w:basedOn w:val="6"/>
    <w:link w:val="28"/>
    <w:autoRedefine/>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autoRedefine/>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autoRedefine/>
    <w:qFormat/>
    <w:uiPriority w:val="0"/>
    <w:rPr>
      <w:sz w:val="30"/>
      <w:szCs w:val="30"/>
      <w:u w:val="none"/>
      <w:shd w:val="clear" w:color="auto" w:fill="auto"/>
      <w:lang w:val="zh-TW" w:eastAsia="zh-TW" w:bidi="zh-TW"/>
    </w:rPr>
  </w:style>
  <w:style w:type="paragraph" w:customStyle="1" w:styleId="30">
    <w:name w:val="Body text|3"/>
    <w:basedOn w:val="1"/>
    <w:link w:val="29"/>
    <w:autoRedefine/>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37.2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文化旅游体育与传媒支出</c:v>
                </c:pt>
                <c:pt idx="2">
                  <c:v>社会保障和就业支出</c:v>
                </c:pt>
                <c:pt idx="3">
                  <c:v>住房保障支出</c:v>
                </c:pt>
              </c:strCache>
            </c:strRef>
          </c:cat>
          <c:val>
            <c:numRef>
              <c:f>Sheet1!$B$2:$B$5</c:f>
              <c:numCache>
                <c:formatCode>General</c:formatCode>
                <c:ptCount val="4"/>
                <c:pt idx="0">
                  <c:v>0.35</c:v>
                </c:pt>
                <c:pt idx="1">
                  <c:v>28.84</c:v>
                </c:pt>
                <c:pt idx="2">
                  <c:v>4.28</c:v>
                </c:pt>
                <c:pt idx="3">
                  <c:v>3.73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30.91</c:v>
                </c:pt>
                <c:pt idx="1">
                  <c:v>30.91</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37.2</c:v>
                </c:pt>
                <c:pt idx="1">
                  <c:v>37.2</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37.2</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1.07</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36.13</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36.13</c:v>
                </c:pt>
                <c:pt idx="1">
                  <c:v>1.07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Sheet1!$B$2:$B$4</c:f>
              <c:numCache>
                <c:formatCode>General</c:formatCode>
                <c:ptCount val="3"/>
                <c:pt idx="0">
                  <c:v>0</c:v>
                </c:pt>
                <c:pt idx="1">
                  <c:v>0</c:v>
                </c:pt>
                <c:pt idx="2">
                  <c:v>0</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公务接待费预算</c:v>
                </c:pt>
                <c:pt idx="2">
                  <c:v>因公出国（境）经费预算</c:v>
                </c:pt>
              </c:strCache>
            </c:strRef>
          </c:cat>
          <c:val>
            <c:numRef>
              <c:f>Sheet1!$C$2:$C$4</c:f>
              <c:numCache>
                <c:formatCode>General</c:formatCode>
                <c:ptCount val="3"/>
                <c:pt idx="0">
                  <c:v>0</c:v>
                </c:pt>
                <c:pt idx="1">
                  <c:v>0</c:v>
                </c:pt>
                <c:pt idx="2">
                  <c:v>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88404FF73E4A4D02B71DC44154D3F401_13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Office_12.1.0.16120_F1E327BC-269C-435d-A152-05C5408002CA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2024-02-27T09:38:28Z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fbb3b9-842c-4254-8d5e-d14db3224067}">
  <ds:schemaRefs/>
</ds:datastoreItem>
</file>

<file path=customXml/itemProps3.xml><?xml version="1.0" encoding="utf-8"?>
<ds:datastoreItem xmlns:ds="http://schemas.openxmlformats.org/officeDocument/2006/customXml" ds:itemID="{49af3573-847b-42eb-8e9a-ac2ebeec579f}">
  <ds:schemaRefs/>
</ds:datastoreItem>
</file>

<file path=customXml/itemProps4.xml><?xml version="1.0" encoding="utf-8"?>
<ds:datastoreItem xmlns:ds="http://schemas.openxmlformats.org/officeDocument/2006/customXml" ds:itemID="{c8ec4b62-61fe-4205-9d3e-0e8ca60bbcf1}">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BANK.</cp:lastModifiedBy>
  <cp:lastPrinted>2024-03-01T02:35:03Z</cp:lastPrinted>
  <dcterms:modified xsi:type="dcterms:W3CDTF">2024-03-01T02:35:16Z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22E19F02218A47E8B3A1B9D2B4513DCF_12</vt:lpwstr>
  </property>
</Properties>
</file>