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sz w:val="56"/>
          <w:szCs w:val="56"/>
          <w:lang w:eastAsia="zh-CN"/>
        </w:rPr>
      </w:pPr>
      <w:r>
        <w:rPr>
          <w:rFonts w:hint="eastAsia"/>
          <w:sz w:val="56"/>
          <w:szCs w:val="56"/>
          <w:lang w:eastAsia="zh-CN"/>
        </w:rPr>
        <w:t>环江毛南族</w:t>
      </w:r>
      <w:bookmarkStart w:id="43" w:name="_GoBack"/>
      <w:bookmarkEnd w:id="43"/>
      <w:r>
        <w:rPr>
          <w:rFonts w:hint="eastAsia"/>
          <w:sz w:val="56"/>
          <w:szCs w:val="56"/>
          <w:lang w:eastAsia="zh-CN"/>
        </w:rPr>
        <w:t>自治县长美乡爱洞村村民委员会</w:t>
      </w:r>
    </w:p>
    <w:p>
      <w:pPr>
        <w:pStyle w:val="6"/>
        <w:jc w:val="center"/>
        <w:rPr>
          <w:sz w:val="56"/>
          <w:szCs w:val="56"/>
        </w:rPr>
        <w:sectPr>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eastAsia="zh-CN"/>
        </w:rPr>
        <w:t>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p>
    <w:p>
      <w:pPr>
        <w:pStyle w:val="7"/>
        <w:keepNext/>
        <w:keepLines/>
        <w:spacing w:after="240"/>
        <w:jc w:val="center"/>
      </w:pPr>
      <w:bookmarkStart w:id="0" w:name="bookmark2"/>
      <w:bookmarkStart w:id="1" w:name="bookmark0"/>
      <w:bookmarkStart w:id="2" w:name="bookmark1"/>
      <w:r>
        <w:t>目录</w:t>
      </w:r>
      <w:bookmarkEnd w:id="0"/>
      <w:bookmarkEnd w:id="1"/>
      <w:bookmarkEnd w:id="2"/>
    </w:p>
    <w:p>
      <w:pPr>
        <w:pStyle w:val="8"/>
        <w:ind w:left="0" w:leftChars="0" w:firstLine="320" w:firstLineChars="100"/>
        <w:jc w:val="left"/>
      </w:pPr>
      <w:r>
        <w:t>第一部分</w:t>
      </w:r>
      <w:r>
        <w:rPr>
          <w:rFonts w:hint="eastAsia"/>
          <w:lang w:eastAsia="zh-CN"/>
        </w:rPr>
        <w:t>：</w:t>
      </w:r>
      <w:r>
        <w:rPr>
          <w:u w:color="auto"/>
        </w:rPr>
        <w:t>环江毛南族自治县长美乡爱洞村村民委员会单位</w:t>
      </w:r>
      <w:r>
        <w:t>概况</w:t>
      </w:r>
    </w:p>
    <w:p>
      <w:pPr>
        <w:pStyle w:val="8"/>
        <w:jc w:val="left"/>
      </w:pPr>
      <w:r>
        <w:rPr>
          <w:lang w:val="en-US" w:eastAsia="zh-CN" w:bidi="en-US"/>
        </w:rPr>
        <w:t>—</w:t>
      </w:r>
      <w:r>
        <w:t>、主要职责</w:t>
      </w:r>
    </w:p>
    <w:p>
      <w:pPr>
        <w:pStyle w:val="8"/>
        <w:jc w:val="left"/>
        <w:rPr>
          <w:rFonts w:hint="eastAsia"/>
        </w:rPr>
      </w:pPr>
      <w:r>
        <w:rPr>
          <w:rFonts w:hint="eastAsia"/>
          <w:lang w:val="en-US" w:eastAsia="zh-CN"/>
        </w:rPr>
        <w:t>二、</w:t>
      </w:r>
      <w:r>
        <w:rPr>
          <w:rFonts w:hint="eastAsia"/>
        </w:rPr>
        <w:t>机构设置情况</w:t>
      </w:r>
    </w:p>
    <w:p>
      <w:pPr>
        <w:pStyle w:val="8"/>
        <w:ind w:left="0" w:leftChars="0" w:firstLine="320" w:firstLineChars="100"/>
        <w:jc w:val="left"/>
      </w:pPr>
      <w:r>
        <w:t>第二部分</w:t>
      </w:r>
      <w:r>
        <w:rPr>
          <w:rFonts w:hint="eastAsia"/>
          <w:lang w:eastAsia="zh-CN"/>
        </w:rPr>
        <w:t>：</w:t>
      </w:r>
      <w:r>
        <w:rPr>
          <w:u w:color="auto"/>
        </w:rPr>
        <w:t>环江毛南族自治县长美乡爱洞村村民委员会2024</w:t>
      </w:r>
      <w:r>
        <w:t>部门预算情况说明</w:t>
      </w:r>
    </w:p>
    <w:p>
      <w:pPr>
        <w:pStyle w:val="8"/>
        <w:numPr>
          <w:ilvl w:val="0"/>
          <w:numId w:val="0"/>
        </w:numPr>
        <w:ind w:firstLine="640" w:firstLineChars="200"/>
        <w:jc w:val="left"/>
        <w:rPr>
          <w:rFonts w:hint="eastAsia"/>
        </w:rPr>
      </w:pPr>
      <w:r>
        <w:rPr>
          <w:rFonts w:hint="eastAsia"/>
        </w:rPr>
        <w:t>一、部门收支总体情况说明</w:t>
      </w:r>
    </w:p>
    <w:p>
      <w:pPr>
        <w:pStyle w:val="8"/>
        <w:numPr>
          <w:ilvl w:val="0"/>
          <w:numId w:val="0"/>
        </w:numPr>
        <w:ind w:firstLine="640" w:firstLineChars="200"/>
        <w:jc w:val="left"/>
        <w:rPr>
          <w:rFonts w:hint="eastAsia"/>
        </w:rPr>
      </w:pPr>
      <w:r>
        <w:rPr>
          <w:rFonts w:hint="eastAsia"/>
        </w:rPr>
        <w:t>二、部门收入总体情况说明</w:t>
      </w:r>
    </w:p>
    <w:p>
      <w:pPr>
        <w:pStyle w:val="8"/>
        <w:numPr>
          <w:ilvl w:val="0"/>
          <w:numId w:val="0"/>
        </w:numPr>
        <w:ind w:firstLine="640" w:firstLineChars="200"/>
        <w:jc w:val="left"/>
        <w:rPr>
          <w:rFonts w:hint="eastAsia"/>
        </w:rPr>
      </w:pPr>
      <w:r>
        <w:rPr>
          <w:rFonts w:hint="eastAsia"/>
        </w:rPr>
        <w:t>三、部门支出总体情况说明</w:t>
      </w:r>
    </w:p>
    <w:p>
      <w:pPr>
        <w:pStyle w:val="8"/>
        <w:numPr>
          <w:ilvl w:val="0"/>
          <w:numId w:val="0"/>
        </w:numPr>
        <w:ind w:firstLine="640" w:firstLineChars="200"/>
        <w:jc w:val="left"/>
        <w:rPr>
          <w:rFonts w:hint="eastAsia"/>
        </w:rPr>
      </w:pPr>
      <w:r>
        <w:rPr>
          <w:rFonts w:hint="eastAsia"/>
        </w:rPr>
        <w:t>四、财政拨款收支总体情况说明</w:t>
      </w:r>
    </w:p>
    <w:p>
      <w:pPr>
        <w:pStyle w:val="8"/>
        <w:numPr>
          <w:ilvl w:val="0"/>
          <w:numId w:val="0"/>
        </w:numPr>
        <w:ind w:firstLine="640" w:firstLineChars="200"/>
        <w:jc w:val="left"/>
        <w:rPr>
          <w:rFonts w:hint="eastAsia"/>
        </w:rPr>
      </w:pPr>
      <w:r>
        <w:rPr>
          <w:rFonts w:hint="eastAsia"/>
        </w:rPr>
        <w:t>五、一般公共预算支出情况说明</w:t>
      </w:r>
    </w:p>
    <w:p>
      <w:pPr>
        <w:pStyle w:val="8"/>
        <w:numPr>
          <w:ilvl w:val="0"/>
          <w:numId w:val="0"/>
        </w:numPr>
        <w:ind w:firstLine="640" w:firstLineChars="200"/>
        <w:jc w:val="left"/>
        <w:rPr>
          <w:rFonts w:hint="eastAsia"/>
        </w:rPr>
      </w:pPr>
      <w:r>
        <w:rPr>
          <w:rFonts w:hint="eastAsia"/>
        </w:rPr>
        <w:t>六、一般公共预算基本支出情况说明</w:t>
      </w:r>
    </w:p>
    <w:p>
      <w:pPr>
        <w:pStyle w:val="8"/>
        <w:numPr>
          <w:ilvl w:val="0"/>
          <w:numId w:val="0"/>
        </w:numPr>
        <w:ind w:firstLine="640" w:firstLineChars="200"/>
        <w:jc w:val="left"/>
        <w:rPr>
          <w:rFonts w:hint="eastAsia"/>
        </w:rPr>
      </w:pPr>
      <w:r>
        <w:rPr>
          <w:rFonts w:hint="eastAsia"/>
        </w:rPr>
        <w:t>七、一般公共预算“三公”经费支出情况说明</w:t>
      </w:r>
    </w:p>
    <w:p>
      <w:pPr>
        <w:pStyle w:val="8"/>
        <w:numPr>
          <w:ilvl w:val="0"/>
          <w:numId w:val="0"/>
        </w:numPr>
        <w:ind w:firstLine="640" w:firstLineChars="200"/>
        <w:jc w:val="left"/>
        <w:rPr>
          <w:rFonts w:hint="eastAsia"/>
        </w:rPr>
      </w:pPr>
      <w:r>
        <w:rPr>
          <w:rFonts w:hint="eastAsia"/>
        </w:rPr>
        <w:t>八、政府性基金预算支出情况说明</w:t>
      </w:r>
    </w:p>
    <w:p>
      <w:pPr>
        <w:pStyle w:val="8"/>
        <w:numPr>
          <w:ilvl w:val="0"/>
          <w:numId w:val="0"/>
        </w:numPr>
        <w:ind w:firstLine="640" w:firstLineChars="200"/>
        <w:jc w:val="left"/>
        <w:rPr>
          <w:rFonts w:hint="eastAsia"/>
        </w:rPr>
      </w:pPr>
      <w:r>
        <w:rPr>
          <w:rFonts w:hint="eastAsia"/>
        </w:rPr>
        <w:t>九、国有资本经营预算支出情况说明</w:t>
      </w:r>
    </w:p>
    <w:p>
      <w:pPr>
        <w:pStyle w:val="8"/>
        <w:numPr>
          <w:ilvl w:val="0"/>
          <w:numId w:val="0"/>
        </w:numPr>
        <w:ind w:firstLine="640" w:firstLineChars="200"/>
        <w:jc w:val="left"/>
      </w:pPr>
      <w:r>
        <w:rPr>
          <w:rFonts w:hint="eastAsia"/>
        </w:rPr>
        <w:t>十、其他重要事项情况说明</w:t>
      </w:r>
    </w:p>
    <w:p>
      <w:pPr>
        <w:pStyle w:val="8"/>
        <w:ind w:left="0" w:leftChars="0" w:firstLine="320" w:firstLineChars="100"/>
        <w:jc w:val="left"/>
      </w:pPr>
      <w:r>
        <w:t>第三部分</w:t>
      </w:r>
      <w:r>
        <w:rPr>
          <w:rFonts w:hint="eastAsia"/>
          <w:lang w:eastAsia="zh-CN"/>
        </w:rPr>
        <w:t>：</w:t>
      </w:r>
      <w:r>
        <w:rPr>
          <w:u w:color="auto"/>
        </w:rPr>
        <w:t>环江毛南族自治县长美乡爱洞村村民委员会2024</w:t>
      </w:r>
      <w:r>
        <w:rPr>
          <w:rFonts w:ascii="Times New Roman" w:hAnsi="Times New Roman" w:cs="Times New Roman"/>
          <w:u w:color="auto"/>
        </w:rPr>
        <w:t>年</w:t>
      </w:r>
      <w:r>
        <w:t>部门预算</w:t>
      </w:r>
      <w:r>
        <w:rPr>
          <w:rFonts w:hint="eastAsia"/>
          <w:lang w:val="en-US" w:eastAsia="zh-CN"/>
        </w:rPr>
        <w:t>相关报</w:t>
      </w:r>
      <w:r>
        <w:t>表</w:t>
      </w:r>
    </w:p>
    <w:p>
      <w:pPr>
        <w:pStyle w:val="8"/>
        <w:jc w:val="left"/>
        <w:rPr>
          <w:rFonts w:hint="eastAsia"/>
        </w:rPr>
      </w:pPr>
      <w:r>
        <w:rPr>
          <w:rFonts w:hint="eastAsia"/>
        </w:rPr>
        <w:t>一、部门收支总体情况表</w:t>
      </w:r>
    </w:p>
    <w:p>
      <w:pPr>
        <w:pStyle w:val="8"/>
        <w:jc w:val="left"/>
        <w:rPr>
          <w:rFonts w:hint="eastAsia"/>
        </w:rPr>
      </w:pPr>
      <w:r>
        <w:rPr>
          <w:rFonts w:hint="eastAsia"/>
        </w:rPr>
        <w:t>二、部门收入总体情况表</w:t>
      </w:r>
    </w:p>
    <w:p>
      <w:pPr>
        <w:pStyle w:val="8"/>
        <w:jc w:val="left"/>
        <w:rPr>
          <w:rFonts w:hint="eastAsia"/>
        </w:rPr>
      </w:pPr>
      <w:r>
        <w:rPr>
          <w:rFonts w:hint="eastAsia"/>
        </w:rPr>
        <w:t>三、部门支出总体情况表</w:t>
      </w:r>
    </w:p>
    <w:p>
      <w:pPr>
        <w:pStyle w:val="8"/>
        <w:jc w:val="left"/>
        <w:rPr>
          <w:rFonts w:hint="eastAsia"/>
        </w:rPr>
      </w:pPr>
      <w:r>
        <w:rPr>
          <w:rFonts w:hint="eastAsia"/>
        </w:rPr>
        <w:t>四、财政拨款收支总体情况表</w:t>
      </w:r>
    </w:p>
    <w:p>
      <w:pPr>
        <w:pStyle w:val="8"/>
        <w:jc w:val="left"/>
        <w:rPr>
          <w:rFonts w:hint="eastAsia"/>
        </w:rPr>
      </w:pPr>
      <w:r>
        <w:rPr>
          <w:rFonts w:hint="eastAsia"/>
        </w:rPr>
        <w:t>五、一般公共预算支出情况表</w:t>
      </w:r>
    </w:p>
    <w:p>
      <w:pPr>
        <w:pStyle w:val="8"/>
        <w:jc w:val="left"/>
        <w:rPr>
          <w:rFonts w:hint="eastAsia"/>
        </w:rPr>
      </w:pPr>
      <w:r>
        <w:rPr>
          <w:rFonts w:hint="eastAsia"/>
        </w:rPr>
        <w:t>六、一般公共预算基本支出情况表</w:t>
      </w:r>
    </w:p>
    <w:p>
      <w:pPr>
        <w:pStyle w:val="8"/>
        <w:jc w:val="left"/>
        <w:rPr>
          <w:rFonts w:hint="eastAsia"/>
        </w:rPr>
      </w:pPr>
      <w:r>
        <w:rPr>
          <w:rFonts w:hint="eastAsia"/>
        </w:rPr>
        <w:t>七、一般公开预算“三公”经费支出情况表</w:t>
      </w:r>
    </w:p>
    <w:p>
      <w:pPr>
        <w:pStyle w:val="8"/>
        <w:jc w:val="left"/>
        <w:rPr>
          <w:rFonts w:hint="eastAsia"/>
        </w:rPr>
      </w:pPr>
      <w:r>
        <w:rPr>
          <w:rFonts w:hint="eastAsia"/>
        </w:rPr>
        <w:t>八、政府性基金预算支出情况表</w:t>
      </w:r>
    </w:p>
    <w:p>
      <w:pPr>
        <w:pStyle w:val="8"/>
        <w:jc w:val="left"/>
        <w:rPr>
          <w:rFonts w:hint="eastAsia"/>
        </w:rPr>
      </w:pPr>
      <w:r>
        <w:rPr>
          <w:rFonts w:hint="eastAsia"/>
        </w:rPr>
        <w:t>九、国有资本经营预算支出情况表</w:t>
      </w:r>
    </w:p>
    <w:p>
      <w:pPr>
        <w:pStyle w:val="8"/>
        <w:jc w:val="left"/>
        <w:rPr>
          <w:rFonts w:hint="eastAsia" w:eastAsia="宋体"/>
          <w:lang w:eastAsia="zh-CN"/>
        </w:rPr>
      </w:pPr>
      <w:r>
        <w:rPr>
          <w:rFonts w:hint="eastAsia"/>
        </w:rPr>
        <w:t>十、2024年度预算项目绩效目标公开表</w:t>
      </w:r>
    </w:p>
    <w:p>
      <w:pPr>
        <w:pStyle w:val="8"/>
        <w:ind w:left="0" w:leftChars="0" w:firstLine="320" w:firstLineChars="100"/>
        <w:jc w:val="left"/>
        <w:rPr>
          <w:rFonts w:hint="eastAsia" w:eastAsia="宋体"/>
          <w:lang w:eastAsia="zh-CN"/>
        </w:rPr>
        <w:sectPr>
          <w:footerReference r:id="rId3"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t>第四部分</w:t>
      </w:r>
      <w:r>
        <w:rPr>
          <w:rFonts w:hint="eastAsia"/>
          <w:lang w:eastAsia="zh-CN"/>
        </w:rPr>
        <w:t>：</w:t>
      </w:r>
      <w:r>
        <w:t>名词</w:t>
      </w:r>
      <w:r>
        <w:rPr>
          <w:rFonts w:hint="eastAsia"/>
          <w:lang w:val="en-US" w:eastAsia="zh-CN"/>
        </w:rPr>
        <w:t>解释</w:t>
      </w:r>
    </w:p>
    <w:p>
      <w:pPr>
        <w:pStyle w:val="7"/>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3"/>
      <w:bookmarkStart w:id="5" w:name="bookmark12"/>
      <w:r>
        <w:rPr>
          <w:b/>
          <w:bCs/>
          <w:sz w:val="40"/>
          <w:szCs w:val="40"/>
        </w:rPr>
        <w:t>第一部分</w:t>
      </w:r>
      <w:r>
        <w:rPr>
          <w:rFonts w:hint="eastAsia"/>
          <w:b/>
          <w:bCs/>
          <w:sz w:val="40"/>
          <w:szCs w:val="40"/>
          <w:lang w:eastAsia="zh-CN"/>
        </w:rPr>
        <w:t>：</w:t>
      </w:r>
      <w:r>
        <w:rPr>
          <w:b/>
          <w:sz w:val="40"/>
          <w:u w:color="auto"/>
        </w:rPr>
        <w:t>环江毛南族自治县长美乡爱洞村村民委员会</w:t>
      </w:r>
      <w:r>
        <w:rPr>
          <w:b/>
          <w:bCs/>
          <w:sz w:val="40"/>
          <w:szCs w:val="40"/>
        </w:rPr>
        <w:t>概况</w:t>
      </w:r>
      <w:bookmarkEnd w:id="3"/>
      <w:bookmarkEnd w:id="4"/>
      <w:bookmarkEnd w:id="5"/>
    </w:p>
    <w:p>
      <w:pPr>
        <w:pStyle w:val="8"/>
        <w:spacing w:after="0" w:line="619" w:lineRule="exact"/>
        <w:ind w:firstLine="620"/>
        <w:jc w:val="left"/>
        <w:rPr>
          <w:b/>
          <w:bCs/>
        </w:rPr>
      </w:pPr>
      <w:r>
        <w:rPr>
          <w:rFonts w:hint="eastAsia"/>
          <w:b/>
          <w:bCs/>
          <w:lang w:val="en-US" w:eastAsia="zh-CN"/>
        </w:rPr>
        <w:t>一、</w:t>
      </w:r>
      <w:r>
        <w:rPr>
          <w:b/>
          <w:bCs/>
        </w:rPr>
        <w:t>主要职责</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1）宣传贯彻宪法、法律、法规和国家的政策，维护村民合法权益，教育和推动村民履行法律、法规规定的义务，发展文化教育，普及科技知识，促进村和村之间的团结、互助，开展多种形式的社会主义精神文明建设活动；</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（2）依照法律规定，管理本村属于村农民集体所有的土地、和其他财产，教育村民合理利用自然资源，保护和改善生态环境；</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（3）支持和组织村民依法发展各种形式的合作经济和其他经济，承担本村生产的服务和协调工作，促进农村生产和社会主义市场经济的发展；</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4）尊重村集体经济组织依法独立进行经济活动的自主权，维护以家庭承包经营为基础，统分结合的双层经营体制，保障集体经济组织和村民、承包经营户、联户或者合伙的合法的财产权和其他合法的权利和利益；</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（5）举办和管理本村的公共事务和公益事业；</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（6）组织实施本村的建设规划，兴修水利、道路等基础设施，指导村民建设住宅；</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（7）依法调解民间纠纷，协助维护本村的社会治安，向人民政府反映村民的意见要求和提出建议；</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（8）向村民会议或者村民代表会议报告工作并接受评议，执行村民会议或者村民代表会议的决议、议定；</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（9）建立健全村务公开和民主管理制度；</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（10）完成上级业务部门和乡党委、政府交给的其他工作任务。</w:t>
      </w:r>
    </w:p>
    <w:p>
      <w:pPr>
        <w:pStyle w:val="8"/>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9"/>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本部门由1个财政拨款预算单位（即长美乡爱洞村村民委员会）组成。</w:t>
      </w:r>
    </w:p>
    <w:p>
      <w:pPr>
        <w:pStyle w:val="9"/>
        <w:spacing w:line="623" w:lineRule="exact"/>
        <w:ind w:firstLine="1018" w:firstLineChars="0"/>
        <w:jc w:val="left"/>
        <w:rPr>
          <w:rFonts w:hint="eastAsia"/>
          <w:highlight w:val="none"/>
          <w:lang w:val="en-US" w:eastAsia="zh-CN"/>
        </w:rPr>
      </w:pPr>
    </w:p>
    <w:p>
      <w:pPr>
        <w:pStyle w:val="9"/>
        <w:spacing w:line="623" w:lineRule="exact"/>
        <w:ind w:firstLine="1018" w:firstLineChars="0"/>
        <w:jc w:val="left"/>
        <w:rPr>
          <w:rFonts w:hint="eastAsia"/>
          <w:highlight w:val="none"/>
          <w:lang w:val="en-US" w:eastAsia="zh-CN"/>
        </w:rPr>
      </w:pPr>
    </w:p>
    <w:p>
      <w:r>
        <w:br w:type="page"/>
      </w:r>
    </w:p>
    <w:p>
      <w:pPr>
        <w:pStyle w:val="7"/>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7"/>
      <w:bookmarkStart w:id="11" w:name="bookmark28"/>
      <w:bookmarkStart w:id="12" w:name="bookmark26"/>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环江毛南族自治县长美乡爱洞村村民委员会</w:t>
      </w:r>
      <w:r>
        <w:rPr>
          <w:b/>
          <w:sz w:val="40"/>
          <w:u w:color="auto"/>
        </w:rPr>
        <w:t>2024年部门预算情况说明</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169.46</w:t>
      </w:r>
      <w:r>
        <w:rPr>
          <w:rFonts w:hint="eastAsia"/>
          <w:b w:val="0"/>
          <w:bCs w:val="0"/>
          <w:sz w:val="28"/>
          <w:szCs w:val="28"/>
        </w:rPr>
        <w:t>万元，总支出</w:t>
      </w:r>
      <w:r>
        <w:rPr>
          <w:rFonts w:hint="eastAsia"/>
          <w:sz w:val="28"/>
          <w:szCs w:val="28"/>
          <w:lang w:val="en-US" w:eastAsia="zh-CN"/>
        </w:rPr>
        <w:t>169.46</w:t>
      </w:r>
      <w:r>
        <w:rPr>
          <w:rFonts w:hint="eastAsia"/>
          <w:b w:val="0"/>
          <w:bCs w:val="0"/>
          <w:sz w:val="28"/>
          <w:szCs w:val="28"/>
        </w:rPr>
        <w:t>万元。总收入较2023年度预算数</w:t>
      </w:r>
      <w:r>
        <w:rPr>
          <w:rFonts w:hint="eastAsia"/>
          <w:sz w:val="28"/>
          <w:szCs w:val="28"/>
          <w:lang w:val="en-US" w:eastAsia="zh-CN"/>
        </w:rPr>
        <w:t>159.33</w:t>
      </w:r>
      <w:r>
        <w:rPr>
          <w:rFonts w:hint="eastAsia"/>
          <w:b w:val="0"/>
          <w:bCs w:val="0"/>
          <w:sz w:val="28"/>
          <w:szCs w:val="28"/>
        </w:rPr>
        <w:t>万元，</w:t>
      </w:r>
      <w:r>
        <w:rPr>
          <w:rFonts w:hint="eastAsia"/>
          <w:sz w:val="28"/>
          <w:szCs w:val="28"/>
        </w:rPr>
        <w:t>增加10.13</w:t>
      </w:r>
      <w:r>
        <w:rPr>
          <w:rFonts w:hint="eastAsia"/>
          <w:b w:val="0"/>
          <w:bCs w:val="0"/>
          <w:sz w:val="28"/>
          <w:szCs w:val="28"/>
        </w:rPr>
        <w:t>万元，</w:t>
      </w:r>
      <w:r>
        <w:rPr>
          <w:rFonts w:hint="eastAsia"/>
          <w:sz w:val="28"/>
          <w:szCs w:val="28"/>
        </w:rPr>
        <w:t>增长6.36%</w:t>
      </w:r>
      <w:r>
        <w:rPr>
          <w:rFonts w:hint="eastAsia"/>
          <w:b w:val="0"/>
          <w:bCs w:val="0"/>
          <w:sz w:val="28"/>
          <w:szCs w:val="28"/>
        </w:rPr>
        <w:t>，主要原因是</w:t>
      </w:r>
      <w:r>
        <w:rPr>
          <w:rFonts w:hint="eastAsia"/>
          <w:highlight w:val="none"/>
          <w:lang w:val="en-US" w:eastAsia="zh-CN"/>
        </w:rPr>
        <w:t>村干部人员变动、工资福利变化及党建星级村变化影响经费增加</w:t>
      </w:r>
      <w:r>
        <w:rPr>
          <w:rFonts w:hint="eastAsia"/>
          <w:b w:val="0"/>
          <w:bCs w:val="0"/>
          <w:sz w:val="28"/>
          <w:szCs w:val="28"/>
        </w:rPr>
        <w:t>。总支出较2023年度预算数</w:t>
      </w:r>
      <w:r>
        <w:rPr>
          <w:rFonts w:hint="eastAsia"/>
          <w:sz w:val="28"/>
          <w:szCs w:val="28"/>
          <w:lang w:val="en-US" w:eastAsia="zh-CN"/>
        </w:rPr>
        <w:t>159.33</w:t>
      </w:r>
      <w:r>
        <w:rPr>
          <w:rFonts w:hint="eastAsia"/>
          <w:b w:val="0"/>
          <w:bCs w:val="0"/>
          <w:sz w:val="28"/>
          <w:szCs w:val="28"/>
        </w:rPr>
        <w:t>万元，</w:t>
      </w:r>
      <w:r>
        <w:rPr>
          <w:rFonts w:hint="eastAsia"/>
          <w:sz w:val="28"/>
          <w:szCs w:val="28"/>
        </w:rPr>
        <w:t>增加10.13</w:t>
      </w:r>
      <w:r>
        <w:rPr>
          <w:rFonts w:hint="eastAsia"/>
          <w:b w:val="0"/>
          <w:bCs w:val="0"/>
          <w:sz w:val="28"/>
          <w:szCs w:val="28"/>
        </w:rPr>
        <w:t>万元，</w:t>
      </w:r>
      <w:r>
        <w:rPr>
          <w:rFonts w:hint="eastAsia"/>
          <w:sz w:val="28"/>
          <w:szCs w:val="28"/>
        </w:rPr>
        <w:t>增长6.36%</w:t>
      </w:r>
      <w:r>
        <w:rPr>
          <w:rFonts w:hint="eastAsia"/>
          <w:b w:val="0"/>
          <w:bCs w:val="0"/>
          <w:sz w:val="28"/>
          <w:szCs w:val="28"/>
        </w:rPr>
        <w:t>，主要原因是</w:t>
      </w:r>
      <w:r>
        <w:rPr>
          <w:rFonts w:hint="eastAsia"/>
          <w:highlight w:val="none"/>
          <w:lang w:val="en-US" w:eastAsia="zh-CN"/>
        </w:rPr>
        <w:t>村干部人员变动、工资福利变化及党建星级村变化影响经费增加</w:t>
      </w:r>
      <w:r>
        <w:rPr>
          <w:rFonts w:hint="eastAsia"/>
          <w:b w:val="0"/>
          <w:bCs w:val="0"/>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9"/>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0795"/>
            <wp:docPr id="2575"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169.46</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159.33</w:t>
      </w:r>
      <w:r>
        <w:rPr>
          <w:rFonts w:hint="eastAsia" w:ascii="宋体" w:hAnsi="宋体" w:eastAsia="宋体" w:cs="宋体"/>
          <w:sz w:val="28"/>
          <w:szCs w:val="28"/>
          <w:u w:color="auto"/>
        </w:rPr>
        <w:t>万元，</w:t>
      </w:r>
      <w:r>
        <w:rPr>
          <w:rFonts w:hint="eastAsia" w:ascii="宋体" w:hAnsi="宋体" w:eastAsia="宋体" w:cs="宋体"/>
          <w:sz w:val="28"/>
          <w:szCs w:val="28"/>
        </w:rPr>
        <w:t>增加10.13</w:t>
      </w:r>
      <w:r>
        <w:rPr>
          <w:rFonts w:hint="eastAsia" w:ascii="宋体" w:hAnsi="宋体" w:eastAsia="宋体" w:cs="宋体"/>
          <w:sz w:val="28"/>
          <w:szCs w:val="28"/>
          <w:u w:color="auto"/>
        </w:rPr>
        <w:t>万元，</w:t>
      </w:r>
      <w:r>
        <w:rPr>
          <w:rFonts w:hint="eastAsia" w:ascii="宋体" w:hAnsi="宋体" w:eastAsia="宋体" w:cs="宋体"/>
          <w:sz w:val="28"/>
          <w:szCs w:val="28"/>
        </w:rPr>
        <w:t>增长6.36%</w:t>
      </w:r>
      <w:r>
        <w:rPr>
          <w:rFonts w:hint="eastAsia" w:ascii="宋体" w:hAnsi="宋体" w:eastAsia="宋体" w:cs="宋体"/>
          <w:sz w:val="28"/>
          <w:szCs w:val="28"/>
          <w:u w:color="auto"/>
        </w:rPr>
        <w:t>，主要原因是</w:t>
      </w:r>
      <w:r>
        <w:rPr>
          <w:rFonts w:hint="eastAsia"/>
          <w:highlight w:val="none"/>
          <w:lang w:val="en-US" w:eastAsia="zh-CN"/>
        </w:rPr>
        <w:t>村干部人员变动、工资福利变化及党建星级村变化影响经费增加</w:t>
      </w:r>
      <w:r>
        <w:rPr>
          <w:rFonts w:hint="eastAsia" w:ascii="宋体" w:hAnsi="宋体" w:eastAsia="宋体" w:cs="宋体"/>
          <w:sz w:val="28"/>
          <w:szCs w:val="28"/>
          <w:u w:color="auto"/>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9"/>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5715" b="10795"/>
            <wp:docPr id="2576"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169.46</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159.33</w:t>
      </w:r>
      <w:r>
        <w:rPr>
          <w:rFonts w:hint="eastAsia" w:ascii="宋体" w:hAnsi="宋体" w:eastAsia="宋体" w:cs="宋体"/>
          <w:sz w:val="28"/>
          <w:szCs w:val="28"/>
          <w:lang w:eastAsia="zh-CN"/>
        </w:rPr>
        <w:t>万元，</w:t>
      </w:r>
      <w:r>
        <w:rPr>
          <w:rFonts w:hint="eastAsia" w:ascii="宋体" w:hAnsi="宋体" w:eastAsia="宋体" w:cs="宋体"/>
          <w:sz w:val="28"/>
          <w:szCs w:val="28"/>
        </w:rPr>
        <w:t>增加10.13</w:t>
      </w:r>
      <w:r>
        <w:rPr>
          <w:rFonts w:hint="eastAsia" w:ascii="宋体" w:hAnsi="宋体" w:eastAsia="宋体" w:cs="宋体"/>
          <w:sz w:val="28"/>
          <w:szCs w:val="28"/>
          <w:lang w:eastAsia="zh-CN"/>
        </w:rPr>
        <w:t>万元，</w:t>
      </w:r>
      <w:r>
        <w:rPr>
          <w:rFonts w:hint="eastAsia" w:ascii="宋体" w:hAnsi="宋体" w:eastAsia="宋体" w:cs="宋体"/>
          <w:sz w:val="28"/>
          <w:szCs w:val="28"/>
        </w:rPr>
        <w:t>增长6.36%</w:t>
      </w:r>
      <w:r>
        <w:rPr>
          <w:rFonts w:hint="eastAsia" w:ascii="宋体" w:hAnsi="宋体" w:eastAsia="宋体" w:cs="宋体"/>
          <w:sz w:val="28"/>
          <w:szCs w:val="28"/>
          <w:lang w:eastAsia="zh-CN"/>
        </w:rPr>
        <w:t>，主要原因是</w:t>
      </w:r>
      <w:r>
        <w:rPr>
          <w:rFonts w:hint="eastAsia"/>
          <w:highlight w:val="none"/>
          <w:lang w:val="en-US" w:eastAsia="zh-CN"/>
        </w:rPr>
        <w:t>村干部人员变动、工资福利及党建星级村变化影响经费增加</w:t>
      </w:r>
      <w:r>
        <w:rPr>
          <w:rFonts w:hint="eastAsia" w:ascii="Times New Roman" w:hAnsi="Times New Roman" w:cs="Times New Roman"/>
          <w:sz w:val="30"/>
          <w:szCs w:val="30"/>
          <w:lang w:eastAsia="zh-CN"/>
        </w:rPr>
        <w:t>。主要包括：</w:t>
      </w:r>
      <w:r>
        <w:rPr>
          <w:rFonts w:hint="eastAsia"/>
          <w:highlight w:val="none"/>
          <w:lang w:val="en-US" w:eastAsia="zh-CN"/>
        </w:rPr>
        <w:t>人员变动、工资福利及党建星级村增加</w:t>
      </w:r>
      <w:r>
        <w:rPr>
          <w:rFonts w:hint="eastAsia" w:ascii="Times New Roman" w:hAnsi="Times New Roman" w:cs="Times New Roman"/>
          <w:sz w:val="30"/>
          <w:szCs w:val="30"/>
          <w:lang w:eastAsia="zh-CN"/>
        </w:rPr>
        <w:t>。</w:t>
      </w:r>
    </w:p>
    <w:p>
      <w:pPr>
        <w:pStyle w:val="9"/>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（一）按支出功能分类科目划分，共分为</w:t>
      </w:r>
      <w:r>
        <w:rPr>
          <w:rFonts w:hint="eastAsia"/>
          <w:lang w:val="en-US" w:eastAsia="zh-CN"/>
        </w:rPr>
        <w:t>1</w:t>
      </w:r>
      <w:r>
        <w:t>类，其中:</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1)农林水支出</w:t>
      </w:r>
      <w:r>
        <w:rPr>
          <w:rFonts w:hint="eastAsia"/>
          <w:lang w:val="en-US" w:eastAsia="zh-CN"/>
        </w:rPr>
        <w:t>169.46</w:t>
      </w:r>
      <w:r>
        <w:rPr>
          <w:rFonts w:hint="eastAsia"/>
        </w:rPr>
        <w:t>万元，占支出总预算</w:t>
      </w:r>
      <w:r>
        <w:rPr>
          <w:rFonts w:hint="eastAsia"/>
          <w:lang w:val="en-US" w:eastAsia="zh-CN"/>
        </w:rPr>
        <w:t>100.00%</w:t>
      </w:r>
      <w:r>
        <w:rPr>
          <w:rFonts w:hint="eastAsia"/>
        </w:rPr>
        <w:t>,比上年</w:t>
      </w:r>
      <w:r>
        <w:rPr>
          <w:rFonts w:hint="eastAsia"/>
          <w:lang w:val="en-US" w:eastAsia="zh-CN"/>
        </w:rPr>
        <w:t>增长10.13</w:t>
      </w:r>
      <w:r>
        <w:rPr>
          <w:rFonts w:hint="eastAsia"/>
        </w:rPr>
        <w:t>万元，</w:t>
      </w:r>
      <w:r>
        <w:rPr>
          <w:rFonts w:hint="eastAsia"/>
          <w:lang w:val="en-US" w:eastAsia="zh-CN"/>
        </w:rPr>
        <w:t>增长6.36%</w:t>
      </w:r>
      <w:r>
        <w:rPr>
          <w:rFonts w:hint="eastAsia"/>
        </w:rPr>
        <w:t>,</w:t>
      </w:r>
      <w:r>
        <w:rPr>
          <w:rFonts w:hint="eastAsia"/>
          <w:highlight w:val="none"/>
        </w:rPr>
        <w:t>主要原因是：</w:t>
      </w:r>
      <w:r>
        <w:rPr>
          <w:rFonts w:hint="eastAsia"/>
          <w:highlight w:val="none"/>
          <w:lang w:val="en-US" w:eastAsia="zh-CN"/>
        </w:rPr>
        <w:t>村干部人员变动、工资福利及党建星级村变化影响经费增加</w:t>
      </w:r>
      <w:r>
        <w:rPr>
          <w:rFonts w:hint="eastAsia"/>
          <w:highlight w:val="none"/>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(二)按支出结构分类划分，分为基本支出预算和项目支出预算。</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pPr>
      <w:r>
        <w:t>基本支出预算。</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基本支出预算</w:t>
      </w:r>
      <w:r>
        <w:rPr>
          <w:rFonts w:hint="eastAsia"/>
          <w:lang w:val="en-US" w:eastAsia="zh-CN"/>
        </w:rPr>
        <w:t>169.46</w:t>
      </w:r>
      <w:r>
        <w:rPr>
          <w:rFonts w:hint="eastAsia"/>
        </w:rPr>
        <w:t>万元，占支出预算</w:t>
      </w:r>
      <w:r>
        <w:rPr>
          <w:u w:color="auto"/>
        </w:rPr>
        <w:t>100.00%,比上年增长10.13万元，增长6.36%</w:t>
      </w:r>
      <w:r>
        <w:t>。</w:t>
      </w:r>
      <w:r>
        <w:rPr>
          <w:rFonts w:hint="eastAsia"/>
          <w:lang w:val="en-US" w:eastAsia="zh-CN"/>
        </w:rPr>
        <w:t>其中：</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20.25</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11.95%</w:t>
      </w:r>
      <w:r>
        <w:rPr>
          <w:rFonts w:hint="eastAsia" w:ascii="宋体" w:hAnsi="宋体" w:eastAsia="宋体" w:cs="宋体"/>
          <w:sz w:val="28"/>
          <w:szCs w:val="28"/>
        </w:rPr>
        <w:t>,比上年</w:t>
      </w:r>
      <w:r>
        <w:rPr>
          <w:rFonts w:ascii="宋体" w:hAnsi="宋体" w:eastAsia="宋体" w:cs="宋体"/>
          <w:sz w:val="28"/>
          <w:u w:color="auto"/>
        </w:rPr>
        <w:t>增长0.30万元，增长1.50%,主要原因是：党建星级村增加，相应的商品和服务支出增加</w:t>
      </w:r>
      <w:r>
        <w:rPr>
          <w:rFonts w:hint="eastAsia" w:ascii="宋体" w:hAnsi="宋体" w:eastAsia="宋体" w:cs="宋体"/>
          <w:sz w:val="28"/>
          <w:szCs w:val="28"/>
          <w:lang w:val="en-US" w:eastAsia="zh-CN"/>
        </w:rPr>
        <w:t>。</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2)对个人和家庭的补助</w:t>
      </w:r>
      <w:r>
        <w:rPr>
          <w:rFonts w:hint="eastAsia" w:ascii="宋体" w:hAnsi="宋体" w:eastAsia="宋体" w:cs="宋体"/>
          <w:sz w:val="28"/>
          <w:szCs w:val="28"/>
          <w:lang w:val="en-US" w:eastAsia="zh-CN"/>
        </w:rPr>
        <w:t>149.21</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88.05%</w:t>
      </w:r>
      <w:r>
        <w:rPr>
          <w:rFonts w:hint="eastAsia" w:ascii="宋体" w:hAnsi="宋体" w:eastAsia="宋体" w:cs="宋体"/>
          <w:sz w:val="28"/>
          <w:szCs w:val="28"/>
        </w:rPr>
        <w:t>,比上年</w:t>
      </w:r>
      <w:r>
        <w:rPr>
          <w:rFonts w:ascii="宋体" w:hAnsi="宋体" w:eastAsia="宋体" w:cs="宋体"/>
          <w:sz w:val="28"/>
          <w:u w:color="auto"/>
        </w:rPr>
        <w:t>增长9.83万元，增长7.05%,主要原因是：村干部人员变动、工资福利等基本支出增加</w:t>
      </w:r>
      <w:r>
        <w:rPr>
          <w:rFonts w:hint="eastAsia" w:ascii="宋体" w:hAnsi="宋体" w:eastAsia="宋体" w:cs="宋体"/>
          <w:sz w:val="28"/>
          <w:szCs w:val="28"/>
          <w:lang w:val="en-US" w:eastAsia="zh-CN"/>
        </w:rPr>
        <w:t>。</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项目支出预算</w:t>
      </w:r>
      <w:r>
        <w:rPr>
          <w:rFonts w:hint="eastAsia"/>
          <w:lang w:val="en-US" w:eastAsia="zh-CN"/>
        </w:rPr>
        <w:t>0.00</w:t>
      </w:r>
      <w:r>
        <w:rPr>
          <w:rFonts w:hint="eastAsia"/>
        </w:rPr>
        <w:t>万元，占支出预算</w:t>
      </w:r>
      <w:r>
        <w:rPr>
          <w:u w:color="auto"/>
        </w:rPr>
        <w:t>0.00%</w:t>
      </w:r>
      <w:r>
        <w:rPr>
          <w:rFonts w:hint="eastAsia"/>
        </w:rPr>
        <w:t>,比上年</w:t>
      </w:r>
      <w:r>
        <w:rPr>
          <w:u w:color="auto"/>
        </w:rPr>
        <w:t>增长0.00</w:t>
      </w:r>
      <w:r>
        <w:rPr>
          <w:rFonts w:hint="eastAsia"/>
        </w:rPr>
        <w:t>万元，</w:t>
      </w:r>
      <w:r>
        <w:rPr>
          <w:u w:color="auto"/>
        </w:rPr>
        <w:t>增长0%</w:t>
      </w:r>
      <w:r>
        <w:t>。</w:t>
      </w:r>
    </w:p>
    <w:p>
      <w:pPr>
        <w:pStyle w:val="8"/>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9"/>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577"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169.46</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169.46</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159.33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增加10.13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增长6.36%</w:t>
      </w:r>
      <w:r>
        <w:rPr>
          <w:rFonts w:hint="eastAsia" w:ascii="宋体" w:hAnsi="宋体" w:eastAsia="宋体" w:cs="宋体"/>
          <w:sz w:val="28"/>
          <w:szCs w:val="28"/>
        </w:rPr>
        <w:t>，主要原因是</w:t>
      </w:r>
      <w:r>
        <w:rPr>
          <w:rFonts w:hint="eastAsia"/>
          <w:highlight w:val="none"/>
          <w:lang w:val="en-US" w:eastAsia="zh-CN"/>
        </w:rPr>
        <w:t>村干部人员变动、工资福利及党建星级村变化影响经费增加</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159.33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增加10.13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增长6.36%</w:t>
      </w:r>
      <w:r>
        <w:rPr>
          <w:rFonts w:hint="eastAsia" w:ascii="宋体" w:hAnsi="宋体" w:eastAsia="宋体" w:cs="宋体"/>
          <w:sz w:val="28"/>
          <w:szCs w:val="28"/>
        </w:rPr>
        <w:t>，主要原因是</w:t>
      </w:r>
      <w:r>
        <w:rPr>
          <w:rFonts w:hint="eastAsia"/>
          <w:highlight w:val="none"/>
          <w:lang w:val="en-US" w:eastAsia="zh-CN"/>
        </w:rPr>
        <w:t>村干部人员变动、工资福利及党建星级村变化影响经费增加</w:t>
      </w:r>
      <w:r>
        <w:rPr>
          <w:rFonts w:hint="eastAsia" w:ascii="宋体" w:hAnsi="宋体" w:eastAsia="宋体" w:cs="宋体"/>
          <w:sz w:val="28"/>
          <w:szCs w:val="28"/>
        </w:rPr>
        <w:t>。</w:t>
      </w:r>
    </w:p>
    <w:p>
      <w:pPr>
        <w:pStyle w:val="8"/>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9"/>
        <w:spacing w:line="240" w:lineRule="auto"/>
        <w:ind w:firstLine="0"/>
        <w:jc w:val="left"/>
        <w:rPr>
          <w:lang w:eastAsia="zh-CN"/>
        </w:rPr>
      </w:pPr>
      <w:r>
        <w:rPr>
          <w:lang w:eastAsia="zh-CN"/>
        </w:rPr>
        <w:drawing>
          <wp:inline distT="0" distB="0" distL="114300" distR="114300">
            <wp:extent cx="5080000" cy="3810000"/>
            <wp:effectExtent l="4445" t="4445" r="5715" b="10795"/>
            <wp:docPr id="2578"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169.46</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159.33</w:t>
      </w:r>
      <w:r>
        <w:rPr>
          <w:rFonts w:hint="eastAsia" w:ascii="宋体" w:hAnsi="宋体" w:eastAsia="宋体" w:cs="宋体"/>
          <w:sz w:val="28"/>
          <w:szCs w:val="28"/>
        </w:rPr>
        <w:t>万元，</w:t>
      </w:r>
      <w:r>
        <w:rPr>
          <w:rFonts w:hint="eastAsia" w:ascii="宋体" w:hAnsi="宋体" w:eastAsia="宋体" w:cs="宋体"/>
          <w:sz w:val="28"/>
          <w:szCs w:val="28"/>
          <w:lang w:val="en-US" w:eastAsia="zh-CN"/>
        </w:rPr>
        <w:t>增加10.13</w:t>
      </w:r>
      <w:r>
        <w:rPr>
          <w:rFonts w:hint="eastAsia" w:ascii="宋体" w:hAnsi="宋体" w:eastAsia="宋体" w:cs="宋体"/>
          <w:sz w:val="28"/>
          <w:szCs w:val="28"/>
        </w:rPr>
        <w:t>万元，</w:t>
      </w:r>
      <w:r>
        <w:rPr>
          <w:rFonts w:hint="eastAsia" w:ascii="宋体" w:hAnsi="宋体" w:eastAsia="宋体" w:cs="宋体"/>
          <w:sz w:val="28"/>
          <w:szCs w:val="28"/>
          <w:lang w:val="en-US" w:eastAsia="zh-CN"/>
        </w:rPr>
        <w:t>增长6.36%</w:t>
      </w:r>
      <w:r>
        <w:rPr>
          <w:rFonts w:hint="eastAsia" w:ascii="宋体" w:hAnsi="宋体" w:eastAsia="宋体" w:cs="宋体"/>
          <w:sz w:val="28"/>
          <w:szCs w:val="28"/>
        </w:rPr>
        <w:t>，主要原因是</w:t>
      </w:r>
      <w:r>
        <w:rPr>
          <w:rFonts w:hint="eastAsia"/>
          <w:highlight w:val="none"/>
          <w:lang w:val="en-US" w:eastAsia="zh-CN"/>
        </w:rPr>
        <w:t>村干部人员变动、工资福利及党建星级村变化影响经费增加</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农林水支出（类）支出</w:t>
      </w:r>
      <w:r>
        <w:rPr>
          <w:rFonts w:ascii="宋体" w:hAnsi="宋体" w:eastAsia="宋体" w:cs="宋体"/>
          <w:sz w:val="28"/>
          <w:u w:color="auto"/>
        </w:rPr>
        <w:t>169.46</w:t>
      </w:r>
      <w:r>
        <w:rPr>
          <w:rFonts w:hint="eastAsia" w:ascii="宋体" w:hAnsi="宋体" w:eastAsia="宋体" w:cs="宋体"/>
          <w:sz w:val="28"/>
          <w:szCs w:val="28"/>
        </w:rPr>
        <w:t>万元，占支出总预算的</w:t>
      </w:r>
      <w:r>
        <w:rPr>
          <w:rFonts w:ascii="宋体" w:hAnsi="宋体" w:eastAsia="宋体" w:cs="宋体"/>
          <w:sz w:val="28"/>
          <w:u w:color="auto"/>
        </w:rPr>
        <w:t>100.00%</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159.33</w:t>
      </w:r>
      <w:r>
        <w:rPr>
          <w:rFonts w:hint="eastAsia" w:ascii="宋体" w:hAnsi="宋体" w:eastAsia="宋体" w:cs="宋体"/>
          <w:sz w:val="28"/>
          <w:szCs w:val="28"/>
        </w:rPr>
        <w:t>万元，</w:t>
      </w:r>
      <w:r>
        <w:rPr>
          <w:rFonts w:ascii="宋体" w:hAnsi="宋体" w:eastAsia="宋体" w:cs="宋体"/>
          <w:sz w:val="28"/>
          <w:u w:color="auto"/>
        </w:rPr>
        <w:t>增长10.13</w:t>
      </w:r>
      <w:r>
        <w:rPr>
          <w:rFonts w:hint="eastAsia" w:ascii="宋体" w:hAnsi="宋体" w:eastAsia="宋体" w:cs="宋体"/>
          <w:sz w:val="28"/>
          <w:szCs w:val="28"/>
        </w:rPr>
        <w:t>万元，</w:t>
      </w:r>
      <w:r>
        <w:rPr>
          <w:rFonts w:ascii="宋体" w:hAnsi="宋体" w:eastAsia="宋体" w:cs="宋体"/>
          <w:sz w:val="28"/>
          <w:u w:color="auto"/>
        </w:rPr>
        <w:t>增长6.36%</w:t>
      </w:r>
      <w:r>
        <w:rPr>
          <w:rFonts w:hint="eastAsia" w:ascii="宋体" w:hAnsi="宋体" w:eastAsia="宋体" w:cs="宋体"/>
          <w:sz w:val="28"/>
          <w:szCs w:val="28"/>
        </w:rPr>
        <w:t>，主要原因是：</w:t>
      </w:r>
      <w:r>
        <w:rPr>
          <w:rFonts w:hint="eastAsia"/>
          <w:highlight w:val="none"/>
        </w:rPr>
        <w:t>村干部人员变动、工资福利及党建星级村变化影响经费增加</w:t>
      </w:r>
      <w:r>
        <w:rPr>
          <w:rFonts w:hint="eastAsia" w:ascii="宋体" w:hAnsi="宋体" w:eastAsia="宋体" w:cs="宋体"/>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8"/>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5715" b="10795"/>
            <wp:docPr id="2579"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169.46</w:t>
      </w:r>
      <w:r>
        <w:rPr>
          <w:rFonts w:hint="eastAsia"/>
        </w:rPr>
        <w:t>万元，较2023年度预算数</w:t>
      </w:r>
      <w:r>
        <w:rPr>
          <w:rFonts w:hint="eastAsia"/>
          <w:lang w:val="en-US" w:eastAsia="zh-CN"/>
        </w:rPr>
        <w:t>159.33</w:t>
      </w:r>
      <w:r>
        <w:rPr>
          <w:rFonts w:hint="eastAsia"/>
        </w:rPr>
        <w:t>万元</w:t>
      </w:r>
      <w:r>
        <w:rPr>
          <w:rFonts w:hint="eastAsia"/>
          <w:lang w:val="en-US" w:eastAsia="zh-CN"/>
        </w:rPr>
        <w:t>,</w:t>
      </w:r>
      <w:r>
        <w:rPr>
          <w:u w:color="auto"/>
        </w:rPr>
        <w:t>增加10.13</w:t>
      </w:r>
      <w:r>
        <w:rPr>
          <w:rFonts w:hint="eastAsia"/>
        </w:rPr>
        <w:t>万元，</w:t>
      </w:r>
      <w:r>
        <w:rPr>
          <w:rFonts w:hint="eastAsia"/>
          <w:lang w:val="en-US" w:eastAsia="zh-CN"/>
        </w:rPr>
        <w:t>增长6.36%</w:t>
      </w:r>
      <w:r>
        <w:rPr>
          <w:rFonts w:hint="eastAsia"/>
        </w:rPr>
        <w:t>，主要原因是</w:t>
      </w:r>
      <w:r>
        <w:rPr>
          <w:rFonts w:hint="eastAsia"/>
          <w:highlight w:val="none"/>
          <w:lang w:val="en-US" w:eastAsia="zh-CN"/>
        </w:rPr>
        <w:t>村干部人员变动、工资福利及党建星级村变化影响经费增加</w:t>
      </w:r>
      <w:r>
        <w:rPr>
          <w:rFonts w:hint="eastAsia"/>
        </w:rPr>
        <w:t>。具体情况为：</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20.25</w:t>
      </w:r>
      <w:r>
        <w:t>万元</w:t>
      </w:r>
      <w:r>
        <w:rPr>
          <w:rFonts w:hint="eastAsia"/>
          <w:lang w:eastAsia="zh-CN"/>
        </w:rPr>
        <w:t>，</w:t>
      </w:r>
      <w:r>
        <w:rPr>
          <w:rFonts w:hint="eastAsia"/>
        </w:rPr>
        <w:t>占基本支出预算的</w:t>
      </w:r>
      <w:r>
        <w:rPr>
          <w:rFonts w:hint="eastAsia"/>
          <w:lang w:val="en-US" w:eastAsia="zh-CN"/>
        </w:rPr>
        <w:t>11.95%</w:t>
      </w:r>
      <w:r>
        <w:rPr>
          <w:rFonts w:hint="eastAsia"/>
        </w:rPr>
        <w:t>，较2023年度预算数</w:t>
      </w:r>
      <w:r>
        <w:rPr>
          <w:rFonts w:hint="eastAsia"/>
          <w:lang w:val="en-US" w:eastAsia="zh-CN"/>
        </w:rPr>
        <w:t>19.95</w:t>
      </w:r>
      <w:r>
        <w:rPr>
          <w:rFonts w:hint="eastAsia"/>
        </w:rPr>
        <w:t>万元，</w:t>
      </w:r>
      <w:r>
        <w:rPr>
          <w:rFonts w:hint="eastAsia"/>
          <w:lang w:val="en-US" w:eastAsia="zh-CN"/>
        </w:rPr>
        <w:t>增长0.30</w:t>
      </w:r>
      <w:r>
        <w:rPr>
          <w:rFonts w:hint="eastAsia"/>
        </w:rPr>
        <w:t>万元，</w:t>
      </w:r>
      <w:r>
        <w:rPr>
          <w:rFonts w:hint="eastAsia"/>
          <w:lang w:val="en-US" w:eastAsia="zh-CN"/>
        </w:rPr>
        <w:t>增长1.50%</w:t>
      </w:r>
      <w:r>
        <w:rPr>
          <w:rFonts w:hint="eastAsia"/>
        </w:rPr>
        <w:t>，主要原因是：</w:t>
      </w:r>
      <w:r>
        <w:rPr>
          <w:rFonts w:hint="eastAsia"/>
          <w:highlight w:val="none"/>
        </w:rPr>
        <w:t>党建星级村增加，相应的商品和服务支出增加</w:t>
      </w:r>
      <w:r>
        <w:rPr>
          <w:rFonts w:hint="eastAsia"/>
          <w:highlight w:val="none"/>
          <w:lang w:val="en-US"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149.21</w:t>
      </w:r>
      <w:r>
        <w:t>万元</w:t>
      </w:r>
      <w:r>
        <w:rPr>
          <w:rFonts w:hint="eastAsia"/>
          <w:lang w:eastAsia="zh-CN"/>
        </w:rPr>
        <w:t>，</w:t>
      </w:r>
      <w:r>
        <w:rPr>
          <w:rFonts w:hint="eastAsia"/>
        </w:rPr>
        <w:t>占基本支出预算的</w:t>
      </w:r>
      <w:r>
        <w:rPr>
          <w:rFonts w:hint="eastAsia"/>
          <w:lang w:val="en-US" w:eastAsia="zh-CN"/>
        </w:rPr>
        <w:t>88.05%</w:t>
      </w:r>
      <w:r>
        <w:rPr>
          <w:rFonts w:hint="eastAsia"/>
        </w:rPr>
        <w:t>，较2023年度预算数</w:t>
      </w:r>
      <w:r>
        <w:rPr>
          <w:rFonts w:hint="eastAsia"/>
          <w:lang w:val="en-US" w:eastAsia="zh-CN"/>
        </w:rPr>
        <w:t>139.38</w:t>
      </w:r>
      <w:r>
        <w:rPr>
          <w:rFonts w:hint="eastAsia"/>
        </w:rPr>
        <w:t>万元，</w:t>
      </w:r>
      <w:r>
        <w:rPr>
          <w:rFonts w:hint="eastAsia"/>
          <w:lang w:val="en-US" w:eastAsia="zh-CN"/>
        </w:rPr>
        <w:t>增长9.83</w:t>
      </w:r>
      <w:r>
        <w:rPr>
          <w:rFonts w:hint="eastAsia"/>
        </w:rPr>
        <w:t>万元，</w:t>
      </w:r>
      <w:r>
        <w:rPr>
          <w:rFonts w:hint="eastAsia"/>
          <w:lang w:val="en-US" w:eastAsia="zh-CN"/>
        </w:rPr>
        <w:t>增长7.05%</w:t>
      </w:r>
      <w:r>
        <w:rPr>
          <w:rFonts w:hint="eastAsia"/>
        </w:rPr>
        <w:t>，主要原因是：</w:t>
      </w:r>
      <w:r>
        <w:rPr>
          <w:rFonts w:hint="eastAsia"/>
          <w:highlight w:val="none"/>
        </w:rPr>
        <w:t>村干部人员变动、工资福利等基本支出增加</w:t>
      </w:r>
      <w:r>
        <w:rPr>
          <w:rFonts w:hint="eastAsia"/>
          <w:highlight w:val="none"/>
          <w:lang w:val="en-US" w:eastAsia="zh-CN"/>
        </w:rPr>
        <w:t>。</w:t>
      </w:r>
    </w:p>
    <w:p>
      <w:pPr>
        <w:pStyle w:val="8"/>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8"/>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580"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0.00</w:t>
      </w:r>
      <w:r>
        <w:rPr>
          <w:rFonts w:hint="eastAsia"/>
          <w:b w:val="0"/>
          <w:bCs w:val="0"/>
          <w:sz w:val="28"/>
          <w:szCs w:val="28"/>
        </w:rPr>
        <w:t>万元，同口径较2023年度预算数</w:t>
      </w:r>
      <w:r>
        <w:rPr>
          <w:rFonts w:hint="eastAsia"/>
          <w:b w:val="0"/>
          <w:bCs w:val="0"/>
          <w:sz w:val="28"/>
          <w:szCs w:val="28"/>
          <w:lang w:val="en-US" w:eastAsia="zh-CN"/>
        </w:rPr>
        <w:t>0.00</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万元，</w:t>
      </w:r>
      <w:r>
        <w:rPr>
          <w:rFonts w:hint="eastAsia"/>
          <w:b w:val="0"/>
          <w:bCs w:val="0"/>
          <w:sz w:val="28"/>
          <w:szCs w:val="28"/>
          <w:lang w:val="en-US" w:eastAsia="zh-CN"/>
        </w:rPr>
        <w:t>增长0%</w:t>
      </w:r>
      <w:r>
        <w:rPr>
          <w:rFonts w:hint="eastAsia"/>
          <w:b w:val="0"/>
          <w:bCs w:val="0"/>
          <w:sz w:val="28"/>
          <w:szCs w:val="28"/>
        </w:rPr>
        <w:t>，具体如下：</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我部门2024年部门预算无因公出国（境）预算</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我部门2024年部门预算无公务接待预算</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我部门2024年部门预算无公务用车购置预算</w:t>
      </w:r>
      <w:r>
        <w:rPr>
          <w:rFonts w:hint="eastAsia"/>
          <w:b w:val="0"/>
          <w:bCs w:val="0"/>
          <w:sz w:val="28"/>
          <w:szCs w:val="28"/>
        </w:rPr>
        <w:t>。</w:t>
      </w:r>
    </w:p>
    <w:p>
      <w:pPr>
        <w:pStyle w:val="8"/>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我部门2024年部门预算无公务用车运行维护预算</w:t>
      </w:r>
      <w:r>
        <w:rPr>
          <w:rFonts w:hint="eastAsia"/>
          <w:b w:val="0"/>
          <w:bCs w:val="0"/>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b w:val="0"/>
          <w:bCs w:val="0"/>
          <w:sz w:val="28"/>
          <w:szCs w:val="28"/>
          <w:lang w:eastAsia="zh-CN"/>
        </w:rPr>
        <w:t>2024</w:t>
      </w:r>
      <w:r>
        <w:rPr>
          <w:rFonts w:hint="eastAsia"/>
          <w:sz w:val="28"/>
          <w:szCs w:val="28"/>
        </w:rPr>
        <w:t>年政府性基金预算支出共</w:t>
      </w:r>
      <w:r>
        <w:rPr>
          <w:rFonts w:hint="eastAsia"/>
          <w:b w:val="0"/>
          <w:bCs w:val="0"/>
          <w:sz w:val="28"/>
          <w:szCs w:val="28"/>
          <w:lang w:eastAsia="zh-CN"/>
        </w:rPr>
        <w:t>0.00</w:t>
      </w:r>
      <w:r>
        <w:rPr>
          <w:rFonts w:hint="eastAsia"/>
          <w:sz w:val="28"/>
          <w:szCs w:val="28"/>
        </w:rPr>
        <w:t>万元，较2023年度预算数</w:t>
      </w:r>
      <w:r>
        <w:rPr>
          <w:rFonts w:hint="eastAsia"/>
          <w:b w:val="0"/>
          <w:bCs w:val="0"/>
          <w:sz w:val="28"/>
          <w:szCs w:val="28"/>
          <w:lang w:eastAsia="zh-CN"/>
        </w:rPr>
        <w:t>0.00</w:t>
      </w:r>
      <w:r>
        <w:rPr>
          <w:rFonts w:hint="eastAsia"/>
          <w:sz w:val="28"/>
          <w:szCs w:val="28"/>
        </w:rPr>
        <w:t>万元，</w:t>
      </w:r>
      <w:r>
        <w:rPr>
          <w:rFonts w:hint="eastAsia"/>
          <w:b w:val="0"/>
          <w:bCs w:val="0"/>
          <w:sz w:val="28"/>
          <w:szCs w:val="28"/>
          <w:lang w:eastAsia="zh-CN"/>
        </w:rPr>
        <w:t>增加0.00</w:t>
      </w:r>
      <w:r>
        <w:rPr>
          <w:rFonts w:hint="eastAsia"/>
          <w:sz w:val="28"/>
          <w:szCs w:val="28"/>
        </w:rPr>
        <w:t>万元，</w:t>
      </w:r>
      <w:r>
        <w:rPr>
          <w:rFonts w:hint="eastAsia"/>
          <w:b w:val="0"/>
          <w:bCs w:val="0"/>
          <w:sz w:val="28"/>
          <w:szCs w:val="28"/>
          <w:lang w:eastAsia="zh-CN"/>
        </w:rPr>
        <w:t>增长0%</w:t>
      </w:r>
      <w:r>
        <w:rPr>
          <w:rFonts w:hint="eastAsia"/>
          <w:sz w:val="28"/>
          <w:szCs w:val="28"/>
        </w:rPr>
        <w:t>，主要原因是</w:t>
      </w:r>
      <w:r>
        <w:rPr>
          <w:rFonts w:hint="eastAsia"/>
          <w:sz w:val="28"/>
          <w:szCs w:val="28"/>
          <w:highlight w:val="none"/>
          <w:lang w:val="en-US" w:eastAsia="zh-CN"/>
        </w:rPr>
        <w:t>我部门2024年部门预算无政府性基金预算</w:t>
      </w:r>
      <w:r>
        <w:rPr>
          <w:rFonts w:hint="eastAsia"/>
          <w:sz w:val="28"/>
          <w:szCs w:val="28"/>
        </w:rPr>
        <w:t>。</w:t>
      </w:r>
    </w:p>
    <w:p>
      <w:pPr>
        <w:pStyle w:val="8"/>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sz w:val="28"/>
          <w:szCs w:val="28"/>
          <w:lang w:eastAsia="zh-CN"/>
        </w:rPr>
        <w:t>2024</w:t>
      </w:r>
      <w:r>
        <w:rPr>
          <w:rFonts w:hint="eastAsia"/>
          <w:sz w:val="28"/>
          <w:szCs w:val="28"/>
        </w:rPr>
        <w:t>年国有资本经营预算支出共</w:t>
      </w:r>
      <w:r>
        <w:rPr>
          <w:rFonts w:hint="eastAsia"/>
          <w:sz w:val="28"/>
          <w:szCs w:val="28"/>
          <w:lang w:eastAsia="zh-CN"/>
        </w:rPr>
        <w:t>0.00</w:t>
      </w:r>
      <w:r>
        <w:rPr>
          <w:rFonts w:hint="eastAsia"/>
          <w:sz w:val="28"/>
          <w:szCs w:val="28"/>
        </w:rPr>
        <w:t>万元，较2023年度预算数</w:t>
      </w:r>
      <w:r>
        <w:rPr>
          <w:rFonts w:hint="eastAsia"/>
          <w:sz w:val="28"/>
          <w:szCs w:val="28"/>
          <w:lang w:eastAsia="zh-CN"/>
        </w:rPr>
        <w:t>0.00</w:t>
      </w:r>
      <w:r>
        <w:rPr>
          <w:rFonts w:hint="eastAsia"/>
          <w:sz w:val="28"/>
          <w:szCs w:val="28"/>
        </w:rPr>
        <w:t>万元，</w:t>
      </w:r>
      <w:r>
        <w:rPr>
          <w:rFonts w:hint="eastAsia"/>
          <w:sz w:val="28"/>
          <w:szCs w:val="28"/>
          <w:lang w:eastAsia="zh-CN"/>
        </w:rPr>
        <w:t>增加0.00</w:t>
      </w:r>
      <w:r>
        <w:rPr>
          <w:rFonts w:hint="eastAsia"/>
          <w:sz w:val="28"/>
          <w:szCs w:val="28"/>
        </w:rPr>
        <w:t>万元，</w:t>
      </w:r>
      <w:r>
        <w:rPr>
          <w:rFonts w:hint="eastAsia"/>
          <w:sz w:val="28"/>
          <w:szCs w:val="28"/>
          <w:lang w:eastAsia="zh-CN"/>
        </w:rPr>
        <w:t>增长0%</w:t>
      </w:r>
      <w:r>
        <w:rPr>
          <w:rFonts w:hint="eastAsia"/>
          <w:sz w:val="28"/>
          <w:szCs w:val="28"/>
        </w:rPr>
        <w:t>，主要原因是</w:t>
      </w:r>
      <w:r>
        <w:rPr>
          <w:rFonts w:hint="eastAsia"/>
          <w:sz w:val="28"/>
          <w:szCs w:val="28"/>
          <w:lang w:val="en-US" w:eastAsia="zh-CN"/>
        </w:rPr>
        <w:t>我部门2024年部门预算无国有资本经营预算</w:t>
      </w:r>
      <w:r>
        <w:rPr>
          <w:rFonts w:hint="eastAsia"/>
          <w:sz w:val="28"/>
          <w:szCs w:val="28"/>
        </w:rPr>
        <w:t>。</w:t>
      </w:r>
    </w:p>
    <w:p>
      <w:pPr>
        <w:pStyle w:val="8"/>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年本部门机关运行经费预算</w:t>
      </w:r>
      <w:r>
        <w:rPr>
          <w:rFonts w:hint="eastAsia" w:ascii="宋体" w:hAnsi="宋体" w:eastAsia="宋体" w:cs="宋体"/>
          <w:sz w:val="28"/>
          <w:szCs w:val="28"/>
          <w:lang w:val="en-US" w:eastAsia="zh-CN"/>
        </w:rPr>
        <w:t>20.25</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19.95</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增加0.30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增长1.50%</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2024年度增加党建星级村，相应的日常办公支出增加</w:t>
      </w:r>
      <w:r>
        <w:rPr>
          <w:rFonts w:hint="eastAsia" w:ascii="宋体" w:hAnsi="宋体" w:eastAsia="宋体" w:cs="宋体"/>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万元。其中：货物类采购</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万元、服务类采购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主要用于：村委办公耗材如复印纸张等办公用品购置</w:t>
      </w:r>
      <w:r>
        <w:rPr>
          <w:rFonts w:hint="eastAsia" w:cs="宋体"/>
          <w:sz w:val="28"/>
          <w:szCs w:val="28"/>
          <w:lang w:val="en-US" w:eastAsia="zh-CN"/>
        </w:rPr>
        <w:t>。</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sz w:val="28"/>
          <w:szCs w:val="28"/>
          <w:highlight w:val="none"/>
          <w:lang w:val="en-US" w:eastAsia="zh-CN"/>
        </w:rPr>
        <w:t>0</w:t>
      </w:r>
      <w:r>
        <w:rPr>
          <w:rFonts w:hint="eastAsia" w:ascii="宋体" w:hAnsi="宋体" w:eastAsia="宋体" w:cs="宋体"/>
          <w:sz w:val="28"/>
          <w:szCs w:val="28"/>
          <w:lang w:eastAsia="zh-CN"/>
        </w:rPr>
        <w:t>辆，其中，应急机要通信用车</w:t>
      </w:r>
      <w:r>
        <w:rPr>
          <w:rFonts w:hint="eastAsia"/>
          <w:sz w:val="28"/>
          <w:szCs w:val="28"/>
          <w:highlight w:val="none"/>
          <w:lang w:val="en-US" w:eastAsia="zh-CN"/>
        </w:rPr>
        <w:t>0</w:t>
      </w:r>
      <w:r>
        <w:rPr>
          <w:rFonts w:hint="eastAsia" w:ascii="宋体" w:hAnsi="宋体" w:eastAsia="宋体" w:cs="宋体"/>
          <w:sz w:val="28"/>
          <w:szCs w:val="28"/>
          <w:lang w:eastAsia="zh-CN"/>
        </w:rPr>
        <w:t>辆、一般执法执勤用车</w:t>
      </w:r>
      <w:r>
        <w:rPr>
          <w:rFonts w:hint="eastAsia"/>
          <w:sz w:val="28"/>
          <w:szCs w:val="28"/>
          <w:highlight w:val="none"/>
          <w:lang w:val="en-US" w:eastAsia="zh-CN"/>
        </w:rPr>
        <w:t>0</w:t>
      </w:r>
      <w:r>
        <w:rPr>
          <w:rFonts w:hint="eastAsia" w:ascii="宋体" w:hAnsi="宋体" w:eastAsia="宋体" w:cs="宋体"/>
          <w:sz w:val="28"/>
          <w:szCs w:val="28"/>
          <w:lang w:eastAsia="zh-CN"/>
        </w:rPr>
        <w:t>辆、特种专业技术用车</w:t>
      </w:r>
      <w:r>
        <w:rPr>
          <w:rFonts w:hint="eastAsia"/>
          <w:sz w:val="28"/>
          <w:szCs w:val="28"/>
          <w:highlight w:val="none"/>
          <w:lang w:val="en-US" w:eastAsia="zh-CN"/>
        </w:rPr>
        <w:t>0</w:t>
      </w:r>
      <w:r>
        <w:rPr>
          <w:rFonts w:hint="eastAsia" w:ascii="宋体" w:hAnsi="宋体" w:eastAsia="宋体" w:cs="宋体"/>
          <w:sz w:val="28"/>
          <w:szCs w:val="28"/>
          <w:lang w:eastAsia="zh-CN"/>
        </w:rPr>
        <w:t>辆、其他用车</w:t>
      </w:r>
      <w:r>
        <w:rPr>
          <w:rFonts w:hint="eastAsia"/>
          <w:sz w:val="28"/>
          <w:szCs w:val="28"/>
          <w:highlight w:val="none"/>
          <w:lang w:val="en-US" w:eastAsia="zh-CN"/>
        </w:rPr>
        <w:t>0</w:t>
      </w:r>
      <w:r>
        <w:rPr>
          <w:rFonts w:hint="eastAsia" w:ascii="宋体" w:hAnsi="宋体" w:eastAsia="宋体" w:cs="宋体"/>
          <w:sz w:val="28"/>
          <w:szCs w:val="28"/>
          <w:lang w:eastAsia="zh-CN"/>
        </w:rPr>
        <w:t>辆，单位价值200万元以上大型设备</w:t>
      </w:r>
      <w:r>
        <w:rPr>
          <w:rFonts w:hint="eastAsia"/>
          <w:sz w:val="28"/>
          <w:szCs w:val="28"/>
          <w:highlight w:val="none"/>
          <w:lang w:val="en-US" w:eastAsia="zh-CN"/>
        </w:rPr>
        <w:t>0</w:t>
      </w:r>
      <w:r>
        <w:rPr>
          <w:rFonts w:hint="eastAsia" w:ascii="宋体" w:hAnsi="宋体" w:eastAsia="宋体" w:cs="宋体"/>
          <w:sz w:val="28"/>
          <w:szCs w:val="28"/>
          <w:lang w:eastAsia="zh-CN"/>
        </w:rPr>
        <w:t>台（套）。</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sz w:val="28"/>
          <w:szCs w:val="28"/>
          <w:highlight w:val="none"/>
          <w:lang w:val="en-US" w:eastAsia="zh-CN"/>
        </w:rPr>
        <w:t>0</w:t>
      </w:r>
      <w:r>
        <w:rPr>
          <w:rFonts w:hint="eastAsia" w:ascii="宋体" w:hAnsi="宋体" w:eastAsia="宋体" w:cs="宋体"/>
          <w:sz w:val="28"/>
          <w:szCs w:val="28"/>
          <w:lang w:eastAsia="zh-CN"/>
        </w:rPr>
        <w:t>个，预算资金</w:t>
      </w:r>
      <w:r>
        <w:rPr>
          <w:rFonts w:hint="eastAsia"/>
          <w:sz w:val="28"/>
          <w:szCs w:val="28"/>
          <w:highlight w:val="none"/>
          <w:lang w:val="en-US" w:eastAsia="zh-CN"/>
        </w:rPr>
        <w:t>0</w:t>
      </w:r>
      <w:r>
        <w:rPr>
          <w:rFonts w:hint="eastAsia" w:ascii="宋体" w:hAnsi="宋体" w:eastAsia="宋体" w:cs="宋体"/>
          <w:sz w:val="28"/>
          <w:szCs w:val="28"/>
          <w:lang w:eastAsia="zh-CN"/>
        </w:rPr>
        <w:t>万元。绩效目标情况详见报表（日常运转类项目、工资类人员经费项目和涉密项目等除外）。</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本部门2024年无重点项目预算。</w:t>
      </w:r>
    </w:p>
    <w:p>
      <w:pPr>
        <w:pStyle w:val="9"/>
        <w:spacing w:line="624" w:lineRule="exact"/>
        <w:ind w:firstLine="600"/>
        <w:jc w:val="left"/>
        <w:rPr>
          <w:rFonts w:hint="eastAsia"/>
          <w:sz w:val="28"/>
          <w:szCs w:val="28"/>
          <w:highlight w:val="none"/>
          <w:lang w:val="en-US" w:eastAsia="zh-CN"/>
        </w:rPr>
      </w:pPr>
    </w:p>
    <w:p>
      <w:pPr>
        <w:pStyle w:val="9"/>
        <w:spacing w:line="624" w:lineRule="exact"/>
        <w:jc w:val="left"/>
        <w:rPr>
          <w:rFonts w:hint="default"/>
          <w:sz w:val="28"/>
          <w:szCs w:val="28"/>
          <w:highlight w:val="none"/>
          <w:lang w:val="en-US" w:eastAsia="zh-CN"/>
        </w:rPr>
        <w:sectPr>
          <w:headerReference r:id="rId4" w:type="default"/>
          <w:footerReference r:id="rId5"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7"/>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环江毛南族自治县长美乡爱洞村村民委员会</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11"/>
        <w:keepNext/>
        <w:keepLines/>
        <w:spacing w:after="240"/>
        <w:jc w:val="center"/>
      </w:pPr>
      <w:bookmarkStart w:id="16" w:name="bookmark29"/>
      <w:bookmarkStart w:id="17" w:name="bookmark31"/>
      <w:bookmarkStart w:id="18" w:name="bookmark30"/>
      <w:r>
        <w:t>收支总体情况表</w:t>
      </w:r>
      <w:bookmarkEnd w:id="16"/>
      <w:bookmarkEnd w:id="17"/>
      <w:bookmarkEnd w:id="18"/>
    </w:p>
    <w:tbl>
      <w:tblPr>
        <w:tblStyle w:val="3"/>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12"/>
              <w:spacing w:line="240" w:lineRule="auto"/>
              <w:ind w:firstLine="0"/>
              <w:jc w:val="left"/>
              <w:rPr>
                <w:sz w:val="17"/>
                <w:szCs w:val="17"/>
              </w:rPr>
            </w:pPr>
            <w:r>
              <w:rPr>
                <w:sz w:val="17"/>
                <w:szCs w:val="17"/>
              </w:rPr>
              <w:t>单位名称：</w:t>
            </w:r>
            <w:r>
              <w:rPr>
                <w:rFonts w:hint="eastAsia"/>
                <w:sz w:val="17"/>
                <w:szCs w:val="17"/>
                <w:lang w:eastAsia="zh-CN"/>
              </w:rPr>
              <w:t>环江毛南族自治县长美乡爱洞村村民委员会</w:t>
            </w:r>
          </w:p>
        </w:tc>
        <w:tc>
          <w:tcPr>
            <w:tcW w:w="3571" w:type="dxa"/>
            <w:tcBorders>
              <w:bottom w:val="single" w:color="auto" w:sz="4" w:space="0"/>
            </w:tcBorders>
            <w:shd w:val="clear" w:color="auto" w:fill="FFFFFF"/>
          </w:tcPr>
          <w:p>
            <w:pPr>
              <w:pStyle w:val="12"/>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169.46</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169.46</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169.46</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169.46</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169.46</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169.46</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line="240" w:lineRule="auto"/>
              <w:ind w:firstLine="0"/>
              <w:jc w:val="left"/>
              <w:rPr>
                <w:rFonts w:hint="default" w:eastAsia="宋体"/>
                <w:sz w:val="17"/>
                <w:szCs w:val="17"/>
                <w:lang w:val="en-US" w:eastAsia="zh-CN"/>
              </w:rPr>
            </w:pPr>
            <w:r>
              <w:rPr>
                <w:rFonts w:hint="eastAsia"/>
                <w:sz w:val="17"/>
                <w:szCs w:val="17"/>
                <w:lang w:val="en-US" w:eastAsia="zh-CN"/>
              </w:rPr>
              <w:t>169.46</w:t>
            </w:r>
          </w:p>
        </w:tc>
      </w:tr>
    </w:tbl>
    <w:p>
      <w:pPr>
        <w:pStyle w:val="13"/>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13"/>
              <w:jc w:val="both"/>
              <w:rPr>
                <w:rFonts w:hint="eastAsia"/>
                <w:lang w:val="en-US" w:eastAsia="zh-CN"/>
              </w:rPr>
            </w:pPr>
            <w:r>
              <w:rPr>
                <w:sz w:val="17"/>
                <w:szCs w:val="17"/>
              </w:rPr>
              <w:t>单位名称：</w:t>
            </w:r>
            <w:r>
              <w:rPr>
                <w:rFonts w:hint="eastAsia"/>
                <w:sz w:val="17"/>
                <w:szCs w:val="17"/>
                <w:lang w:eastAsia="zh-CN"/>
              </w:rPr>
              <w:t>环江毛南族自治县长美乡爱洞村村民委员会</w:t>
            </w:r>
            <w:r>
              <w:rPr>
                <w:rFonts w:hint="eastAsia"/>
                <w:lang w:val="en-US" w:eastAsia="zh-CN"/>
              </w:rPr>
              <w:t xml:space="preserve">                                                                                  </w:t>
            </w:r>
          </w:p>
        </w:tc>
        <w:tc>
          <w:tcPr>
            <w:tcW w:w="2076" w:type="dxa"/>
            <w:gridSpan w:val="3"/>
            <w:tcBorders>
              <w:top w:val="nil"/>
              <w:left w:val="nil"/>
              <w:right w:val="nil"/>
            </w:tcBorders>
          </w:tcPr>
          <w:p>
            <w:pPr>
              <w:pStyle w:val="13"/>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vAlign w:val="center"/>
          </w:tcPr>
          <w:p>
            <w:pPr>
              <w:tabs>
                <w:tab w:val="left" w:pos="859"/>
              </w:tabs>
              <w:jc w:val="center"/>
              <w:rPr>
                <w:rFonts w:hint="eastAsia" w:eastAsia="宋体"/>
                <w:vertAlign w:val="baseline"/>
                <w:lang w:val="en-US" w:eastAsia="zh-CN"/>
              </w:rPr>
            </w:pPr>
            <w:r>
              <w:rPr>
                <w:sz w:val="17"/>
                <w:szCs w:val="17"/>
              </w:rPr>
              <w:t>部门（单位）代码</w:t>
            </w:r>
          </w:p>
        </w:tc>
        <w:tc>
          <w:tcPr>
            <w:tcW w:w="1279" w:type="dxa"/>
            <w:vMerge w:val="restart"/>
            <w:vAlign w:val="center"/>
          </w:tcPr>
          <w:p>
            <w:pPr>
              <w:tabs>
                <w:tab w:val="left" w:pos="859"/>
              </w:tabs>
              <w:jc w:val="center"/>
              <w:rPr>
                <w:rFonts w:hint="eastAsia" w:eastAsia="宋体"/>
                <w:vertAlign w:val="baseline"/>
                <w:lang w:val="en-US" w:eastAsia="zh-CN"/>
              </w:rPr>
            </w:pPr>
            <w:r>
              <w:rPr>
                <w:sz w:val="17"/>
                <w:szCs w:val="17"/>
              </w:rPr>
              <w:t>部门（单位）名称</w:t>
            </w:r>
          </w:p>
        </w:tc>
        <w:tc>
          <w:tcPr>
            <w:tcW w:w="990" w:type="dxa"/>
            <w:vMerge w:val="restart"/>
            <w:vAlign w:val="center"/>
          </w:tcPr>
          <w:p>
            <w:pPr>
              <w:pStyle w:val="12"/>
              <w:spacing w:line="240" w:lineRule="auto"/>
              <w:ind w:left="0" w:leftChars="0" w:firstLine="0" w:firstLineChars="0"/>
              <w:jc w:val="center"/>
              <w:rPr>
                <w:rFonts w:hint="eastAsia" w:eastAsia="宋体"/>
                <w:vertAlign w:val="baseline"/>
                <w:lang w:val="en-US" w:eastAsia="zh-CN"/>
              </w:rPr>
            </w:pPr>
            <w:r>
              <w:rPr>
                <w:rFonts w:hint="eastAsia"/>
                <w:sz w:val="17"/>
                <w:szCs w:val="17"/>
                <w:lang w:val="en-US" w:eastAsia="zh-CN"/>
              </w:rPr>
              <w:t>合</w:t>
            </w:r>
            <w:r>
              <w:rPr>
                <w:sz w:val="17"/>
                <w:szCs w:val="17"/>
              </w:rPr>
              <w:t>计</w:t>
            </w:r>
          </w:p>
        </w:tc>
        <w:tc>
          <w:tcPr>
            <w:tcW w:w="5843" w:type="dxa"/>
            <w:gridSpan w:val="6"/>
          </w:tcPr>
          <w:p>
            <w:pPr>
              <w:tabs>
                <w:tab w:val="left" w:pos="859"/>
              </w:tabs>
              <w:jc w:val="center"/>
              <w:rPr>
                <w:rFonts w:hint="eastAsia" w:eastAsia="宋体"/>
                <w:vertAlign w:val="baseline"/>
                <w:lang w:val="en-US" w:eastAsia="zh-CN"/>
              </w:rPr>
            </w:pPr>
            <w:r>
              <w:rPr>
                <w:sz w:val="17"/>
                <w:szCs w:val="17"/>
              </w:rPr>
              <w:t>本年收入</w:t>
            </w:r>
          </w:p>
        </w:tc>
        <w:tc>
          <w:tcPr>
            <w:tcW w:w="5809" w:type="dxa"/>
            <w:gridSpan w:val="7"/>
          </w:tcPr>
          <w:p>
            <w:pPr>
              <w:tabs>
                <w:tab w:val="left" w:pos="859"/>
              </w:tabs>
              <w:jc w:val="center"/>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center"/>
              <w:rPr>
                <w:rFonts w:hint="eastAsia" w:eastAsia="宋体"/>
                <w:vertAlign w:val="baseline"/>
                <w:lang w:val="en-US" w:eastAsia="zh-CN"/>
              </w:rPr>
            </w:pPr>
          </w:p>
        </w:tc>
        <w:tc>
          <w:tcPr>
            <w:tcW w:w="1279" w:type="dxa"/>
            <w:vMerge w:val="continue"/>
          </w:tcPr>
          <w:p>
            <w:pPr>
              <w:tabs>
                <w:tab w:val="left" w:pos="859"/>
              </w:tabs>
              <w:jc w:val="center"/>
              <w:rPr>
                <w:rFonts w:hint="eastAsia" w:eastAsia="宋体"/>
                <w:vertAlign w:val="baseline"/>
                <w:lang w:val="en-US" w:eastAsia="zh-CN"/>
              </w:rPr>
            </w:pPr>
          </w:p>
        </w:tc>
        <w:tc>
          <w:tcPr>
            <w:tcW w:w="990" w:type="dxa"/>
            <w:vMerge w:val="continue"/>
            <w:vAlign w:val="center"/>
          </w:tcPr>
          <w:p>
            <w:pPr>
              <w:pStyle w:val="12"/>
              <w:spacing w:line="240" w:lineRule="auto"/>
              <w:ind w:firstLine="300" w:firstLineChars="0"/>
              <w:jc w:val="center"/>
              <w:rPr>
                <w:rFonts w:hint="eastAsia" w:eastAsia="宋体"/>
                <w:vertAlign w:val="baseline"/>
                <w:lang w:val="en-US" w:eastAsia="zh-CN"/>
              </w:rPr>
            </w:pPr>
          </w:p>
        </w:tc>
        <w:tc>
          <w:tcPr>
            <w:tcW w:w="926" w:type="dxa"/>
            <w:vAlign w:val="center"/>
          </w:tcPr>
          <w:p>
            <w:pPr>
              <w:pStyle w:val="12"/>
              <w:spacing w:line="240" w:lineRule="auto"/>
              <w:ind w:firstLine="300" w:firstLineChars="0"/>
              <w:jc w:val="center"/>
              <w:rPr>
                <w:rFonts w:hint="eastAsia" w:eastAsia="宋体"/>
                <w:vertAlign w:val="baseline"/>
                <w:lang w:val="en-US" w:eastAsia="zh-CN"/>
              </w:rPr>
            </w:pPr>
            <w:r>
              <w:rPr>
                <w:sz w:val="17"/>
                <w:szCs w:val="17"/>
              </w:rPr>
              <w:t>小计</w:t>
            </w:r>
          </w:p>
        </w:tc>
        <w:tc>
          <w:tcPr>
            <w:tcW w:w="909"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一般公共预算</w:t>
            </w:r>
          </w:p>
        </w:tc>
        <w:tc>
          <w:tcPr>
            <w:tcW w:w="968"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政府性基金预算</w:t>
            </w:r>
          </w:p>
        </w:tc>
        <w:tc>
          <w:tcPr>
            <w:tcW w:w="990"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1078" w:type="dxa"/>
          </w:tcPr>
          <w:p>
            <w:pPr>
              <w:pStyle w:val="12"/>
              <w:spacing w:line="312" w:lineRule="exact"/>
              <w:ind w:firstLine="0"/>
              <w:jc w:val="center"/>
              <w:rPr>
                <w:sz w:val="17"/>
                <w:szCs w:val="17"/>
              </w:rPr>
            </w:pPr>
            <w:r>
              <w:rPr>
                <w:sz w:val="17"/>
                <w:szCs w:val="17"/>
              </w:rPr>
              <w:t>财政专户管理资金</w:t>
            </w:r>
          </w:p>
          <w:p>
            <w:pPr>
              <w:pStyle w:val="12"/>
              <w:spacing w:line="312" w:lineRule="exact"/>
              <w:ind w:firstLine="0" w:firstLineChars="0"/>
              <w:jc w:val="center"/>
              <w:rPr>
                <w:rFonts w:hint="eastAsia" w:eastAsia="宋体"/>
                <w:vertAlign w:val="baseline"/>
                <w:lang w:val="en-US" w:eastAsia="zh-CN"/>
              </w:rPr>
            </w:pPr>
            <w:r>
              <w:rPr>
                <w:sz w:val="17"/>
                <w:szCs w:val="17"/>
              </w:rPr>
              <w:t>收入</w:t>
            </w:r>
          </w:p>
        </w:tc>
        <w:tc>
          <w:tcPr>
            <w:tcW w:w="972" w:type="dxa"/>
            <w:vAlign w:val="center"/>
          </w:tcPr>
          <w:p>
            <w:pPr>
              <w:pStyle w:val="12"/>
              <w:spacing w:line="240" w:lineRule="auto"/>
              <w:ind w:firstLine="0" w:firstLineChars="0"/>
              <w:jc w:val="center"/>
              <w:rPr>
                <w:rFonts w:hint="eastAsia" w:eastAsia="宋体"/>
                <w:vertAlign w:val="baseline"/>
                <w:lang w:val="en-US" w:eastAsia="zh-CN"/>
              </w:rPr>
            </w:pPr>
            <w:r>
              <w:rPr>
                <w:sz w:val="17"/>
                <w:szCs w:val="17"/>
              </w:rPr>
              <w:t>单位资金</w:t>
            </w:r>
          </w:p>
        </w:tc>
        <w:tc>
          <w:tcPr>
            <w:tcW w:w="919" w:type="dxa"/>
            <w:vAlign w:val="center"/>
          </w:tcPr>
          <w:p>
            <w:pPr>
              <w:pStyle w:val="12"/>
              <w:spacing w:line="240" w:lineRule="auto"/>
              <w:ind w:firstLine="300" w:firstLineChars="0"/>
              <w:jc w:val="center"/>
              <w:rPr>
                <w:rFonts w:hint="eastAsia" w:eastAsia="宋体"/>
                <w:vertAlign w:val="baseline"/>
                <w:lang w:val="en-US" w:eastAsia="zh-CN"/>
              </w:rPr>
            </w:pPr>
            <w:r>
              <w:rPr>
                <w:sz w:val="17"/>
                <w:szCs w:val="17"/>
              </w:rPr>
              <w:t>小计</w:t>
            </w:r>
          </w:p>
        </w:tc>
        <w:tc>
          <w:tcPr>
            <w:tcW w:w="1011"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一般公共预算</w:t>
            </w:r>
          </w:p>
        </w:tc>
        <w:tc>
          <w:tcPr>
            <w:tcW w:w="859" w:type="dxa"/>
            <w:vAlign w:val="center"/>
          </w:tcPr>
          <w:p>
            <w:pPr>
              <w:pStyle w:val="12"/>
              <w:spacing w:line="317" w:lineRule="exact"/>
              <w:ind w:firstLine="0" w:firstLineChars="0"/>
              <w:jc w:val="center"/>
              <w:rPr>
                <w:rFonts w:hint="eastAsia" w:eastAsia="宋体"/>
                <w:vertAlign w:val="baseline"/>
                <w:lang w:val="en-US" w:eastAsia="zh-CN"/>
              </w:rPr>
            </w:pPr>
            <w:r>
              <w:rPr>
                <w:sz w:val="17"/>
                <w:szCs w:val="17"/>
              </w:rPr>
              <w:t>政府性基金预算</w:t>
            </w:r>
          </w:p>
        </w:tc>
        <w:tc>
          <w:tcPr>
            <w:tcW w:w="1094" w:type="dxa"/>
            <w:gridSpan w:val="2"/>
            <w:vAlign w:val="center"/>
          </w:tcPr>
          <w:p>
            <w:pPr>
              <w:pStyle w:val="12"/>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937" w:type="dxa"/>
          </w:tcPr>
          <w:p>
            <w:pPr>
              <w:pStyle w:val="12"/>
              <w:spacing w:line="312" w:lineRule="exact"/>
              <w:ind w:firstLine="0"/>
              <w:jc w:val="center"/>
              <w:rPr>
                <w:sz w:val="17"/>
                <w:szCs w:val="17"/>
              </w:rPr>
            </w:pPr>
            <w:r>
              <w:rPr>
                <w:sz w:val="17"/>
                <w:szCs w:val="17"/>
              </w:rPr>
              <w:t>财政专户管理资金</w:t>
            </w:r>
          </w:p>
          <w:p>
            <w:pPr>
              <w:pStyle w:val="12"/>
              <w:spacing w:line="312" w:lineRule="exact"/>
              <w:ind w:right="280" w:rightChars="0" w:firstLine="0" w:firstLineChars="0"/>
              <w:jc w:val="center"/>
              <w:rPr>
                <w:rFonts w:hint="eastAsia" w:eastAsia="宋体"/>
                <w:vertAlign w:val="baseline"/>
                <w:lang w:val="en-US" w:eastAsia="zh-CN"/>
              </w:rPr>
            </w:pPr>
            <w:r>
              <w:rPr>
                <w:sz w:val="17"/>
                <w:szCs w:val="17"/>
              </w:rPr>
              <w:t>收入</w:t>
            </w:r>
          </w:p>
        </w:tc>
        <w:tc>
          <w:tcPr>
            <w:tcW w:w="989" w:type="dxa"/>
            <w:vAlign w:val="center"/>
          </w:tcPr>
          <w:p>
            <w:pPr>
              <w:pStyle w:val="12"/>
              <w:spacing w:line="240" w:lineRule="auto"/>
              <w:ind w:firstLine="140" w:firstLineChars="0"/>
              <w:jc w:val="center"/>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12"/>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12"/>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12"/>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968"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990"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1078"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972"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919"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12"/>
              <w:spacing w:line="240" w:lineRule="auto"/>
              <w:ind w:right="36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12"/>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937" w:type="dxa"/>
            <w:vAlign w:val="center"/>
          </w:tcPr>
          <w:p>
            <w:pPr>
              <w:pStyle w:val="12"/>
              <w:spacing w:line="240" w:lineRule="auto"/>
              <w:ind w:right="38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989" w:type="dxa"/>
            <w:vAlign w:val="center"/>
          </w:tcPr>
          <w:p>
            <w:pPr>
              <w:pStyle w:val="12"/>
              <w:spacing w:line="240" w:lineRule="auto"/>
              <w:ind w:right="42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2"/>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708007</w:t>
            </w:r>
          </w:p>
        </w:tc>
        <w:tc>
          <w:tcPr>
            <w:tcW w:w="1279" w:type="dxa"/>
          </w:tcPr>
          <w:p>
            <w:pPr>
              <w:pStyle w:val="12"/>
              <w:spacing w:line="326" w:lineRule="exact"/>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环江毛南族自治县长美乡爱洞村村民委员会</w:t>
            </w:r>
          </w:p>
        </w:tc>
        <w:tc>
          <w:tcPr>
            <w:tcW w:w="990"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169.46</w:t>
            </w:r>
          </w:p>
        </w:tc>
        <w:tc>
          <w:tcPr>
            <w:tcW w:w="926"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169.46</w:t>
            </w:r>
          </w:p>
        </w:tc>
        <w:tc>
          <w:tcPr>
            <w:tcW w:w="909"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169.46</w:t>
            </w:r>
          </w:p>
        </w:tc>
        <w:tc>
          <w:tcPr>
            <w:tcW w:w="968"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90" w:type="dxa"/>
            <w:vAlign w:val="center"/>
          </w:tcPr>
          <w:p>
            <w:pPr>
              <w:pStyle w:val="12"/>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78" w:type="dxa"/>
            <w:vAlign w:val="center"/>
          </w:tcPr>
          <w:p>
            <w:pPr>
              <w:pStyle w:val="12"/>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72" w:type="dxa"/>
            <w:vAlign w:val="center"/>
          </w:tcPr>
          <w:p>
            <w:pPr>
              <w:pStyle w:val="12"/>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19"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11"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9" w:type="dxa"/>
            <w:vAlign w:val="center"/>
          </w:tcPr>
          <w:p>
            <w:pPr>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94" w:type="dxa"/>
            <w:gridSpan w:val="2"/>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37" w:type="dxa"/>
            <w:vAlign w:val="center"/>
          </w:tcPr>
          <w:p>
            <w:pPr>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89"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13"/>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11"/>
        <w:keepNext/>
        <w:keepLines/>
        <w:spacing w:after="240"/>
        <w:jc w:val="center"/>
      </w:pPr>
      <w:bookmarkStart w:id="19" w:name="bookmark42"/>
      <w:bookmarkStart w:id="20" w:name="bookmark41"/>
      <w:bookmarkStart w:id="21" w:name="bookmark43"/>
      <w:r>
        <w:t>支出总体情况表</w:t>
      </w:r>
      <w:bookmarkEnd w:id="19"/>
      <w:bookmarkEnd w:id="20"/>
      <w:bookmarkEnd w:id="21"/>
    </w:p>
    <w:tbl>
      <w:tblPr>
        <w:tblStyle w:val="3"/>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12"/>
              <w:spacing w:line="240" w:lineRule="auto"/>
              <w:ind w:firstLine="0"/>
              <w:jc w:val="left"/>
              <w:rPr>
                <w:sz w:val="17"/>
                <w:szCs w:val="17"/>
              </w:rPr>
            </w:pPr>
            <w:r>
              <w:rPr>
                <w:sz w:val="17"/>
                <w:szCs w:val="17"/>
              </w:rPr>
              <w:t>单位名称：</w:t>
            </w:r>
            <w:r>
              <w:rPr>
                <w:rFonts w:hint="eastAsia"/>
                <w:sz w:val="17"/>
                <w:szCs w:val="17"/>
                <w:lang w:eastAsia="zh-CN"/>
              </w:rPr>
              <w:t>环江毛南族自治县长美乡爱洞村村民委员会</w:t>
            </w:r>
          </w:p>
        </w:tc>
        <w:tc>
          <w:tcPr>
            <w:tcW w:w="2371" w:type="dxa"/>
            <w:shd w:val="clear" w:color="auto" w:fill="FFFFFF"/>
          </w:tcPr>
          <w:p>
            <w:pPr>
              <w:pStyle w:val="12"/>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12"/>
              <w:spacing w:after="120" w:line="240" w:lineRule="auto"/>
              <w:ind w:firstLine="0"/>
              <w:jc w:val="left"/>
              <w:rPr>
                <w:sz w:val="17"/>
                <w:szCs w:val="17"/>
              </w:rPr>
            </w:pPr>
            <w:r>
              <w:rPr>
                <w:sz w:val="17"/>
                <w:szCs w:val="17"/>
              </w:rPr>
              <w:t>部门（单位）名称</w:t>
            </w:r>
          </w:p>
          <w:p>
            <w:pPr>
              <w:pStyle w:val="12"/>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169.46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169.46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708007</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169.46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169.46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2130705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2"/>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对村民委员会和村党支部的补助</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169.46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169.46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13"/>
        <w:ind w:left="672"/>
        <w:jc w:val="left"/>
      </w:pPr>
      <w:r>
        <w:t>注：本报表金额单位转换时可能存在四舍五入尾数误差。</w:t>
      </w:r>
      <w:r>
        <w:br w:type="page"/>
      </w:r>
    </w:p>
    <w:p>
      <w:pPr>
        <w:pStyle w:val="11"/>
        <w:keepNext/>
        <w:keepLines/>
        <w:spacing w:after="240"/>
        <w:jc w:val="center"/>
      </w:pPr>
      <w:bookmarkStart w:id="22" w:name="bookmark46"/>
      <w:bookmarkStart w:id="23" w:name="bookmark45"/>
      <w:bookmarkStart w:id="24" w:name="bookmark44"/>
      <w:r>
        <w:t>财政拨款收支总体情况表</w:t>
      </w:r>
      <w:bookmarkEnd w:id="22"/>
      <w:bookmarkEnd w:id="23"/>
      <w:bookmarkEnd w:id="24"/>
    </w:p>
    <w:tbl>
      <w:tblPr>
        <w:tblStyle w:val="3"/>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12"/>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环江毛南族自治县长美乡爱洞村村民委员会</w:t>
            </w:r>
            <w:r>
              <w:rPr>
                <w:rFonts w:hint="eastAsia"/>
                <w:sz w:val="17"/>
                <w:szCs w:val="17"/>
                <w:lang w:val="en-US" w:eastAsia="zh-CN"/>
              </w:rPr>
              <w:t xml:space="preserve">                         </w:t>
            </w:r>
          </w:p>
        </w:tc>
        <w:tc>
          <w:tcPr>
            <w:tcW w:w="3845" w:type="dxa"/>
            <w:shd w:val="clear" w:color="auto" w:fill="FFFFFF"/>
          </w:tcPr>
          <w:p>
            <w:pPr>
              <w:pStyle w:val="12"/>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12"/>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12"/>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12"/>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12"/>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12"/>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12"/>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12"/>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169.46</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169.46</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169.46</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169.46</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169.46</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169.46</w:t>
            </w:r>
          </w:p>
        </w:tc>
        <w:tc>
          <w:tcPr>
            <w:tcW w:w="382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200"/>
              <w:jc w:val="right"/>
              <w:rPr>
                <w:rFonts w:hint="default"/>
                <w:sz w:val="17"/>
                <w:szCs w:val="17"/>
                <w:lang w:val="en-US" w:eastAsia="zh-CN"/>
              </w:rPr>
            </w:pPr>
            <w:r>
              <w:rPr>
                <w:rFonts w:hint="eastAsia"/>
                <w:sz w:val="17"/>
                <w:szCs w:val="17"/>
                <w:lang w:val="en-US" w:eastAsia="zh-CN"/>
              </w:rPr>
              <w:t>169.46</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1600"/>
        <w:gridCol w:w="1574"/>
        <w:gridCol w:w="1744"/>
        <w:gridCol w:w="2050"/>
        <w:gridCol w:w="1804"/>
        <w:gridCol w:w="1712"/>
        <w:gridCol w:w="71"/>
        <w:gridCol w:w="167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环江毛南族自治县长美乡爱洞村村民委员会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12"/>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12"/>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12"/>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12"/>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12"/>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12"/>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12"/>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p>
        </w:tc>
        <w:tc>
          <w:tcPr>
            <w:tcW w:w="1676"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708007</w:t>
            </w:r>
          </w:p>
        </w:tc>
        <w:tc>
          <w:tcPr>
            <w:tcW w:w="1662" w:type="dxa"/>
            <w:vAlign w:val="center"/>
          </w:tcPr>
          <w:p>
            <w:pPr>
              <w:pStyle w:val="12"/>
              <w:spacing w:line="240" w:lineRule="auto"/>
              <w:ind w:firstLine="0" w:firstLineChars="0"/>
              <w:jc w:val="center"/>
              <w:rPr>
                <w:rFonts w:hint="eastAsia"/>
                <w:vertAlign w:val="baseline"/>
                <w:lang w:eastAsia="zh-CN"/>
              </w:rPr>
            </w:pP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169.46</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169.46</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149.21</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20.25</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2"/>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2130705</w:t>
            </w:r>
          </w:p>
        </w:tc>
        <w:tc>
          <w:tcPr>
            <w:tcW w:w="1676" w:type="dxa"/>
            <w:vAlign w:val="center"/>
          </w:tcPr>
          <w:p>
            <w:pPr>
              <w:pStyle w:val="12"/>
              <w:spacing w:line="240" w:lineRule="auto"/>
              <w:ind w:firstLine="0" w:firstLineChars="0"/>
              <w:jc w:val="center"/>
              <w:rPr>
                <w:rFonts w:hint="eastAsia"/>
                <w:vertAlign w:val="baseline"/>
                <w:lang w:eastAsia="zh-CN"/>
              </w:rPr>
            </w:pPr>
          </w:p>
        </w:tc>
        <w:tc>
          <w:tcPr>
            <w:tcW w:w="1662" w:type="dxa"/>
            <w:vAlign w:val="center"/>
          </w:tcPr>
          <w:p>
            <w:pPr>
              <w:pStyle w:val="12"/>
              <w:spacing w:line="240" w:lineRule="auto"/>
              <w:ind w:firstLine="0" w:firstLineChars="0"/>
              <w:jc w:val="center"/>
              <w:rPr>
                <w:rFonts w:hint="eastAsia"/>
                <w:vertAlign w:val="baseline"/>
                <w:lang w:eastAsia="zh-CN"/>
              </w:rPr>
            </w:pPr>
            <w:r>
              <w:rPr>
                <w:rFonts w:hint="eastAsia"/>
                <w:sz w:val="17"/>
                <w:szCs w:val="17"/>
                <w:lang w:val="en-US" w:eastAsia="zh-CN"/>
              </w:rPr>
              <w:t>对村民委员会和村党支部的补助</w:t>
            </w:r>
          </w:p>
        </w:tc>
        <w:tc>
          <w:tcPr>
            <w:tcW w:w="1717" w:type="dxa"/>
            <w:vAlign w:val="center"/>
          </w:tcPr>
          <w:p>
            <w:pPr>
              <w:pStyle w:val="12"/>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169.46</w:t>
            </w:r>
          </w:p>
        </w:tc>
        <w:tc>
          <w:tcPr>
            <w:tcW w:w="1879" w:type="dxa"/>
            <w:vAlign w:val="center"/>
          </w:tcPr>
          <w:p>
            <w:pPr>
              <w:pStyle w:val="12"/>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169.46</w:t>
            </w:r>
          </w:p>
        </w:tc>
        <w:tc>
          <w:tcPr>
            <w:tcW w:w="1729" w:type="dxa"/>
            <w:vAlign w:val="center"/>
          </w:tcPr>
          <w:p>
            <w:pPr>
              <w:pStyle w:val="12"/>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149.21</w:t>
            </w:r>
          </w:p>
        </w:tc>
        <w:tc>
          <w:tcPr>
            <w:tcW w:w="1790" w:type="dxa"/>
            <w:gridSpan w:val="2"/>
            <w:vAlign w:val="center"/>
          </w:tcPr>
          <w:p>
            <w:pPr>
              <w:pStyle w:val="12"/>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20.25</w:t>
            </w:r>
          </w:p>
        </w:tc>
        <w:tc>
          <w:tcPr>
            <w:tcW w:w="1694" w:type="dxa"/>
            <w:vAlign w:val="center"/>
          </w:tcPr>
          <w:p>
            <w:pPr>
              <w:pStyle w:val="12"/>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2"/>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1"/>
        <w:keepNext/>
        <w:keepLines/>
        <w:spacing w:after="240"/>
        <w:jc w:val="center"/>
      </w:pPr>
      <w:bookmarkStart w:id="25" w:name="bookmark56"/>
      <w:bookmarkStart w:id="26" w:name="bookmark57"/>
      <w:bookmarkStart w:id="27" w:name="bookmark58"/>
      <w:r>
        <w:t>一般公共预算基本支出情况表</w:t>
      </w:r>
      <w:bookmarkEnd w:id="25"/>
      <w:bookmarkEnd w:id="26"/>
      <w:bookmarkEnd w:id="27"/>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环江毛南族自治县长美乡爱洞村村民委员会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12"/>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12"/>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12"/>
              <w:spacing w:line="240" w:lineRule="auto"/>
              <w:ind w:firstLine="0" w:firstLineChars="0"/>
              <w:jc w:val="center"/>
              <w:rPr>
                <w:vertAlign w:val="baseline"/>
                <w:lang w:eastAsia="zh-CN"/>
              </w:rPr>
            </w:pPr>
            <w:r>
              <w:rPr>
                <w:sz w:val="17"/>
                <w:szCs w:val="17"/>
              </w:rPr>
              <w:t>合计</w:t>
            </w:r>
          </w:p>
        </w:tc>
        <w:tc>
          <w:tcPr>
            <w:tcW w:w="3112" w:type="dxa"/>
            <w:vAlign w:val="center"/>
          </w:tcPr>
          <w:p>
            <w:pPr>
              <w:pStyle w:val="12"/>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12"/>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169.46</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149.21</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20.25</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9.25</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9.20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30215</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会议费</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0.60</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149.21</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149.21</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30305</w:t>
            </w:r>
          </w:p>
        </w:tc>
        <w:tc>
          <w:tcPr>
            <w:tcW w:w="3111" w:type="dxa"/>
            <w:vAlign w:val="center"/>
          </w:tcPr>
          <w:p>
            <w:pPr>
              <w:pStyle w:val="12"/>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生活补助</w:t>
            </w:r>
          </w:p>
        </w:tc>
        <w:tc>
          <w:tcPr>
            <w:tcW w:w="3111"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149.21</w:t>
            </w:r>
          </w:p>
        </w:tc>
        <w:tc>
          <w:tcPr>
            <w:tcW w:w="3112"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149.21</w:t>
            </w:r>
          </w:p>
        </w:tc>
        <w:tc>
          <w:tcPr>
            <w:tcW w:w="3113" w:type="dxa"/>
            <w:vAlign w:val="center"/>
          </w:tcPr>
          <w:p>
            <w:pPr>
              <w:pStyle w:val="12"/>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11"/>
        <w:keepNext/>
        <w:keepLines/>
        <w:spacing w:after="240"/>
        <w:jc w:val="center"/>
        <w:rPr>
          <w:rFonts w:hint="default"/>
          <w:sz w:val="28"/>
          <w:szCs w:val="28"/>
          <w:lang w:val="en-US" w:eastAsia="zh-CN"/>
        </w:rPr>
      </w:pPr>
      <w:bookmarkStart w:id="28" w:name="bookmark65"/>
      <w:bookmarkStart w:id="29" w:name="bookmark66"/>
      <w:bookmarkStart w:id="30" w:name="bookmark67"/>
      <w:r>
        <w:rPr>
          <w:rFonts w:hint="default"/>
          <w:sz w:val="28"/>
          <w:szCs w:val="28"/>
          <w:lang w:val="en-US" w:eastAsia="zh-CN"/>
        </w:rPr>
        <w:t>一般公共预算“三公”经费预算表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13"/>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环江毛南族自治县长美乡爱洞村村民委员会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13"/>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13"/>
              <w:bidi w:val="0"/>
              <w:jc w:val="center"/>
              <w:rPr>
                <w:rFonts w:hint="eastAsia"/>
                <w:vertAlign w:val="baseline"/>
                <w:lang w:val="en-US" w:eastAsia="zh-CN"/>
              </w:rPr>
            </w:pPr>
            <w:r>
              <w:rPr>
                <w:sz w:val="17"/>
                <w:szCs w:val="17"/>
              </w:rPr>
              <w:t>门（单位）代码</w:t>
            </w:r>
          </w:p>
        </w:tc>
        <w:tc>
          <w:tcPr>
            <w:tcW w:w="1918" w:type="dxa"/>
            <w:vMerge w:val="restart"/>
          </w:tcPr>
          <w:p>
            <w:pPr>
              <w:pStyle w:val="13"/>
              <w:bidi w:val="0"/>
              <w:jc w:val="center"/>
              <w:rPr>
                <w:rFonts w:hint="eastAsia"/>
                <w:vertAlign w:val="baseline"/>
                <w:lang w:val="en-US" w:eastAsia="zh-CN"/>
              </w:rPr>
            </w:pPr>
            <w:r>
              <w:rPr>
                <w:sz w:val="17"/>
                <w:szCs w:val="17"/>
              </w:rPr>
              <w:t>部门（单位）名称</w:t>
            </w:r>
          </w:p>
        </w:tc>
        <w:tc>
          <w:tcPr>
            <w:tcW w:w="11343" w:type="dxa"/>
            <w:gridSpan w:val="7"/>
          </w:tcPr>
          <w:p>
            <w:pPr>
              <w:pStyle w:val="13"/>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3"/>
              <w:bidi w:val="0"/>
              <w:jc w:val="center"/>
              <w:rPr>
                <w:rFonts w:hint="eastAsia"/>
                <w:vertAlign w:val="baseline"/>
                <w:lang w:val="en-US" w:eastAsia="zh-CN"/>
              </w:rPr>
            </w:pPr>
          </w:p>
        </w:tc>
        <w:tc>
          <w:tcPr>
            <w:tcW w:w="1918" w:type="dxa"/>
            <w:vMerge w:val="continue"/>
          </w:tcPr>
          <w:p>
            <w:pPr>
              <w:pStyle w:val="13"/>
              <w:bidi w:val="0"/>
              <w:jc w:val="center"/>
              <w:rPr>
                <w:rFonts w:hint="eastAsia"/>
                <w:vertAlign w:val="baseline"/>
                <w:lang w:val="en-US" w:eastAsia="zh-CN"/>
              </w:rPr>
            </w:pPr>
          </w:p>
        </w:tc>
        <w:tc>
          <w:tcPr>
            <w:tcW w:w="1884" w:type="dxa"/>
            <w:vMerge w:val="restart"/>
          </w:tcPr>
          <w:p>
            <w:pPr>
              <w:pStyle w:val="13"/>
              <w:bidi w:val="0"/>
              <w:jc w:val="center"/>
              <w:rPr>
                <w:rFonts w:hint="eastAsia"/>
                <w:vertAlign w:val="baseline"/>
                <w:lang w:val="en-US" w:eastAsia="zh-CN"/>
              </w:rPr>
            </w:pPr>
            <w:r>
              <w:rPr>
                <w:sz w:val="17"/>
                <w:szCs w:val="17"/>
              </w:rPr>
              <w:t>合计</w:t>
            </w:r>
          </w:p>
        </w:tc>
        <w:tc>
          <w:tcPr>
            <w:tcW w:w="1895" w:type="dxa"/>
            <w:vMerge w:val="restart"/>
          </w:tcPr>
          <w:p>
            <w:pPr>
              <w:pStyle w:val="13"/>
              <w:bidi w:val="0"/>
              <w:jc w:val="center"/>
              <w:rPr>
                <w:rFonts w:hint="eastAsia"/>
                <w:vertAlign w:val="baseline"/>
                <w:lang w:val="en-US" w:eastAsia="zh-CN"/>
              </w:rPr>
            </w:pPr>
            <w:r>
              <w:rPr>
                <w:sz w:val="17"/>
                <w:szCs w:val="17"/>
              </w:rPr>
              <w:t>因公出国（境）费</w:t>
            </w:r>
          </w:p>
        </w:tc>
        <w:tc>
          <w:tcPr>
            <w:tcW w:w="5675" w:type="dxa"/>
            <w:gridSpan w:val="4"/>
          </w:tcPr>
          <w:p>
            <w:pPr>
              <w:pStyle w:val="13"/>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13"/>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3"/>
              <w:bidi w:val="0"/>
              <w:jc w:val="center"/>
              <w:rPr>
                <w:rFonts w:hint="eastAsia"/>
                <w:vertAlign w:val="baseline"/>
                <w:lang w:val="en-US" w:eastAsia="zh-CN"/>
              </w:rPr>
            </w:pPr>
          </w:p>
        </w:tc>
        <w:tc>
          <w:tcPr>
            <w:tcW w:w="1918" w:type="dxa"/>
            <w:vMerge w:val="continue"/>
          </w:tcPr>
          <w:p>
            <w:pPr>
              <w:pStyle w:val="13"/>
              <w:bidi w:val="0"/>
              <w:jc w:val="center"/>
              <w:rPr>
                <w:rFonts w:hint="eastAsia"/>
                <w:vertAlign w:val="baseline"/>
                <w:lang w:val="en-US" w:eastAsia="zh-CN"/>
              </w:rPr>
            </w:pPr>
          </w:p>
        </w:tc>
        <w:tc>
          <w:tcPr>
            <w:tcW w:w="1884" w:type="dxa"/>
            <w:vMerge w:val="continue"/>
          </w:tcPr>
          <w:p>
            <w:pPr>
              <w:pStyle w:val="13"/>
              <w:bidi w:val="0"/>
              <w:jc w:val="center"/>
              <w:rPr>
                <w:rFonts w:hint="eastAsia"/>
                <w:vertAlign w:val="baseline"/>
                <w:lang w:val="en-US" w:eastAsia="zh-CN"/>
              </w:rPr>
            </w:pPr>
          </w:p>
        </w:tc>
        <w:tc>
          <w:tcPr>
            <w:tcW w:w="1895" w:type="dxa"/>
            <w:vMerge w:val="continue"/>
          </w:tcPr>
          <w:p>
            <w:pPr>
              <w:pStyle w:val="13"/>
              <w:bidi w:val="0"/>
              <w:jc w:val="center"/>
              <w:rPr>
                <w:rFonts w:hint="eastAsia"/>
                <w:vertAlign w:val="baseline"/>
                <w:lang w:val="en-US" w:eastAsia="zh-CN"/>
              </w:rPr>
            </w:pPr>
          </w:p>
        </w:tc>
        <w:tc>
          <w:tcPr>
            <w:tcW w:w="1888" w:type="dxa"/>
            <w:vAlign w:val="center"/>
          </w:tcPr>
          <w:p>
            <w:pPr>
              <w:pStyle w:val="12"/>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12"/>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12"/>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13"/>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12"/>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12"/>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708007</w:t>
            </w:r>
          </w:p>
        </w:tc>
        <w:tc>
          <w:tcPr>
            <w:tcW w:w="1918" w:type="dxa"/>
            <w:vAlign w:val="center"/>
          </w:tcPr>
          <w:p>
            <w:pPr>
              <w:pStyle w:val="12"/>
              <w:spacing w:line="240" w:lineRule="auto"/>
              <w:ind w:firstLine="0" w:firstLineChars="0"/>
              <w:jc w:val="left"/>
              <w:rPr>
                <w:rFonts w:hint="eastAsia"/>
                <w:vertAlign w:val="baseline"/>
                <w:lang w:val="en-US" w:eastAsia="zh-CN"/>
              </w:rPr>
            </w:pPr>
          </w:p>
        </w:tc>
        <w:tc>
          <w:tcPr>
            <w:tcW w:w="1884"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5"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12"/>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13"/>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13"/>
        <w:bidi w:val="0"/>
        <w:rPr>
          <w:rFonts w:hint="eastAsia"/>
          <w:lang w:val="en-US" w:eastAsia="zh-CN"/>
        </w:rPr>
      </w:pPr>
    </w:p>
    <w:p>
      <w:pPr>
        <w:pStyle w:val="11"/>
        <w:keepNext/>
        <w:keepLines/>
        <w:spacing w:after="240"/>
        <w:jc w:val="center"/>
      </w:pPr>
    </w:p>
    <w:p>
      <w:pPr>
        <w:pStyle w:val="11"/>
        <w:keepNext/>
        <w:keepLines/>
        <w:spacing w:after="240"/>
        <w:jc w:val="center"/>
      </w:pPr>
    </w:p>
    <w:p>
      <w:pPr>
        <w:pStyle w:val="11"/>
        <w:keepNext/>
        <w:keepLines/>
        <w:spacing w:after="240"/>
        <w:jc w:val="center"/>
      </w:pPr>
    </w:p>
    <w:p>
      <w:pPr>
        <w:pStyle w:val="11"/>
        <w:keepNext/>
        <w:keepLines/>
        <w:spacing w:after="240"/>
        <w:jc w:val="center"/>
      </w:pPr>
    </w:p>
    <w:p>
      <w:pPr>
        <w:pStyle w:val="11"/>
        <w:keepNext/>
        <w:keepLines/>
        <w:spacing w:after="240"/>
        <w:jc w:val="center"/>
      </w:pPr>
    </w:p>
    <w:p>
      <w:pPr>
        <w:pStyle w:val="13"/>
        <w:bidi w:val="0"/>
      </w:pPr>
    </w:p>
    <w:p>
      <w:pPr>
        <w:pStyle w:val="11"/>
        <w:keepNext/>
        <w:keepLines/>
        <w:spacing w:after="240"/>
        <w:jc w:val="center"/>
      </w:pPr>
      <w:r>
        <w:t>政府性基金预算支出情况表</w:t>
      </w:r>
      <w:bookmarkEnd w:id="28"/>
      <w:bookmarkEnd w:id="29"/>
      <w:bookmarkEnd w:id="3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13"/>
              <w:tabs>
                <w:tab w:val="left" w:pos="14213"/>
              </w:tabs>
              <w:ind w:left="101"/>
              <w:jc w:val="left"/>
            </w:pPr>
            <w:r>
              <w:t>单位名称：</w:t>
            </w:r>
            <w:r>
              <w:rPr>
                <w:rFonts w:hint="eastAsia"/>
                <w:lang w:eastAsia="zh-CN"/>
              </w:rPr>
              <w:t>环江毛南族自治县长美乡爱洞村村民委员会</w:t>
            </w:r>
            <w:r>
              <w:tab/>
            </w:r>
            <w:r>
              <w:t>单位：万元</w:t>
            </w:r>
          </w:p>
        </w:tc>
        <w:tc>
          <w:tcPr>
            <w:tcW w:w="2163" w:type="dxa"/>
            <w:tcBorders>
              <w:top w:val="nil"/>
              <w:left w:val="nil"/>
              <w:right w:val="nil"/>
            </w:tcBorders>
          </w:tcPr>
          <w:p>
            <w:pPr>
              <w:pStyle w:val="13"/>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13"/>
              <w:bidi w:val="0"/>
              <w:jc w:val="center"/>
              <w:rPr>
                <w:vertAlign w:val="baseline"/>
              </w:rPr>
            </w:pPr>
            <w:r>
              <w:rPr>
                <w:sz w:val="17"/>
                <w:szCs w:val="17"/>
              </w:rPr>
              <w:t>科目编码</w:t>
            </w:r>
          </w:p>
        </w:tc>
        <w:tc>
          <w:tcPr>
            <w:tcW w:w="2161" w:type="dxa"/>
          </w:tcPr>
          <w:p>
            <w:pPr>
              <w:pStyle w:val="13"/>
              <w:bidi w:val="0"/>
              <w:jc w:val="center"/>
              <w:rPr>
                <w:vertAlign w:val="baseline"/>
              </w:rPr>
            </w:pPr>
            <w:r>
              <w:rPr>
                <w:sz w:val="17"/>
                <w:szCs w:val="17"/>
              </w:rPr>
              <w:t>部门（单位）代码</w:t>
            </w:r>
          </w:p>
        </w:tc>
        <w:tc>
          <w:tcPr>
            <w:tcW w:w="2162" w:type="dxa"/>
          </w:tcPr>
          <w:p>
            <w:pPr>
              <w:pStyle w:val="13"/>
              <w:bidi w:val="0"/>
              <w:jc w:val="center"/>
              <w:rPr>
                <w:vertAlign w:val="baseline"/>
              </w:rPr>
            </w:pPr>
            <w:r>
              <w:rPr>
                <w:sz w:val="17"/>
                <w:szCs w:val="17"/>
              </w:rPr>
              <w:t>部门（单位）名称（功能分类科目名称）</w:t>
            </w:r>
          </w:p>
        </w:tc>
        <w:tc>
          <w:tcPr>
            <w:tcW w:w="2222" w:type="dxa"/>
            <w:vAlign w:val="center"/>
          </w:tcPr>
          <w:p>
            <w:pPr>
              <w:pStyle w:val="12"/>
              <w:spacing w:line="240" w:lineRule="auto"/>
              <w:ind w:firstLine="0" w:firstLineChars="0"/>
              <w:jc w:val="center"/>
              <w:rPr>
                <w:vertAlign w:val="baseline"/>
              </w:rPr>
            </w:pPr>
            <w:r>
              <w:rPr>
                <w:sz w:val="17"/>
                <w:szCs w:val="17"/>
              </w:rPr>
              <w:t>合计</w:t>
            </w:r>
          </w:p>
        </w:tc>
        <w:tc>
          <w:tcPr>
            <w:tcW w:w="2161" w:type="dxa"/>
            <w:vAlign w:val="center"/>
          </w:tcPr>
          <w:p>
            <w:pPr>
              <w:pStyle w:val="12"/>
              <w:spacing w:line="240" w:lineRule="auto"/>
              <w:ind w:firstLine="0" w:firstLineChars="0"/>
              <w:jc w:val="center"/>
              <w:rPr>
                <w:vertAlign w:val="baseline"/>
              </w:rPr>
            </w:pPr>
            <w:r>
              <w:rPr>
                <w:sz w:val="17"/>
                <w:szCs w:val="17"/>
              </w:rPr>
              <w:t>基本支出</w:t>
            </w:r>
          </w:p>
        </w:tc>
        <w:tc>
          <w:tcPr>
            <w:tcW w:w="2161" w:type="dxa"/>
            <w:vAlign w:val="center"/>
          </w:tcPr>
          <w:p>
            <w:pPr>
              <w:pStyle w:val="12"/>
              <w:spacing w:line="240" w:lineRule="auto"/>
              <w:ind w:firstLine="0" w:firstLineChars="0"/>
              <w:jc w:val="center"/>
              <w:rPr>
                <w:vertAlign w:val="baseline"/>
              </w:rPr>
            </w:pPr>
            <w:r>
              <w:rPr>
                <w:sz w:val="17"/>
                <w:szCs w:val="17"/>
              </w:rPr>
              <w:t>项目支出</w:t>
            </w:r>
          </w:p>
        </w:tc>
        <w:tc>
          <w:tcPr>
            <w:tcW w:w="2163" w:type="dxa"/>
            <w:vAlign w:val="center"/>
          </w:tcPr>
          <w:p>
            <w:pPr>
              <w:pStyle w:val="12"/>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12"/>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2130705</w:t>
            </w:r>
          </w:p>
        </w:tc>
        <w:tc>
          <w:tcPr>
            <w:tcW w:w="2161" w:type="dxa"/>
            <w:vAlign w:val="center"/>
          </w:tcPr>
          <w:p>
            <w:pPr>
              <w:pStyle w:val="12"/>
              <w:spacing w:line="240" w:lineRule="auto"/>
              <w:ind w:firstLine="0" w:firstLineChars="0"/>
              <w:jc w:val="left"/>
              <w:rPr>
                <w:b w:val="0"/>
                <w:bCs w:val="0"/>
                <w:vertAlign w:val="baseline"/>
              </w:rPr>
            </w:pPr>
          </w:p>
        </w:tc>
        <w:tc>
          <w:tcPr>
            <w:tcW w:w="2162" w:type="dxa"/>
            <w:vAlign w:val="center"/>
          </w:tcPr>
          <w:p>
            <w:pPr>
              <w:pStyle w:val="12"/>
              <w:spacing w:line="240" w:lineRule="auto"/>
              <w:ind w:firstLine="0" w:firstLineChars="0"/>
              <w:jc w:val="left"/>
              <w:rPr>
                <w:b w:val="0"/>
                <w:bCs w:val="0"/>
                <w:vertAlign w:val="baseline"/>
              </w:rPr>
            </w:pPr>
            <w:r>
              <w:rPr>
                <w:rFonts w:hint="eastAsia"/>
                <w:b w:val="0"/>
                <w:bCs w:val="0"/>
                <w:sz w:val="17"/>
                <w:szCs w:val="17"/>
                <w:lang w:val="en-US" w:eastAsia="zh-CN"/>
              </w:rPr>
              <w:t>对村民委员会和村党支部的补助</w:t>
            </w:r>
          </w:p>
        </w:tc>
        <w:tc>
          <w:tcPr>
            <w:tcW w:w="2222" w:type="dxa"/>
            <w:vAlign w:val="center"/>
          </w:tcPr>
          <w:p>
            <w:pPr>
              <w:pStyle w:val="12"/>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12"/>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12"/>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3"/>
              <w:bidi w:val="0"/>
              <w:jc w:val="both"/>
              <w:rPr>
                <w:vertAlign w:val="baseline"/>
              </w:rPr>
            </w:pPr>
            <w:r>
              <w:t>注：本报表金额单位转换时可能存在四舍五入尾数误差</w:t>
            </w:r>
          </w:p>
        </w:tc>
      </w:tr>
    </w:tbl>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pPr>
    </w:p>
    <w:p>
      <w:pPr>
        <w:pStyle w:val="13"/>
        <w:bidi w:val="0"/>
        <w:jc w:val="center"/>
        <w:rPr>
          <w:sz w:val="28"/>
          <w:szCs w:val="28"/>
        </w:rPr>
      </w:pPr>
      <w:r>
        <w:rPr>
          <w:sz w:val="28"/>
          <w:szCs w:val="28"/>
        </w:rPr>
        <w:t>国有资本经营预算支出情况表</w:t>
      </w:r>
    </w:p>
    <w:p>
      <w:pPr>
        <w:pStyle w:val="13"/>
        <w:bidi w:val="0"/>
        <w:jc w:val="center"/>
        <w:rPr>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13"/>
              <w:tabs>
                <w:tab w:val="left" w:pos="14213"/>
              </w:tabs>
              <w:ind w:left="101"/>
              <w:jc w:val="left"/>
            </w:pPr>
            <w:r>
              <w:t>单位名称：</w:t>
            </w:r>
            <w:r>
              <w:rPr>
                <w:rFonts w:hint="eastAsia"/>
                <w:lang w:eastAsia="zh-CN"/>
              </w:rPr>
              <w:t>环江毛南族自治县长美乡爱洞村村民委员会</w:t>
            </w:r>
            <w:r>
              <w:tab/>
            </w:r>
            <w:r>
              <w:t>单位：万元</w:t>
            </w:r>
          </w:p>
        </w:tc>
        <w:tc>
          <w:tcPr>
            <w:tcW w:w="2163" w:type="dxa"/>
            <w:tcBorders>
              <w:top w:val="nil"/>
              <w:left w:val="nil"/>
              <w:right w:val="nil"/>
            </w:tcBorders>
          </w:tcPr>
          <w:p>
            <w:pPr>
              <w:pStyle w:val="13"/>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13"/>
              <w:bidi w:val="0"/>
              <w:jc w:val="center"/>
              <w:rPr>
                <w:vertAlign w:val="baseline"/>
              </w:rPr>
            </w:pPr>
            <w:r>
              <w:rPr>
                <w:sz w:val="17"/>
                <w:szCs w:val="17"/>
              </w:rPr>
              <w:t>科目编码</w:t>
            </w:r>
          </w:p>
        </w:tc>
        <w:tc>
          <w:tcPr>
            <w:tcW w:w="2161" w:type="dxa"/>
            <w:vMerge w:val="restart"/>
          </w:tcPr>
          <w:p>
            <w:pPr>
              <w:pStyle w:val="13"/>
              <w:bidi w:val="0"/>
              <w:jc w:val="center"/>
              <w:rPr>
                <w:vertAlign w:val="baseline"/>
              </w:rPr>
            </w:pPr>
            <w:r>
              <w:rPr>
                <w:sz w:val="17"/>
                <w:szCs w:val="17"/>
              </w:rPr>
              <w:t>部门（单位）代码</w:t>
            </w:r>
          </w:p>
        </w:tc>
        <w:tc>
          <w:tcPr>
            <w:tcW w:w="2162" w:type="dxa"/>
            <w:vMerge w:val="restart"/>
          </w:tcPr>
          <w:p>
            <w:pPr>
              <w:pStyle w:val="13"/>
              <w:bidi w:val="0"/>
              <w:jc w:val="center"/>
              <w:rPr>
                <w:vertAlign w:val="baseline"/>
              </w:rPr>
            </w:pPr>
            <w:r>
              <w:rPr>
                <w:sz w:val="17"/>
                <w:szCs w:val="17"/>
              </w:rPr>
              <w:t>部门（单位）名称（功能分类科目名称）</w:t>
            </w:r>
          </w:p>
        </w:tc>
        <w:tc>
          <w:tcPr>
            <w:tcW w:w="2222" w:type="dxa"/>
            <w:vAlign w:val="center"/>
          </w:tcPr>
          <w:p>
            <w:pPr>
              <w:pStyle w:val="12"/>
              <w:spacing w:line="240" w:lineRule="auto"/>
              <w:ind w:firstLine="0" w:firstLineChars="0"/>
              <w:jc w:val="center"/>
              <w:rPr>
                <w:vertAlign w:val="baseline"/>
              </w:rPr>
            </w:pPr>
            <w:r>
              <w:rPr>
                <w:sz w:val="17"/>
                <w:szCs w:val="17"/>
              </w:rPr>
              <w:t>合计</w:t>
            </w:r>
          </w:p>
        </w:tc>
        <w:tc>
          <w:tcPr>
            <w:tcW w:w="2161" w:type="dxa"/>
            <w:vAlign w:val="center"/>
          </w:tcPr>
          <w:p>
            <w:pPr>
              <w:pStyle w:val="12"/>
              <w:spacing w:line="240" w:lineRule="auto"/>
              <w:ind w:firstLine="0" w:firstLineChars="0"/>
              <w:jc w:val="center"/>
              <w:rPr>
                <w:vertAlign w:val="baseline"/>
              </w:rPr>
            </w:pPr>
            <w:r>
              <w:rPr>
                <w:sz w:val="17"/>
                <w:szCs w:val="17"/>
              </w:rPr>
              <w:t>基本支出</w:t>
            </w:r>
          </w:p>
        </w:tc>
        <w:tc>
          <w:tcPr>
            <w:tcW w:w="2161" w:type="dxa"/>
            <w:vAlign w:val="center"/>
          </w:tcPr>
          <w:p>
            <w:pPr>
              <w:pStyle w:val="12"/>
              <w:spacing w:line="240" w:lineRule="auto"/>
              <w:ind w:firstLine="0" w:firstLineChars="0"/>
              <w:jc w:val="center"/>
              <w:rPr>
                <w:vertAlign w:val="baseline"/>
              </w:rPr>
            </w:pPr>
            <w:r>
              <w:rPr>
                <w:sz w:val="17"/>
                <w:szCs w:val="17"/>
              </w:rPr>
              <w:t>项目支出</w:t>
            </w:r>
          </w:p>
        </w:tc>
        <w:tc>
          <w:tcPr>
            <w:tcW w:w="2163" w:type="dxa"/>
            <w:vAlign w:val="center"/>
          </w:tcPr>
          <w:p>
            <w:pPr>
              <w:pStyle w:val="12"/>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13"/>
              <w:bidi w:val="0"/>
              <w:jc w:val="both"/>
              <w:rPr>
                <w:vertAlign w:val="baseline"/>
              </w:rPr>
            </w:pPr>
          </w:p>
        </w:tc>
        <w:tc>
          <w:tcPr>
            <w:tcW w:w="2161" w:type="dxa"/>
            <w:vMerge w:val="continue"/>
          </w:tcPr>
          <w:p>
            <w:pPr>
              <w:pStyle w:val="13"/>
              <w:bidi w:val="0"/>
              <w:jc w:val="both"/>
              <w:rPr>
                <w:vertAlign w:val="baseline"/>
              </w:rPr>
            </w:pPr>
          </w:p>
        </w:tc>
        <w:tc>
          <w:tcPr>
            <w:tcW w:w="2162" w:type="dxa"/>
            <w:vMerge w:val="continue"/>
          </w:tcPr>
          <w:p>
            <w:pPr>
              <w:pStyle w:val="13"/>
              <w:bidi w:val="0"/>
              <w:jc w:val="both"/>
              <w:rPr>
                <w:vertAlign w:val="baseline"/>
              </w:rPr>
            </w:pPr>
          </w:p>
        </w:tc>
        <w:tc>
          <w:tcPr>
            <w:tcW w:w="2222"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12"/>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12"/>
              <w:spacing w:line="240" w:lineRule="auto"/>
              <w:ind w:firstLine="0" w:firstLineChars="0"/>
              <w:jc w:val="left"/>
              <w:rPr>
                <w:vertAlign w:val="baseline"/>
              </w:rPr>
            </w:pPr>
            <w:r>
              <w:rPr>
                <w:sz w:val="17"/>
                <w:szCs w:val="17"/>
              </w:rPr>
              <w:t>合计</w:t>
            </w:r>
          </w:p>
        </w:tc>
        <w:tc>
          <w:tcPr>
            <w:tcW w:w="2222" w:type="dxa"/>
            <w:vAlign w:val="center"/>
          </w:tcPr>
          <w:p>
            <w:pPr>
              <w:pStyle w:val="12"/>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12"/>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3"/>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13"/>
              <w:bidi w:val="0"/>
              <w:jc w:val="both"/>
              <w:rPr>
                <w:vertAlign w:val="baseline"/>
              </w:rPr>
            </w:pPr>
          </w:p>
        </w:tc>
      </w:tr>
    </w:tbl>
    <w:p>
      <w:pPr>
        <w:pStyle w:val="13"/>
        <w:bidi w:val="0"/>
      </w:pPr>
    </w:p>
    <w:p>
      <w:r>
        <w:br w:type="page"/>
      </w:r>
    </w:p>
    <w:p>
      <w:pPr>
        <w:pStyle w:val="11"/>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3"/>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12"/>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环江毛南族自治县长美乡爱洞村村民委员会</w:t>
            </w:r>
            <w:r>
              <w:rPr>
                <w:rFonts w:hint="eastAsia" w:cs="宋体"/>
                <w:sz w:val="17"/>
                <w:szCs w:val="17"/>
                <w:lang w:val="en-US" w:eastAsia="zh-CN"/>
              </w:rPr>
              <w:t xml:space="preserve">            </w:t>
            </w:r>
          </w:p>
        </w:tc>
        <w:tc>
          <w:tcPr>
            <w:tcW w:w="6076" w:type="dxa"/>
            <w:shd w:val="clear" w:color="auto" w:fill="FFFFFF"/>
          </w:tcPr>
          <w:p>
            <w:pPr>
              <w:pStyle w:val="12"/>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7"/>
        <w:keepNext/>
        <w:keepLines/>
        <w:spacing w:before="200" w:after="0"/>
        <w:jc w:val="center"/>
        <w:rPr>
          <w:sz w:val="40"/>
          <w:szCs w:val="40"/>
        </w:rPr>
      </w:pPr>
      <w:bookmarkStart w:id="31" w:name="bookmark96"/>
      <w:bookmarkStart w:id="32" w:name="bookmark94"/>
      <w:bookmarkStart w:id="33" w:name="bookmark95"/>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9"/>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9"/>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9"/>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9"/>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9"/>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9"/>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9"/>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9"/>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9"/>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9"/>
        <w:spacing w:line="628" w:lineRule="exact"/>
        <w:ind w:firstLine="640"/>
        <w:jc w:val="left"/>
      </w:pPr>
      <w:r>
        <w:t>十、项目支出：指在基本支出之外为完成特定行政任务和事业发展目标所发生的支出。</w:t>
      </w:r>
    </w:p>
    <w:p>
      <w:pPr>
        <w:pStyle w:val="9"/>
        <w:spacing w:line="628" w:lineRule="exact"/>
        <w:ind w:firstLine="640"/>
        <w:jc w:val="left"/>
      </w:pPr>
      <w:r>
        <w:t>十一、经营支出：指事业单位在专业业务活动及其辅助活动之外开展非独立核算经营活动所发生的支出。</w:t>
      </w:r>
    </w:p>
    <w:p>
      <w:pPr>
        <w:pStyle w:val="9"/>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9"/>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12" w:type="default"/>
      <w:footerReference r:id="rId13"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7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BkxdPAUCAAAMBAAADgAAAAAAAAABACAAAAAfAQAAZHJzL2Uy&#10;b0RvYy54bWxQSwUGAAAAAAYABgBZAQAAl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582"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XEI9kAAAAHAQAADwAAAAAAAAABACAAAAAi&#10;AAAAZHJzL2Rvd25yZXYueG1sUEsBAhQAFAAAAAgAh07iQCoau94JAgAADAQAAA4AAAAAAAAAAQAg&#10;AAAAKA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584"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y47dgAAAAHAQAADwAAAAAAAAABACAAAAAi&#10;AAAAZHJzL2Rvd25yZXYueG1sUEsBAhQAFAAAAAgAh07iQOAQsyoKAgAADAQAAA4AAAAAAAAAAQAg&#10;AAAAJw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ZNij1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6"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IDJ8lAUCAAANBAAADgAAAAAAAAABACAAAAAfAQAAZHJzL2Uy&#10;b0RvYy54bWxQSwUGAAAAAAYABgBZAQAAlg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87"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BaGkIEAgAADQQAAA4AAABkcnMvZTJvRG9jLnhtbK1TwY7TMBC9I/EP&#10;lu80bSWgip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cvFa86csNTz87ev5+8/&#10;zz++sNk8WdT5UFLmvd/iuAsEk96+QZu+pIT12dbT1VbVRyYpOFvMF4spOS7p7LIhnuLhd48hvlNg&#10;WQIVR+pbtlMcb0McUi8p6TYHG20MxUVp3B8B4kyRIlU81JhQ7Hf9WPgO6hMpRhhGIXi50XTnrQhx&#10;K5B6T3XS64h3tDQGuorDiDhrAT//K57yqSV0yllHs1RxR0+HM/PeUavS2F0AXsDuAtzBvgUazhln&#10;GE2G9INwkugqHjk7eNT7NleblAb/5hBJfnYlaRsEjZJpSrKv40SnMfx9n7MeX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gWhpC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581"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4"/>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wIsR2wAAAA0BAAAPAAAAAAAAAAEAIAAAACIAAABkcnMvZG93bnJldi54bWxQSwECFAAUAAAACACH&#10;TuJAmE5jZegBAADlAwAADgAAAAAAAAABACAAAAAqAQAAZHJzL2Uyb0RvYy54bWxQSwUGAAAAAAYA&#10;BgBZAQAAhAUAAAAA&#10;">
              <v:fill on="f" focussize="0,0"/>
              <v:stroke on="f"/>
              <v:imagedata o:title=""/>
              <o:lock v:ext="edit" aspectratio="f"/>
              <v:textbox inset="0mm,0mm,0mm,0mm" style="mso-fit-shape-to-text:t;">
                <w:txbxContent>
                  <w:p>
                    <w:pPr>
                      <w:pStyle w:val="14"/>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583"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4"/>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E6l1GjpAQAA5QMAAA4AAAAAAAAAAQAgAAAAKgEAAGRycy9lMm9Eb2MueG1sUEsFBgAAAAAG&#10;AAYAWQEAAIUFAAAAAA==&#10;">
              <v:fill on="f" focussize="0,0"/>
              <v:stroke on="f"/>
              <v:imagedata o:title=""/>
              <o:lock v:ext="edit" aspectratio="f"/>
              <v:textbox inset="0mm,0mm,0mm,0mm" style="mso-fit-shape-to-text:t;">
                <w:txbxContent>
                  <w:p>
                    <w:pPr>
                      <w:pStyle w:val="14"/>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91CB4"/>
    <w:rsid w:val="71C9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5"/>
    <w:basedOn w:val="1"/>
    <w:qFormat/>
    <w:uiPriority w:val="0"/>
    <w:pPr>
      <w:jc w:val="center"/>
    </w:pPr>
    <w:rPr>
      <w:rFonts w:ascii="宋体" w:hAnsi="宋体" w:eastAsia="宋体" w:cs="宋体"/>
      <w:sz w:val="54"/>
      <w:szCs w:val="54"/>
      <w:lang w:val="zh-TW" w:eastAsia="zh-TW" w:bidi="zh-TW"/>
    </w:rPr>
  </w:style>
  <w:style w:type="paragraph" w:customStyle="1" w:styleId="7">
    <w:name w:val="Heading #1|1"/>
    <w:basedOn w:val="1"/>
    <w:qFormat/>
    <w:uiPriority w:val="0"/>
    <w:pPr>
      <w:spacing w:after="400"/>
      <w:jc w:val="center"/>
      <w:outlineLvl w:val="0"/>
    </w:pPr>
    <w:rPr>
      <w:rFonts w:ascii="宋体" w:hAnsi="宋体" w:eastAsia="宋体" w:cs="宋体"/>
      <w:sz w:val="44"/>
      <w:szCs w:val="44"/>
      <w:lang w:val="zh-TW" w:eastAsia="zh-TW" w:bidi="zh-TW"/>
    </w:rPr>
  </w:style>
  <w:style w:type="paragraph" w:customStyle="1" w:styleId="8">
    <w:name w:val="Body text|2"/>
    <w:basedOn w:val="1"/>
    <w:qFormat/>
    <w:uiPriority w:val="0"/>
    <w:pPr>
      <w:spacing w:after="240"/>
      <w:ind w:firstLine="560"/>
    </w:pPr>
    <w:rPr>
      <w:rFonts w:ascii="宋体" w:hAnsi="宋体" w:eastAsia="宋体" w:cs="宋体"/>
      <w:sz w:val="32"/>
      <w:szCs w:val="32"/>
      <w:lang w:val="zh-TW" w:eastAsia="zh-TW" w:bidi="zh-TW"/>
    </w:rPr>
  </w:style>
  <w:style w:type="paragraph" w:customStyle="1" w:styleId="9">
    <w:name w:val="Body text|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0">
    <w:name w:val="Body text|3"/>
    <w:basedOn w:val="1"/>
    <w:qFormat/>
    <w:uiPriority w:val="0"/>
    <w:pPr>
      <w:spacing w:after="140" w:line="336" w:lineRule="auto"/>
      <w:ind w:firstLine="370"/>
    </w:pPr>
    <w:rPr>
      <w:sz w:val="30"/>
      <w:szCs w:val="30"/>
      <w:lang w:val="zh-TW" w:eastAsia="zh-TW" w:bidi="zh-TW"/>
    </w:rPr>
  </w:style>
  <w:style w:type="paragraph" w:customStyle="1" w:styleId="11">
    <w:name w:val="Heading #2|1"/>
    <w:basedOn w:val="1"/>
    <w:qFormat/>
    <w:uiPriority w:val="0"/>
    <w:pPr>
      <w:spacing w:after="230"/>
      <w:jc w:val="center"/>
      <w:outlineLvl w:val="1"/>
    </w:pPr>
    <w:rPr>
      <w:rFonts w:ascii="宋体" w:hAnsi="宋体" w:eastAsia="宋体" w:cs="宋体"/>
      <w:sz w:val="26"/>
      <w:szCs w:val="26"/>
      <w:lang w:val="zh-TW" w:eastAsia="zh-TW" w:bidi="zh-TW"/>
    </w:rPr>
  </w:style>
  <w:style w:type="paragraph" w:customStyle="1" w:styleId="12">
    <w:name w:val="Other|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3">
    <w:name w:val="Table caption|1"/>
    <w:basedOn w:val="1"/>
    <w:qFormat/>
    <w:uiPriority w:val="0"/>
    <w:rPr>
      <w:rFonts w:ascii="宋体" w:hAnsi="宋体" w:eastAsia="宋体" w:cs="宋体"/>
      <w:sz w:val="17"/>
      <w:szCs w:val="17"/>
      <w:lang w:val="zh-TW" w:eastAsia="zh-TW" w:bidi="zh-TW"/>
    </w:rPr>
  </w:style>
  <w:style w:type="paragraph" w:customStyle="1" w:styleId="14">
    <w:name w:val="Header or footer|1"/>
    <w:basedOn w:val="1"/>
    <w:qFormat/>
    <w:uiPriority w:val="0"/>
    <w:rPr>
      <w:b/>
      <w:bCs/>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169.46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农林水支出</c:v>
                </c:pt>
              </c:strCache>
            </c:strRef>
          </c:cat>
          <c:val>
            <c:numRef>
              <c:f>Sheet1!$B$2</c:f>
              <c:numCache>
                <c:formatCode>General</c:formatCode>
                <c:ptCount val="1"/>
                <c:pt idx="0">
                  <c:v>169.46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159.33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169.46</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169.46</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20.25</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149.21</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149.21</c:v>
                </c:pt>
                <c:pt idx="1">
                  <c:v>20.25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2024-02-29T10:17:00Z</dcterms:created>
  <dc:creator>无名指</dc:creator>
  <cp:lastModifiedBy>无名指</cp:lastModifiedBy>
  <dcterms:modified xsi:type="dcterms:W3CDTF">2024-02-29T10:18:46Z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75AAE0FB92FE4E428316761C9A11DE40</vt:lpwstr>
  </property>
</Properties>
</file>