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lang w:eastAsia="zh-CN"/>
        </w:rPr>
      </w:pPr>
      <w:r>
        <w:rPr>
          <w:rFonts w:hint="eastAsia"/>
          <w:lang w:eastAsia="zh-CN"/>
        </w:rPr>
        <w:t>环江毛南族自治县长美乡人民政府</w:t>
      </w:r>
    </w:p>
    <w:p>
      <w:pPr>
        <w:pStyle w:val="7"/>
        <w:jc w:val="center"/>
        <w:sectPr>
          <w:headerReference r:id="rId3" w:type="default"/>
          <w:footerReference r:id="rId4" w:type="default"/>
          <w:pgSz w:w="11900" w:h="16840"/>
          <w:pgMar w:top="4713" w:right="1701" w:bottom="4713" w:left="1871"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8"/>
        <w:keepNext/>
        <w:keepLines/>
        <w:spacing w:after="240"/>
        <w:jc w:val="center"/>
        <w:rPr>
          <w:b/>
          <w:bCs/>
        </w:rPr>
      </w:pPr>
      <w:bookmarkStart w:id="0" w:name="bookmark0"/>
      <w:bookmarkStart w:id="1" w:name="bookmark1"/>
      <w:bookmarkStart w:id="2" w:name="bookmark2"/>
      <w:r>
        <w:rPr>
          <w:b/>
          <w:bCs/>
        </w:rPr>
        <w:t>目录</w:t>
      </w:r>
      <w:bookmarkEnd w:id="0"/>
      <w:bookmarkEnd w:id="1"/>
      <w:bookmarkEnd w:id="2"/>
    </w:p>
    <w:p>
      <w:pPr>
        <w:pStyle w:val="9"/>
        <w:ind w:left="0" w:leftChars="0" w:firstLine="321" w:firstLineChars="100"/>
        <w:jc w:val="left"/>
        <w:rPr>
          <w:b/>
          <w:bCs/>
        </w:rPr>
      </w:pPr>
      <w:r>
        <w:rPr>
          <w:b/>
          <w:bCs/>
        </w:rPr>
        <w:t>第一部分</w:t>
      </w:r>
      <w:r>
        <w:rPr>
          <w:rFonts w:hint="eastAsia"/>
          <w:b/>
          <w:bCs/>
          <w:lang w:eastAsia="zh-CN"/>
        </w:rPr>
        <w:t>：</w:t>
      </w:r>
      <w:r>
        <w:rPr>
          <w:b/>
          <w:bCs/>
          <w:u w:color="auto"/>
        </w:rPr>
        <w:t>环江毛南族自治县长美乡人民政府单位</w:t>
      </w:r>
      <w:r>
        <w:rPr>
          <w:b/>
          <w:bCs/>
        </w:rPr>
        <w:t>概况</w:t>
      </w:r>
    </w:p>
    <w:p>
      <w:pPr>
        <w:pStyle w:val="9"/>
        <w:jc w:val="left"/>
      </w:pPr>
      <w:r>
        <w:rPr>
          <w:lang w:val="en-US" w:eastAsia="zh-CN" w:bidi="en-US"/>
        </w:rPr>
        <w:t>—</w:t>
      </w:r>
      <w:r>
        <w:t>、主要职责</w:t>
      </w:r>
    </w:p>
    <w:p>
      <w:pPr>
        <w:pStyle w:val="9"/>
        <w:jc w:val="left"/>
        <w:rPr>
          <w:rFonts w:hint="eastAsia"/>
        </w:rPr>
      </w:pPr>
      <w:r>
        <w:rPr>
          <w:rFonts w:hint="eastAsia"/>
          <w:lang w:val="en-US" w:eastAsia="zh-CN"/>
        </w:rPr>
        <w:t>二、</w:t>
      </w:r>
      <w:r>
        <w:rPr>
          <w:rFonts w:hint="eastAsia"/>
        </w:rPr>
        <w:t>机构设置情况</w:t>
      </w:r>
    </w:p>
    <w:p>
      <w:pPr>
        <w:pStyle w:val="9"/>
        <w:ind w:left="0" w:leftChars="0" w:firstLine="321" w:firstLineChars="100"/>
        <w:jc w:val="left"/>
        <w:rPr>
          <w:b/>
          <w:bCs/>
        </w:rPr>
      </w:pPr>
      <w:r>
        <w:rPr>
          <w:b/>
          <w:bCs/>
        </w:rPr>
        <w:t>第二部分</w:t>
      </w:r>
      <w:r>
        <w:rPr>
          <w:rFonts w:hint="eastAsia"/>
          <w:b/>
          <w:bCs/>
          <w:lang w:eastAsia="zh-CN"/>
        </w:rPr>
        <w:t>：</w:t>
      </w:r>
      <w:r>
        <w:rPr>
          <w:b/>
          <w:bCs/>
          <w:u w:color="auto"/>
        </w:rPr>
        <w:t>环江毛南族自治县长美乡人民政府2024</w:t>
      </w:r>
      <w:r>
        <w:rPr>
          <w:b/>
          <w:bCs/>
        </w:rPr>
        <w:t>部门预算情况说明</w:t>
      </w:r>
    </w:p>
    <w:p>
      <w:pPr>
        <w:pStyle w:val="9"/>
        <w:numPr>
          <w:ilvl w:val="0"/>
          <w:numId w:val="0"/>
        </w:numPr>
        <w:ind w:firstLine="640" w:firstLineChars="200"/>
        <w:jc w:val="left"/>
        <w:rPr>
          <w:rFonts w:hint="eastAsia"/>
        </w:rPr>
      </w:pPr>
      <w:r>
        <w:rPr>
          <w:rFonts w:hint="eastAsia"/>
        </w:rPr>
        <w:t>一、部门收支总体情况说明</w:t>
      </w:r>
    </w:p>
    <w:p>
      <w:pPr>
        <w:pStyle w:val="9"/>
        <w:numPr>
          <w:ilvl w:val="0"/>
          <w:numId w:val="0"/>
        </w:numPr>
        <w:ind w:firstLine="640" w:firstLineChars="200"/>
        <w:jc w:val="left"/>
        <w:rPr>
          <w:rFonts w:hint="eastAsia"/>
        </w:rPr>
      </w:pPr>
      <w:r>
        <w:rPr>
          <w:rFonts w:hint="eastAsia"/>
        </w:rPr>
        <w:t>二、部门收入总体情况说明</w:t>
      </w:r>
    </w:p>
    <w:p>
      <w:pPr>
        <w:pStyle w:val="9"/>
        <w:numPr>
          <w:ilvl w:val="0"/>
          <w:numId w:val="0"/>
        </w:numPr>
        <w:ind w:firstLine="640" w:firstLineChars="200"/>
        <w:jc w:val="left"/>
        <w:rPr>
          <w:rFonts w:hint="eastAsia"/>
        </w:rPr>
      </w:pPr>
      <w:r>
        <w:rPr>
          <w:rFonts w:hint="eastAsia"/>
        </w:rPr>
        <w:t>三、部门支出总体情况说明</w:t>
      </w:r>
    </w:p>
    <w:p>
      <w:pPr>
        <w:pStyle w:val="9"/>
        <w:numPr>
          <w:ilvl w:val="0"/>
          <w:numId w:val="0"/>
        </w:numPr>
        <w:ind w:firstLine="640" w:firstLineChars="200"/>
        <w:jc w:val="left"/>
        <w:rPr>
          <w:rFonts w:hint="eastAsia"/>
        </w:rPr>
      </w:pPr>
      <w:r>
        <w:rPr>
          <w:rFonts w:hint="eastAsia"/>
        </w:rPr>
        <w:t>四、财政拨款收支总体情况说明</w:t>
      </w:r>
    </w:p>
    <w:p>
      <w:pPr>
        <w:pStyle w:val="9"/>
        <w:numPr>
          <w:ilvl w:val="0"/>
          <w:numId w:val="0"/>
        </w:numPr>
        <w:ind w:firstLine="640" w:firstLineChars="200"/>
        <w:jc w:val="left"/>
        <w:rPr>
          <w:rFonts w:hint="eastAsia"/>
        </w:rPr>
      </w:pPr>
      <w:r>
        <w:rPr>
          <w:rFonts w:hint="eastAsia"/>
        </w:rPr>
        <w:t>五、一般公共预算支出情况说明</w:t>
      </w:r>
    </w:p>
    <w:p>
      <w:pPr>
        <w:pStyle w:val="9"/>
        <w:numPr>
          <w:ilvl w:val="0"/>
          <w:numId w:val="0"/>
        </w:numPr>
        <w:ind w:firstLine="640" w:firstLineChars="200"/>
        <w:jc w:val="left"/>
        <w:rPr>
          <w:rFonts w:hint="eastAsia"/>
        </w:rPr>
      </w:pPr>
      <w:r>
        <w:rPr>
          <w:rFonts w:hint="eastAsia"/>
        </w:rPr>
        <w:t>六、一般公共预算基本支出情况说明</w:t>
      </w:r>
    </w:p>
    <w:p>
      <w:pPr>
        <w:pStyle w:val="9"/>
        <w:numPr>
          <w:ilvl w:val="0"/>
          <w:numId w:val="0"/>
        </w:numPr>
        <w:ind w:firstLine="640" w:firstLineChars="200"/>
        <w:jc w:val="left"/>
        <w:rPr>
          <w:rFonts w:hint="eastAsia"/>
        </w:rPr>
      </w:pPr>
      <w:r>
        <w:rPr>
          <w:rFonts w:hint="eastAsia"/>
        </w:rPr>
        <w:t>七、一般公共预算“三公”经费支出情况说明</w:t>
      </w:r>
    </w:p>
    <w:p>
      <w:pPr>
        <w:pStyle w:val="9"/>
        <w:numPr>
          <w:ilvl w:val="0"/>
          <w:numId w:val="0"/>
        </w:numPr>
        <w:ind w:firstLine="640" w:firstLineChars="200"/>
        <w:jc w:val="left"/>
        <w:rPr>
          <w:rFonts w:hint="eastAsia"/>
        </w:rPr>
      </w:pPr>
      <w:r>
        <w:rPr>
          <w:rFonts w:hint="eastAsia"/>
        </w:rPr>
        <w:t>八、政府性基金预算支出情况说明</w:t>
      </w:r>
    </w:p>
    <w:p>
      <w:pPr>
        <w:pStyle w:val="9"/>
        <w:numPr>
          <w:ilvl w:val="0"/>
          <w:numId w:val="0"/>
        </w:numPr>
        <w:ind w:firstLine="640" w:firstLineChars="200"/>
        <w:jc w:val="left"/>
        <w:rPr>
          <w:rFonts w:hint="eastAsia"/>
        </w:rPr>
      </w:pPr>
      <w:r>
        <w:rPr>
          <w:rFonts w:hint="eastAsia"/>
        </w:rPr>
        <w:t>九、国有资本经营预算支出情况说明</w:t>
      </w:r>
    </w:p>
    <w:p>
      <w:pPr>
        <w:pStyle w:val="9"/>
        <w:numPr>
          <w:ilvl w:val="0"/>
          <w:numId w:val="0"/>
        </w:numPr>
        <w:ind w:firstLine="640" w:firstLineChars="200"/>
        <w:jc w:val="left"/>
      </w:pPr>
      <w:r>
        <w:rPr>
          <w:rFonts w:hint="eastAsia"/>
        </w:rPr>
        <w:t>十、其他重要事项情况说明</w:t>
      </w:r>
    </w:p>
    <w:p>
      <w:pPr>
        <w:pStyle w:val="9"/>
        <w:ind w:left="0" w:leftChars="0" w:firstLine="321" w:firstLineChars="100"/>
        <w:jc w:val="left"/>
        <w:rPr>
          <w:b/>
          <w:bCs/>
        </w:rPr>
      </w:pPr>
      <w:r>
        <w:rPr>
          <w:b/>
          <w:bCs/>
        </w:rPr>
        <w:t>第三部分</w:t>
      </w:r>
      <w:r>
        <w:rPr>
          <w:rFonts w:hint="eastAsia"/>
          <w:b/>
          <w:bCs/>
          <w:lang w:eastAsia="zh-CN"/>
        </w:rPr>
        <w:t>：</w:t>
      </w:r>
      <w:r>
        <w:rPr>
          <w:b/>
          <w:bCs/>
          <w:u w:color="auto"/>
        </w:rPr>
        <w:t>环江毛南族自治县长美乡人民政府2024</w:t>
      </w:r>
      <w:r>
        <w:rPr>
          <w:rFonts w:ascii="Times New Roman" w:hAnsi="Times New Roman" w:cs="Times New Roman"/>
          <w:b/>
          <w:bCs/>
          <w:u w:color="auto"/>
        </w:rPr>
        <w:t>年</w:t>
      </w:r>
      <w:r>
        <w:rPr>
          <w:b/>
          <w:bCs/>
        </w:rPr>
        <w:t>部门预算</w:t>
      </w:r>
      <w:r>
        <w:rPr>
          <w:rFonts w:hint="eastAsia"/>
          <w:b/>
          <w:bCs/>
          <w:lang w:val="en-US" w:eastAsia="zh-CN"/>
        </w:rPr>
        <w:t>相关报</w:t>
      </w:r>
      <w:r>
        <w:rPr>
          <w:b/>
          <w:bCs/>
        </w:rPr>
        <w:t>表</w:t>
      </w:r>
    </w:p>
    <w:p>
      <w:pPr>
        <w:pStyle w:val="9"/>
        <w:jc w:val="left"/>
        <w:rPr>
          <w:rFonts w:hint="eastAsia"/>
        </w:rPr>
      </w:pPr>
      <w:r>
        <w:rPr>
          <w:rFonts w:hint="eastAsia"/>
        </w:rPr>
        <w:t>一、部门收支总体情况表</w:t>
      </w:r>
    </w:p>
    <w:p>
      <w:pPr>
        <w:pStyle w:val="9"/>
        <w:jc w:val="left"/>
        <w:rPr>
          <w:rFonts w:hint="eastAsia"/>
        </w:rPr>
      </w:pPr>
      <w:r>
        <w:rPr>
          <w:rFonts w:hint="eastAsia"/>
        </w:rPr>
        <w:t>二、部门收入总体情况表</w:t>
      </w:r>
    </w:p>
    <w:p>
      <w:pPr>
        <w:pStyle w:val="9"/>
        <w:jc w:val="left"/>
        <w:rPr>
          <w:rFonts w:hint="eastAsia"/>
        </w:rPr>
      </w:pPr>
      <w:r>
        <w:rPr>
          <w:rFonts w:hint="eastAsia"/>
        </w:rPr>
        <w:t>三、部门支出总体情况表</w:t>
      </w:r>
    </w:p>
    <w:p>
      <w:pPr>
        <w:pStyle w:val="9"/>
        <w:jc w:val="left"/>
        <w:rPr>
          <w:rFonts w:hint="eastAsia"/>
        </w:rPr>
      </w:pPr>
      <w:r>
        <w:rPr>
          <w:rFonts w:hint="eastAsia"/>
        </w:rPr>
        <w:t>四、财政拨款收支总体情况表</w:t>
      </w:r>
    </w:p>
    <w:p>
      <w:pPr>
        <w:pStyle w:val="9"/>
        <w:jc w:val="left"/>
        <w:rPr>
          <w:rFonts w:hint="eastAsia"/>
        </w:rPr>
      </w:pPr>
      <w:r>
        <w:rPr>
          <w:rFonts w:hint="eastAsia"/>
        </w:rPr>
        <w:t>五、一般公共预算支出情况表</w:t>
      </w:r>
    </w:p>
    <w:p>
      <w:pPr>
        <w:pStyle w:val="9"/>
        <w:jc w:val="left"/>
        <w:rPr>
          <w:rFonts w:hint="eastAsia"/>
        </w:rPr>
      </w:pPr>
      <w:r>
        <w:rPr>
          <w:rFonts w:hint="eastAsia"/>
        </w:rPr>
        <w:t>六、一般公共预算基本支出情况表</w:t>
      </w:r>
    </w:p>
    <w:p>
      <w:pPr>
        <w:pStyle w:val="9"/>
        <w:jc w:val="left"/>
        <w:rPr>
          <w:rFonts w:hint="eastAsia"/>
        </w:rPr>
      </w:pPr>
      <w:r>
        <w:rPr>
          <w:rFonts w:hint="eastAsia"/>
        </w:rPr>
        <w:t>七、一般公开预算“三公”经费支出情况表</w:t>
      </w:r>
    </w:p>
    <w:p>
      <w:pPr>
        <w:pStyle w:val="9"/>
        <w:jc w:val="left"/>
        <w:rPr>
          <w:rFonts w:hint="eastAsia"/>
        </w:rPr>
      </w:pPr>
      <w:r>
        <w:rPr>
          <w:rFonts w:hint="eastAsia"/>
        </w:rPr>
        <w:t>八、政府性基金预算支出情况表</w:t>
      </w:r>
    </w:p>
    <w:p>
      <w:pPr>
        <w:pStyle w:val="9"/>
        <w:jc w:val="left"/>
        <w:rPr>
          <w:rFonts w:hint="eastAsia"/>
        </w:rPr>
      </w:pPr>
      <w:r>
        <w:rPr>
          <w:rFonts w:hint="eastAsia"/>
        </w:rPr>
        <w:t>九、国有资本经营预算支出情况表</w:t>
      </w:r>
    </w:p>
    <w:p>
      <w:pPr>
        <w:pStyle w:val="9"/>
        <w:jc w:val="left"/>
        <w:rPr>
          <w:rFonts w:hint="eastAsia" w:eastAsia="宋体"/>
          <w:lang w:eastAsia="zh-CN"/>
        </w:rPr>
      </w:pPr>
      <w:r>
        <w:rPr>
          <w:rFonts w:hint="eastAsia"/>
        </w:rPr>
        <w:t>十、2024年度预算项目绩效目标公开表</w:t>
      </w:r>
    </w:p>
    <w:p>
      <w:pPr>
        <w:pStyle w:val="9"/>
        <w:ind w:left="0" w:leftChars="0" w:firstLine="321" w:firstLineChars="100"/>
        <w:jc w:val="left"/>
        <w:rPr>
          <w:rFonts w:hint="eastAsia" w:eastAsia="宋体"/>
          <w:b/>
          <w:bCs/>
          <w:lang w:eastAsia="zh-CN"/>
        </w:rPr>
        <w:sectPr>
          <w:footerReference r:id="rId5"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rPr>
          <w:b/>
          <w:bCs/>
        </w:rPr>
        <w:t>第四部分</w:t>
      </w:r>
      <w:r>
        <w:rPr>
          <w:rFonts w:hint="eastAsia"/>
          <w:b/>
          <w:bCs/>
          <w:lang w:eastAsia="zh-CN"/>
        </w:rPr>
        <w:t>：</w:t>
      </w:r>
      <w:r>
        <w:rPr>
          <w:b/>
          <w:bCs/>
        </w:rPr>
        <w:t>名词</w:t>
      </w:r>
      <w:r>
        <w:rPr>
          <w:rFonts w:hint="eastAsia"/>
          <w:b/>
          <w:bCs/>
          <w:lang w:val="en-US" w:eastAsia="zh-CN"/>
        </w:rPr>
        <w:t>解释</w:t>
      </w:r>
    </w:p>
    <w:p>
      <w:pPr>
        <w:pStyle w:val="8"/>
        <w:keepNext/>
        <w:keepLines/>
        <w:spacing w:after="560"/>
        <w:jc w:val="both"/>
      </w:pPr>
      <w:bookmarkStart w:id="3" w:name="bookmark14"/>
      <w:bookmarkStart w:id="4" w:name="bookmark13"/>
      <w:bookmarkStart w:id="5" w:name="bookmark12"/>
    </w:p>
    <w:p>
      <w:pPr>
        <w:pStyle w:val="8"/>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环江毛南族自治县长美乡人民政府</w:t>
      </w:r>
      <w:r>
        <w:rPr>
          <w:b/>
          <w:bCs/>
          <w:sz w:val="40"/>
          <w:szCs w:val="40"/>
        </w:rPr>
        <w:t>概况</w:t>
      </w:r>
      <w:bookmarkEnd w:id="3"/>
      <w:bookmarkEnd w:id="4"/>
      <w:bookmarkEnd w:id="5"/>
    </w:p>
    <w:p>
      <w:pPr>
        <w:pStyle w:val="9"/>
        <w:spacing w:after="0" w:line="619" w:lineRule="exact"/>
        <w:ind w:firstLine="620"/>
        <w:jc w:val="left"/>
        <w:rPr>
          <w:b/>
          <w:bCs/>
        </w:rPr>
      </w:pPr>
      <w:r>
        <w:rPr>
          <w:rFonts w:hint="eastAsia"/>
          <w:b/>
          <w:bCs/>
          <w:lang w:val="en-US" w:eastAsia="zh-CN"/>
        </w:rPr>
        <w:t>一、</w:t>
      </w:r>
      <w:r>
        <w:rPr>
          <w:b/>
          <w:bCs/>
        </w:rPr>
        <w:t>主要职责</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1.宣传和贯彻执行党的路线、方针、政策，领导和制定本地经济和社会发展规划，并组织、协调、督促个部门的工作实施，加强对行政和经济组织的领导，引导全乡群众脱贫致富。</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2.组织全乡所属党员、干部、群众学习党的重要思想理论，学习党的路线、方针、政策，不断提高广大党员、干部和群众的整体素质。</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3.负责全乡精神文明建设和社会治安综合治理，教育党员干部和其他工作人员严格遵守党纪国法。</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4.按照从严治党的要求，搞好党风廉政建设。做好党员教育、管理和发展工作。</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5.负责搞好乡、村级干部（后备干部）的教育、培养、选拔、考核和监督管理。</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6.领导本乡团委、妇联、民兵和各级党组织、各经济组织依照党的路线、方针、政策和国家法律、法规及各自的章程开展工作。</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7.领导和监督、检查所属职能部门和村委工作。</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8.管理辖区的经济、教育、科技、文化、卫生、体育事业和财政、民政、公安、司法、计划生育等行政工作。</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9.维护国有财产和劳动群众集体所有财产，保护公民私人所有合法财产，保障公民和合法权利；保障各种经济组织的合法权益。</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10.完成上级交给的其他工作任务。</w:t>
      </w:r>
    </w:p>
    <w:p>
      <w:pPr>
        <w:pStyle w:val="9"/>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0"/>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由1个党政机关单位（包含人大党委政府）、7个财政拨款事业单位及隶属村委（6个村委）组成。人员编制总数为51人，其中行政编制29人，事业编制22人。实有财政供养人数62人，其中行政在职25人，事业在职22人，机关后勤服务中心聘用人员控制数1人，离退休人员14人（其中离休0人）。编外在职实有人数229人。</w:t>
      </w:r>
    </w:p>
    <w:p>
      <w:pPr>
        <w:pStyle w:val="10"/>
        <w:spacing w:line="623" w:lineRule="exact"/>
        <w:ind w:firstLine="1018" w:firstLineChars="0"/>
        <w:jc w:val="left"/>
        <w:rPr>
          <w:rFonts w:hint="eastAsia"/>
          <w:highlight w:val="none"/>
          <w:lang w:val="en-US" w:eastAsia="zh-CN"/>
        </w:rPr>
      </w:pPr>
    </w:p>
    <w:p>
      <w:pPr>
        <w:pStyle w:val="10"/>
        <w:spacing w:line="623" w:lineRule="exact"/>
        <w:ind w:firstLine="1018" w:firstLineChars="0"/>
        <w:jc w:val="left"/>
        <w:rPr>
          <w:rFonts w:hint="eastAsia"/>
          <w:highlight w:val="none"/>
          <w:lang w:val="en-US" w:eastAsia="zh-CN"/>
        </w:rPr>
      </w:pPr>
    </w:p>
    <w:p>
      <w:r>
        <w:br w:type="page"/>
      </w:r>
    </w:p>
    <w:p>
      <w:pPr>
        <w:pStyle w:val="8"/>
        <w:keepNext/>
        <w:keepLines/>
        <w:spacing w:before="120" w:after="0" w:line="629" w:lineRule="exact"/>
        <w:jc w:val="center"/>
        <w:rPr>
          <w:rFonts w:hint="eastAsia"/>
          <w:b/>
          <w:bCs/>
          <w:sz w:val="40"/>
          <w:szCs w:val="40"/>
          <w:lang w:eastAsia="zh-CN"/>
        </w:rPr>
      </w:pPr>
      <w:bookmarkStart w:id="7" w:name="bookmark68"/>
      <w:bookmarkStart w:id="8" w:name="bookmark70"/>
      <w:bookmarkStart w:id="9" w:name="bookmark69"/>
      <w:bookmarkStart w:id="10" w:name="bookmark26"/>
      <w:bookmarkStart w:id="11" w:name="bookmark27"/>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环江毛南族自治县长美乡人民政府</w:t>
      </w:r>
    </w:p>
    <w:p>
      <w:pPr>
        <w:pStyle w:val="8"/>
        <w:keepNext/>
        <w:keepLines/>
        <w:spacing w:before="120" w:after="0" w:line="629" w:lineRule="exact"/>
        <w:jc w:val="center"/>
        <w:rPr>
          <w:b/>
          <w:bCs/>
          <w:sz w:val="40"/>
          <w:szCs w:val="40"/>
        </w:rPr>
      </w:pPr>
      <w:r>
        <w:rPr>
          <w:b/>
          <w:sz w:val="40"/>
          <w:u w:color="auto"/>
        </w:rPr>
        <w:t>2024年部门预算情况说明</w:t>
      </w:r>
    </w:p>
    <w:p>
      <w:pPr>
        <w:pStyle w:val="9"/>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0"/>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789.14</w:t>
      </w:r>
      <w:r>
        <w:rPr>
          <w:rFonts w:hint="eastAsia"/>
          <w:b w:val="0"/>
          <w:bCs w:val="0"/>
          <w:sz w:val="28"/>
          <w:szCs w:val="28"/>
        </w:rPr>
        <w:t>万元，总支出</w:t>
      </w:r>
      <w:r>
        <w:rPr>
          <w:rFonts w:hint="eastAsia"/>
          <w:sz w:val="28"/>
          <w:szCs w:val="28"/>
          <w:lang w:val="en-US" w:eastAsia="zh-CN"/>
        </w:rPr>
        <w:t>789.14</w:t>
      </w:r>
      <w:r>
        <w:rPr>
          <w:rFonts w:hint="eastAsia"/>
          <w:b w:val="0"/>
          <w:bCs w:val="0"/>
          <w:sz w:val="28"/>
          <w:szCs w:val="28"/>
        </w:rPr>
        <w:t>万元。总收入较2023年度预算数</w:t>
      </w:r>
      <w:r>
        <w:rPr>
          <w:rFonts w:hint="eastAsia"/>
          <w:sz w:val="28"/>
          <w:szCs w:val="28"/>
          <w:lang w:val="en-US" w:eastAsia="zh-CN"/>
        </w:rPr>
        <w:t>688.47</w:t>
      </w:r>
      <w:r>
        <w:rPr>
          <w:rFonts w:hint="eastAsia"/>
          <w:b w:val="0"/>
          <w:bCs w:val="0"/>
          <w:sz w:val="28"/>
          <w:szCs w:val="28"/>
        </w:rPr>
        <w:t>万元，</w:t>
      </w:r>
      <w:r>
        <w:rPr>
          <w:rFonts w:hint="eastAsia"/>
          <w:sz w:val="28"/>
          <w:szCs w:val="28"/>
        </w:rPr>
        <w:t>增加100.67</w:t>
      </w:r>
      <w:r>
        <w:rPr>
          <w:rFonts w:hint="eastAsia"/>
          <w:b w:val="0"/>
          <w:bCs w:val="0"/>
          <w:sz w:val="28"/>
          <w:szCs w:val="28"/>
        </w:rPr>
        <w:t>万元，</w:t>
      </w:r>
      <w:r>
        <w:rPr>
          <w:rFonts w:hint="eastAsia"/>
          <w:sz w:val="28"/>
          <w:szCs w:val="28"/>
        </w:rPr>
        <w:t>增长14.62%</w:t>
      </w:r>
      <w:r>
        <w:rPr>
          <w:rFonts w:hint="eastAsia"/>
          <w:b w:val="0"/>
          <w:bCs w:val="0"/>
          <w:sz w:val="28"/>
          <w:szCs w:val="28"/>
        </w:rPr>
        <w:t>，主要原因是</w:t>
      </w:r>
      <w:r>
        <w:rPr>
          <w:rFonts w:hint="eastAsia"/>
          <w:highlight w:val="none"/>
          <w:lang w:val="en-US" w:eastAsia="zh-CN"/>
        </w:rPr>
        <w:t>2024年人员经费支出增加。一是人员基础绩效增加；二是新增乡村振兴协理员经费纳入预算</w:t>
      </w:r>
      <w:r>
        <w:rPr>
          <w:rFonts w:hint="eastAsia"/>
          <w:b w:val="0"/>
          <w:bCs w:val="0"/>
          <w:sz w:val="28"/>
          <w:szCs w:val="28"/>
        </w:rPr>
        <w:t>。总支出较2023年度预算数</w:t>
      </w:r>
      <w:r>
        <w:rPr>
          <w:rFonts w:hint="eastAsia"/>
          <w:sz w:val="28"/>
          <w:szCs w:val="28"/>
          <w:lang w:val="en-US" w:eastAsia="zh-CN"/>
        </w:rPr>
        <w:t>688.47</w:t>
      </w:r>
      <w:r>
        <w:rPr>
          <w:rFonts w:hint="eastAsia"/>
          <w:b w:val="0"/>
          <w:bCs w:val="0"/>
          <w:sz w:val="28"/>
          <w:szCs w:val="28"/>
        </w:rPr>
        <w:t>万元，</w:t>
      </w:r>
      <w:r>
        <w:rPr>
          <w:rFonts w:hint="eastAsia"/>
          <w:sz w:val="28"/>
          <w:szCs w:val="28"/>
        </w:rPr>
        <w:t>增加100.67</w:t>
      </w:r>
      <w:r>
        <w:rPr>
          <w:rFonts w:hint="eastAsia"/>
          <w:b w:val="0"/>
          <w:bCs w:val="0"/>
          <w:sz w:val="28"/>
          <w:szCs w:val="28"/>
        </w:rPr>
        <w:t>万元，</w:t>
      </w:r>
      <w:r>
        <w:rPr>
          <w:rFonts w:hint="eastAsia"/>
          <w:sz w:val="28"/>
          <w:szCs w:val="28"/>
        </w:rPr>
        <w:t>增长14.62%</w:t>
      </w:r>
      <w:r>
        <w:rPr>
          <w:rFonts w:hint="eastAsia"/>
          <w:b w:val="0"/>
          <w:bCs w:val="0"/>
          <w:sz w:val="28"/>
          <w:szCs w:val="28"/>
        </w:rPr>
        <w:t>，主要原因是</w:t>
      </w:r>
      <w:r>
        <w:rPr>
          <w:rFonts w:hint="eastAsia"/>
          <w:highlight w:val="none"/>
          <w:lang w:val="en-US" w:eastAsia="zh-CN"/>
        </w:rPr>
        <w:t>2024年人员经费支出增加。一是人员基础绩效增加；二是新增乡村振兴协理员经费纳入预算</w:t>
      </w:r>
      <w:r>
        <w:rPr>
          <w:rFonts w:hint="eastAsia"/>
          <w:b w:val="0"/>
          <w:bCs w:val="0"/>
          <w:sz w:val="28"/>
          <w:szCs w:val="28"/>
        </w:rPr>
        <w:t>。</w:t>
      </w:r>
    </w:p>
    <w:p>
      <w:pPr>
        <w:pStyle w:val="9"/>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0"/>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180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789.14</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688.47</w:t>
      </w:r>
      <w:r>
        <w:rPr>
          <w:rFonts w:hint="eastAsia" w:ascii="宋体" w:hAnsi="宋体" w:eastAsia="宋体" w:cs="宋体"/>
          <w:sz w:val="28"/>
          <w:szCs w:val="28"/>
          <w:u w:color="auto"/>
        </w:rPr>
        <w:t>万元，</w:t>
      </w:r>
      <w:r>
        <w:rPr>
          <w:rFonts w:hint="eastAsia" w:ascii="宋体" w:hAnsi="宋体" w:eastAsia="宋体" w:cs="宋体"/>
          <w:sz w:val="28"/>
          <w:szCs w:val="28"/>
        </w:rPr>
        <w:t>增加100.67</w:t>
      </w:r>
      <w:r>
        <w:rPr>
          <w:rFonts w:hint="eastAsia" w:ascii="宋体" w:hAnsi="宋体" w:eastAsia="宋体" w:cs="宋体"/>
          <w:sz w:val="28"/>
          <w:szCs w:val="28"/>
          <w:u w:color="auto"/>
        </w:rPr>
        <w:t>万元，</w:t>
      </w:r>
      <w:r>
        <w:rPr>
          <w:rFonts w:hint="eastAsia" w:ascii="宋体" w:hAnsi="宋体" w:eastAsia="宋体" w:cs="宋体"/>
          <w:sz w:val="28"/>
          <w:szCs w:val="28"/>
        </w:rPr>
        <w:t>增长14.62%</w:t>
      </w:r>
      <w:r>
        <w:rPr>
          <w:rFonts w:hint="eastAsia" w:ascii="宋体" w:hAnsi="宋体" w:eastAsia="宋体" w:cs="宋体"/>
          <w:sz w:val="28"/>
          <w:szCs w:val="28"/>
          <w:u w:color="auto"/>
        </w:rPr>
        <w:t>，主要原因是</w:t>
      </w:r>
      <w:r>
        <w:rPr>
          <w:rFonts w:hint="eastAsia"/>
          <w:highlight w:val="none"/>
          <w:lang w:val="en-US" w:eastAsia="zh-CN"/>
        </w:rPr>
        <w:t>2024年人员经费增加。一是人员基础绩效增加；二是新增乡村振兴协理员经费纳入预算</w:t>
      </w:r>
      <w:r>
        <w:rPr>
          <w:rFonts w:hint="eastAsia" w:ascii="宋体" w:hAnsi="宋体" w:eastAsia="宋体" w:cs="宋体"/>
          <w:sz w:val="28"/>
          <w:szCs w:val="28"/>
          <w:u w:color="auto"/>
        </w:rPr>
        <w:t>。</w:t>
      </w:r>
    </w:p>
    <w:p>
      <w:pPr>
        <w:pStyle w:val="9"/>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0"/>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180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789.14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688.47</w:t>
      </w:r>
      <w:r>
        <w:rPr>
          <w:rFonts w:hint="eastAsia" w:ascii="宋体" w:hAnsi="宋体" w:eastAsia="宋体" w:cs="宋体"/>
          <w:sz w:val="28"/>
          <w:szCs w:val="28"/>
          <w:lang w:eastAsia="zh-CN"/>
        </w:rPr>
        <w:t>万元，</w:t>
      </w:r>
      <w:r>
        <w:rPr>
          <w:rFonts w:hint="eastAsia" w:ascii="宋体" w:hAnsi="宋体" w:eastAsia="宋体" w:cs="宋体"/>
          <w:sz w:val="28"/>
          <w:szCs w:val="28"/>
        </w:rPr>
        <w:t>增加100.67</w:t>
      </w:r>
      <w:r>
        <w:rPr>
          <w:rFonts w:hint="eastAsia" w:ascii="宋体" w:hAnsi="宋体" w:eastAsia="宋体" w:cs="宋体"/>
          <w:sz w:val="28"/>
          <w:szCs w:val="28"/>
          <w:lang w:eastAsia="zh-CN"/>
        </w:rPr>
        <w:t>万元，</w:t>
      </w:r>
      <w:r>
        <w:rPr>
          <w:rFonts w:hint="eastAsia" w:ascii="宋体" w:hAnsi="宋体" w:eastAsia="宋体" w:cs="宋体"/>
          <w:sz w:val="28"/>
          <w:szCs w:val="28"/>
        </w:rPr>
        <w:t>增长14.62%</w:t>
      </w:r>
      <w:r>
        <w:rPr>
          <w:rFonts w:hint="eastAsia" w:ascii="宋体" w:hAnsi="宋体" w:eastAsia="宋体" w:cs="宋体"/>
          <w:sz w:val="28"/>
          <w:szCs w:val="28"/>
          <w:lang w:eastAsia="zh-CN"/>
        </w:rPr>
        <w:t>，主要原因是</w:t>
      </w:r>
      <w:r>
        <w:rPr>
          <w:rFonts w:hint="eastAsia"/>
          <w:highlight w:val="none"/>
          <w:lang w:val="en-US" w:eastAsia="zh-CN"/>
        </w:rPr>
        <w:t>2024年人员经费支出增加</w:t>
      </w:r>
      <w:r>
        <w:rPr>
          <w:rFonts w:hint="eastAsia" w:ascii="Times New Roman" w:hAnsi="Times New Roman" w:cs="Times New Roman"/>
          <w:sz w:val="30"/>
          <w:szCs w:val="30"/>
          <w:lang w:eastAsia="zh-CN"/>
        </w:rPr>
        <w:t>。主要包括：</w:t>
      </w:r>
      <w:r>
        <w:rPr>
          <w:rFonts w:hint="eastAsia"/>
          <w:highlight w:val="none"/>
          <w:lang w:val="en-US" w:eastAsia="zh-CN"/>
        </w:rPr>
        <w:t>一是人员基础绩效增加；二是新增乡村振兴协理员经费纳入预算</w:t>
      </w:r>
      <w:r>
        <w:rPr>
          <w:rFonts w:hint="eastAsia" w:ascii="Times New Roman" w:hAnsi="Times New Roman" w:cs="Times New Roman"/>
          <w:sz w:val="30"/>
          <w:szCs w:val="30"/>
          <w:lang w:eastAsia="zh-CN"/>
        </w:rPr>
        <w:t>。</w:t>
      </w:r>
    </w:p>
    <w:p>
      <w:pPr>
        <w:pStyle w:val="10"/>
        <w:spacing w:after="140" w:line="240" w:lineRule="auto"/>
        <w:ind w:firstLine="0"/>
        <w:jc w:val="left"/>
      </w:pPr>
      <w:r>
        <w:t>（一）按支出功能分类科目划分，共分为</w:t>
      </w:r>
      <w:r>
        <w:rPr>
          <w:rFonts w:hint="eastAsia"/>
          <w:lang w:val="en-US" w:eastAsia="zh-CN"/>
        </w:rPr>
        <w:t>8</w:t>
      </w:r>
      <w:r>
        <w:t>类，其中:</w:t>
      </w:r>
    </w:p>
    <w:p>
      <w:pPr>
        <w:pStyle w:val="10"/>
        <w:spacing w:line="623" w:lineRule="exact"/>
        <w:ind w:left="0" w:leftChars="0" w:firstLine="560" w:firstLineChars="200"/>
        <w:jc w:val="left"/>
        <w:rPr>
          <w:rFonts w:hint="eastAsia"/>
        </w:rPr>
      </w:pPr>
      <w:r>
        <w:rPr>
          <w:rFonts w:hint="eastAsia"/>
        </w:rPr>
        <w:t>(</w:t>
      </w:r>
      <w:r>
        <w:rPr>
          <w:u w:color="auto"/>
        </w:rPr>
        <w:t>1)一般公共服务支出</w:t>
      </w:r>
      <w:r>
        <w:rPr>
          <w:rFonts w:hint="eastAsia"/>
          <w:lang w:val="en-US" w:eastAsia="zh-CN"/>
        </w:rPr>
        <w:t>534.10</w:t>
      </w:r>
      <w:r>
        <w:rPr>
          <w:rFonts w:hint="eastAsia"/>
        </w:rPr>
        <w:t>万元，占支出总预算</w:t>
      </w:r>
      <w:r>
        <w:rPr>
          <w:rFonts w:hint="eastAsia"/>
          <w:lang w:val="en-US" w:eastAsia="zh-CN"/>
        </w:rPr>
        <w:t>67.68%</w:t>
      </w:r>
      <w:r>
        <w:rPr>
          <w:rFonts w:hint="eastAsia"/>
        </w:rPr>
        <w:t>,比上年</w:t>
      </w:r>
      <w:r>
        <w:rPr>
          <w:rFonts w:hint="eastAsia"/>
          <w:lang w:val="en-US" w:eastAsia="zh-CN"/>
        </w:rPr>
        <w:t>增长86.32</w:t>
      </w:r>
      <w:r>
        <w:rPr>
          <w:rFonts w:hint="eastAsia"/>
        </w:rPr>
        <w:t>万元，</w:t>
      </w:r>
      <w:r>
        <w:rPr>
          <w:rFonts w:hint="eastAsia"/>
          <w:lang w:val="en-US" w:eastAsia="zh-CN"/>
        </w:rPr>
        <w:t>增长19.28%</w:t>
      </w:r>
      <w:r>
        <w:rPr>
          <w:rFonts w:hint="eastAsia"/>
        </w:rPr>
        <w:t>,</w:t>
      </w:r>
      <w:r>
        <w:rPr>
          <w:rFonts w:hint="eastAsia"/>
          <w:highlight w:val="none"/>
        </w:rPr>
        <w:t>主要原因是：</w:t>
      </w:r>
      <w:r>
        <w:rPr>
          <w:rFonts w:hint="eastAsia"/>
          <w:highlight w:val="none"/>
          <w:lang w:val="en-US" w:eastAsia="zh-CN"/>
        </w:rPr>
        <w:t>工资福利和对家庭及个人补助增加</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2)农林水支出</w:t>
      </w:r>
      <w:r>
        <w:rPr>
          <w:rFonts w:hint="eastAsia"/>
          <w:lang w:val="en-US" w:eastAsia="zh-CN"/>
        </w:rPr>
        <w:t>16.52</w:t>
      </w:r>
      <w:r>
        <w:rPr>
          <w:rFonts w:hint="eastAsia"/>
        </w:rPr>
        <w:t>万元，占支出总预算</w:t>
      </w:r>
      <w:r>
        <w:rPr>
          <w:rFonts w:hint="eastAsia"/>
          <w:lang w:val="en-US" w:eastAsia="zh-CN"/>
        </w:rPr>
        <w:t>2.09%</w:t>
      </w:r>
      <w:r>
        <w:rPr>
          <w:rFonts w:hint="eastAsia"/>
        </w:rPr>
        <w:t>,比上年</w:t>
      </w:r>
      <w:r>
        <w:rPr>
          <w:rFonts w:hint="eastAsia"/>
          <w:lang w:val="en-US" w:eastAsia="zh-CN"/>
        </w:rPr>
        <w:t>减少36.26</w:t>
      </w:r>
      <w:r>
        <w:rPr>
          <w:rFonts w:hint="eastAsia"/>
        </w:rPr>
        <w:t>万元，</w:t>
      </w:r>
      <w:r>
        <w:rPr>
          <w:rFonts w:hint="eastAsia"/>
          <w:lang w:val="en-US" w:eastAsia="zh-CN"/>
        </w:rPr>
        <w:t>减少68.70%</w:t>
      </w:r>
      <w:r>
        <w:rPr>
          <w:rFonts w:hint="eastAsia"/>
        </w:rPr>
        <w:t>,</w:t>
      </w:r>
      <w:r>
        <w:rPr>
          <w:rFonts w:hint="eastAsia"/>
          <w:highlight w:val="none"/>
        </w:rPr>
        <w:t>主要原因是：</w:t>
      </w:r>
      <w:r>
        <w:rPr>
          <w:rFonts w:hint="eastAsia"/>
          <w:highlight w:val="none"/>
          <w:lang w:val="en-US" w:eastAsia="zh-CN"/>
        </w:rPr>
        <w:t>人员变动影响工资福利支出减少</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3)社会保障和就业支出</w:t>
      </w:r>
      <w:r>
        <w:rPr>
          <w:rFonts w:hint="eastAsia"/>
          <w:lang w:val="en-US" w:eastAsia="zh-CN"/>
        </w:rPr>
        <w:t>46.74</w:t>
      </w:r>
      <w:r>
        <w:rPr>
          <w:rFonts w:hint="eastAsia"/>
        </w:rPr>
        <w:t>万元，占支出总预算</w:t>
      </w:r>
      <w:r>
        <w:rPr>
          <w:rFonts w:hint="eastAsia"/>
          <w:lang w:val="en-US" w:eastAsia="zh-CN"/>
        </w:rPr>
        <w:t>5.92%</w:t>
      </w:r>
      <w:r>
        <w:rPr>
          <w:rFonts w:hint="eastAsia"/>
        </w:rPr>
        <w:t>,比上年</w:t>
      </w:r>
      <w:r>
        <w:rPr>
          <w:rFonts w:hint="eastAsia"/>
          <w:lang w:val="en-US" w:eastAsia="zh-CN"/>
        </w:rPr>
        <w:t>减少1.16</w:t>
      </w:r>
      <w:r>
        <w:rPr>
          <w:rFonts w:hint="eastAsia"/>
        </w:rPr>
        <w:t>万元，</w:t>
      </w:r>
      <w:r>
        <w:rPr>
          <w:rFonts w:hint="eastAsia"/>
          <w:lang w:val="en-US" w:eastAsia="zh-CN"/>
        </w:rPr>
        <w:t>减少2.42%</w:t>
      </w:r>
      <w:r>
        <w:rPr>
          <w:rFonts w:hint="eastAsia"/>
        </w:rPr>
        <w:t>,</w:t>
      </w:r>
      <w:r>
        <w:rPr>
          <w:rFonts w:hint="eastAsia"/>
          <w:highlight w:val="none"/>
        </w:rPr>
        <w:t>主要原因是：</w:t>
      </w:r>
      <w:r>
        <w:rPr>
          <w:rFonts w:hint="eastAsia"/>
          <w:highlight w:val="none"/>
          <w:lang w:val="en-US" w:eastAsia="zh-CN"/>
        </w:rPr>
        <w:t>人员变动及社保基数调整支出减少</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4)城乡社区支出</w:t>
      </w:r>
      <w:r>
        <w:rPr>
          <w:rFonts w:hint="eastAsia"/>
          <w:lang w:val="en-US" w:eastAsia="zh-CN"/>
        </w:rPr>
        <w:t>14.63</w:t>
      </w:r>
      <w:r>
        <w:rPr>
          <w:rFonts w:hint="eastAsia"/>
        </w:rPr>
        <w:t>万元，占支出总预算</w:t>
      </w:r>
      <w:r>
        <w:rPr>
          <w:rFonts w:hint="eastAsia"/>
          <w:lang w:val="en-US" w:eastAsia="zh-CN"/>
        </w:rPr>
        <w:t>1.85%</w:t>
      </w:r>
      <w:r>
        <w:rPr>
          <w:rFonts w:hint="eastAsia"/>
        </w:rPr>
        <w:t>,比上年</w:t>
      </w:r>
      <w:r>
        <w:rPr>
          <w:rFonts w:hint="eastAsia"/>
          <w:lang w:val="en-US" w:eastAsia="zh-CN"/>
        </w:rPr>
        <w:t>增长14.63</w:t>
      </w:r>
      <w:r>
        <w:rPr>
          <w:rFonts w:hint="eastAsia"/>
        </w:rPr>
        <w:t>万元，</w:t>
      </w:r>
      <w:r>
        <w:rPr>
          <w:rFonts w:hint="eastAsia"/>
          <w:lang w:val="en-US" w:eastAsia="zh-CN"/>
        </w:rPr>
        <w:t>增长100%</w:t>
      </w:r>
      <w:r>
        <w:rPr>
          <w:rFonts w:hint="eastAsia"/>
        </w:rPr>
        <w:t>,</w:t>
      </w:r>
      <w:r>
        <w:rPr>
          <w:rFonts w:hint="eastAsia"/>
          <w:highlight w:val="none"/>
        </w:rPr>
        <w:t>主要原因是：</w:t>
      </w:r>
      <w:r>
        <w:rPr>
          <w:rFonts w:hint="eastAsia"/>
          <w:highlight w:val="none"/>
          <w:lang w:val="en-US" w:eastAsia="zh-CN"/>
        </w:rPr>
        <w:t>对应部门人员增加，工资福利支出增加</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5)交通运输支出</w:t>
      </w:r>
      <w:r>
        <w:rPr>
          <w:rFonts w:hint="eastAsia"/>
          <w:lang w:val="en-US" w:eastAsia="zh-CN"/>
        </w:rPr>
        <w:t>92.71</w:t>
      </w:r>
      <w:r>
        <w:rPr>
          <w:rFonts w:hint="eastAsia"/>
        </w:rPr>
        <w:t>万元，占支出总预算</w:t>
      </w:r>
      <w:r>
        <w:rPr>
          <w:rFonts w:hint="eastAsia"/>
          <w:lang w:val="en-US" w:eastAsia="zh-CN"/>
        </w:rPr>
        <w:t>11.75%</w:t>
      </w:r>
      <w:r>
        <w:rPr>
          <w:rFonts w:hint="eastAsia"/>
        </w:rPr>
        <w:t>,比上年</w:t>
      </w:r>
      <w:r>
        <w:rPr>
          <w:rFonts w:hint="eastAsia"/>
          <w:lang w:val="en-US" w:eastAsia="zh-CN"/>
        </w:rPr>
        <w:t>增长92.71</w:t>
      </w:r>
      <w:r>
        <w:rPr>
          <w:rFonts w:hint="eastAsia"/>
        </w:rPr>
        <w:t>万元，</w:t>
      </w:r>
      <w:r>
        <w:rPr>
          <w:rFonts w:hint="eastAsia"/>
          <w:lang w:val="en-US" w:eastAsia="zh-CN"/>
        </w:rPr>
        <w:t>增长100%</w:t>
      </w:r>
      <w:r>
        <w:rPr>
          <w:rFonts w:hint="eastAsia"/>
        </w:rPr>
        <w:t>,</w:t>
      </w:r>
      <w:r>
        <w:rPr>
          <w:rFonts w:hint="eastAsia"/>
          <w:highlight w:val="none"/>
        </w:rPr>
        <w:t>主要原因是：</w:t>
      </w:r>
      <w:r>
        <w:rPr>
          <w:rFonts w:hint="eastAsia"/>
          <w:highlight w:val="none"/>
          <w:lang w:val="en-US" w:eastAsia="zh-CN"/>
        </w:rPr>
        <w:t>公路建设项目经费结转</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6)节能环保支出</w:t>
      </w:r>
      <w:r>
        <w:rPr>
          <w:rFonts w:hint="eastAsia"/>
          <w:lang w:val="en-US" w:eastAsia="zh-CN"/>
        </w:rPr>
        <w:t>47.84</w:t>
      </w:r>
      <w:r>
        <w:rPr>
          <w:rFonts w:hint="eastAsia"/>
        </w:rPr>
        <w:t>万元，占支出总预算</w:t>
      </w:r>
      <w:r>
        <w:rPr>
          <w:rFonts w:hint="eastAsia"/>
          <w:lang w:val="en-US" w:eastAsia="zh-CN"/>
        </w:rPr>
        <w:t>6.06%</w:t>
      </w:r>
      <w:r>
        <w:rPr>
          <w:rFonts w:hint="eastAsia"/>
        </w:rPr>
        <w:t>,比上年</w:t>
      </w:r>
      <w:r>
        <w:rPr>
          <w:rFonts w:hint="eastAsia"/>
          <w:lang w:val="en-US" w:eastAsia="zh-CN"/>
        </w:rPr>
        <w:t>减少57.88</w:t>
      </w:r>
      <w:r>
        <w:rPr>
          <w:rFonts w:hint="eastAsia"/>
        </w:rPr>
        <w:t>万元，</w:t>
      </w:r>
      <w:r>
        <w:rPr>
          <w:rFonts w:hint="eastAsia"/>
          <w:lang w:val="en-US" w:eastAsia="zh-CN"/>
        </w:rPr>
        <w:t>减少54.75%</w:t>
      </w:r>
      <w:r>
        <w:rPr>
          <w:rFonts w:hint="eastAsia"/>
        </w:rPr>
        <w:t>,</w:t>
      </w:r>
      <w:r>
        <w:rPr>
          <w:rFonts w:hint="eastAsia"/>
          <w:highlight w:val="none"/>
        </w:rPr>
        <w:t>主要原因是：</w:t>
      </w:r>
      <w:r>
        <w:rPr>
          <w:rFonts w:hint="eastAsia"/>
          <w:highlight w:val="none"/>
          <w:lang w:val="en-US" w:eastAsia="zh-CN"/>
        </w:rPr>
        <w:t>上级财政林业草原生态保护恢复资金结转经费</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7)住房保障支出</w:t>
      </w:r>
      <w:r>
        <w:rPr>
          <w:rFonts w:hint="eastAsia"/>
          <w:lang w:val="en-US" w:eastAsia="zh-CN"/>
        </w:rPr>
        <w:t>36.59</w:t>
      </w:r>
      <w:r>
        <w:rPr>
          <w:rFonts w:hint="eastAsia"/>
        </w:rPr>
        <w:t>万元，占支出总预算</w:t>
      </w:r>
      <w:r>
        <w:rPr>
          <w:rFonts w:hint="eastAsia"/>
          <w:lang w:val="en-US" w:eastAsia="zh-CN"/>
        </w:rPr>
        <w:t>4.64%</w:t>
      </w:r>
      <w:r>
        <w:rPr>
          <w:rFonts w:hint="eastAsia"/>
        </w:rPr>
        <w:t>,比上年</w:t>
      </w:r>
      <w:r>
        <w:rPr>
          <w:rFonts w:hint="eastAsia"/>
          <w:lang w:val="en-US" w:eastAsia="zh-CN"/>
        </w:rPr>
        <w:t>增长2.30</w:t>
      </w:r>
      <w:r>
        <w:rPr>
          <w:rFonts w:hint="eastAsia"/>
        </w:rPr>
        <w:t>万元，</w:t>
      </w:r>
      <w:r>
        <w:rPr>
          <w:rFonts w:hint="eastAsia"/>
          <w:lang w:val="en-US" w:eastAsia="zh-CN"/>
        </w:rPr>
        <w:t>增长6.71%</w:t>
      </w:r>
      <w:r>
        <w:rPr>
          <w:rFonts w:hint="eastAsia"/>
        </w:rPr>
        <w:t>,</w:t>
      </w:r>
      <w:r>
        <w:rPr>
          <w:rFonts w:hint="eastAsia"/>
          <w:highlight w:val="none"/>
        </w:rPr>
        <w:t>主要原因是：</w:t>
      </w:r>
      <w:r>
        <w:rPr>
          <w:rFonts w:hint="eastAsia"/>
          <w:highlight w:val="none"/>
          <w:lang w:val="en-US" w:eastAsia="zh-CN"/>
        </w:rPr>
        <w:t>增加乡村振兴协理员住房公积金，职工社会福利支出增加</w:t>
      </w:r>
      <w:r>
        <w:rPr>
          <w:rFonts w:hint="eastAsia"/>
          <w:highlight w:val="none"/>
        </w:rPr>
        <w:t>。</w:t>
      </w:r>
    </w:p>
    <w:p>
      <w:pPr>
        <w:pStyle w:val="10"/>
        <w:spacing w:line="623" w:lineRule="exact"/>
        <w:ind w:left="0" w:leftChars="0" w:firstLine="560" w:firstLineChars="200"/>
        <w:jc w:val="left"/>
        <w:rPr>
          <w:rFonts w:hint="eastAsia"/>
        </w:rPr>
      </w:pPr>
      <w:r>
        <w:rPr>
          <w:rFonts w:hint="eastAsia"/>
        </w:rPr>
        <w:t>(</w:t>
      </w:r>
      <w:r>
        <w:rPr>
          <w:u w:color="auto"/>
        </w:rPr>
        <w:t>8)灾害防治及应急管理支出</w:t>
      </w:r>
      <w:r>
        <w:rPr>
          <w:rFonts w:hint="eastAsia"/>
          <w:lang w:val="en-US" w:eastAsia="zh-CN"/>
        </w:rPr>
        <w:t>0.00</w:t>
      </w:r>
      <w:r>
        <w:rPr>
          <w:rFonts w:hint="eastAsia"/>
        </w:rPr>
        <w:t>万元，占支出总预算</w:t>
      </w:r>
      <w:r>
        <w:rPr>
          <w:rFonts w:hint="eastAsia"/>
          <w:lang w:val="en-US" w:eastAsia="zh-CN"/>
        </w:rPr>
        <w:t>0.00%</w:t>
      </w:r>
      <w:r>
        <w:rPr>
          <w:rFonts w:hint="eastAsia"/>
        </w:rPr>
        <w:t>,比上年</w:t>
      </w:r>
      <w:r>
        <w:rPr>
          <w:rFonts w:hint="eastAsia"/>
          <w:lang w:val="en-US" w:eastAsia="zh-CN"/>
        </w:rPr>
        <w:t>增长0.00</w:t>
      </w:r>
      <w:r>
        <w:rPr>
          <w:rFonts w:hint="eastAsia"/>
        </w:rPr>
        <w:t>万元，</w:t>
      </w:r>
      <w:r>
        <w:rPr>
          <w:rFonts w:hint="eastAsia"/>
          <w:lang w:val="en-US" w:eastAsia="zh-CN"/>
        </w:rPr>
        <w:t>增长0%</w:t>
      </w:r>
      <w:r>
        <w:rPr>
          <w:rFonts w:hint="eastAsia"/>
        </w:rPr>
        <w:t>,</w:t>
      </w:r>
      <w:r>
        <w:rPr>
          <w:rFonts w:hint="eastAsia"/>
          <w:highlight w:val="none"/>
        </w:rPr>
        <w:t>主要原因是：</w:t>
      </w:r>
      <w:r>
        <w:rPr>
          <w:rFonts w:hint="eastAsia"/>
          <w:highlight w:val="none"/>
          <w:lang w:val="en-US" w:eastAsia="zh-CN"/>
        </w:rPr>
        <w:t>无经费指标</w:t>
      </w:r>
      <w:r>
        <w:rPr>
          <w:rFonts w:hint="eastAsia"/>
          <w:highlight w:val="none"/>
        </w:rPr>
        <w:t>。</w:t>
      </w:r>
    </w:p>
    <w:p>
      <w:pPr>
        <w:pStyle w:val="10"/>
        <w:spacing w:line="635" w:lineRule="exact"/>
        <w:ind w:firstLine="740"/>
        <w:jc w:val="left"/>
      </w:pPr>
      <w:r>
        <w:t>(二)按支出结构分类划分，分为基本支出预算和项目支出预算。</w:t>
      </w:r>
    </w:p>
    <w:p>
      <w:pPr>
        <w:pStyle w:val="10"/>
        <w:spacing w:line="635" w:lineRule="exact"/>
        <w:ind w:firstLine="600"/>
        <w:jc w:val="left"/>
      </w:pPr>
      <w:r>
        <w:rPr>
          <w:rFonts w:ascii="Times New Roman" w:hAnsi="Times New Roman" w:eastAsia="Times New Roman" w:cs="Times New Roman"/>
          <w:sz w:val="30"/>
          <w:szCs w:val="30"/>
        </w:rPr>
        <w:t>1</w:t>
      </w:r>
      <w:r>
        <w:t>.基本支出预算。</w:t>
      </w:r>
    </w:p>
    <w:p>
      <w:pPr>
        <w:pStyle w:val="10"/>
        <w:spacing w:line="619" w:lineRule="exact"/>
        <w:ind w:firstLine="600"/>
        <w:jc w:val="left"/>
        <w:rPr>
          <w:rFonts w:hint="eastAsia"/>
          <w:lang w:val="en-US" w:eastAsia="zh-CN"/>
        </w:rPr>
      </w:pPr>
      <w:r>
        <w:rPr>
          <w:rFonts w:hint="eastAsia"/>
        </w:rPr>
        <w:t>基本支出预算</w:t>
      </w:r>
      <w:r>
        <w:rPr>
          <w:rFonts w:hint="eastAsia"/>
          <w:lang w:val="en-US" w:eastAsia="zh-CN"/>
        </w:rPr>
        <w:t>531.99</w:t>
      </w:r>
      <w:r>
        <w:rPr>
          <w:rFonts w:hint="eastAsia"/>
        </w:rPr>
        <w:t>万元，占支出预算</w:t>
      </w:r>
      <w:r>
        <w:rPr>
          <w:u w:color="auto"/>
        </w:rPr>
        <w:t>67.41%,比上年增长90.53万元，增长20.51%</w:t>
      </w:r>
      <w:r>
        <w:t>。</w:t>
      </w:r>
      <w:r>
        <w:rPr>
          <w:rFonts w:hint="eastAsia"/>
          <w:lang w:val="en-US" w:eastAsia="zh-CN"/>
        </w:rPr>
        <w:t>其中：</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468.06</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87.98%</w:t>
      </w:r>
      <w:r>
        <w:rPr>
          <w:rFonts w:hint="eastAsia"/>
        </w:rPr>
        <w:t>,</w:t>
      </w:r>
      <w:r>
        <w:t>比上年</w:t>
      </w:r>
      <w:r>
        <w:rPr>
          <w:rFonts w:hint="eastAsia"/>
        </w:rPr>
        <w:t>增长87.97</w:t>
      </w:r>
      <w:r>
        <w:t>万元，</w:t>
      </w:r>
      <w:r>
        <w:rPr>
          <w:rFonts w:hint="eastAsia"/>
        </w:rPr>
        <w:t>增长23.14%</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保证日常运转发生的基本支出和按规定预留的绩效工资增加</w:t>
      </w:r>
      <w:r>
        <w:rPr>
          <w:rFonts w:hint="eastAsia"/>
          <w:highlight w:val="none"/>
          <w:lang w:val="en-US" w:eastAsia="zh-CN"/>
        </w:rPr>
        <w:t>。</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16.50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3.10%</w:t>
      </w:r>
      <w:r>
        <w:rPr>
          <w:rFonts w:hint="eastAsia"/>
        </w:rPr>
        <w:t>,</w:t>
      </w:r>
      <w:r>
        <w:t>比上年</w:t>
      </w:r>
      <w:r>
        <w:rPr>
          <w:rFonts w:hint="eastAsia"/>
        </w:rPr>
        <w:t>增长2.62</w:t>
      </w:r>
      <w:r>
        <w:t>万元，</w:t>
      </w:r>
      <w:r>
        <w:rPr>
          <w:rFonts w:hint="eastAsia"/>
        </w:rPr>
        <w:t>增长18.88%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退休人员变动，保障人员基本生活的经费支出增加</w:t>
      </w:r>
      <w:r>
        <w:rPr>
          <w:rFonts w:hint="eastAsia"/>
          <w:highlight w:val="none"/>
          <w:lang w:val="en-US" w:eastAsia="zh-CN"/>
        </w:rPr>
        <w:t>。</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47.43</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8.92%</w:t>
      </w:r>
      <w:r>
        <w:rPr>
          <w:rFonts w:hint="eastAsia"/>
        </w:rPr>
        <w:t>,</w:t>
      </w:r>
      <w:r>
        <w:t>比上年</w:t>
      </w:r>
      <w:r>
        <w:rPr>
          <w:rFonts w:hint="eastAsia"/>
        </w:rPr>
        <w:t>减少0.06</w:t>
      </w:r>
      <w:r>
        <w:t>万元，</w:t>
      </w:r>
      <w:r>
        <w:rPr>
          <w:rFonts w:hint="eastAsia"/>
        </w:rPr>
        <w:t>减少0.13%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按照相关政策压减日常公用经费支出</w:t>
      </w:r>
      <w:r>
        <w:rPr>
          <w:rFonts w:hint="eastAsia"/>
          <w:highlight w:val="none"/>
          <w:lang w:val="en-US" w:eastAsia="zh-CN"/>
        </w:rPr>
        <w:t>。</w:t>
      </w:r>
    </w:p>
    <w:p>
      <w:pPr>
        <w:pStyle w:val="10"/>
        <w:numPr>
          <w:ilvl w:val="0"/>
          <w:numId w:val="1"/>
        </w:numPr>
        <w:spacing w:line="614" w:lineRule="exact"/>
        <w:ind w:firstLine="600"/>
        <w:jc w:val="left"/>
      </w:pPr>
      <w:r>
        <w:t>项目支出预算。</w:t>
      </w:r>
    </w:p>
    <w:p>
      <w:pPr>
        <w:pStyle w:val="10"/>
        <w:spacing w:line="619" w:lineRule="exact"/>
        <w:ind w:firstLine="600"/>
        <w:jc w:val="left"/>
        <w:rPr>
          <w:rFonts w:hint="eastAsia"/>
          <w:lang w:val="en-US" w:eastAsia="zh-CN"/>
        </w:rPr>
      </w:pPr>
      <w:r>
        <w:rPr>
          <w:rFonts w:hint="eastAsia"/>
        </w:rPr>
        <w:t>项目支出预算</w:t>
      </w:r>
      <w:r>
        <w:rPr>
          <w:rFonts w:hint="eastAsia"/>
          <w:lang w:val="en-US" w:eastAsia="zh-CN"/>
        </w:rPr>
        <w:t>257.15</w:t>
      </w:r>
      <w:r>
        <w:rPr>
          <w:rFonts w:hint="eastAsia"/>
        </w:rPr>
        <w:t>万元，占支出预算</w:t>
      </w:r>
      <w:r>
        <w:rPr>
          <w:u w:color="auto"/>
        </w:rPr>
        <w:t>32.59%</w:t>
      </w:r>
      <w:r>
        <w:rPr>
          <w:rFonts w:hint="eastAsia"/>
        </w:rPr>
        <w:t>,比上年</w:t>
      </w:r>
      <w:r>
        <w:rPr>
          <w:u w:color="auto"/>
        </w:rPr>
        <w:t>增长10.14</w:t>
      </w:r>
      <w:r>
        <w:rPr>
          <w:rFonts w:hint="eastAsia"/>
        </w:rPr>
        <w:t>万元，</w:t>
      </w:r>
      <w:r>
        <w:rPr>
          <w:u w:color="auto"/>
        </w:rPr>
        <w:t>增长4.11%</w:t>
      </w:r>
      <w:r>
        <w:t>。</w:t>
      </w:r>
      <w:r>
        <w:rPr>
          <w:rFonts w:hint="eastAsia"/>
          <w:lang w:val="en-US" w:eastAsia="zh-CN"/>
        </w:rPr>
        <w:t>其中：</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134.55</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52.32%</w:t>
      </w:r>
      <w:r>
        <w:t>,比上年</w:t>
      </w:r>
      <w:r>
        <w:rPr>
          <w:rFonts w:hint="eastAsia"/>
        </w:rPr>
        <w:t>减少58.03</w:t>
      </w:r>
      <w:r>
        <w:t>万元，</w:t>
      </w:r>
      <w:r>
        <w:rPr>
          <w:rFonts w:hint="eastAsia"/>
        </w:rPr>
        <w:t>减少30.13%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控制并压减项目公用经费支出</w:t>
      </w:r>
      <w:r>
        <w:rPr>
          <w:rFonts w:hint="eastAsia"/>
          <w:highlight w:val="none"/>
          <w:lang w:val="en-US" w:eastAsia="zh-CN"/>
        </w:rPr>
        <w:t>。</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2)资本性支出</w:t>
      </w:r>
      <w:r>
        <w:rPr>
          <w:rFonts w:hint="eastAsia" w:ascii="宋体" w:hAnsi="宋体" w:eastAsia="宋体" w:cs="宋体"/>
          <w:sz w:val="28"/>
          <w:szCs w:val="28"/>
          <w:lang w:val="en-US" w:eastAsia="zh-CN"/>
        </w:rPr>
        <w:t>91.00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35.39%</w:t>
      </w:r>
      <w:r>
        <w:t>,比上年</w:t>
      </w:r>
      <w:r>
        <w:rPr>
          <w:rFonts w:hint="eastAsia"/>
        </w:rPr>
        <w:t>增长88.00</w:t>
      </w:r>
      <w:r>
        <w:t>万元，</w:t>
      </w:r>
      <w:r>
        <w:rPr>
          <w:rFonts w:hint="eastAsia"/>
        </w:rPr>
        <w:t>增长2933.33%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基础设施建设增加</w:t>
      </w:r>
      <w:r>
        <w:rPr>
          <w:rFonts w:hint="eastAsia"/>
          <w:highlight w:val="none"/>
          <w:lang w:val="en-US" w:eastAsia="zh-CN"/>
        </w:rPr>
        <w:t>。</w:t>
      </w:r>
    </w:p>
    <w:p>
      <w:pPr>
        <w:pStyle w:val="11"/>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16.98</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6.60%</w:t>
      </w:r>
      <w:r>
        <w:t>,比上年</w:t>
      </w:r>
      <w:r>
        <w:rPr>
          <w:rFonts w:hint="eastAsia"/>
        </w:rPr>
        <w:t>减少34.45</w:t>
      </w:r>
      <w:r>
        <w:t>万元，</w:t>
      </w:r>
      <w:r>
        <w:rPr>
          <w:rFonts w:hint="eastAsia"/>
        </w:rPr>
        <w:t>减少66.98%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控制并压减项目对个人和家庭补助支出</w:t>
      </w:r>
      <w:r>
        <w:rPr>
          <w:rFonts w:hint="eastAsia"/>
          <w:highlight w:val="none"/>
          <w:lang w:val="en-US" w:eastAsia="zh-CN"/>
        </w:rPr>
        <w:t>。</w:t>
      </w:r>
    </w:p>
    <w:p>
      <w:pPr>
        <w:pStyle w:val="11"/>
        <w:spacing w:after="0" w:line="619" w:lineRule="exact"/>
        <w:ind w:firstLine="740"/>
        <w:jc w:val="left"/>
        <w:rPr>
          <w:b/>
          <w:bCs/>
        </w:rPr>
      </w:pPr>
      <w:r>
        <w:rPr>
          <w:rFonts w:hint="eastAsia" w:ascii="宋体" w:hAnsi="宋体" w:eastAsia="宋体" w:cs="宋体"/>
          <w:sz w:val="28"/>
          <w:szCs w:val="28"/>
        </w:rPr>
        <w:t>(</w:t>
      </w:r>
      <w:r>
        <w:rPr>
          <w:rFonts w:ascii="宋体" w:hAnsi="宋体" w:eastAsia="宋体" w:cs="宋体"/>
          <w:sz w:val="28"/>
          <w:u w:color="auto"/>
        </w:rPr>
        <w:t>4)资本性支出（基本建设）</w:t>
      </w:r>
      <w:r>
        <w:rPr>
          <w:rFonts w:hint="eastAsia" w:ascii="宋体" w:hAnsi="宋体" w:eastAsia="宋体" w:cs="宋体"/>
          <w:sz w:val="28"/>
          <w:szCs w:val="28"/>
          <w:lang w:val="en-US" w:eastAsia="zh-CN"/>
        </w:rPr>
        <w:t>14.63</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5.69%</w:t>
      </w:r>
      <w:r>
        <w:t>,比上年</w:t>
      </w:r>
      <w:r>
        <w:rPr>
          <w:rFonts w:hint="eastAsia"/>
        </w:rPr>
        <w:t>增长14.63</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上年经费结转</w:t>
      </w:r>
      <w:r>
        <w:rPr>
          <w:rFonts w:hint="eastAsia"/>
          <w:highlight w:val="none"/>
          <w:lang w:val="en-US" w:eastAsia="zh-CN"/>
        </w:rPr>
        <w:t>。</w:t>
      </w:r>
    </w:p>
    <w:p>
      <w:pPr>
        <w:pStyle w:val="9"/>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0"/>
        <w:spacing w:line="240" w:lineRule="auto"/>
        <w:ind w:firstLine="0"/>
        <w:jc w:val="left"/>
        <w:rPr>
          <w:lang w:val="en-US" w:eastAsia="zh-CN"/>
        </w:rPr>
      </w:pPr>
      <w:r>
        <w:rPr>
          <w:rFonts w:hint="eastAsia"/>
          <w:lang w:val="en-US" w:eastAsia="zh-CN"/>
        </w:rPr>
        <w:drawing>
          <wp:inline distT="0" distB="0" distL="114300" distR="114300">
            <wp:extent cx="5080000" cy="2458085"/>
            <wp:effectExtent l="4445" t="4445" r="20955" b="13970"/>
            <wp:docPr id="180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789.14</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789.14</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688.47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增加100.67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增长14.62%</w:t>
      </w:r>
      <w:r>
        <w:rPr>
          <w:rFonts w:hint="eastAsia" w:ascii="宋体" w:hAnsi="宋体" w:eastAsia="宋体" w:cs="宋体"/>
          <w:sz w:val="28"/>
          <w:szCs w:val="28"/>
        </w:rPr>
        <w:t>，主要原因是</w:t>
      </w:r>
      <w:r>
        <w:rPr>
          <w:rFonts w:hint="eastAsia"/>
          <w:highlight w:val="none"/>
          <w:lang w:val="en-US" w:eastAsia="zh-CN"/>
        </w:rPr>
        <w:t>2024年人员经费支出增加。一是人员基础绩效增加；二是新增乡村振兴协理员经费纳入预算</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688.47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增加100.67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增长14.62%</w:t>
      </w:r>
      <w:r>
        <w:rPr>
          <w:rFonts w:hint="eastAsia" w:ascii="宋体" w:hAnsi="宋体" w:eastAsia="宋体" w:cs="宋体"/>
          <w:sz w:val="28"/>
          <w:szCs w:val="28"/>
        </w:rPr>
        <w:t>，主要原因是</w:t>
      </w:r>
      <w:r>
        <w:rPr>
          <w:rFonts w:hint="eastAsia"/>
          <w:highlight w:val="none"/>
          <w:lang w:val="en-US" w:eastAsia="zh-CN"/>
        </w:rPr>
        <w:t>2024年人员经费支出增加。一是人员基础绩效增加；二是新增乡村振兴协理员经费纳入预算</w:t>
      </w:r>
      <w:r>
        <w:rPr>
          <w:rFonts w:hint="eastAsia" w:ascii="宋体" w:hAnsi="宋体" w:eastAsia="宋体" w:cs="宋体"/>
          <w:sz w:val="28"/>
          <w:szCs w:val="28"/>
        </w:rPr>
        <w:t>。</w:t>
      </w:r>
    </w:p>
    <w:p>
      <w:pPr>
        <w:pStyle w:val="9"/>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0"/>
        <w:spacing w:line="240" w:lineRule="auto"/>
        <w:ind w:firstLine="0"/>
        <w:jc w:val="left"/>
        <w:rPr>
          <w:lang w:eastAsia="zh-CN"/>
        </w:rPr>
      </w:pPr>
      <w:r>
        <w:rPr>
          <w:lang w:eastAsia="zh-CN"/>
        </w:rPr>
        <w:drawing>
          <wp:inline distT="0" distB="0" distL="114300" distR="114300">
            <wp:extent cx="5080000" cy="3077210"/>
            <wp:effectExtent l="4445" t="4445" r="20955" b="23495"/>
            <wp:docPr id="181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774.51</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688.47</w:t>
      </w:r>
      <w:r>
        <w:rPr>
          <w:rFonts w:hint="eastAsia" w:ascii="宋体" w:hAnsi="宋体" w:eastAsia="宋体" w:cs="宋体"/>
          <w:sz w:val="28"/>
          <w:szCs w:val="28"/>
        </w:rPr>
        <w:t>万元，</w:t>
      </w:r>
      <w:r>
        <w:rPr>
          <w:rFonts w:hint="eastAsia" w:ascii="宋体" w:hAnsi="宋体" w:eastAsia="宋体" w:cs="宋体"/>
          <w:sz w:val="28"/>
          <w:szCs w:val="28"/>
          <w:lang w:val="en-US" w:eastAsia="zh-CN"/>
        </w:rPr>
        <w:t>增加86.04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增长12.50%</w:t>
      </w:r>
      <w:r>
        <w:rPr>
          <w:rFonts w:hint="eastAsia" w:ascii="宋体" w:hAnsi="宋体" w:eastAsia="宋体" w:cs="宋体"/>
          <w:sz w:val="28"/>
          <w:szCs w:val="28"/>
        </w:rPr>
        <w:t>，主要原因是</w:t>
      </w:r>
      <w:r>
        <w:rPr>
          <w:rFonts w:hint="eastAsia"/>
          <w:highlight w:val="none"/>
          <w:lang w:val="en-US" w:eastAsia="zh-CN"/>
        </w:rPr>
        <w:t>人员变动，基本支出和人员经费增加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534.10</w:t>
      </w:r>
      <w:r>
        <w:rPr>
          <w:rFonts w:hint="eastAsia" w:ascii="宋体" w:hAnsi="宋体" w:eastAsia="宋体" w:cs="宋体"/>
          <w:sz w:val="28"/>
          <w:szCs w:val="28"/>
        </w:rPr>
        <w:t>万元，占支出总预算的</w:t>
      </w:r>
      <w:r>
        <w:rPr>
          <w:rFonts w:ascii="宋体" w:hAnsi="宋体" w:eastAsia="宋体" w:cs="宋体"/>
          <w:sz w:val="28"/>
          <w:u w:color="auto"/>
        </w:rPr>
        <w:t>68.96%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447.78</w:t>
      </w:r>
      <w:r>
        <w:rPr>
          <w:rFonts w:hint="eastAsia" w:ascii="宋体" w:hAnsi="宋体" w:eastAsia="宋体" w:cs="宋体"/>
          <w:sz w:val="28"/>
          <w:szCs w:val="28"/>
        </w:rPr>
        <w:t>万元，</w:t>
      </w:r>
      <w:r>
        <w:rPr>
          <w:rFonts w:ascii="宋体" w:hAnsi="宋体" w:eastAsia="宋体" w:cs="宋体"/>
          <w:sz w:val="28"/>
          <w:u w:color="auto"/>
        </w:rPr>
        <w:t>增长86.32</w:t>
      </w:r>
      <w:r>
        <w:rPr>
          <w:rFonts w:hint="eastAsia" w:ascii="宋体" w:hAnsi="宋体" w:eastAsia="宋体" w:cs="宋体"/>
          <w:sz w:val="28"/>
          <w:szCs w:val="28"/>
        </w:rPr>
        <w:t>万元，</w:t>
      </w:r>
      <w:r>
        <w:rPr>
          <w:rFonts w:ascii="宋体" w:hAnsi="宋体" w:eastAsia="宋体" w:cs="宋体"/>
          <w:sz w:val="28"/>
          <w:u w:color="auto"/>
        </w:rPr>
        <w:t>增长19.28%</w:t>
      </w:r>
      <w:r>
        <w:rPr>
          <w:rFonts w:hint="eastAsia" w:ascii="宋体" w:hAnsi="宋体" w:eastAsia="宋体" w:cs="宋体"/>
          <w:sz w:val="28"/>
          <w:szCs w:val="28"/>
        </w:rPr>
        <w:t>，主要原因是：</w:t>
      </w:r>
      <w:r>
        <w:rPr>
          <w:rFonts w:hint="eastAsia"/>
          <w:highlight w:val="none"/>
        </w:rPr>
        <w:t>人员变动，基本支出和人员经费增加</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交通运输支出（类）支出</w:t>
      </w:r>
      <w:r>
        <w:rPr>
          <w:rFonts w:ascii="宋体" w:hAnsi="宋体" w:eastAsia="宋体" w:cs="宋体"/>
          <w:sz w:val="28"/>
          <w:u w:color="auto"/>
        </w:rPr>
        <w:t>92.71</w:t>
      </w:r>
      <w:r>
        <w:rPr>
          <w:rFonts w:hint="eastAsia" w:ascii="宋体" w:hAnsi="宋体" w:eastAsia="宋体" w:cs="宋体"/>
          <w:sz w:val="28"/>
          <w:szCs w:val="28"/>
        </w:rPr>
        <w:t>万元，占支出总预算的</w:t>
      </w:r>
      <w:r>
        <w:rPr>
          <w:rFonts w:ascii="宋体" w:hAnsi="宋体" w:eastAsia="宋体" w:cs="宋体"/>
          <w:sz w:val="28"/>
          <w:u w:color="auto"/>
        </w:rPr>
        <w:t>11.97%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0.00</w:t>
      </w:r>
      <w:r>
        <w:rPr>
          <w:rFonts w:hint="eastAsia" w:ascii="宋体" w:hAnsi="宋体" w:eastAsia="宋体" w:cs="宋体"/>
          <w:sz w:val="28"/>
          <w:szCs w:val="28"/>
        </w:rPr>
        <w:t>万元，</w:t>
      </w:r>
      <w:r>
        <w:rPr>
          <w:rFonts w:ascii="宋体" w:hAnsi="宋体" w:eastAsia="宋体" w:cs="宋体"/>
          <w:sz w:val="28"/>
          <w:u w:color="auto"/>
        </w:rPr>
        <w:t>增长92.71</w:t>
      </w:r>
      <w:r>
        <w:rPr>
          <w:rFonts w:hint="eastAsia" w:ascii="宋体" w:hAnsi="宋体" w:eastAsia="宋体" w:cs="宋体"/>
          <w:sz w:val="28"/>
          <w:szCs w:val="28"/>
        </w:rPr>
        <w:t>万元，</w:t>
      </w:r>
      <w:r>
        <w:rPr>
          <w:rFonts w:ascii="宋体" w:hAnsi="宋体" w:eastAsia="宋体" w:cs="宋体"/>
          <w:sz w:val="28"/>
          <w:u w:color="auto"/>
        </w:rPr>
        <w:t>增长100%</w:t>
      </w:r>
      <w:r>
        <w:rPr>
          <w:rFonts w:hint="eastAsia" w:ascii="宋体" w:hAnsi="宋体" w:eastAsia="宋体" w:cs="宋体"/>
          <w:sz w:val="28"/>
          <w:szCs w:val="28"/>
        </w:rPr>
        <w:t>，主要原因是：</w:t>
      </w:r>
      <w:r>
        <w:rPr>
          <w:rFonts w:hint="eastAsia"/>
          <w:highlight w:val="none"/>
        </w:rPr>
        <w:t>上年度公路建设项目经费结转</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36.59</w:t>
      </w:r>
      <w:r>
        <w:rPr>
          <w:rFonts w:hint="eastAsia" w:ascii="宋体" w:hAnsi="宋体" w:eastAsia="宋体" w:cs="宋体"/>
          <w:sz w:val="28"/>
          <w:szCs w:val="28"/>
        </w:rPr>
        <w:t>万元，占支出总预算的</w:t>
      </w:r>
      <w:r>
        <w:rPr>
          <w:rFonts w:ascii="宋体" w:hAnsi="宋体" w:eastAsia="宋体" w:cs="宋体"/>
          <w:sz w:val="28"/>
          <w:u w:color="auto"/>
        </w:rPr>
        <w:t>4.72%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34.29</w:t>
      </w:r>
      <w:r>
        <w:rPr>
          <w:rFonts w:hint="eastAsia" w:ascii="宋体" w:hAnsi="宋体" w:eastAsia="宋体" w:cs="宋体"/>
          <w:sz w:val="28"/>
          <w:szCs w:val="28"/>
        </w:rPr>
        <w:t>万元，</w:t>
      </w:r>
      <w:r>
        <w:rPr>
          <w:rFonts w:ascii="宋体" w:hAnsi="宋体" w:eastAsia="宋体" w:cs="宋体"/>
          <w:sz w:val="28"/>
          <w:u w:color="auto"/>
        </w:rPr>
        <w:t>增长2.30</w:t>
      </w:r>
      <w:r>
        <w:rPr>
          <w:rFonts w:hint="eastAsia" w:ascii="宋体" w:hAnsi="宋体" w:eastAsia="宋体" w:cs="宋体"/>
          <w:sz w:val="28"/>
          <w:szCs w:val="28"/>
        </w:rPr>
        <w:t>万元，</w:t>
      </w:r>
      <w:r>
        <w:rPr>
          <w:rFonts w:ascii="宋体" w:hAnsi="宋体" w:eastAsia="宋体" w:cs="宋体"/>
          <w:sz w:val="28"/>
          <w:u w:color="auto"/>
        </w:rPr>
        <w:t>增长6.71%</w:t>
      </w:r>
      <w:r>
        <w:rPr>
          <w:rFonts w:hint="eastAsia" w:ascii="宋体" w:hAnsi="宋体" w:eastAsia="宋体" w:cs="宋体"/>
          <w:sz w:val="28"/>
          <w:szCs w:val="28"/>
        </w:rPr>
        <w:t>，主要原因是：</w:t>
      </w:r>
      <w:r>
        <w:rPr>
          <w:rFonts w:hint="eastAsia"/>
          <w:highlight w:val="none"/>
        </w:rPr>
        <w:t>人员增加，住房保障社会福利支出增加</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16.52</w:t>
      </w:r>
      <w:r>
        <w:rPr>
          <w:rFonts w:hint="eastAsia" w:ascii="宋体" w:hAnsi="宋体" w:eastAsia="宋体" w:cs="宋体"/>
          <w:sz w:val="28"/>
          <w:szCs w:val="28"/>
        </w:rPr>
        <w:t>万元，占支出总预算的</w:t>
      </w:r>
      <w:r>
        <w:rPr>
          <w:rFonts w:ascii="宋体" w:hAnsi="宋体" w:eastAsia="宋体" w:cs="宋体"/>
          <w:sz w:val="28"/>
          <w:u w:color="auto"/>
        </w:rPr>
        <w:t>2.13%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52.78</w:t>
      </w:r>
      <w:r>
        <w:rPr>
          <w:rFonts w:hint="eastAsia" w:ascii="宋体" w:hAnsi="宋体" w:eastAsia="宋体" w:cs="宋体"/>
          <w:sz w:val="28"/>
          <w:szCs w:val="28"/>
        </w:rPr>
        <w:t>万元，</w:t>
      </w:r>
      <w:r>
        <w:rPr>
          <w:rFonts w:ascii="宋体" w:hAnsi="宋体" w:eastAsia="宋体" w:cs="宋体"/>
          <w:sz w:val="28"/>
          <w:u w:color="auto"/>
        </w:rPr>
        <w:t>减少36.26</w:t>
      </w:r>
      <w:r>
        <w:rPr>
          <w:rFonts w:hint="eastAsia" w:ascii="宋体" w:hAnsi="宋体" w:eastAsia="宋体" w:cs="宋体"/>
          <w:sz w:val="28"/>
          <w:szCs w:val="28"/>
        </w:rPr>
        <w:t>万元，</w:t>
      </w:r>
      <w:r>
        <w:rPr>
          <w:rFonts w:ascii="宋体" w:hAnsi="宋体" w:eastAsia="宋体" w:cs="宋体"/>
          <w:sz w:val="28"/>
          <w:u w:color="auto"/>
        </w:rPr>
        <w:t>减少68.70%</w:t>
      </w:r>
      <w:r>
        <w:rPr>
          <w:rFonts w:hint="eastAsia" w:ascii="宋体" w:hAnsi="宋体" w:eastAsia="宋体" w:cs="宋体"/>
          <w:sz w:val="28"/>
          <w:szCs w:val="28"/>
        </w:rPr>
        <w:t>，主要原因是：</w:t>
      </w:r>
      <w:r>
        <w:rPr>
          <w:rFonts w:hint="eastAsia"/>
          <w:highlight w:val="none"/>
        </w:rPr>
        <w:t>人员变动影响工资福利支出减少</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灾害防治及应急管理支出（类）支出</w:t>
      </w:r>
      <w:r>
        <w:rPr>
          <w:rFonts w:ascii="宋体" w:hAnsi="宋体" w:eastAsia="宋体" w:cs="宋体"/>
          <w:sz w:val="28"/>
          <w:u w:color="auto"/>
        </w:rPr>
        <w:t>0.00</w:t>
      </w:r>
      <w:r>
        <w:rPr>
          <w:rFonts w:hint="eastAsia" w:ascii="宋体" w:hAnsi="宋体" w:eastAsia="宋体" w:cs="宋体"/>
          <w:sz w:val="28"/>
          <w:szCs w:val="28"/>
        </w:rPr>
        <w:t>万元，占支出总预算的</w:t>
      </w:r>
      <w:r>
        <w:rPr>
          <w:rFonts w:ascii="宋体" w:hAnsi="宋体" w:eastAsia="宋体" w:cs="宋体"/>
          <w:sz w:val="28"/>
          <w:u w:color="auto"/>
        </w:rPr>
        <w:t>0.00%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0.00</w:t>
      </w:r>
      <w:r>
        <w:rPr>
          <w:rFonts w:hint="eastAsia" w:ascii="宋体" w:hAnsi="宋体" w:eastAsia="宋体" w:cs="宋体"/>
          <w:sz w:val="28"/>
          <w:szCs w:val="28"/>
        </w:rPr>
        <w:t>万元，</w:t>
      </w:r>
      <w:r>
        <w:rPr>
          <w:rFonts w:ascii="宋体" w:hAnsi="宋体" w:eastAsia="宋体" w:cs="宋体"/>
          <w:sz w:val="28"/>
          <w:u w:color="auto"/>
        </w:rPr>
        <w:t>增长0.00</w:t>
      </w:r>
      <w:r>
        <w:rPr>
          <w:rFonts w:hint="eastAsia" w:ascii="宋体" w:hAnsi="宋体" w:eastAsia="宋体" w:cs="宋体"/>
          <w:sz w:val="28"/>
          <w:szCs w:val="28"/>
        </w:rPr>
        <w:t>万元，</w:t>
      </w:r>
      <w:r>
        <w:rPr>
          <w:rFonts w:ascii="宋体" w:hAnsi="宋体" w:eastAsia="宋体" w:cs="宋体"/>
          <w:sz w:val="28"/>
          <w:u w:color="auto"/>
        </w:rPr>
        <w:t>增长0%</w:t>
      </w:r>
      <w:r>
        <w:rPr>
          <w:rFonts w:hint="eastAsia" w:ascii="宋体" w:hAnsi="宋体" w:eastAsia="宋体" w:cs="宋体"/>
          <w:sz w:val="28"/>
          <w:szCs w:val="28"/>
        </w:rPr>
        <w:t>，主要原因是：</w:t>
      </w:r>
      <w:r>
        <w:rPr>
          <w:rFonts w:hint="eastAsia"/>
          <w:highlight w:val="none"/>
        </w:rPr>
        <w:t>无经费指标</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46.74</w:t>
      </w:r>
      <w:r>
        <w:rPr>
          <w:rFonts w:hint="eastAsia" w:ascii="宋体" w:hAnsi="宋体" w:eastAsia="宋体" w:cs="宋体"/>
          <w:sz w:val="28"/>
          <w:szCs w:val="28"/>
        </w:rPr>
        <w:t>万元，占支出总预算的</w:t>
      </w:r>
      <w:r>
        <w:rPr>
          <w:rFonts w:ascii="宋体" w:hAnsi="宋体" w:eastAsia="宋体" w:cs="宋体"/>
          <w:sz w:val="28"/>
          <w:u w:color="auto"/>
        </w:rPr>
        <w:t>6.03%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47.90</w:t>
      </w:r>
      <w:r>
        <w:rPr>
          <w:rFonts w:hint="eastAsia" w:ascii="宋体" w:hAnsi="宋体" w:eastAsia="宋体" w:cs="宋体"/>
          <w:sz w:val="28"/>
          <w:szCs w:val="28"/>
        </w:rPr>
        <w:t>万元，</w:t>
      </w:r>
      <w:r>
        <w:rPr>
          <w:rFonts w:ascii="宋体" w:hAnsi="宋体" w:eastAsia="宋体" w:cs="宋体"/>
          <w:sz w:val="28"/>
          <w:u w:color="auto"/>
        </w:rPr>
        <w:t>减少1.16</w:t>
      </w:r>
      <w:r>
        <w:rPr>
          <w:rFonts w:hint="eastAsia" w:ascii="宋体" w:hAnsi="宋体" w:eastAsia="宋体" w:cs="宋体"/>
          <w:sz w:val="28"/>
          <w:szCs w:val="28"/>
        </w:rPr>
        <w:t>万元，</w:t>
      </w:r>
      <w:r>
        <w:rPr>
          <w:rFonts w:ascii="宋体" w:hAnsi="宋体" w:eastAsia="宋体" w:cs="宋体"/>
          <w:sz w:val="28"/>
          <w:u w:color="auto"/>
        </w:rPr>
        <w:t>减少2.42%</w:t>
      </w:r>
      <w:r>
        <w:rPr>
          <w:rFonts w:hint="eastAsia" w:ascii="宋体" w:hAnsi="宋体" w:eastAsia="宋体" w:cs="宋体"/>
          <w:sz w:val="28"/>
          <w:szCs w:val="28"/>
        </w:rPr>
        <w:t>，主要原因是：</w:t>
      </w:r>
      <w:r>
        <w:rPr>
          <w:rFonts w:hint="eastAsia"/>
          <w:highlight w:val="none"/>
        </w:rPr>
        <w:t>人员变动及社保基数调整支出减少</w:t>
      </w:r>
      <w:r>
        <w:rPr>
          <w:rFonts w:hint="eastAsia" w:ascii="宋体" w:hAnsi="宋体" w:eastAsia="宋体" w:cs="宋体"/>
          <w:sz w:val="28"/>
          <w:szCs w:val="28"/>
        </w:rPr>
        <w:t>。</w:t>
      </w:r>
    </w:p>
    <w:p>
      <w:pPr>
        <w:pStyle w:val="10"/>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节能环保支出（类）支出</w:t>
      </w:r>
      <w:r>
        <w:rPr>
          <w:rFonts w:ascii="宋体" w:hAnsi="宋体" w:eastAsia="宋体" w:cs="宋体"/>
          <w:sz w:val="28"/>
          <w:u w:color="auto"/>
        </w:rPr>
        <w:t>47.84</w:t>
      </w:r>
      <w:r>
        <w:rPr>
          <w:rFonts w:hint="eastAsia" w:ascii="宋体" w:hAnsi="宋体" w:eastAsia="宋体" w:cs="宋体"/>
          <w:sz w:val="28"/>
          <w:szCs w:val="28"/>
        </w:rPr>
        <w:t>万元，占支出总预算的</w:t>
      </w:r>
      <w:r>
        <w:rPr>
          <w:rFonts w:ascii="宋体" w:hAnsi="宋体" w:eastAsia="宋体" w:cs="宋体"/>
          <w:sz w:val="28"/>
          <w:u w:color="auto"/>
        </w:rPr>
        <w:t>6.18%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105.72</w:t>
      </w:r>
      <w:r>
        <w:rPr>
          <w:rFonts w:hint="eastAsia" w:ascii="宋体" w:hAnsi="宋体" w:eastAsia="宋体" w:cs="宋体"/>
          <w:sz w:val="28"/>
          <w:szCs w:val="28"/>
        </w:rPr>
        <w:t>万元，</w:t>
      </w:r>
      <w:r>
        <w:rPr>
          <w:rFonts w:ascii="宋体" w:hAnsi="宋体" w:eastAsia="宋体" w:cs="宋体"/>
          <w:sz w:val="28"/>
          <w:u w:color="auto"/>
        </w:rPr>
        <w:t>减少57.88</w:t>
      </w:r>
      <w:r>
        <w:rPr>
          <w:rFonts w:hint="eastAsia" w:ascii="宋体" w:hAnsi="宋体" w:eastAsia="宋体" w:cs="宋体"/>
          <w:sz w:val="28"/>
          <w:szCs w:val="28"/>
        </w:rPr>
        <w:t>万元，</w:t>
      </w:r>
      <w:r>
        <w:rPr>
          <w:rFonts w:ascii="宋体" w:hAnsi="宋体" w:eastAsia="宋体" w:cs="宋体"/>
          <w:sz w:val="28"/>
          <w:u w:color="auto"/>
        </w:rPr>
        <w:t>减少54.75%</w:t>
      </w:r>
      <w:r>
        <w:rPr>
          <w:rFonts w:hint="eastAsia" w:ascii="宋体" w:hAnsi="宋体" w:eastAsia="宋体" w:cs="宋体"/>
          <w:sz w:val="28"/>
          <w:szCs w:val="28"/>
        </w:rPr>
        <w:t>，主要原因是：</w:t>
      </w:r>
      <w:r>
        <w:rPr>
          <w:rFonts w:hint="eastAsia"/>
          <w:highlight w:val="none"/>
        </w:rPr>
        <w:t>上级财政林业草原生态保护恢复资金结转经费</w:t>
      </w:r>
      <w:r>
        <w:rPr>
          <w:rFonts w:hint="eastAsia" w:ascii="宋体" w:hAnsi="宋体" w:eastAsia="宋体" w:cs="宋体"/>
          <w:sz w:val="28"/>
          <w:szCs w:val="28"/>
        </w:rPr>
        <w:t>。</w:t>
      </w:r>
    </w:p>
    <w:p>
      <w:pPr>
        <w:pStyle w:val="9"/>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9"/>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181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531.99</w:t>
      </w:r>
      <w:r>
        <w:rPr>
          <w:rFonts w:hint="eastAsia"/>
        </w:rPr>
        <w:t>万元，较2023年度预算数</w:t>
      </w:r>
      <w:r>
        <w:rPr>
          <w:rFonts w:hint="eastAsia"/>
          <w:lang w:val="en-US" w:eastAsia="zh-CN"/>
        </w:rPr>
        <w:t>441.46</w:t>
      </w:r>
      <w:r>
        <w:rPr>
          <w:rFonts w:hint="eastAsia"/>
        </w:rPr>
        <w:t>万元</w:t>
      </w:r>
      <w:r>
        <w:rPr>
          <w:rFonts w:hint="eastAsia"/>
          <w:lang w:val="en-US" w:eastAsia="zh-CN"/>
        </w:rPr>
        <w:t>,</w:t>
      </w:r>
      <w:r>
        <w:rPr>
          <w:u w:color="auto"/>
        </w:rPr>
        <w:t>增加90.53</w:t>
      </w:r>
      <w:r>
        <w:rPr>
          <w:rFonts w:hint="eastAsia"/>
        </w:rPr>
        <w:t>万元，</w:t>
      </w:r>
      <w:r>
        <w:rPr>
          <w:rFonts w:hint="eastAsia"/>
          <w:lang w:val="en-US" w:eastAsia="zh-CN"/>
        </w:rPr>
        <w:t>增长20.51%</w:t>
      </w:r>
      <w:r>
        <w:rPr>
          <w:rFonts w:hint="eastAsia"/>
        </w:rPr>
        <w:t>，主要原因是</w:t>
      </w:r>
      <w:r>
        <w:rPr>
          <w:rFonts w:hint="eastAsia"/>
          <w:highlight w:val="none"/>
          <w:lang w:val="en-US" w:eastAsia="zh-CN"/>
        </w:rPr>
        <w:t>2024年人员经费增加</w:t>
      </w:r>
      <w:r>
        <w:rPr>
          <w:rFonts w:hint="eastAsia"/>
        </w:rPr>
        <w:t>。具体情况为：</w:t>
      </w:r>
    </w:p>
    <w:p>
      <w:pPr>
        <w:pStyle w:val="10"/>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468.06</w:t>
      </w:r>
      <w:r>
        <w:t>万元</w:t>
      </w:r>
      <w:r>
        <w:rPr>
          <w:rFonts w:hint="eastAsia"/>
          <w:lang w:eastAsia="zh-CN"/>
        </w:rPr>
        <w:t>，</w:t>
      </w:r>
      <w:r>
        <w:rPr>
          <w:rFonts w:hint="eastAsia"/>
        </w:rPr>
        <w:t>占基本支出预算的</w:t>
      </w:r>
      <w:r>
        <w:rPr>
          <w:rFonts w:hint="eastAsia"/>
          <w:lang w:val="en-US" w:eastAsia="zh-CN"/>
        </w:rPr>
        <w:t>87.98%</w:t>
      </w:r>
      <w:r>
        <w:rPr>
          <w:rFonts w:hint="eastAsia"/>
        </w:rPr>
        <w:t>，较2023年度预算数</w:t>
      </w:r>
      <w:r>
        <w:rPr>
          <w:rFonts w:hint="eastAsia"/>
          <w:lang w:val="en-US" w:eastAsia="zh-CN"/>
        </w:rPr>
        <w:t>380.09</w:t>
      </w:r>
      <w:r>
        <w:rPr>
          <w:rFonts w:hint="eastAsia"/>
        </w:rPr>
        <w:t>万元，</w:t>
      </w:r>
      <w:r>
        <w:rPr>
          <w:rFonts w:hint="eastAsia"/>
          <w:lang w:val="en-US" w:eastAsia="zh-CN"/>
        </w:rPr>
        <w:t>增长87.97</w:t>
      </w:r>
      <w:r>
        <w:rPr>
          <w:rFonts w:hint="eastAsia"/>
        </w:rPr>
        <w:t>万元，</w:t>
      </w:r>
      <w:r>
        <w:rPr>
          <w:rFonts w:hint="eastAsia"/>
          <w:lang w:val="en-US" w:eastAsia="zh-CN"/>
        </w:rPr>
        <w:t>增长23.14%</w:t>
      </w:r>
      <w:r>
        <w:rPr>
          <w:rFonts w:hint="eastAsia"/>
        </w:rPr>
        <w:t>，主要原因是：</w:t>
      </w:r>
      <w:r>
        <w:rPr>
          <w:rFonts w:hint="eastAsia"/>
          <w:highlight w:val="none"/>
        </w:rPr>
        <w:t>保证日常运转发生的基本支出和按规定预留的绩效工资增加</w:t>
      </w:r>
      <w:r>
        <w:rPr>
          <w:rFonts w:hint="eastAsia"/>
          <w:highlight w:val="none"/>
          <w:lang w:val="en-US" w:eastAsia="zh-CN"/>
        </w:rPr>
        <w:t>。</w:t>
      </w:r>
    </w:p>
    <w:p>
      <w:pPr>
        <w:pStyle w:val="10"/>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16.50</w:t>
      </w:r>
      <w:r>
        <w:t>万元</w:t>
      </w:r>
      <w:r>
        <w:rPr>
          <w:rFonts w:hint="eastAsia"/>
          <w:lang w:eastAsia="zh-CN"/>
        </w:rPr>
        <w:t>，</w:t>
      </w:r>
      <w:r>
        <w:rPr>
          <w:rFonts w:hint="eastAsia"/>
        </w:rPr>
        <w:t>占基本支出预算的</w:t>
      </w:r>
      <w:r>
        <w:rPr>
          <w:rFonts w:hint="eastAsia"/>
          <w:lang w:val="en-US" w:eastAsia="zh-CN"/>
        </w:rPr>
        <w:t>3.10%</w:t>
      </w:r>
      <w:r>
        <w:rPr>
          <w:rFonts w:hint="eastAsia"/>
        </w:rPr>
        <w:t>，较2023年度预算数</w:t>
      </w:r>
      <w:r>
        <w:rPr>
          <w:rFonts w:hint="eastAsia"/>
          <w:lang w:val="en-US" w:eastAsia="zh-CN"/>
        </w:rPr>
        <w:t>13.88</w:t>
      </w:r>
      <w:r>
        <w:rPr>
          <w:rFonts w:hint="eastAsia"/>
        </w:rPr>
        <w:t>万元，</w:t>
      </w:r>
      <w:r>
        <w:rPr>
          <w:rFonts w:hint="eastAsia"/>
          <w:lang w:val="en-US" w:eastAsia="zh-CN"/>
        </w:rPr>
        <w:t>增长2.62</w:t>
      </w:r>
      <w:r>
        <w:rPr>
          <w:rFonts w:hint="eastAsia"/>
        </w:rPr>
        <w:t>万元，</w:t>
      </w:r>
      <w:r>
        <w:rPr>
          <w:rFonts w:hint="eastAsia"/>
          <w:lang w:val="en-US" w:eastAsia="zh-CN"/>
        </w:rPr>
        <w:t>增长18.88%</w:t>
      </w:r>
      <w:r>
        <w:rPr>
          <w:rFonts w:hint="eastAsia"/>
        </w:rPr>
        <w:t>，主要原因是：</w:t>
      </w:r>
      <w:r>
        <w:rPr>
          <w:rFonts w:hint="eastAsia"/>
          <w:highlight w:val="none"/>
        </w:rPr>
        <w:t>退休人员增加，保障人员基本生活的经费支出增加</w:t>
      </w:r>
      <w:r>
        <w:rPr>
          <w:rFonts w:hint="eastAsia"/>
          <w:highlight w:val="none"/>
          <w:lang w:val="en-US" w:eastAsia="zh-CN"/>
        </w:rPr>
        <w:t>。</w:t>
      </w:r>
    </w:p>
    <w:p>
      <w:pPr>
        <w:pStyle w:val="10"/>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47.43</w:t>
      </w:r>
      <w:r>
        <w:t>万元</w:t>
      </w:r>
      <w:r>
        <w:rPr>
          <w:rFonts w:hint="eastAsia"/>
          <w:lang w:eastAsia="zh-CN"/>
        </w:rPr>
        <w:t>，</w:t>
      </w:r>
      <w:r>
        <w:rPr>
          <w:rFonts w:hint="eastAsia"/>
        </w:rPr>
        <w:t>占基本支出预算的</w:t>
      </w:r>
      <w:r>
        <w:rPr>
          <w:rFonts w:hint="eastAsia"/>
          <w:lang w:val="en-US" w:eastAsia="zh-CN"/>
        </w:rPr>
        <w:t>8.92%</w:t>
      </w:r>
      <w:r>
        <w:rPr>
          <w:rFonts w:hint="eastAsia"/>
        </w:rPr>
        <w:t>，较2023年度预算数</w:t>
      </w:r>
      <w:r>
        <w:rPr>
          <w:rFonts w:hint="eastAsia"/>
          <w:lang w:val="en-US" w:eastAsia="zh-CN"/>
        </w:rPr>
        <w:t>47.49</w:t>
      </w:r>
      <w:r>
        <w:rPr>
          <w:rFonts w:hint="eastAsia"/>
        </w:rPr>
        <w:t>万元，</w:t>
      </w:r>
      <w:r>
        <w:rPr>
          <w:rFonts w:hint="eastAsia"/>
          <w:lang w:val="en-US" w:eastAsia="zh-CN"/>
        </w:rPr>
        <w:t>减少0.06</w:t>
      </w:r>
      <w:r>
        <w:rPr>
          <w:rFonts w:hint="eastAsia"/>
        </w:rPr>
        <w:t>万元，</w:t>
      </w:r>
      <w:r>
        <w:rPr>
          <w:rFonts w:hint="eastAsia"/>
          <w:lang w:val="en-US" w:eastAsia="zh-CN"/>
        </w:rPr>
        <w:t>减少0.13%</w:t>
      </w:r>
      <w:r>
        <w:rPr>
          <w:rFonts w:hint="eastAsia"/>
        </w:rPr>
        <w:t>，主要原因是：</w:t>
      </w:r>
      <w:r>
        <w:rPr>
          <w:rFonts w:hint="eastAsia"/>
          <w:highlight w:val="none"/>
        </w:rPr>
        <w:t>按照相关政策压减日常公用经费支出</w:t>
      </w:r>
      <w:r>
        <w:rPr>
          <w:rFonts w:hint="eastAsia"/>
          <w:highlight w:val="none"/>
          <w:lang w:val="en-US" w:eastAsia="zh-CN"/>
        </w:rPr>
        <w:t>。</w:t>
      </w:r>
    </w:p>
    <w:p>
      <w:pPr>
        <w:pStyle w:val="9"/>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9"/>
        <w:numPr>
          <w:ilvl w:val="0"/>
          <w:numId w:val="0"/>
        </w:numPr>
        <w:spacing w:after="0"/>
        <w:jc w:val="left"/>
        <w:rPr>
          <w:rFonts w:hint="eastAsia"/>
          <w:b/>
          <w:bCs/>
        </w:rPr>
      </w:pPr>
    </w:p>
    <w:p>
      <w:pPr>
        <w:pStyle w:val="9"/>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1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9"/>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22.40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11.50</w:t>
      </w:r>
      <w:r>
        <w:rPr>
          <w:rFonts w:hint="eastAsia"/>
          <w:b w:val="0"/>
          <w:bCs w:val="0"/>
          <w:sz w:val="28"/>
          <w:szCs w:val="28"/>
          <w:lang w:eastAsia="zh-CN"/>
        </w:rPr>
        <w:t>万元，公务用车购置及运行费支出预算</w:t>
      </w:r>
      <w:r>
        <w:rPr>
          <w:rFonts w:hint="eastAsia"/>
          <w:b w:val="0"/>
          <w:bCs w:val="0"/>
          <w:sz w:val="28"/>
          <w:szCs w:val="28"/>
          <w:lang w:val="en-US" w:eastAsia="zh-CN"/>
        </w:rPr>
        <w:t>10.90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10.90</w:t>
      </w:r>
      <w:r>
        <w:rPr>
          <w:rFonts w:hint="eastAsia"/>
          <w:b w:val="0"/>
          <w:bCs w:val="0"/>
          <w:sz w:val="28"/>
          <w:szCs w:val="28"/>
          <w:lang w:eastAsia="zh-CN"/>
        </w:rPr>
        <w:t>万元）。</w:t>
      </w:r>
    </w:p>
    <w:p>
      <w:pPr>
        <w:pStyle w:val="9"/>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22.40</w:t>
      </w:r>
      <w:r>
        <w:rPr>
          <w:rFonts w:hint="eastAsia"/>
          <w:b w:val="0"/>
          <w:bCs w:val="0"/>
          <w:sz w:val="28"/>
          <w:szCs w:val="28"/>
        </w:rPr>
        <w:t>万元，同口径较2023年度预算数</w:t>
      </w:r>
      <w:r>
        <w:rPr>
          <w:rFonts w:hint="eastAsia"/>
          <w:b w:val="0"/>
          <w:bCs w:val="0"/>
          <w:sz w:val="28"/>
          <w:szCs w:val="28"/>
          <w:lang w:val="en-US" w:eastAsia="zh-CN"/>
        </w:rPr>
        <w:t>24.20</w:t>
      </w:r>
      <w:r>
        <w:rPr>
          <w:rFonts w:hint="eastAsia"/>
          <w:b w:val="0"/>
          <w:bCs w:val="0"/>
          <w:sz w:val="28"/>
          <w:szCs w:val="28"/>
        </w:rPr>
        <w:t>万元，</w:t>
      </w:r>
      <w:r>
        <w:rPr>
          <w:rFonts w:hint="eastAsia"/>
          <w:b w:val="0"/>
          <w:bCs w:val="0"/>
          <w:sz w:val="28"/>
          <w:szCs w:val="28"/>
          <w:lang w:val="en-US" w:eastAsia="zh-CN"/>
        </w:rPr>
        <w:t>减少1.80</w:t>
      </w:r>
      <w:r>
        <w:rPr>
          <w:rFonts w:hint="eastAsia"/>
          <w:b w:val="0"/>
          <w:bCs w:val="0"/>
          <w:sz w:val="28"/>
          <w:szCs w:val="28"/>
        </w:rPr>
        <w:t>万元，</w:t>
      </w:r>
      <w:r>
        <w:rPr>
          <w:rFonts w:hint="eastAsia"/>
          <w:b w:val="0"/>
          <w:bCs w:val="0"/>
          <w:sz w:val="28"/>
          <w:szCs w:val="28"/>
          <w:lang w:val="en-US" w:eastAsia="zh-CN"/>
        </w:rPr>
        <w:t>减少7.44%</w:t>
      </w:r>
      <w:r>
        <w:rPr>
          <w:rFonts w:hint="eastAsia"/>
          <w:b w:val="0"/>
          <w:bCs w:val="0"/>
          <w:sz w:val="28"/>
          <w:szCs w:val="28"/>
        </w:rPr>
        <w:t>，具体如下：</w:t>
      </w:r>
    </w:p>
    <w:p>
      <w:pPr>
        <w:pStyle w:val="9"/>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2024年我单位无因公出国工作安排</w:t>
      </w:r>
      <w:r>
        <w:rPr>
          <w:rFonts w:hint="eastAsia"/>
          <w:b w:val="0"/>
          <w:bCs w:val="0"/>
          <w:sz w:val="28"/>
          <w:szCs w:val="28"/>
        </w:rPr>
        <w:t>。</w:t>
      </w:r>
    </w:p>
    <w:p>
      <w:pPr>
        <w:pStyle w:val="9"/>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11.50</w:t>
      </w:r>
      <w:r>
        <w:rPr>
          <w:rFonts w:hint="eastAsia"/>
          <w:b w:val="0"/>
          <w:bCs w:val="0"/>
          <w:sz w:val="28"/>
          <w:szCs w:val="28"/>
        </w:rPr>
        <w:t>万元，较2023年度预算数</w:t>
      </w:r>
      <w:r>
        <w:rPr>
          <w:sz w:val="28"/>
          <w:u w:color="auto"/>
        </w:rPr>
        <w:t>13.00</w:t>
      </w:r>
      <w:r>
        <w:rPr>
          <w:rFonts w:hint="eastAsia"/>
          <w:b w:val="0"/>
          <w:bCs w:val="0"/>
          <w:sz w:val="28"/>
          <w:szCs w:val="28"/>
        </w:rPr>
        <w:t>万元，</w:t>
      </w:r>
      <w:r>
        <w:rPr>
          <w:sz w:val="28"/>
          <w:u w:color="auto"/>
        </w:rPr>
        <w:t>减少1.50</w:t>
      </w:r>
      <w:r>
        <w:rPr>
          <w:rFonts w:hint="eastAsia"/>
          <w:b w:val="0"/>
          <w:bCs w:val="0"/>
          <w:sz w:val="28"/>
          <w:szCs w:val="28"/>
        </w:rPr>
        <w:t>万元，</w:t>
      </w:r>
      <w:r>
        <w:rPr>
          <w:sz w:val="28"/>
          <w:u w:color="auto"/>
        </w:rPr>
        <w:t>减少11.54%</w:t>
      </w:r>
      <w:r>
        <w:rPr>
          <w:rFonts w:hint="eastAsia"/>
          <w:b w:val="0"/>
          <w:bCs w:val="0"/>
          <w:sz w:val="28"/>
          <w:szCs w:val="28"/>
        </w:rPr>
        <w:t>，主要原因是</w:t>
      </w:r>
      <w:r>
        <w:rPr>
          <w:rFonts w:hint="eastAsia"/>
          <w:highlight w:val="none"/>
          <w:lang w:val="en-US" w:eastAsia="zh-CN"/>
        </w:rPr>
        <w:t>严格贯彻落实厉行节约反对浪费精神，加强公务接待管理，严格控制相关费用</w:t>
      </w:r>
      <w:r>
        <w:rPr>
          <w:rFonts w:hint="eastAsia"/>
          <w:b w:val="0"/>
          <w:bCs w:val="0"/>
          <w:sz w:val="28"/>
          <w:szCs w:val="28"/>
        </w:rPr>
        <w:t>。</w:t>
      </w:r>
    </w:p>
    <w:p>
      <w:pPr>
        <w:pStyle w:val="9"/>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10.90</w:t>
      </w:r>
      <w:r>
        <w:rPr>
          <w:rFonts w:hint="eastAsia"/>
          <w:b w:val="0"/>
          <w:bCs w:val="0"/>
          <w:sz w:val="28"/>
          <w:szCs w:val="28"/>
        </w:rPr>
        <w:t>万元，较2023年度预算数</w:t>
      </w:r>
      <w:r>
        <w:rPr>
          <w:sz w:val="28"/>
          <w:u w:color="auto"/>
        </w:rPr>
        <w:t>11.20</w:t>
      </w:r>
      <w:r>
        <w:rPr>
          <w:rFonts w:hint="eastAsia"/>
          <w:b w:val="0"/>
          <w:bCs w:val="0"/>
          <w:sz w:val="28"/>
          <w:szCs w:val="28"/>
        </w:rPr>
        <w:t>万元，</w:t>
      </w:r>
      <w:r>
        <w:rPr>
          <w:sz w:val="28"/>
          <w:u w:color="auto"/>
        </w:rPr>
        <w:t>减少0.30</w:t>
      </w:r>
      <w:r>
        <w:rPr>
          <w:rFonts w:hint="eastAsia"/>
          <w:b w:val="0"/>
          <w:bCs w:val="0"/>
          <w:sz w:val="28"/>
          <w:szCs w:val="28"/>
        </w:rPr>
        <w:t>万元，</w:t>
      </w:r>
      <w:r>
        <w:rPr>
          <w:sz w:val="28"/>
          <w:u w:color="auto"/>
        </w:rPr>
        <w:t>减少2.68%</w:t>
      </w:r>
      <w:r>
        <w:rPr>
          <w:rFonts w:hint="eastAsia"/>
          <w:b w:val="0"/>
          <w:bCs w:val="0"/>
          <w:sz w:val="28"/>
          <w:szCs w:val="28"/>
        </w:rPr>
        <w:t>，其中：</w:t>
      </w:r>
    </w:p>
    <w:p>
      <w:pPr>
        <w:pStyle w:val="9"/>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2024年无公务用车购置安排</w:t>
      </w:r>
      <w:r>
        <w:rPr>
          <w:rFonts w:hint="eastAsia"/>
          <w:b w:val="0"/>
          <w:bCs w:val="0"/>
          <w:sz w:val="28"/>
          <w:szCs w:val="28"/>
        </w:rPr>
        <w:t>。</w:t>
      </w:r>
    </w:p>
    <w:p>
      <w:pPr>
        <w:pStyle w:val="9"/>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10.90</w:t>
      </w:r>
      <w:r>
        <w:rPr>
          <w:rFonts w:hint="eastAsia"/>
          <w:b w:val="0"/>
          <w:bCs w:val="0"/>
          <w:sz w:val="28"/>
          <w:szCs w:val="28"/>
        </w:rPr>
        <w:t>万元，较2023年度预算数</w:t>
      </w:r>
      <w:r>
        <w:rPr>
          <w:sz w:val="28"/>
          <w:u w:color="auto"/>
        </w:rPr>
        <w:t>11.20</w:t>
      </w:r>
      <w:r>
        <w:rPr>
          <w:rFonts w:hint="eastAsia"/>
          <w:b w:val="0"/>
          <w:bCs w:val="0"/>
          <w:sz w:val="28"/>
          <w:szCs w:val="28"/>
        </w:rPr>
        <w:t>万元，</w:t>
      </w:r>
      <w:r>
        <w:rPr>
          <w:sz w:val="28"/>
          <w:u w:color="auto"/>
        </w:rPr>
        <w:t>减少0.30</w:t>
      </w:r>
      <w:r>
        <w:rPr>
          <w:rFonts w:hint="eastAsia"/>
          <w:b w:val="0"/>
          <w:bCs w:val="0"/>
          <w:sz w:val="28"/>
          <w:szCs w:val="28"/>
        </w:rPr>
        <w:t>万元，</w:t>
      </w:r>
      <w:r>
        <w:rPr>
          <w:sz w:val="28"/>
          <w:u w:color="auto"/>
        </w:rPr>
        <w:t>减少2.68%</w:t>
      </w:r>
      <w:r>
        <w:rPr>
          <w:rFonts w:hint="eastAsia"/>
          <w:b w:val="0"/>
          <w:bCs w:val="0"/>
          <w:sz w:val="28"/>
          <w:szCs w:val="28"/>
        </w:rPr>
        <w:t>，主要原因是</w:t>
      </w:r>
      <w:r>
        <w:rPr>
          <w:rFonts w:hint="eastAsia"/>
          <w:highlight w:val="none"/>
          <w:lang w:val="en-US" w:eastAsia="zh-CN"/>
        </w:rPr>
        <w:t>严格贯彻落实厉行节约反对浪费精神，加强公车管理，严格控制相关费用</w:t>
      </w:r>
      <w:r>
        <w:rPr>
          <w:rFonts w:hint="eastAsia"/>
          <w:b w:val="0"/>
          <w:bCs w:val="0"/>
          <w:sz w:val="28"/>
          <w:szCs w:val="28"/>
        </w:rPr>
        <w:t>。</w:t>
      </w:r>
    </w:p>
    <w:p>
      <w:pPr>
        <w:pStyle w:val="9"/>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0"/>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14.63</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增加14.63</w:t>
      </w:r>
      <w:r>
        <w:rPr>
          <w:rFonts w:hint="eastAsia"/>
        </w:rPr>
        <w:t>万元，</w:t>
      </w:r>
      <w:r>
        <w:rPr>
          <w:rFonts w:hint="eastAsia"/>
          <w:b w:val="0"/>
          <w:bCs w:val="0"/>
          <w:sz w:val="28"/>
          <w:szCs w:val="28"/>
          <w:lang w:eastAsia="zh-CN"/>
        </w:rPr>
        <w:t>增长100%</w:t>
      </w:r>
      <w:r>
        <w:rPr>
          <w:rFonts w:hint="eastAsia"/>
        </w:rPr>
        <w:t>，主要原因是</w:t>
      </w:r>
      <w:r>
        <w:rPr>
          <w:rFonts w:hint="eastAsia"/>
          <w:highlight w:val="none"/>
          <w:lang w:val="en-US" w:eastAsia="zh-CN"/>
        </w:rPr>
        <w:t>上年度城市建设项目经费结转</w:t>
      </w:r>
      <w:r>
        <w:rPr>
          <w:rFonts w:hint="eastAsia"/>
        </w:rPr>
        <w:t>。</w:t>
      </w:r>
    </w:p>
    <w:p>
      <w:pPr>
        <w:pStyle w:val="9"/>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0"/>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我部门2024年部门预算无国有资本经营预算</w:t>
      </w:r>
      <w:r>
        <w:rPr>
          <w:rFonts w:hint="eastAsia"/>
        </w:rPr>
        <w:t>。</w:t>
      </w:r>
    </w:p>
    <w:p>
      <w:pPr>
        <w:pStyle w:val="9"/>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47.43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47.49</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减少0.06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下降0.13%</w:t>
      </w:r>
      <w:r>
        <w:rPr>
          <w:rFonts w:hint="eastAsia" w:ascii="宋体" w:hAnsi="宋体" w:eastAsia="宋体" w:cs="宋体"/>
          <w:sz w:val="28"/>
          <w:szCs w:val="28"/>
          <w:lang w:eastAsia="zh-CN"/>
        </w:rPr>
        <w:t>，主要原因是：</w:t>
      </w:r>
      <w:r>
        <w:rPr>
          <w:rFonts w:hint="eastAsia"/>
          <w:highlight w:val="none"/>
          <w:lang w:val="en-US" w:eastAsia="zh-CN"/>
        </w:rPr>
        <w:t>控制压减部门日常运行经费</w:t>
      </w:r>
      <w:r>
        <w:rPr>
          <w:rFonts w:hint="eastAsia" w:ascii="宋体" w:hAnsi="宋体" w:eastAsia="宋体" w:cs="宋体"/>
          <w:sz w:val="28"/>
          <w:szCs w:val="28"/>
          <w:lang w:eastAsia="zh-CN"/>
        </w:rPr>
        <w:t>。</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0"/>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34.85</w:t>
      </w:r>
      <w:r>
        <w:rPr>
          <w:rFonts w:hint="eastAsia" w:ascii="宋体" w:hAnsi="宋体" w:eastAsia="宋体" w:cs="宋体"/>
          <w:sz w:val="28"/>
          <w:szCs w:val="28"/>
          <w:lang w:eastAsia="zh-CN"/>
        </w:rPr>
        <w:t>万元。其中：货物类采购</w:t>
      </w:r>
      <w:r>
        <w:rPr>
          <w:rFonts w:hint="eastAsia"/>
          <w:highlight w:val="none"/>
          <w:lang w:val="en-US" w:eastAsia="zh-CN"/>
        </w:rPr>
        <w:t>34.85</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日常办公耗材支出，如复印纸、打印机、宣传印刷材料等</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5</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5</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32</w:t>
      </w:r>
      <w:r>
        <w:rPr>
          <w:rFonts w:hint="eastAsia" w:ascii="宋体" w:hAnsi="宋体" w:eastAsia="宋体" w:cs="宋体"/>
          <w:sz w:val="28"/>
          <w:szCs w:val="28"/>
          <w:lang w:eastAsia="zh-CN"/>
        </w:rPr>
        <w:t>个，预算资金</w:t>
      </w:r>
      <w:r>
        <w:rPr>
          <w:rFonts w:hint="eastAsia"/>
          <w:highlight w:val="none"/>
          <w:lang w:val="en-US" w:eastAsia="zh-CN"/>
        </w:rPr>
        <w:t>257.151464</w:t>
      </w:r>
      <w:r>
        <w:rPr>
          <w:rFonts w:hint="eastAsia" w:ascii="宋体" w:hAnsi="宋体" w:eastAsia="宋体" w:cs="宋体"/>
          <w:sz w:val="28"/>
          <w:szCs w:val="28"/>
          <w:lang w:eastAsia="zh-CN"/>
        </w:rPr>
        <w:t>万元。绩效目标情况详见报表（日常运转类项目、工资类人员经费项目和涉密项目等除外）。</w:t>
      </w:r>
    </w:p>
    <w:p>
      <w:pPr>
        <w:pStyle w:val="10"/>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0"/>
        <w:spacing w:line="624" w:lineRule="exact"/>
        <w:ind w:firstLine="600"/>
        <w:jc w:val="left"/>
        <w:rPr>
          <w:rFonts w:hint="eastAsia"/>
          <w:highlight w:val="none"/>
          <w:lang w:val="en-US" w:eastAsia="zh-CN"/>
        </w:rPr>
      </w:pPr>
      <w:r>
        <w:rPr>
          <w:rFonts w:hint="eastAsia"/>
          <w:highlight w:val="none"/>
          <w:lang w:val="en-US" w:eastAsia="zh-CN"/>
        </w:rPr>
        <w:t>重点项目一：项目名称：农村乡村道路“三项工程”资金，预算资金91万元，2024年度绩效目标为完成已硬化路面严重破损或路面宽度过窄的通自然村（屯）道路改造，要基本完成乡村道路安全隐患治理，将达到等级公路标准的自然村（屯）道路全部纳入村道进行管养。长美乡本次申报2条，涉及里程3.035公里。设1条数量指标：建设项目数量2条。设1条质量指标：喜爱那个木完工验收合格率=100%。设1条时效指标：资金拨付时效为年内按工程进度完成资金拨付。设1条成本指标；该项目资金总成本为小于或等于91万元。设1条社会效益指标：通过道路治理，为群众交通出行提供便利，巩固乡村振兴工作成果。设1条可持续影响指标：持续促进乡村振兴和农村农业发展。设1条满意度指标：满足群众出行和发展需要，提高群众满意度达95%以上。</w:t>
      </w:r>
    </w:p>
    <w:p>
      <w:pPr>
        <w:pStyle w:val="10"/>
        <w:spacing w:line="624" w:lineRule="exact"/>
        <w:ind w:firstLine="600"/>
        <w:jc w:val="left"/>
        <w:rPr>
          <w:rFonts w:hint="eastAsia"/>
          <w:highlight w:val="none"/>
          <w:lang w:val="en-US" w:eastAsia="zh-CN"/>
        </w:rPr>
      </w:pPr>
      <w:r>
        <w:rPr>
          <w:rFonts w:hint="eastAsia"/>
          <w:highlight w:val="none"/>
          <w:lang w:val="en-US" w:eastAsia="zh-CN"/>
        </w:rPr>
        <w:t>重点项目二：项目名称：2024年安全生产及森林防火工作经费。预算资金2.5万。设1条数量指标：年内开展安全生产及防火宣传大于2次。设1条质量指标：提高群众安全生产意识和森林防火意识。设1条时效指标：资金拨付时间为2024年内完成。设1条成本指标；项目总经费为2.5万元。设1条社会效益指标：提高群众安全和防灭火防范意识，促进社会和谐发展。设1条可持续影响指标：推进我乡安全生产环境和森林生态良性循环发展。设1条满意度指标：参与人员与群众对安全生产及森林防火工作的满意度达95％以上。</w:t>
      </w:r>
    </w:p>
    <w:p>
      <w:pPr>
        <w:pStyle w:val="10"/>
        <w:spacing w:line="624" w:lineRule="exact"/>
        <w:ind w:firstLine="600"/>
        <w:jc w:val="left"/>
        <w:rPr>
          <w:rFonts w:hint="eastAsia"/>
          <w:highlight w:val="none"/>
          <w:lang w:val="en-US" w:eastAsia="zh-CN"/>
        </w:rPr>
      </w:pPr>
    </w:p>
    <w:p>
      <w:pPr>
        <w:pStyle w:val="10"/>
        <w:spacing w:line="624" w:lineRule="exact"/>
        <w:ind w:firstLine="600"/>
        <w:jc w:val="left"/>
        <w:rPr>
          <w:rFonts w:hint="default"/>
          <w:highlight w:val="none"/>
          <w:lang w:val="en-US" w:eastAsia="zh-CN"/>
        </w:rPr>
        <w:sectPr>
          <w:headerReference r:id="rId6" w:type="default"/>
          <w:footerReference r:id="rId7" w:type="default"/>
          <w:pgSz w:w="11900" w:h="16840"/>
          <w:pgMar w:top="1440" w:right="1587" w:bottom="1440" w:left="1587"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8"/>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环江毛南族自治县长美乡人民政府</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2"/>
        <w:keepNext/>
        <w:keepLines/>
        <w:spacing w:after="240"/>
        <w:jc w:val="center"/>
        <w:rPr>
          <w:b/>
          <w:bCs/>
        </w:rPr>
      </w:pPr>
      <w:bookmarkStart w:id="16" w:name="bookmark29"/>
      <w:bookmarkStart w:id="17" w:name="bookmark30"/>
      <w:bookmarkStart w:id="18" w:name="bookmark31"/>
      <w:r>
        <w:rPr>
          <w:b/>
          <w:bCs/>
        </w:rP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3"/>
              <w:spacing w:line="240" w:lineRule="auto"/>
              <w:ind w:firstLine="0"/>
              <w:jc w:val="left"/>
              <w:rPr>
                <w:sz w:val="17"/>
                <w:szCs w:val="17"/>
              </w:rPr>
            </w:pPr>
            <w:r>
              <w:rPr>
                <w:sz w:val="17"/>
                <w:szCs w:val="17"/>
              </w:rPr>
              <w:t>单位名称：</w:t>
            </w:r>
            <w:r>
              <w:rPr>
                <w:rFonts w:hint="eastAsia"/>
                <w:sz w:val="17"/>
                <w:szCs w:val="17"/>
                <w:lang w:eastAsia="zh-CN"/>
              </w:rPr>
              <w:t>环江毛南族自治县长美乡人民政府</w:t>
            </w:r>
          </w:p>
        </w:tc>
        <w:tc>
          <w:tcPr>
            <w:tcW w:w="3571" w:type="dxa"/>
            <w:tcBorders>
              <w:bottom w:val="single" w:color="auto" w:sz="4" w:space="0"/>
            </w:tcBorders>
            <w:shd w:val="clear" w:color="auto" w:fill="FFFFFF"/>
          </w:tcPr>
          <w:p>
            <w:pPr>
              <w:pStyle w:val="13"/>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611.99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534.10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611.99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46.74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47.84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14.63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16.52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92.71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36.59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611.99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789.14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177.15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789.14</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jc w:val="left"/>
              <w:rPr>
                <w:rFonts w:hint="default" w:eastAsia="宋体"/>
                <w:sz w:val="17"/>
                <w:szCs w:val="17"/>
                <w:lang w:val="en-US" w:eastAsia="zh-CN"/>
              </w:rPr>
            </w:pPr>
            <w:r>
              <w:rPr>
                <w:rFonts w:hint="eastAsia"/>
                <w:sz w:val="17"/>
                <w:szCs w:val="17"/>
                <w:lang w:val="en-US" w:eastAsia="zh-CN"/>
              </w:rPr>
              <w:t>789.14</w:t>
            </w:r>
          </w:p>
        </w:tc>
      </w:tr>
    </w:tbl>
    <w:p>
      <w:pPr>
        <w:pStyle w:val="14"/>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8" w:type="default"/>
          <w:footerReference r:id="rId9"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b/>
          <w:bCs/>
          <w:lang w:val="en-US" w:eastAsia="zh-CN"/>
        </w:rPr>
      </w:pPr>
      <w:r>
        <w:rPr>
          <w:rFonts w:hint="eastAsia" w:eastAsia="宋体"/>
          <w:b/>
          <w:bCs/>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4"/>
              <w:jc w:val="both"/>
              <w:rPr>
                <w:rFonts w:hint="eastAsia"/>
                <w:lang w:val="en-US" w:eastAsia="zh-CN"/>
              </w:rPr>
            </w:pPr>
            <w:r>
              <w:rPr>
                <w:sz w:val="17"/>
                <w:szCs w:val="17"/>
              </w:rPr>
              <w:t>单位名称：</w:t>
            </w:r>
            <w:r>
              <w:rPr>
                <w:rFonts w:hint="eastAsia"/>
                <w:sz w:val="17"/>
                <w:szCs w:val="17"/>
                <w:lang w:eastAsia="zh-CN"/>
              </w:rPr>
              <w:t>环江毛南族自治县长美乡人民政府</w:t>
            </w:r>
            <w:r>
              <w:rPr>
                <w:rFonts w:hint="eastAsia"/>
                <w:lang w:val="en-US" w:eastAsia="zh-CN"/>
              </w:rPr>
              <w:t xml:space="preserve">                                                                                  </w:t>
            </w:r>
          </w:p>
        </w:tc>
        <w:tc>
          <w:tcPr>
            <w:tcW w:w="2076" w:type="dxa"/>
            <w:gridSpan w:val="3"/>
            <w:tcBorders>
              <w:top w:val="nil"/>
              <w:left w:val="nil"/>
              <w:right w:val="nil"/>
            </w:tcBorders>
          </w:tcPr>
          <w:p>
            <w:pPr>
              <w:pStyle w:val="14"/>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3"/>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3"/>
              <w:spacing w:line="240" w:lineRule="auto"/>
              <w:ind w:firstLine="300" w:firstLineChars="0"/>
              <w:jc w:val="left"/>
              <w:rPr>
                <w:rFonts w:hint="eastAsia" w:eastAsia="宋体"/>
                <w:vertAlign w:val="baseline"/>
                <w:lang w:val="en-US" w:eastAsia="zh-CN"/>
              </w:rPr>
            </w:pPr>
          </w:p>
        </w:tc>
        <w:tc>
          <w:tcPr>
            <w:tcW w:w="926" w:type="dxa"/>
            <w:vAlign w:val="center"/>
          </w:tcPr>
          <w:p>
            <w:pPr>
              <w:pStyle w:val="13"/>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3"/>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3"/>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3"/>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3"/>
              <w:spacing w:line="312" w:lineRule="exact"/>
              <w:ind w:firstLine="0"/>
              <w:jc w:val="left"/>
              <w:rPr>
                <w:sz w:val="17"/>
                <w:szCs w:val="17"/>
              </w:rPr>
            </w:pPr>
            <w:r>
              <w:rPr>
                <w:sz w:val="17"/>
                <w:szCs w:val="17"/>
              </w:rPr>
              <w:t>财政专户管理资金</w:t>
            </w:r>
          </w:p>
          <w:p>
            <w:pPr>
              <w:pStyle w:val="13"/>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3"/>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3"/>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3"/>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3"/>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3"/>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3"/>
              <w:spacing w:line="312" w:lineRule="exact"/>
              <w:ind w:firstLine="0"/>
              <w:jc w:val="left"/>
              <w:rPr>
                <w:sz w:val="17"/>
                <w:szCs w:val="17"/>
              </w:rPr>
            </w:pPr>
            <w:r>
              <w:rPr>
                <w:sz w:val="17"/>
                <w:szCs w:val="17"/>
              </w:rPr>
              <w:t>财政专户管理资金</w:t>
            </w:r>
          </w:p>
          <w:p>
            <w:pPr>
              <w:pStyle w:val="13"/>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3"/>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3"/>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3"/>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3"/>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3"/>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3"/>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3"/>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3"/>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3"/>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3"/>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3"/>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3"/>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3"/>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789.14</w:t>
            </w:r>
          </w:p>
        </w:tc>
        <w:tc>
          <w:tcPr>
            <w:tcW w:w="926" w:type="dxa"/>
            <w:vAlign w:val="center"/>
          </w:tcPr>
          <w:p>
            <w:pPr>
              <w:pStyle w:val="13"/>
              <w:spacing w:line="240" w:lineRule="auto"/>
              <w:ind w:firstLine="300" w:firstLineChars="0"/>
              <w:jc w:val="left"/>
              <w:rPr>
                <w:rFonts w:hint="eastAsia" w:eastAsia="宋体"/>
                <w:vertAlign w:val="baseline"/>
                <w:lang w:val="en-US" w:eastAsia="zh-CN"/>
              </w:rPr>
            </w:pPr>
            <w:r>
              <w:rPr>
                <w:rFonts w:hint="eastAsia"/>
                <w:sz w:val="17"/>
                <w:szCs w:val="17"/>
                <w:lang w:val="en-US" w:eastAsia="zh-CN"/>
              </w:rPr>
              <w:t>789.14</w:t>
            </w:r>
          </w:p>
        </w:tc>
        <w:tc>
          <w:tcPr>
            <w:tcW w:w="909" w:type="dxa"/>
            <w:vAlign w:val="center"/>
          </w:tcPr>
          <w:p>
            <w:pPr>
              <w:pStyle w:val="13"/>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774.51</w:t>
            </w:r>
          </w:p>
        </w:tc>
        <w:tc>
          <w:tcPr>
            <w:tcW w:w="1161" w:type="dxa"/>
            <w:vAlign w:val="center"/>
          </w:tcPr>
          <w:p>
            <w:pPr>
              <w:pStyle w:val="13"/>
              <w:spacing w:line="240" w:lineRule="auto"/>
              <w:ind w:firstLine="520" w:firstLineChars="0"/>
              <w:jc w:val="left"/>
              <w:rPr>
                <w:rFonts w:hint="eastAsia" w:eastAsia="宋体"/>
                <w:vertAlign w:val="baseline"/>
                <w:lang w:val="en-US" w:eastAsia="zh-CN"/>
              </w:rPr>
            </w:pPr>
            <w:r>
              <w:rPr>
                <w:rFonts w:hint="eastAsia"/>
                <w:sz w:val="17"/>
                <w:szCs w:val="17"/>
                <w:lang w:val="en-US" w:eastAsia="zh-CN"/>
              </w:rPr>
              <w:t>14.63</w:t>
            </w:r>
          </w:p>
        </w:tc>
        <w:tc>
          <w:tcPr>
            <w:tcW w:w="1031" w:type="dxa"/>
            <w:vAlign w:val="center"/>
          </w:tcPr>
          <w:p>
            <w:pPr>
              <w:pStyle w:val="13"/>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3"/>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3"/>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3"/>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3"/>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708001</w:t>
            </w:r>
          </w:p>
        </w:tc>
        <w:tc>
          <w:tcPr>
            <w:tcW w:w="1279" w:type="dxa"/>
          </w:tcPr>
          <w:p>
            <w:pPr>
              <w:pStyle w:val="13"/>
              <w:spacing w:line="326" w:lineRule="exact"/>
              <w:ind w:firstLine="0" w:firstLineChars="0"/>
              <w:jc w:val="left"/>
              <w:rPr>
                <w:rFonts w:hint="eastAsia" w:eastAsia="宋体"/>
                <w:vertAlign w:val="baseline"/>
                <w:lang w:val="en-US" w:eastAsia="zh-CN"/>
              </w:rPr>
            </w:pPr>
          </w:p>
        </w:tc>
        <w:tc>
          <w:tcPr>
            <w:tcW w:w="990" w:type="dxa"/>
            <w:vAlign w:val="center"/>
          </w:tcPr>
          <w:p>
            <w:pPr>
              <w:pStyle w:val="13"/>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789.14</w:t>
            </w:r>
          </w:p>
        </w:tc>
        <w:tc>
          <w:tcPr>
            <w:tcW w:w="926" w:type="dxa"/>
            <w:vAlign w:val="center"/>
          </w:tcPr>
          <w:p>
            <w:pPr>
              <w:pStyle w:val="13"/>
              <w:spacing w:line="240" w:lineRule="auto"/>
              <w:ind w:firstLine="300" w:firstLineChars="0"/>
              <w:jc w:val="left"/>
              <w:rPr>
                <w:rFonts w:hint="eastAsia" w:eastAsia="宋体"/>
                <w:vertAlign w:val="baseline"/>
                <w:lang w:val="en-US" w:eastAsia="zh-CN"/>
              </w:rPr>
            </w:pPr>
            <w:r>
              <w:rPr>
                <w:rFonts w:hint="eastAsia"/>
                <w:sz w:val="17"/>
                <w:szCs w:val="17"/>
                <w:lang w:val="en-US" w:eastAsia="zh-CN"/>
              </w:rPr>
              <w:t>789.14</w:t>
            </w:r>
          </w:p>
        </w:tc>
        <w:tc>
          <w:tcPr>
            <w:tcW w:w="909" w:type="dxa"/>
            <w:vAlign w:val="center"/>
          </w:tcPr>
          <w:p>
            <w:pPr>
              <w:pStyle w:val="13"/>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774.51</w:t>
            </w:r>
          </w:p>
        </w:tc>
        <w:tc>
          <w:tcPr>
            <w:tcW w:w="1161" w:type="dxa"/>
            <w:vAlign w:val="center"/>
          </w:tcPr>
          <w:p>
            <w:pPr>
              <w:pStyle w:val="13"/>
              <w:spacing w:line="240" w:lineRule="auto"/>
              <w:ind w:firstLine="520" w:firstLineChars="0"/>
              <w:jc w:val="left"/>
              <w:rPr>
                <w:rFonts w:hint="eastAsia" w:eastAsia="宋体"/>
                <w:vertAlign w:val="baseline"/>
                <w:lang w:val="en-US" w:eastAsia="zh-CN"/>
              </w:rPr>
            </w:pPr>
            <w:r>
              <w:rPr>
                <w:rFonts w:hint="eastAsia"/>
                <w:sz w:val="17"/>
                <w:szCs w:val="17"/>
                <w:lang w:val="en-US" w:eastAsia="zh-CN"/>
              </w:rPr>
              <w:t>14.63</w:t>
            </w:r>
          </w:p>
        </w:tc>
        <w:tc>
          <w:tcPr>
            <w:tcW w:w="1031" w:type="dxa"/>
            <w:vAlign w:val="center"/>
          </w:tcPr>
          <w:p>
            <w:pPr>
              <w:pStyle w:val="13"/>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3"/>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3"/>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3"/>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3"/>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3"/>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3"/>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4"/>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10" w:type="default"/>
          <w:footerReference r:id="rId11"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after="240"/>
        <w:jc w:val="center"/>
        <w:rPr>
          <w:b/>
          <w:bCs/>
        </w:rPr>
      </w:pPr>
      <w:bookmarkStart w:id="19" w:name="bookmark42"/>
      <w:bookmarkStart w:id="20" w:name="bookmark41"/>
      <w:bookmarkStart w:id="21" w:name="bookmark43"/>
      <w:r>
        <w:rPr>
          <w:b/>
          <w:bCs/>
        </w:rP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3"/>
              <w:spacing w:line="240" w:lineRule="auto"/>
              <w:ind w:firstLine="0"/>
              <w:jc w:val="left"/>
              <w:rPr>
                <w:sz w:val="17"/>
                <w:szCs w:val="17"/>
              </w:rPr>
            </w:pPr>
            <w:r>
              <w:rPr>
                <w:sz w:val="17"/>
                <w:szCs w:val="17"/>
              </w:rPr>
              <w:t>单位名称：</w:t>
            </w:r>
            <w:r>
              <w:rPr>
                <w:rFonts w:hint="eastAsia"/>
                <w:sz w:val="17"/>
                <w:szCs w:val="17"/>
                <w:lang w:eastAsia="zh-CN"/>
              </w:rPr>
              <w:t>环江毛南族自治县长美乡人民政府</w:t>
            </w:r>
          </w:p>
        </w:tc>
        <w:tc>
          <w:tcPr>
            <w:tcW w:w="2371" w:type="dxa"/>
            <w:shd w:val="clear" w:color="auto" w:fill="FFFFFF"/>
          </w:tcPr>
          <w:p>
            <w:pPr>
              <w:pStyle w:val="13"/>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3"/>
              <w:spacing w:after="120" w:line="240" w:lineRule="auto"/>
              <w:ind w:firstLine="0"/>
              <w:jc w:val="left"/>
              <w:rPr>
                <w:sz w:val="17"/>
                <w:szCs w:val="17"/>
              </w:rPr>
            </w:pPr>
            <w:r>
              <w:rPr>
                <w:sz w:val="17"/>
                <w:szCs w:val="17"/>
              </w:rPr>
              <w:t>部门（单位）名称</w:t>
            </w:r>
          </w:p>
          <w:p>
            <w:pPr>
              <w:pStyle w:val="13"/>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789.14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531.99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257.15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708001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789.14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531.99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257.15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529.61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449.61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2013202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一般行政管理事务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0.87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0.87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2080199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其他人力资源和社会保障管理事务支出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42.16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42.16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2082001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临时救助支出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3.33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3.33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2110401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生态保护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47.84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47.84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2121903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城市建设支出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14.63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14.63</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2130205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森林资源培育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16.52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16.52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2140104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公路建设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91.00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91.00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2140106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公路养护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36.59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36.59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4"/>
        <w:ind w:left="672"/>
        <w:jc w:val="left"/>
      </w:pPr>
      <w:r>
        <w:t>注：本报表金额单位转换时可能存在四舍五入尾数误差。</w:t>
      </w:r>
      <w:r>
        <w:br w:type="page"/>
      </w:r>
    </w:p>
    <w:p>
      <w:pPr>
        <w:pStyle w:val="12"/>
        <w:keepNext/>
        <w:keepLines/>
        <w:spacing w:after="240"/>
        <w:jc w:val="center"/>
        <w:rPr>
          <w:b/>
          <w:bCs/>
        </w:rPr>
      </w:pPr>
      <w:bookmarkStart w:id="22" w:name="bookmark44"/>
      <w:bookmarkStart w:id="23" w:name="bookmark46"/>
      <w:bookmarkStart w:id="24" w:name="bookmark45"/>
      <w:r>
        <w:rPr>
          <w:b/>
          <w:bCs/>
        </w:rP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3"/>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环江毛南族自治县长美乡人民政府</w:t>
            </w:r>
            <w:r>
              <w:rPr>
                <w:rFonts w:hint="eastAsia"/>
                <w:sz w:val="17"/>
                <w:szCs w:val="17"/>
                <w:lang w:val="en-US" w:eastAsia="zh-CN"/>
              </w:rPr>
              <w:t xml:space="preserve">                         </w:t>
            </w:r>
          </w:p>
        </w:tc>
        <w:tc>
          <w:tcPr>
            <w:tcW w:w="3845" w:type="dxa"/>
            <w:shd w:val="clear" w:color="auto" w:fill="FFFFFF"/>
          </w:tcPr>
          <w:p>
            <w:pPr>
              <w:pStyle w:val="13"/>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3"/>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3"/>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3"/>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3"/>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3"/>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3"/>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611.99</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534.10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611.99</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46.74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47.84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14.63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16.52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92.71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36.59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611.99</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789.14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177.15</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789.14</w:t>
            </w:r>
          </w:p>
        </w:tc>
        <w:tc>
          <w:tcPr>
            <w:tcW w:w="3826"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200"/>
              <w:jc w:val="right"/>
              <w:rPr>
                <w:rFonts w:hint="default"/>
                <w:sz w:val="17"/>
                <w:szCs w:val="17"/>
                <w:lang w:val="en-US" w:eastAsia="zh-CN"/>
              </w:rPr>
            </w:pPr>
            <w:r>
              <w:rPr>
                <w:rFonts w:hint="eastAsia"/>
                <w:sz w:val="17"/>
                <w:szCs w:val="17"/>
                <w:lang w:val="en-US" w:eastAsia="zh-CN"/>
              </w:rPr>
              <w:t>789.14</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b/>
          <w:bCs/>
          <w:lang w:eastAsia="zh-CN"/>
        </w:rPr>
      </w:pPr>
      <w:r>
        <w:rPr>
          <w:rFonts w:hint="eastAsia"/>
          <w:b/>
          <w:bCs/>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8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环江毛南族自治县长美乡人民政府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3"/>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3"/>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3"/>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3"/>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3"/>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3"/>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3"/>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3"/>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3"/>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3"/>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p>
        </w:tc>
        <w:tc>
          <w:tcPr>
            <w:tcW w:w="1676"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708001</w:t>
            </w:r>
          </w:p>
        </w:tc>
        <w:tc>
          <w:tcPr>
            <w:tcW w:w="1662" w:type="dxa"/>
            <w:vAlign w:val="center"/>
          </w:tcPr>
          <w:p>
            <w:pPr>
              <w:pStyle w:val="13"/>
              <w:spacing w:line="240" w:lineRule="auto"/>
              <w:ind w:firstLine="0" w:firstLineChars="0"/>
              <w:jc w:val="center"/>
              <w:rPr>
                <w:rFonts w:hint="eastAsia"/>
                <w:vertAlign w:val="baseline"/>
                <w:lang w:eastAsia="zh-CN"/>
              </w:rPr>
            </w:pP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774.51</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531.99</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484.56</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47.43</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242.52</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2010301</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529.61</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449.61</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405.81</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43.80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80.00</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3.62</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3.62</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3.62</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2013202</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一般行政管理事务</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0.87</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0.87</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2080199</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其他人力资源和社会保障管理事务支出</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1.25</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1.25</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42.16</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42.16</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42.16</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2082001</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临时救助支出</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3.33</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3.33</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2110401</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生态保护</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47.84</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47.84</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2130205</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森林资源培育</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16.52</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16.52</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2140104</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公路建设</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91.00</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91.00</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2140106</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公路养护</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1.71</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1.71</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3"/>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3"/>
              <w:spacing w:line="240" w:lineRule="auto"/>
              <w:ind w:firstLine="0" w:firstLineChars="0"/>
              <w:jc w:val="center"/>
              <w:rPr>
                <w:rFonts w:hint="eastAsia"/>
                <w:vertAlign w:val="baseline"/>
                <w:lang w:eastAsia="zh-CN"/>
              </w:rPr>
            </w:pPr>
          </w:p>
        </w:tc>
        <w:tc>
          <w:tcPr>
            <w:tcW w:w="1662" w:type="dxa"/>
            <w:vAlign w:val="center"/>
          </w:tcPr>
          <w:p>
            <w:pPr>
              <w:pStyle w:val="13"/>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3"/>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36.59</w:t>
            </w:r>
          </w:p>
        </w:tc>
        <w:tc>
          <w:tcPr>
            <w:tcW w:w="1879" w:type="dxa"/>
            <w:vAlign w:val="center"/>
          </w:tcPr>
          <w:p>
            <w:pPr>
              <w:pStyle w:val="13"/>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36.59</w:t>
            </w:r>
          </w:p>
        </w:tc>
        <w:tc>
          <w:tcPr>
            <w:tcW w:w="1729" w:type="dxa"/>
            <w:vAlign w:val="center"/>
          </w:tcPr>
          <w:p>
            <w:pPr>
              <w:pStyle w:val="13"/>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36.59</w:t>
            </w:r>
          </w:p>
        </w:tc>
        <w:tc>
          <w:tcPr>
            <w:tcW w:w="1790" w:type="dxa"/>
            <w:gridSpan w:val="2"/>
            <w:vAlign w:val="center"/>
          </w:tcPr>
          <w:p>
            <w:pPr>
              <w:pStyle w:val="13"/>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3"/>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3"/>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2"/>
        <w:keepNext/>
        <w:keepLines/>
        <w:spacing w:after="240"/>
        <w:jc w:val="both"/>
      </w:pPr>
      <w:bookmarkStart w:id="25" w:name="bookmark56"/>
      <w:bookmarkStart w:id="26" w:name="bookmark58"/>
      <w:bookmarkStart w:id="27" w:name="bookmark57"/>
    </w:p>
    <w:p>
      <w:pPr>
        <w:pStyle w:val="12"/>
        <w:keepNext/>
        <w:keepLines/>
        <w:spacing w:after="240"/>
        <w:jc w:val="center"/>
        <w:rPr>
          <w:b/>
          <w:bCs/>
        </w:rPr>
      </w:pPr>
      <w:r>
        <w:rPr>
          <w:b/>
          <w:bCs/>
        </w:rP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环江毛南族自治县长美乡人民政府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3"/>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3"/>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3"/>
              <w:spacing w:line="240" w:lineRule="auto"/>
              <w:ind w:firstLine="0" w:firstLineChars="0"/>
              <w:jc w:val="center"/>
              <w:rPr>
                <w:vertAlign w:val="baseline"/>
                <w:lang w:eastAsia="zh-CN"/>
              </w:rPr>
            </w:pPr>
            <w:r>
              <w:rPr>
                <w:sz w:val="17"/>
                <w:szCs w:val="17"/>
              </w:rPr>
              <w:t>合计</w:t>
            </w:r>
          </w:p>
        </w:tc>
        <w:tc>
          <w:tcPr>
            <w:tcW w:w="3112" w:type="dxa"/>
            <w:vAlign w:val="center"/>
          </w:tcPr>
          <w:p>
            <w:pPr>
              <w:pStyle w:val="13"/>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3"/>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531.99</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484.56</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468.06</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468.06</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108.56</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108.56</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78.22</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78.22</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93.54</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93.54</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47.37</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47.37</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19.25</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19.25</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0.49</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0.49</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39.68</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39.68</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80.96</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80.96</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47.43</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3.67</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30209</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物业管理费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0.29</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3.62</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23.64</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16.50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16.50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13.27</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13.27</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3.22</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3.22</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30306</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救济费</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30310</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个人农业生产补贴</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31099</w:t>
            </w:r>
          </w:p>
        </w:tc>
        <w:tc>
          <w:tcPr>
            <w:tcW w:w="3111" w:type="dxa"/>
            <w:vAlign w:val="center"/>
          </w:tcPr>
          <w:p>
            <w:pPr>
              <w:pStyle w:val="13"/>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其他资本性支出</w:t>
            </w:r>
          </w:p>
        </w:tc>
        <w:tc>
          <w:tcPr>
            <w:tcW w:w="3111"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3"/>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2"/>
        <w:keepNext/>
        <w:keepLines/>
        <w:spacing w:after="240"/>
        <w:jc w:val="center"/>
        <w:rPr>
          <w:rFonts w:hint="default"/>
          <w:b/>
          <w:bCs/>
          <w:sz w:val="28"/>
          <w:szCs w:val="28"/>
          <w:lang w:val="en-US" w:eastAsia="zh-CN"/>
        </w:rPr>
      </w:pPr>
      <w:bookmarkStart w:id="28" w:name="bookmark67"/>
      <w:bookmarkStart w:id="29" w:name="bookmark66"/>
      <w:bookmarkStart w:id="30" w:name="bookmark65"/>
      <w:r>
        <w:rPr>
          <w:rFonts w:hint="default"/>
          <w:b/>
          <w:bCs/>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4"/>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环江毛南族自治县长美乡人民政府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4"/>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4"/>
              <w:bidi w:val="0"/>
              <w:jc w:val="center"/>
              <w:rPr>
                <w:rFonts w:hint="eastAsia"/>
                <w:vertAlign w:val="baseline"/>
                <w:lang w:val="en-US" w:eastAsia="zh-CN"/>
              </w:rPr>
            </w:pPr>
            <w:r>
              <w:rPr>
                <w:sz w:val="17"/>
                <w:szCs w:val="17"/>
              </w:rPr>
              <w:t>门（单位）代码</w:t>
            </w:r>
          </w:p>
        </w:tc>
        <w:tc>
          <w:tcPr>
            <w:tcW w:w="1918" w:type="dxa"/>
            <w:vMerge w:val="restart"/>
          </w:tcPr>
          <w:p>
            <w:pPr>
              <w:pStyle w:val="14"/>
              <w:bidi w:val="0"/>
              <w:jc w:val="center"/>
              <w:rPr>
                <w:rFonts w:hint="eastAsia"/>
                <w:vertAlign w:val="baseline"/>
                <w:lang w:val="en-US" w:eastAsia="zh-CN"/>
              </w:rPr>
            </w:pPr>
            <w:r>
              <w:rPr>
                <w:sz w:val="17"/>
                <w:szCs w:val="17"/>
              </w:rPr>
              <w:t>部门（单位）名称</w:t>
            </w:r>
          </w:p>
        </w:tc>
        <w:tc>
          <w:tcPr>
            <w:tcW w:w="11343" w:type="dxa"/>
            <w:gridSpan w:val="7"/>
          </w:tcPr>
          <w:p>
            <w:pPr>
              <w:pStyle w:val="14"/>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4"/>
              <w:bidi w:val="0"/>
              <w:jc w:val="center"/>
              <w:rPr>
                <w:rFonts w:hint="eastAsia"/>
                <w:vertAlign w:val="baseline"/>
                <w:lang w:val="en-US" w:eastAsia="zh-CN"/>
              </w:rPr>
            </w:pPr>
          </w:p>
        </w:tc>
        <w:tc>
          <w:tcPr>
            <w:tcW w:w="1918" w:type="dxa"/>
            <w:vMerge w:val="continue"/>
          </w:tcPr>
          <w:p>
            <w:pPr>
              <w:pStyle w:val="14"/>
              <w:bidi w:val="0"/>
              <w:jc w:val="center"/>
              <w:rPr>
                <w:rFonts w:hint="eastAsia"/>
                <w:vertAlign w:val="baseline"/>
                <w:lang w:val="en-US" w:eastAsia="zh-CN"/>
              </w:rPr>
            </w:pPr>
          </w:p>
        </w:tc>
        <w:tc>
          <w:tcPr>
            <w:tcW w:w="1884" w:type="dxa"/>
            <w:vMerge w:val="restart"/>
          </w:tcPr>
          <w:p>
            <w:pPr>
              <w:pStyle w:val="14"/>
              <w:bidi w:val="0"/>
              <w:jc w:val="center"/>
              <w:rPr>
                <w:rFonts w:hint="eastAsia"/>
                <w:vertAlign w:val="baseline"/>
                <w:lang w:val="en-US" w:eastAsia="zh-CN"/>
              </w:rPr>
            </w:pPr>
            <w:r>
              <w:rPr>
                <w:sz w:val="17"/>
                <w:szCs w:val="17"/>
              </w:rPr>
              <w:t>合计</w:t>
            </w:r>
          </w:p>
        </w:tc>
        <w:tc>
          <w:tcPr>
            <w:tcW w:w="1895" w:type="dxa"/>
            <w:vMerge w:val="restart"/>
          </w:tcPr>
          <w:p>
            <w:pPr>
              <w:pStyle w:val="14"/>
              <w:bidi w:val="0"/>
              <w:jc w:val="center"/>
              <w:rPr>
                <w:rFonts w:hint="eastAsia"/>
                <w:vertAlign w:val="baseline"/>
                <w:lang w:val="en-US" w:eastAsia="zh-CN"/>
              </w:rPr>
            </w:pPr>
            <w:r>
              <w:rPr>
                <w:sz w:val="17"/>
                <w:szCs w:val="17"/>
              </w:rPr>
              <w:t>因公出国（境）费</w:t>
            </w:r>
          </w:p>
        </w:tc>
        <w:tc>
          <w:tcPr>
            <w:tcW w:w="5675" w:type="dxa"/>
            <w:gridSpan w:val="4"/>
          </w:tcPr>
          <w:p>
            <w:pPr>
              <w:pStyle w:val="14"/>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4"/>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4"/>
              <w:bidi w:val="0"/>
              <w:jc w:val="center"/>
              <w:rPr>
                <w:rFonts w:hint="eastAsia"/>
                <w:vertAlign w:val="baseline"/>
                <w:lang w:val="en-US" w:eastAsia="zh-CN"/>
              </w:rPr>
            </w:pPr>
          </w:p>
        </w:tc>
        <w:tc>
          <w:tcPr>
            <w:tcW w:w="1918" w:type="dxa"/>
            <w:vMerge w:val="continue"/>
          </w:tcPr>
          <w:p>
            <w:pPr>
              <w:pStyle w:val="14"/>
              <w:bidi w:val="0"/>
              <w:jc w:val="center"/>
              <w:rPr>
                <w:rFonts w:hint="eastAsia"/>
                <w:vertAlign w:val="baseline"/>
                <w:lang w:val="en-US" w:eastAsia="zh-CN"/>
              </w:rPr>
            </w:pPr>
          </w:p>
        </w:tc>
        <w:tc>
          <w:tcPr>
            <w:tcW w:w="1884" w:type="dxa"/>
            <w:vMerge w:val="continue"/>
          </w:tcPr>
          <w:p>
            <w:pPr>
              <w:pStyle w:val="14"/>
              <w:bidi w:val="0"/>
              <w:jc w:val="center"/>
              <w:rPr>
                <w:rFonts w:hint="eastAsia"/>
                <w:vertAlign w:val="baseline"/>
                <w:lang w:val="en-US" w:eastAsia="zh-CN"/>
              </w:rPr>
            </w:pPr>
          </w:p>
        </w:tc>
        <w:tc>
          <w:tcPr>
            <w:tcW w:w="1895" w:type="dxa"/>
            <w:vMerge w:val="continue"/>
          </w:tcPr>
          <w:p>
            <w:pPr>
              <w:pStyle w:val="14"/>
              <w:bidi w:val="0"/>
              <w:jc w:val="center"/>
              <w:rPr>
                <w:rFonts w:hint="eastAsia"/>
                <w:vertAlign w:val="baseline"/>
                <w:lang w:val="en-US" w:eastAsia="zh-CN"/>
              </w:rPr>
            </w:pPr>
          </w:p>
        </w:tc>
        <w:tc>
          <w:tcPr>
            <w:tcW w:w="1888" w:type="dxa"/>
            <w:vAlign w:val="center"/>
          </w:tcPr>
          <w:p>
            <w:pPr>
              <w:pStyle w:val="13"/>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3"/>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3"/>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4"/>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3"/>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3"/>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708001</w:t>
            </w:r>
          </w:p>
        </w:tc>
        <w:tc>
          <w:tcPr>
            <w:tcW w:w="1918" w:type="dxa"/>
            <w:vAlign w:val="center"/>
          </w:tcPr>
          <w:p>
            <w:pPr>
              <w:pStyle w:val="13"/>
              <w:spacing w:line="240" w:lineRule="auto"/>
              <w:ind w:firstLine="0" w:firstLineChars="0"/>
              <w:jc w:val="left"/>
              <w:rPr>
                <w:rFonts w:hint="eastAsia"/>
                <w:vertAlign w:val="baseline"/>
                <w:lang w:val="en-US" w:eastAsia="zh-CN"/>
              </w:rPr>
            </w:pPr>
          </w:p>
        </w:tc>
        <w:tc>
          <w:tcPr>
            <w:tcW w:w="1884" w:type="dxa"/>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22.40</w:t>
            </w:r>
          </w:p>
        </w:tc>
        <w:tc>
          <w:tcPr>
            <w:tcW w:w="1895" w:type="dxa"/>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10.90</w:t>
            </w:r>
          </w:p>
        </w:tc>
        <w:tc>
          <w:tcPr>
            <w:tcW w:w="1890" w:type="dxa"/>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10.90</w:t>
            </w:r>
          </w:p>
        </w:tc>
        <w:tc>
          <w:tcPr>
            <w:tcW w:w="1897" w:type="dxa"/>
            <w:gridSpan w:val="2"/>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3"/>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4"/>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4"/>
        <w:bidi w:val="0"/>
        <w:rPr>
          <w:rFonts w:hint="eastAsia"/>
          <w:lang w:val="en-US" w:eastAsia="zh-CN"/>
        </w:rPr>
      </w:pPr>
    </w:p>
    <w:p>
      <w:pPr>
        <w:pStyle w:val="12"/>
        <w:keepNext/>
        <w:keepLines/>
        <w:spacing w:after="240"/>
        <w:jc w:val="center"/>
      </w:pPr>
    </w:p>
    <w:p>
      <w:pPr>
        <w:pStyle w:val="12"/>
        <w:keepNext/>
        <w:keepLines/>
        <w:spacing w:after="240"/>
        <w:jc w:val="center"/>
      </w:pPr>
    </w:p>
    <w:p>
      <w:pPr>
        <w:pStyle w:val="12"/>
        <w:keepNext/>
        <w:keepLines/>
        <w:spacing w:after="240"/>
        <w:jc w:val="both"/>
      </w:pPr>
    </w:p>
    <w:p>
      <w:pPr>
        <w:pStyle w:val="14"/>
        <w:bidi w:val="0"/>
      </w:pPr>
    </w:p>
    <w:p>
      <w:pPr>
        <w:pStyle w:val="14"/>
        <w:bidi w:val="0"/>
      </w:pPr>
    </w:p>
    <w:p>
      <w:pPr>
        <w:pStyle w:val="14"/>
        <w:bidi w:val="0"/>
      </w:pPr>
    </w:p>
    <w:p>
      <w:pPr>
        <w:pStyle w:val="12"/>
        <w:keepNext/>
        <w:keepLines/>
        <w:spacing w:after="240"/>
        <w:jc w:val="center"/>
        <w:rPr>
          <w:b/>
          <w:bCs/>
        </w:rPr>
      </w:pPr>
      <w:r>
        <w:rPr>
          <w:b/>
          <w:bCs/>
        </w:rP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4"/>
              <w:tabs>
                <w:tab w:val="left" w:pos="14213"/>
              </w:tabs>
              <w:ind w:left="101"/>
              <w:jc w:val="left"/>
            </w:pPr>
            <w:r>
              <w:t>单位名称：</w:t>
            </w:r>
            <w:r>
              <w:rPr>
                <w:rFonts w:hint="eastAsia"/>
                <w:lang w:eastAsia="zh-CN"/>
              </w:rPr>
              <w:t>环江毛南族自治县长美乡人民政府</w:t>
            </w:r>
            <w:r>
              <w:tab/>
            </w:r>
            <w:r>
              <w:t>单位：万元</w:t>
            </w:r>
          </w:p>
        </w:tc>
        <w:tc>
          <w:tcPr>
            <w:tcW w:w="2163" w:type="dxa"/>
            <w:tcBorders>
              <w:top w:val="nil"/>
              <w:left w:val="nil"/>
              <w:right w:val="nil"/>
            </w:tcBorders>
          </w:tcPr>
          <w:p>
            <w:pPr>
              <w:pStyle w:val="14"/>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4"/>
              <w:bidi w:val="0"/>
              <w:jc w:val="center"/>
              <w:rPr>
                <w:vertAlign w:val="baseline"/>
              </w:rPr>
            </w:pPr>
            <w:r>
              <w:rPr>
                <w:sz w:val="17"/>
                <w:szCs w:val="17"/>
              </w:rPr>
              <w:t>科目编码</w:t>
            </w:r>
          </w:p>
        </w:tc>
        <w:tc>
          <w:tcPr>
            <w:tcW w:w="2161" w:type="dxa"/>
          </w:tcPr>
          <w:p>
            <w:pPr>
              <w:pStyle w:val="14"/>
              <w:bidi w:val="0"/>
              <w:jc w:val="center"/>
              <w:rPr>
                <w:vertAlign w:val="baseline"/>
              </w:rPr>
            </w:pPr>
            <w:r>
              <w:rPr>
                <w:sz w:val="17"/>
                <w:szCs w:val="17"/>
              </w:rPr>
              <w:t>部门（单位）代码</w:t>
            </w:r>
          </w:p>
        </w:tc>
        <w:tc>
          <w:tcPr>
            <w:tcW w:w="2162" w:type="dxa"/>
          </w:tcPr>
          <w:p>
            <w:pPr>
              <w:pStyle w:val="14"/>
              <w:bidi w:val="0"/>
              <w:jc w:val="center"/>
              <w:rPr>
                <w:vertAlign w:val="baseline"/>
              </w:rPr>
            </w:pPr>
            <w:r>
              <w:rPr>
                <w:sz w:val="17"/>
                <w:szCs w:val="17"/>
              </w:rPr>
              <w:t>部门（单位）名称（功能分类科目名称）</w:t>
            </w:r>
          </w:p>
        </w:tc>
        <w:tc>
          <w:tcPr>
            <w:tcW w:w="2222" w:type="dxa"/>
            <w:vAlign w:val="center"/>
          </w:tcPr>
          <w:p>
            <w:pPr>
              <w:pStyle w:val="13"/>
              <w:spacing w:line="240" w:lineRule="auto"/>
              <w:ind w:firstLine="0" w:firstLineChars="0"/>
              <w:jc w:val="center"/>
              <w:rPr>
                <w:vertAlign w:val="baseline"/>
              </w:rPr>
            </w:pPr>
            <w:r>
              <w:rPr>
                <w:sz w:val="17"/>
                <w:szCs w:val="17"/>
              </w:rPr>
              <w:t>合计</w:t>
            </w:r>
          </w:p>
        </w:tc>
        <w:tc>
          <w:tcPr>
            <w:tcW w:w="2161" w:type="dxa"/>
            <w:vAlign w:val="center"/>
          </w:tcPr>
          <w:p>
            <w:pPr>
              <w:pStyle w:val="13"/>
              <w:spacing w:line="240" w:lineRule="auto"/>
              <w:ind w:firstLine="0" w:firstLineChars="0"/>
              <w:jc w:val="center"/>
              <w:rPr>
                <w:vertAlign w:val="baseline"/>
              </w:rPr>
            </w:pPr>
            <w:r>
              <w:rPr>
                <w:sz w:val="17"/>
                <w:szCs w:val="17"/>
              </w:rPr>
              <w:t>基本支出</w:t>
            </w:r>
          </w:p>
        </w:tc>
        <w:tc>
          <w:tcPr>
            <w:tcW w:w="2161" w:type="dxa"/>
            <w:vAlign w:val="center"/>
          </w:tcPr>
          <w:p>
            <w:pPr>
              <w:pStyle w:val="13"/>
              <w:spacing w:line="240" w:lineRule="auto"/>
              <w:ind w:firstLine="0" w:firstLineChars="0"/>
              <w:jc w:val="center"/>
              <w:rPr>
                <w:vertAlign w:val="baseline"/>
              </w:rPr>
            </w:pPr>
            <w:r>
              <w:rPr>
                <w:sz w:val="17"/>
                <w:szCs w:val="17"/>
              </w:rPr>
              <w:t>项目支出</w:t>
            </w:r>
          </w:p>
        </w:tc>
        <w:tc>
          <w:tcPr>
            <w:tcW w:w="2163" w:type="dxa"/>
            <w:vAlign w:val="center"/>
          </w:tcPr>
          <w:p>
            <w:pPr>
              <w:pStyle w:val="13"/>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p>
        </w:tc>
        <w:tc>
          <w:tcPr>
            <w:tcW w:w="2161"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708001</w:t>
            </w:r>
          </w:p>
        </w:tc>
        <w:tc>
          <w:tcPr>
            <w:tcW w:w="2162" w:type="dxa"/>
            <w:vAlign w:val="center"/>
          </w:tcPr>
          <w:p>
            <w:pPr>
              <w:pStyle w:val="13"/>
              <w:spacing w:line="240" w:lineRule="auto"/>
              <w:ind w:firstLine="0" w:firstLineChars="0"/>
              <w:jc w:val="left"/>
              <w:rPr>
                <w:b w:val="0"/>
                <w:bCs w:val="0"/>
                <w:vertAlign w:val="baseline"/>
              </w:rPr>
            </w:pP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14.63</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14.63</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2010301</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2013202</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一般行政管理事务</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2080199</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其他人力资源和社会保障管理事务支出</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2082001</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临时救助支出</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2110401</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生态保护</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2121903</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城市建设支出</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14.63</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14.63</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2130205</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森林资源培育</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2140104</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公路建设</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2140106</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公路养护</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3"/>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13"/>
              <w:spacing w:line="240" w:lineRule="auto"/>
              <w:ind w:firstLine="0" w:firstLineChars="0"/>
              <w:jc w:val="left"/>
              <w:rPr>
                <w:b w:val="0"/>
                <w:bCs w:val="0"/>
                <w:vertAlign w:val="baseline"/>
              </w:rPr>
            </w:pPr>
          </w:p>
        </w:tc>
        <w:tc>
          <w:tcPr>
            <w:tcW w:w="2162" w:type="dxa"/>
            <w:vAlign w:val="center"/>
          </w:tcPr>
          <w:p>
            <w:pPr>
              <w:pStyle w:val="13"/>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13"/>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3"/>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3"/>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4"/>
              <w:bidi w:val="0"/>
              <w:jc w:val="both"/>
              <w:rPr>
                <w:vertAlign w:val="baseline"/>
              </w:rPr>
            </w:pPr>
            <w:r>
              <w:t>注：本报表金额单位转换时可能存在四舍五入尾数误差</w:t>
            </w:r>
          </w:p>
        </w:tc>
      </w:tr>
    </w:tbl>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sz w:val="28"/>
          <w:szCs w:val="28"/>
        </w:rPr>
      </w:pPr>
    </w:p>
    <w:p>
      <w:pPr>
        <w:pStyle w:val="14"/>
        <w:bidi w:val="0"/>
        <w:jc w:val="center"/>
        <w:rPr>
          <w:b/>
          <w:bCs/>
          <w:sz w:val="28"/>
          <w:szCs w:val="28"/>
        </w:rPr>
      </w:pPr>
      <w:r>
        <w:rPr>
          <w:b/>
          <w:bCs/>
          <w:sz w:val="28"/>
          <w:szCs w:val="28"/>
        </w:rPr>
        <w:t>国有资本经营预算支出情况表</w:t>
      </w:r>
    </w:p>
    <w:p>
      <w:pPr>
        <w:pStyle w:val="14"/>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4"/>
              <w:tabs>
                <w:tab w:val="left" w:pos="14213"/>
              </w:tabs>
              <w:ind w:left="101"/>
              <w:jc w:val="left"/>
            </w:pPr>
            <w:r>
              <w:t>单位名称：</w:t>
            </w:r>
            <w:r>
              <w:rPr>
                <w:rFonts w:hint="eastAsia"/>
                <w:lang w:eastAsia="zh-CN"/>
              </w:rPr>
              <w:t>环江毛南族自治县长美乡人民政府</w:t>
            </w:r>
            <w:r>
              <w:tab/>
            </w:r>
            <w:r>
              <w:t>单位：万元</w:t>
            </w:r>
          </w:p>
        </w:tc>
        <w:tc>
          <w:tcPr>
            <w:tcW w:w="2163" w:type="dxa"/>
            <w:tcBorders>
              <w:top w:val="nil"/>
              <w:left w:val="nil"/>
              <w:right w:val="nil"/>
            </w:tcBorders>
          </w:tcPr>
          <w:p>
            <w:pPr>
              <w:pStyle w:val="14"/>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4"/>
              <w:bidi w:val="0"/>
              <w:jc w:val="center"/>
              <w:rPr>
                <w:vertAlign w:val="baseline"/>
              </w:rPr>
            </w:pPr>
            <w:r>
              <w:rPr>
                <w:sz w:val="17"/>
                <w:szCs w:val="17"/>
              </w:rPr>
              <w:t>科目编码</w:t>
            </w:r>
          </w:p>
        </w:tc>
        <w:tc>
          <w:tcPr>
            <w:tcW w:w="2161" w:type="dxa"/>
            <w:vMerge w:val="restart"/>
          </w:tcPr>
          <w:p>
            <w:pPr>
              <w:pStyle w:val="14"/>
              <w:bidi w:val="0"/>
              <w:jc w:val="center"/>
              <w:rPr>
                <w:vertAlign w:val="baseline"/>
              </w:rPr>
            </w:pPr>
            <w:r>
              <w:rPr>
                <w:sz w:val="17"/>
                <w:szCs w:val="17"/>
              </w:rPr>
              <w:t>部门（单位）代码</w:t>
            </w:r>
          </w:p>
        </w:tc>
        <w:tc>
          <w:tcPr>
            <w:tcW w:w="2162" w:type="dxa"/>
            <w:vMerge w:val="restart"/>
          </w:tcPr>
          <w:p>
            <w:pPr>
              <w:pStyle w:val="14"/>
              <w:bidi w:val="0"/>
              <w:jc w:val="center"/>
              <w:rPr>
                <w:vertAlign w:val="baseline"/>
              </w:rPr>
            </w:pPr>
            <w:r>
              <w:rPr>
                <w:sz w:val="17"/>
                <w:szCs w:val="17"/>
              </w:rPr>
              <w:t>部门（单位）名称（功能分类科目名称）</w:t>
            </w:r>
          </w:p>
        </w:tc>
        <w:tc>
          <w:tcPr>
            <w:tcW w:w="2222" w:type="dxa"/>
            <w:vAlign w:val="center"/>
          </w:tcPr>
          <w:p>
            <w:pPr>
              <w:pStyle w:val="13"/>
              <w:spacing w:line="240" w:lineRule="auto"/>
              <w:ind w:firstLine="0" w:firstLineChars="0"/>
              <w:jc w:val="center"/>
              <w:rPr>
                <w:vertAlign w:val="baseline"/>
              </w:rPr>
            </w:pPr>
            <w:r>
              <w:rPr>
                <w:sz w:val="17"/>
                <w:szCs w:val="17"/>
              </w:rPr>
              <w:t>合计</w:t>
            </w:r>
          </w:p>
        </w:tc>
        <w:tc>
          <w:tcPr>
            <w:tcW w:w="2161" w:type="dxa"/>
            <w:vAlign w:val="center"/>
          </w:tcPr>
          <w:p>
            <w:pPr>
              <w:pStyle w:val="13"/>
              <w:spacing w:line="240" w:lineRule="auto"/>
              <w:ind w:firstLine="0" w:firstLineChars="0"/>
              <w:jc w:val="center"/>
              <w:rPr>
                <w:vertAlign w:val="baseline"/>
              </w:rPr>
            </w:pPr>
            <w:r>
              <w:rPr>
                <w:sz w:val="17"/>
                <w:szCs w:val="17"/>
              </w:rPr>
              <w:t>基本支出</w:t>
            </w:r>
          </w:p>
        </w:tc>
        <w:tc>
          <w:tcPr>
            <w:tcW w:w="2161" w:type="dxa"/>
            <w:vAlign w:val="center"/>
          </w:tcPr>
          <w:p>
            <w:pPr>
              <w:pStyle w:val="13"/>
              <w:spacing w:line="240" w:lineRule="auto"/>
              <w:ind w:firstLine="0" w:firstLineChars="0"/>
              <w:jc w:val="center"/>
              <w:rPr>
                <w:vertAlign w:val="baseline"/>
              </w:rPr>
            </w:pPr>
            <w:r>
              <w:rPr>
                <w:sz w:val="17"/>
                <w:szCs w:val="17"/>
              </w:rPr>
              <w:t>项目支出</w:t>
            </w:r>
          </w:p>
        </w:tc>
        <w:tc>
          <w:tcPr>
            <w:tcW w:w="2163" w:type="dxa"/>
            <w:vAlign w:val="center"/>
          </w:tcPr>
          <w:p>
            <w:pPr>
              <w:pStyle w:val="13"/>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4"/>
              <w:bidi w:val="0"/>
              <w:jc w:val="both"/>
              <w:rPr>
                <w:vertAlign w:val="baseline"/>
              </w:rPr>
            </w:pPr>
          </w:p>
        </w:tc>
        <w:tc>
          <w:tcPr>
            <w:tcW w:w="2161" w:type="dxa"/>
            <w:vMerge w:val="continue"/>
          </w:tcPr>
          <w:p>
            <w:pPr>
              <w:pStyle w:val="14"/>
              <w:bidi w:val="0"/>
              <w:jc w:val="both"/>
              <w:rPr>
                <w:vertAlign w:val="baseline"/>
              </w:rPr>
            </w:pPr>
          </w:p>
        </w:tc>
        <w:tc>
          <w:tcPr>
            <w:tcW w:w="2162" w:type="dxa"/>
            <w:vMerge w:val="continue"/>
          </w:tcPr>
          <w:p>
            <w:pPr>
              <w:pStyle w:val="14"/>
              <w:bidi w:val="0"/>
              <w:jc w:val="both"/>
              <w:rPr>
                <w:vertAlign w:val="baseline"/>
              </w:rPr>
            </w:pPr>
          </w:p>
        </w:tc>
        <w:tc>
          <w:tcPr>
            <w:tcW w:w="2222" w:type="dxa"/>
            <w:vAlign w:val="center"/>
          </w:tcPr>
          <w:p>
            <w:pPr>
              <w:pStyle w:val="13"/>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3"/>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3"/>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3"/>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3"/>
              <w:spacing w:line="240" w:lineRule="auto"/>
              <w:ind w:firstLine="0" w:firstLineChars="0"/>
              <w:jc w:val="left"/>
              <w:rPr>
                <w:vertAlign w:val="baseline"/>
              </w:rPr>
            </w:pPr>
            <w:r>
              <w:rPr>
                <w:sz w:val="17"/>
                <w:szCs w:val="17"/>
              </w:rPr>
              <w:t>合计</w:t>
            </w:r>
          </w:p>
        </w:tc>
        <w:tc>
          <w:tcPr>
            <w:tcW w:w="2222" w:type="dxa"/>
            <w:vAlign w:val="center"/>
          </w:tcPr>
          <w:p>
            <w:pPr>
              <w:pStyle w:val="13"/>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3"/>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3"/>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3"/>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4"/>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4"/>
              <w:bidi w:val="0"/>
              <w:jc w:val="both"/>
              <w:rPr>
                <w:vertAlign w:val="baseline"/>
              </w:rPr>
            </w:pPr>
          </w:p>
        </w:tc>
      </w:tr>
    </w:tbl>
    <w:p>
      <w:pPr>
        <w:pStyle w:val="14"/>
        <w:bidi w:val="0"/>
      </w:pPr>
    </w:p>
    <w:p>
      <w:r>
        <w:br w:type="page"/>
      </w:r>
    </w:p>
    <w:p>
      <w:pPr>
        <w:pStyle w:val="12"/>
        <w:keepNext/>
        <w:keepLines/>
        <w:spacing w:after="240"/>
        <w:jc w:val="center"/>
        <w:rPr>
          <w:rFonts w:hint="default" w:eastAsia="宋体"/>
          <w:b/>
          <w:bCs/>
          <w:lang w:val="en-US" w:eastAsia="zh-CN"/>
        </w:rPr>
      </w:pPr>
      <w:r>
        <w:rPr>
          <w:rFonts w:hint="eastAsia"/>
          <w:b/>
          <w:bCs/>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3"/>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环江毛南族自治县长美乡人民政府</w:t>
            </w:r>
            <w:r>
              <w:rPr>
                <w:rFonts w:hint="eastAsia" w:cs="宋体"/>
                <w:sz w:val="17"/>
                <w:szCs w:val="17"/>
                <w:lang w:val="en-US" w:eastAsia="zh-CN"/>
              </w:rPr>
              <w:t xml:space="preserve">            </w:t>
            </w:r>
          </w:p>
        </w:tc>
        <w:tc>
          <w:tcPr>
            <w:tcW w:w="6076" w:type="dxa"/>
            <w:shd w:val="clear" w:color="auto" w:fill="FFFFFF"/>
          </w:tcPr>
          <w:p>
            <w:pPr>
              <w:pStyle w:val="13"/>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农村公路养护费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对农村公路进行日常管理及养护，改善群众出行条件，提高道路交通安全系数。</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困难群众</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3.33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提升困难群众救助补助资金使用效益，让困难群众的基本生活得到更好保障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农村党员大培训经费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目标1：组织农村党员参加教育培训。</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目标2：强化课程建设，适时开发新专题。</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目标3：激发党员队伍内生动力。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目标4：积极参加培训活动，提高社会认可度。</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建设项目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14.63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保障建设项目有序推进，促进巩固脱贫攻坚同乡村振兴有效衔接和良好发展。</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生态护林员劳务补助资金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47.84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按时发放2023年生态护林员劳务补助资金</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服务惠民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进一步提高村级组织运转能力和服务效率。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提高群众满意度。</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农村乡村道路“三项工程”资金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要完成已硬化路面严重破损或路面宽度过窄的通自然村（屯）道路改造，要基本完成乡村道路安全隐患治理，将达到等级公路标准的自然村（屯）道路全部纳入村道进行管养。长美乡本次申报2条，涉及里程3.035公里。</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新一轮退耕还林还草延长期补助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16.52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根据退耕还林目标、任务、资金、责任,对符合条件的退耕还生态林落实森林生态效益补偿政策,合理安排预算，落实地方支出责任和管护责任。</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2024年武装征兵及民兵预备役工作经费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目标1：开展国防宣传、征兵宣传2次，提高武装和征兵工作的知晓率达95％，完成春、秋期征兵任务数，为部队输送高素质兵源。</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目标2：开展民兵预备役训练2次，高标准，高质量完成民兵训练任务数，提高了民兵思想素质和军事技能。</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目标3：提升参加训练人员和应征青年的满意度达95％。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2024年统计工作经费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目标1：组织实施人口、经济、农村和乡村住户调查1次，了解本辖区各类经济运行情况，汇总统计数据，是数据更新率达90％。</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目标2：建立和完善统计管理制度，包括统计工作制度、报表管理制度、统计资料审核报送制度、统计档案管理制度等，各项制度完善并上墙。</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目标3：对统计工作人员开展业务培训1次，促进统计工作人员熟悉掌握统计工作，推进统计数量精准化、精细化、完整性。</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2024年维稳工作经费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目标1：开展综合治理维稳宣传活动2次，营造和谐稳定的社会环境；</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目标2：年内调协化解一般矛盾纠纷10起，调解率达95％以上；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 xml:space="preserve">目标3：开展重大事件重点人员大排查1次，使重大事件发生率为0； </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目标4：开展法制宣传教育1次，增强全民法律意识，使群众的安全感满意度达95％以上。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2024年团委工作经费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目标1：组织召开青年团员培训1次，密切联系青年团员，使团员青年服务经济社会发展大局的热情和能力提高达90％以上；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目标2：开展团员团建关爱活动1次，组织引导青年团员关爱关注留守儿童，引导青年团员为社会做贡献；</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目标3：开展维护青少年合法权益的法律宣传活动1次，使青少年能运用法律维护自身合法权益率达95％以上。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目标4：保障团委各项工作有序运转，提高青少年团员及受益群众的满意度达95％.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2024年安全生产及森林防火工作经费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开展安全生产及森林防火宣传活动2次，发放各类宣传资料10000余份，提高群众安全生产意识和森林防火意识；目标2：开展安全生产隐患大排查1次，森林防火宣讲培训1次，使相关工作人员对防治工作掌握率达100％；目标3：年内安全生产及森林防火督察合格率90％；目标4：安全生产隐患排查整治率达90％；目标5：参与人员与群众对安全生产及森林防火工作的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2024年纪检监察工作经费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目标1：检查并处理党员领导干部违反党的章程及其它党内法规的案件，年内办案、结案率达100％；</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目标2：开展行政监察工作的方针、政策和法律法规的宣传工作1次，教育行政事业单位工作人员遵纪守法、为政清廉。</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目标3：开展党风廉政建设和反腐败警示教育大会2次，培育良好家风家教，营造风清气正的政治生态环境，</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目标4,：营造风清气正的社会风气，提高群众对党和政府满意度达95％，对纪委监察工作满意度达95％。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2024年预防青少年违法犯罪工作经费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目标1：开展青少年主题思想教育及及青少年禁毒防艾宣传教育1次，强化思想引领，扎实推进青少年思想道德和法制宣传教育的活动工作，增强青少年知法、守法、护法，防止违法犯罪事件发生。</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目标2：多渠道组织社会力量为有困难需要帮助的困境儿童以及农村留守儿童等提供多种形式的关爱帮扶服务1次，改善学习生活环境。</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目标3：青少年和收益对象满意度达90％以上。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2024年民族团结工作经费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目标1：开展民族团结进步宣传教育活动2次，教育群众正确树立民族观、宗教观、文化观，促进民族团结、改善民生，促进少数民族经济发展，唱响中华民族一家亲、同心共筑中国梦。</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目标2：组织各村召开民族团结知识培训、讲座各1次。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目标3：服务对象和受益群众满意度达90％以上。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2024年清洁乡村工作经费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目标1：开展保洁员业务培训1次，乡村清洁率达90％以上；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目标2：对乡村保洁员管理情况进行了相关督促检查2次，使乡村保洁管理达标率达100％，为农村人居环境全面改善起到了良好的作用；</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目标3：日常生活环境改善深受人民群众欢迎，项目实施群众满意度为95％。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2024年关心下一代工作委员会经费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目标1：广泛宣传国家有关保护未成年人权益、实施义务教育、预防未成年人犯罪的法律法规2次培训2次：</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目标2？：开展活动所用资金不超过该项目预算总金额：</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目标3？：服务青少年满意率超过95％。</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目标4？：保障单位关工委工作正常运转，促进青少年健康成长。</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2024年法制宣传教育工作经费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目标1：开展法制宣传教：1次，进一步深化依法治理，提高全社会厉行法治的积极性和主动性，形成守法光荣、违法可耻的良好法治氛围。</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目标2：开展法制知识学习培训1次，并开展知识竞赛，增强全民法治观念和全体党员党章党规意识。</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目标3：开展领导干部普法考试，普法考试通过率达98％。</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目标4：提高服务对象和人民群众的满意度达95％。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2024年党支部组织生活经费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0.38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目标1：对党员、党员积极分子、发展目标、党员工作者开展教育和培训2次，提高党性修养，建立学习型、服务型基层党组织达95％.</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目标2：召开党内会议2次，开党的组织生活会2次，增强基础党组织的战斗力、凝聚力、创造力。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目标3：开展各项党建工作，打牢基层党建工作基础，提高服务群众满意度达95％。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2024年妇联工作经费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目标1：开展关爱妇女“两癌”保险宣传活动2次，使全乡妇女“两癌”保险的参保率达到95％以上；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目标2：开展维护妇女儿童合法权益宣讲会1次，增强妇女儿童维护自身合法权益；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目标3：提高妇女群众素质，提供妇女就业培训2次，带动就业创业率达到90％以上；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目标4：利用儿童之家开展青少年防溺水宣传工作2次，防止中小学生溺水事件发生。</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2024年退役军人服务中心建设经费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目标1：开展退役军人权益维护和有关人员的帮扶援助工作1次，畅通依法维权渠道，及时有效解决信访事件，健全退役军人服务管理保障体系。</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目标2：开展退役军人工作人员业务培训1次，落实退役军人安置相关政策，筑牢国防建设基础。</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目标3：增强退役军人及服务对象的满意度达95％。</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2024年宣传工作经费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“目标1：开展各项政策宣传工4次，制作宣传横幅、展板50余份，宣传标语30余条，群众对政策的知晓率达90％以上。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目标2：开展疫情防控宣传4次，防溺水宣传活动2次，普法教育宣传1次等等，提高群众安全意识，防范意识。</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目标3：促进群众对党和政府工作的支持力度，提高群众的满意度达95％。</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2024年人大工作经费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“目标1：组织人大代表围绕本乡重点工作、产业发展及人大代表会议议案和代表建议意见办理情况进行1次视察、调研，开展专项工作会议并形成专题报告。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目标2：年内开展1次人大代表会议，向代表通报政情，听取代表对乡镇政府工作的建议和意见，并做好整理、交办、督办和反馈工作。</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目标3：受理人大代表和群众来信来访，及时转办、督办、反馈，信访事项办结率达100％。</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目标4：提高人大代能认真履行职责，充分发挥党和国家机关联系人民群众的桥梁和纽带的作用，服务群众满意度达95％。</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2024年关爱党员(农村党员)经费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2.60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“目标1：开展党员大会每月每个党支部至少1次，全年累计30次，人数达260人。</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目标2：开展党员培训会2次，加强和改进党的工作，更好地贯彻执行党的路线、方针、政策；全面从严治党，强化党群关系；提高党的创造力、凝聚力、战斗力。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目标3：建立健全全党内激励关怀帮扶机制，切实体现党组织对困难党员的关系和关爱，体现党的人文关怀。</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2024年乡镇应急工作经费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“目标1：多形式在学校、卫生院、农贸市场等人员密集地点普遍开展紧急避险、防灾、减灾宣传教育开展宣传工作10次以上，向全乡群众普及应急管理知识和各类灾害事故防范应对技能，提升群众应急能力。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目标2：做好各类应急培训演练6次，提升应急队伍应急能力，增强对突发事件的处置能力。</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目标3：做好安全生产、防汛抗旱、地质灾害防御、森林防灭火、消防、灾情管理等必需的专用物料、器材、工具、帐篷等物资的储备，确保应急的物资保障。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2024年其他日常业务费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“目标1：严格按照财务制度，按时拨付资金，为各站所各部门日常工作提供资金保障。</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目标2：按照实际工作要求，认真规划日常工作经费的使用率、分配比例，控制成本，杜绝铺张浪费，使效率达到最高。</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目标3：各部门各站所相互监督，相互制约，根据实际报账“</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2024年政协工作联络站经费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按要求开展政协委员专项活动，增强委员履职积极性和实效性。</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资金使用合规，相关政策落实到位。</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2024年党代会年会工作经费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1.14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“目标1：组织召开党员培训1次，引导党代表依法履职、务实作为，为推进大才乡经济社会加快发展作出了积极贡献。</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目标2：组织党代表召开党代会1次，整理党代表提出的意见建议。“</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2024年林长办工作经费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“目标1：年内至少召开林长制工作会议1次以上。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目标2：全年辖区内森林火灾受害控制率不超过0.8‰。</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目标3：乡林长办主任向本级林长专题汇报林长制工作1次以上。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2024年田长办工作经费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“目标1：年内至少召开田长制工作会议1次以上。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目标2：乡田长办主任向本级林长专题汇报田长制各项工作1次以上。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目标3：力争耕地数量面积不减少，提升质量。</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708001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环江毛南族自治县长美乡人民政府</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2024年河长办工作经费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“目标1：年内至少召开河长制工作会议1次以上。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目标2：乡河长办主任向本级林长专题汇报河长制各项工作1次以上。</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目标3：有效推进河湖监管治理，修复水生态和改善水环境。</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目标4：服务对象满意度达90％以上。</w:t>
            </w:r>
            <w:r>
              <w:rPr>
                <w:rFonts w:hint="eastAsia" w:ascii="宋体" w:hAnsi="宋体" w:eastAsia="宋体" w:cs="宋体"/>
                <w:b/>
                <w:bCs/>
                <w:sz w:val="17"/>
                <w:szCs w:val="17"/>
                <w:lang w:val="en-US" w:eastAsia="zh-CN"/>
              </w:rPr>
              <w:br w:type="textWrapping"/>
            </w:r>
          </w:p>
        </w:tc>
      </w:tr>
    </w:tbl>
    <w:p>
      <w:pPr>
        <w:jc w:val="left"/>
        <w:rPr>
          <w:rFonts w:hint="eastAsia"/>
        </w:rPr>
      </w:pPr>
      <w:r>
        <w:t>注：本报表金额单位转换时可能存在四舍五入尾数误差。</w:t>
      </w:r>
    </w:p>
    <w:p>
      <w:pPr>
        <w:jc w:val="left"/>
        <w:rPr>
          <w:rFonts w:hint="eastAsia"/>
          <w:lang w:eastAsia="zh-CN"/>
        </w:rPr>
        <w:sectPr>
          <w:headerReference r:id="rId12" w:type="default"/>
          <w:footerReference r:id="rId13"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8"/>
        <w:keepNext/>
        <w:keepLines/>
        <w:spacing w:before="200" w:after="0"/>
        <w:jc w:val="center"/>
        <w:rPr>
          <w:b/>
          <w:bCs/>
          <w:sz w:val="40"/>
          <w:szCs w:val="40"/>
        </w:rPr>
      </w:pPr>
      <w:bookmarkStart w:id="43" w:name="_GoBack"/>
      <w:bookmarkStart w:id="31" w:name="bookmark94"/>
      <w:bookmarkStart w:id="32" w:name="bookmark96"/>
      <w:bookmarkStart w:id="33" w:name="bookmark95"/>
      <w:r>
        <w:rPr>
          <w:b/>
          <w:bCs/>
          <w:sz w:val="40"/>
          <w:szCs w:val="40"/>
        </w:rPr>
        <w:t>第四部</w:t>
      </w:r>
      <w:r>
        <w:rPr>
          <w:rFonts w:hint="eastAsia"/>
          <w:b/>
          <w:bCs/>
          <w:sz w:val="40"/>
          <w:szCs w:val="40"/>
          <w:lang w:val="en-US" w:eastAsia="zh-CN"/>
        </w:rPr>
        <w:t xml:space="preserve">  </w:t>
      </w:r>
      <w:r>
        <w:rPr>
          <w:b/>
          <w:bCs/>
          <w:sz w:val="40"/>
          <w:szCs w:val="40"/>
        </w:rPr>
        <w:t>分名词解释</w:t>
      </w:r>
      <w:bookmarkEnd w:id="31"/>
      <w:bookmarkEnd w:id="32"/>
      <w:bookmarkEnd w:id="33"/>
    </w:p>
    <w:bookmarkEnd w:id="43"/>
    <w:p>
      <w:pPr>
        <w:pStyle w:val="10"/>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0"/>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0"/>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0"/>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0"/>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0"/>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0"/>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0"/>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0"/>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0"/>
        <w:spacing w:line="628" w:lineRule="exact"/>
        <w:ind w:firstLine="640"/>
        <w:jc w:val="left"/>
      </w:pPr>
      <w:r>
        <w:t>十、项目支出：指在基本支出之外为完成特定行政任务和事业发展目标所发生的支出。</w:t>
      </w:r>
    </w:p>
    <w:p>
      <w:pPr>
        <w:pStyle w:val="10"/>
        <w:spacing w:line="628" w:lineRule="exact"/>
        <w:ind w:firstLine="640"/>
        <w:jc w:val="left"/>
      </w:pPr>
      <w:r>
        <w:t>十一、经营支出：指事业单位在专业业务活动及其辅助活动之外开展非独立核算经营活动所发生的支出。</w:t>
      </w:r>
    </w:p>
    <w:p>
      <w:pPr>
        <w:pStyle w:val="10"/>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0"/>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4" w:type="default"/>
      <w:footerReference r:id="rId15"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1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5"/>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C79KdjpAQAA5QMAAA4AAAAAAAAAAQAgAAAAKgEAAGRycy9lMm9Eb2MueG1sUEsFBgAAAAAG&#10;AAYAWQEAAIUFAAAAAA==&#10;">
              <v:fill on="f" focussize="0,0"/>
              <v:stroke on="f"/>
              <v:imagedata o:title=""/>
              <o:lock v:ext="edit" aspectratio="f"/>
              <v:textbox inset="0mm,0mm,0mm,0mm" style="mso-fit-shape-to-text:t;">
                <w:txbxContent>
                  <w:p>
                    <w:pPr>
                      <w:pStyle w:val="15"/>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1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5"/>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L80KsjpAQAA5QMAAA4AAAAAAAAAAQAgAAAAKgEAAGRycy9lMm9Eb2MueG1sUEsFBgAAAAAG&#10;AAYAWQEAAIUFAAAAAA==&#10;">
              <v:fill on="f" focussize="0,0"/>
              <v:stroke on="f"/>
              <v:imagedata o:title=""/>
              <o:lock v:ext="edit" aspectratio="f"/>
              <v:textbox inset="0mm,0mm,0mm,0mm" style="mso-fit-shape-to-text:t;">
                <w:txbxContent>
                  <w:p>
                    <w:pPr>
                      <w:pStyle w:val="15"/>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101F9"/>
    <w:rsid w:val="06B81646"/>
    <w:rsid w:val="25805AE8"/>
    <w:rsid w:val="28E3345D"/>
    <w:rsid w:val="3CA57281"/>
    <w:rsid w:val="3DB101F9"/>
    <w:rsid w:val="592A40D8"/>
    <w:rsid w:val="6AD73450"/>
    <w:rsid w:val="7BF7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5"/>
    <w:basedOn w:val="1"/>
    <w:qFormat/>
    <w:uiPriority w:val="0"/>
    <w:pPr>
      <w:jc w:val="center"/>
    </w:pPr>
    <w:rPr>
      <w:rFonts w:ascii="宋体" w:hAnsi="宋体" w:eastAsia="宋体" w:cs="宋体"/>
      <w:sz w:val="54"/>
      <w:szCs w:val="54"/>
      <w:lang w:val="zh-TW" w:eastAsia="zh-TW" w:bidi="zh-TW"/>
    </w:rPr>
  </w:style>
  <w:style w:type="paragraph" w:customStyle="1" w:styleId="8">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9">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10">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1">
    <w:name w:val="Body text|3"/>
    <w:basedOn w:val="1"/>
    <w:qFormat/>
    <w:uiPriority w:val="0"/>
    <w:pPr>
      <w:spacing w:after="140" w:line="336" w:lineRule="auto"/>
      <w:ind w:firstLine="370"/>
    </w:pPr>
    <w:rPr>
      <w:sz w:val="30"/>
      <w:szCs w:val="30"/>
      <w:lang w:val="zh-TW" w:eastAsia="zh-TW" w:bidi="zh-TW"/>
    </w:rPr>
  </w:style>
  <w:style w:type="paragraph" w:customStyle="1" w:styleId="12">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3">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4">
    <w:name w:val="Table caption|1"/>
    <w:basedOn w:val="1"/>
    <w:qFormat/>
    <w:uiPriority w:val="0"/>
    <w:rPr>
      <w:rFonts w:ascii="宋体" w:hAnsi="宋体" w:eastAsia="宋体" w:cs="宋体"/>
      <w:sz w:val="17"/>
      <w:szCs w:val="17"/>
      <w:lang w:val="zh-TW" w:eastAsia="zh-TW" w:bidi="zh-TW"/>
    </w:rPr>
  </w:style>
  <w:style w:type="paragraph" w:customStyle="1" w:styleId="15">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一般公共预算拨款</c:v>
                </c:pt>
                <c:pt idx="1">
                  <c:v>政府性基金预算拨款</c:v>
                </c:pt>
              </c:strCache>
            </c:strRef>
          </c:cat>
          <c:val>
            <c:numRef>
              <c:f>Sheet1!$B$2:$B$3</c:f>
              <c:numCache>
                <c:formatCode>General</c:formatCode>
                <c:ptCount val="2"/>
                <c:pt idx="0">
                  <c:v>774.51</c:v>
                </c:pt>
                <c:pt idx="1">
                  <c:v>14.63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533.23</c:v>
                </c:pt>
                <c:pt idx="1">
                  <c:v>42.16</c:v>
                </c:pt>
                <c:pt idx="2">
                  <c:v>36.59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521.46</c:v>
                </c:pt>
                <c:pt idx="1">
                  <c:v>521.46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611.99</c:v>
                </c:pt>
                <c:pt idx="1">
                  <c:v>611.99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531.99</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80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47.43</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484.56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484.56</c:v>
                </c:pt>
                <c:pt idx="1">
                  <c:v>47.43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13</c:v>
                </c:pt>
                <c:pt idx="1">
                  <c:v>0</c:v>
                </c:pt>
                <c:pt idx="2">
                  <c:v>11.2</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11.5</c:v>
                </c:pt>
                <c:pt idx="1">
                  <c:v>0</c:v>
                </c:pt>
                <c:pt idx="2">
                  <c:v>10.9</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2024-02-29T02:48:00Z</dcterms:created>
  <dc:creator>无名指</dc:creator>
  <cp:lastModifiedBy>Administrator</cp:lastModifiedBy>
  <dcterms:modified xsi:type="dcterms:W3CDTF">2024-03-05T07:25:56Z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28A73D6183264873AB81E6EF74FEAA3F</vt:lpwstr>
  </property>
</Properties>
</file>