
<file path=[Content_Types].xml><?xml version="1.0" encoding="utf-8"?>
<Types xmlns="http://schemas.openxmlformats.org/package/2006/content-types">
  <Default ContentType="application/vnd.openxmlformats-package.relationships+xml" Extension="rels"/>
  <Default ContentType="application/vnd.openxmlformats-officedocument.spreadsheetml.sheet" Extension="xlsx"/>
  <Default ContentType="application/xml" Extension="xml"/>
  <Override ContentType="application/xml" PartName="/customXml/item1.xml"/>
  <Override ContentType="application/xml" PartName="/customXml/item2.xml"/>
  <Override ContentType="application/xml" PartName="/customXml/item3.xml"/>
  <Override ContentType="application/xml" PartName="/customXml/item4.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drawingml.chart+xml" PartName="/word/charts/chart1.xml"/>
  <Override ContentType="application/vnd.openxmlformats-officedocument.drawingml.chart+xml" PartName="/word/charts/chart2.xml"/>
  <Override ContentType="application/vnd.openxmlformats-officedocument.drawingml.chart+xml" PartName="/word/charts/chart3.xml"/>
  <Override ContentType="application/vnd.openxmlformats-officedocument.drawingml.chart+xml" PartName="/word/charts/chart4.xml"/>
  <Override ContentType="application/vnd.openxmlformats-officedocument.drawingml.chart+xml" PartName="/word/charts/chart5.xml"/>
  <Override ContentType="application/vnd.openxmlformats-officedocument.drawingml.chart+xml" PartName="/word/charts/chart6.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 Id="rId4" Target="docProps/custom.xml" Type="http://schemas.openxmlformats.org/officeDocument/2006/relationships/custom-properties"/></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 Generated by Spire.Doc -->
  <w:body>
    <w:p>
      <w:pPr>
        <w:pStyle w:val="Bodytext|5"/>
        <w:jc w:val="center"/>
        <w:rPr>
          <w:rFonts w:hint="eastAsia"/>
          <w:sz w:val="56"/>
          <w:szCs w:val="56"/>
          <w:lang w:eastAsia="zh-CN"/>
        </w:rPr>
      </w:pPr>
      <w:r>
        <w:rPr>
          <w:rFonts w:hint="eastAsia"/>
          <w:sz w:val="56"/>
          <w:szCs w:val="56"/>
          <w:lang w:eastAsia="zh-CN"/>
        </w:rPr>
        <w:t xml:space="preserve">环江毛南族自治县大安乡人民政府</w:t>
      </w:r>
    </w:p>
    <w:p>
      <w:pPr>
        <w:pStyle w:val="Bodytext|5"/>
        <w:jc w:val="center"/>
        <w:rPr>
          <w:sz w:val="56"/>
          <w:szCs w:val="56"/>
        </w:rPr>
        <w:sectPr>
          <w:pgSz w:w="11900" w:h="16840" w:orient="portrait"/>
          <w:pgMar w:top="4713" w:right="1913" w:bottom="4713" w:left="2020" w:header="4285" w:footer="2381" w:gutter="0"/>
          <w:pgBorders>
            <w:top w:val="none" w:sz="0" w:space="0" w:color="auto"/>
            <w:left w:val="none" w:sz="0" w:space="0" w:color="auto"/>
            <w:bottom w:val="none" w:sz="0" w:space="0" w:color="auto"/>
            <w:right w:val="none" w:sz="0" w:space="0" w:color="auto"/>
          </w:pgBorders>
          <w:pgNumType w:fmt="decimal" w:start="1"/>
          <w:cols w:num="1" w:space="720">
            <w:col w:w="7967" w:space="720"/>
          </w:cols>
          <w:docGrid w:linePitch="360" w:charSpace="0"/>
        </w:sectPr>
      </w:pPr>
      <w:r>
        <w:rPr>
          <w:rFonts w:hint="eastAsia"/>
          <w:sz w:val="56"/>
          <w:szCs w:val="56"/>
          <w:lang w:eastAsia="zh-CN"/>
        </w:rPr>
        <w:t xml:space="preserve">2024</w:t>
      </w:r>
      <w:r>
        <w:rPr>
          <w:rFonts w:ascii="宋体" w:eastAsia="宋体" w:hAnsi="宋体" w:asciiTheme="majorEastAsia" w:eastAsiaTheme="majorEastAsia" w:hAnsiTheme="majorEastAsia" w:cs="Times New Roman" w:cstheme="majorEastAsia" w:hint="eastAsia"/>
          <w:sz w:val="56"/>
          <w:szCs w:val="56"/>
          <w:u w:color="auto"/>
        </w:rPr>
        <w:t xml:space="preserve">年</w:t>
      </w:r>
      <w:r>
        <w:rPr>
          <w:rFonts w:ascii="宋体" w:eastAsia="宋体" w:hAnsi="宋体" w:asciiTheme="majorEastAsia" w:eastAsiaTheme="majorEastAsia" w:hAnsiTheme="majorEastAsia" w:cs="Times New Roman" w:cstheme="majorEastAsia" w:hint="eastAsia"/>
          <w:sz w:val="56"/>
          <w:szCs w:val="56"/>
        </w:rPr>
        <w:t xml:space="preserve">度部门预算</w:t>
      </w:r>
    </w:p>
    <w:p>
      <w:pPr>
        <w:pStyle w:val="Heading#1|1"/>
        <w:keepNext/>
        <w:keepLines/>
        <w:spacing w:after="240"/>
        <w:jc w:val="center"/>
      </w:pPr>
      <w:bookmarkStart w:id="0" w:name="bookmark1"/>
      <w:bookmarkStart w:id="1" w:name="bookmark0"/>
      <w:bookmarkStart w:id="2" w:name="bookmark2"/>
      <w:r>
        <w:t xml:space="preserve">目录</w:t>
      </w:r>
      <w:bookmarkEnd w:id="0"/>
      <w:bookmarkEnd w:id="1"/>
      <w:bookmarkEnd w:id="2"/>
    </w:p>
    <w:p>
      <w:pPr>
        <w:pStyle w:val="Bodytext|2"/>
        <w:ind w:left="0" w:firstLine="320" w:leftChars="0" w:firstLineChars="100"/>
        <w:jc w:val="left"/>
      </w:pPr>
      <w:r>
        <w:t xml:space="preserve">第一部分</w:t>
      </w:r>
      <w:r>
        <w:rPr>
          <w:rFonts w:hint="eastAsia"/>
          <w:lang w:eastAsia="zh-CN"/>
        </w:rPr>
        <w:t xml:space="preserve">：</w:t>
      </w:r>
      <w:r>
        <w:rPr>
          <w:u w:color="auto"/>
        </w:rPr>
        <w:t xml:space="preserve">环江毛南族自治县大安乡人民政府</w:t>
      </w:r>
      <w:r>
        <w:rPr>
          <w:u w:color="auto"/>
        </w:rPr>
        <w:t xml:space="preserve">单位</w:t>
      </w:r>
      <w:r>
        <w:t xml:space="preserve">概况</w:t>
      </w:r>
    </w:p>
    <w:p>
      <w:pPr>
        <w:pStyle w:val="Bodytext|2"/>
        <w:jc w:val="left"/>
      </w:pPr>
      <w:r>
        <w:rPr>
          <w:lang w:val="en-US" w:eastAsia="zh-CN" w:bidi="en-US"/>
        </w:rPr>
        <w:t xml:space="preserve">—</w:t>
      </w:r>
      <w:r>
        <w:t xml:space="preserve">、主要职责</w:t>
      </w:r>
    </w:p>
    <w:p>
      <w:pPr>
        <w:pStyle w:val="Bodytext|2"/>
        <w:jc w:val="left"/>
        <w:rPr>
          <w:rFonts w:hint="eastAsia"/>
        </w:rPr>
      </w:pPr>
      <w:r>
        <w:rPr>
          <w:rFonts w:hint="eastAsia"/>
          <w:lang w:val="en-US" w:eastAsia="zh-CN"/>
        </w:rPr>
        <w:t xml:space="preserve">二、</w:t>
      </w:r>
      <w:r>
        <w:rPr>
          <w:rFonts w:hint="eastAsia"/>
        </w:rPr>
        <w:t xml:space="preserve">机构设置情况</w:t>
      </w:r>
    </w:p>
    <w:p>
      <w:pPr>
        <w:pStyle w:val="Bodytext|2"/>
        <w:ind w:left="0" w:firstLine="320" w:leftChars="0" w:firstLineChars="100"/>
        <w:jc w:val="left"/>
      </w:pPr>
      <w:r>
        <w:t xml:space="preserve">第二部分</w:t>
      </w:r>
      <w:r>
        <w:rPr>
          <w:rFonts w:hint="eastAsia"/>
          <w:lang w:eastAsia="zh-CN"/>
        </w:rPr>
        <w:t xml:space="preserve">：</w:t>
      </w:r>
      <w:r>
        <w:rPr>
          <w:u w:color="auto"/>
        </w:rPr>
        <w:t xml:space="preserve">环江毛南族自治县大安乡人民政府</w:t>
      </w:r>
      <w:r>
        <w:rPr>
          <w:u w:color="auto"/>
        </w:rPr>
        <w:t xml:space="preserve">2024</w:t>
      </w:r>
      <w:r>
        <w:t xml:space="preserve">部门预算情况说明</w:t>
      </w:r>
    </w:p>
    <w:p>
      <w:pPr>
        <w:pStyle w:val="Bodytext|2"/>
        <w:numPr>
          <w:ilvl w:val="0"/>
          <w:numId w:val="0"/>
        </w:numPr>
        <w:ind w:firstLine="640" w:firstLineChars="200"/>
        <w:jc w:val="left"/>
        <w:rPr>
          <w:rFonts w:hint="eastAsia"/>
        </w:rPr>
      </w:pPr>
      <w:r>
        <w:rPr>
          <w:rFonts w:hint="eastAsia"/>
        </w:rPr>
        <w:t xml:space="preserve">一、部门收支总体情况说明</w:t>
      </w:r>
    </w:p>
    <w:p>
      <w:pPr>
        <w:pStyle w:val="Bodytext|2"/>
        <w:numPr>
          <w:ilvl w:val="0"/>
          <w:numId w:val="0"/>
        </w:numPr>
        <w:ind w:firstLine="640" w:firstLineChars="200"/>
        <w:jc w:val="left"/>
        <w:rPr>
          <w:rFonts w:hint="eastAsia"/>
        </w:rPr>
      </w:pPr>
      <w:r>
        <w:rPr>
          <w:rFonts w:hint="eastAsia"/>
        </w:rPr>
        <w:t xml:space="preserve">二、部门收入总体情况说明</w:t>
      </w:r>
    </w:p>
    <w:p>
      <w:pPr>
        <w:pStyle w:val="Bodytext|2"/>
        <w:numPr>
          <w:ilvl w:val="0"/>
          <w:numId w:val="0"/>
        </w:numPr>
        <w:ind w:firstLine="640" w:firstLineChars="200"/>
        <w:jc w:val="left"/>
        <w:rPr>
          <w:rFonts w:hint="eastAsia"/>
        </w:rPr>
      </w:pPr>
      <w:r>
        <w:rPr>
          <w:rFonts w:hint="eastAsia"/>
        </w:rPr>
        <w:t xml:space="preserve">三、部门支出总体情况说明</w:t>
      </w:r>
    </w:p>
    <w:p>
      <w:pPr>
        <w:pStyle w:val="Bodytext|2"/>
        <w:numPr>
          <w:ilvl w:val="0"/>
          <w:numId w:val="0"/>
        </w:numPr>
        <w:ind w:firstLine="640" w:firstLineChars="200"/>
        <w:jc w:val="left"/>
        <w:rPr>
          <w:rFonts w:hint="eastAsia"/>
        </w:rPr>
      </w:pPr>
      <w:r>
        <w:rPr>
          <w:rFonts w:hint="eastAsia"/>
        </w:rPr>
        <w:t xml:space="preserve">四、财政拨款收支总体情况说明</w:t>
      </w:r>
    </w:p>
    <w:p>
      <w:pPr>
        <w:pStyle w:val="Bodytext|2"/>
        <w:numPr>
          <w:ilvl w:val="0"/>
          <w:numId w:val="0"/>
        </w:numPr>
        <w:ind w:firstLine="640" w:firstLineChars="200"/>
        <w:jc w:val="left"/>
        <w:rPr>
          <w:rFonts w:hint="eastAsia"/>
        </w:rPr>
      </w:pPr>
      <w:r>
        <w:rPr>
          <w:rFonts w:hint="eastAsia"/>
        </w:rPr>
        <w:t xml:space="preserve">五、一般公共预算支出情况说明</w:t>
      </w:r>
    </w:p>
    <w:p>
      <w:pPr>
        <w:pStyle w:val="Bodytext|2"/>
        <w:numPr>
          <w:ilvl w:val="0"/>
          <w:numId w:val="0"/>
        </w:numPr>
        <w:ind w:firstLine="640" w:firstLineChars="200"/>
        <w:jc w:val="left"/>
        <w:rPr>
          <w:rFonts w:hint="eastAsia"/>
        </w:rPr>
      </w:pPr>
      <w:r>
        <w:rPr>
          <w:rFonts w:hint="eastAsia"/>
        </w:rPr>
        <w:t xml:space="preserve">六、一般公共预算基本支出情况说明</w:t>
      </w:r>
    </w:p>
    <w:p>
      <w:pPr>
        <w:pStyle w:val="Bodytext|2"/>
        <w:numPr>
          <w:ilvl w:val="0"/>
          <w:numId w:val="0"/>
        </w:numPr>
        <w:ind w:firstLine="640" w:firstLineChars="200"/>
        <w:jc w:val="left"/>
        <w:rPr>
          <w:rFonts w:hint="eastAsia"/>
        </w:rPr>
      </w:pPr>
      <w:r>
        <w:rPr>
          <w:rFonts w:hint="eastAsia"/>
        </w:rPr>
        <w:t xml:space="preserve">七、一般公共预算“三公”经费支出情况说明</w:t>
      </w:r>
    </w:p>
    <w:p>
      <w:pPr>
        <w:pStyle w:val="Bodytext|2"/>
        <w:numPr>
          <w:ilvl w:val="0"/>
          <w:numId w:val="0"/>
        </w:numPr>
        <w:ind w:firstLine="640" w:firstLineChars="200"/>
        <w:jc w:val="left"/>
        <w:rPr>
          <w:rFonts w:hint="eastAsia"/>
        </w:rPr>
      </w:pPr>
      <w:r>
        <w:rPr>
          <w:rFonts w:hint="eastAsia"/>
        </w:rPr>
        <w:t xml:space="preserve">八、政府性基金预算支出情况说明</w:t>
      </w:r>
    </w:p>
    <w:p>
      <w:pPr>
        <w:pStyle w:val="Bodytext|2"/>
        <w:numPr>
          <w:ilvl w:val="0"/>
          <w:numId w:val="0"/>
        </w:numPr>
        <w:ind w:firstLine="640" w:firstLineChars="200"/>
        <w:jc w:val="left"/>
        <w:rPr>
          <w:rFonts w:hint="eastAsia"/>
        </w:rPr>
      </w:pPr>
      <w:r>
        <w:rPr>
          <w:rFonts w:hint="eastAsia"/>
        </w:rPr>
        <w:t xml:space="preserve">九、国有资本经营预算支出情况说明</w:t>
      </w:r>
    </w:p>
    <w:p>
      <w:pPr>
        <w:pStyle w:val="Bodytext|2"/>
        <w:numPr>
          <w:ilvl w:val="0"/>
          <w:numId w:val="0"/>
        </w:numPr>
        <w:ind w:firstLine="640" w:firstLineChars="200"/>
        <w:jc w:val="left"/>
      </w:pPr>
      <w:r>
        <w:rPr>
          <w:rFonts w:hint="eastAsia"/>
        </w:rPr>
        <w:t xml:space="preserve">十、其他重要事项情况说明</w:t>
      </w:r>
    </w:p>
    <w:p>
      <w:pPr>
        <w:pStyle w:val="Bodytext|2"/>
        <w:ind w:left="0" w:firstLine="320" w:leftChars="0" w:firstLineChars="100"/>
        <w:jc w:val="left"/>
      </w:pPr>
      <w:r>
        <w:t xml:space="preserve">第三部分</w:t>
      </w:r>
      <w:r>
        <w:rPr>
          <w:rFonts w:hint="eastAsia"/>
          <w:lang w:eastAsia="zh-CN"/>
        </w:rPr>
        <w:t xml:space="preserve">：</w:t>
      </w:r>
      <w:r>
        <w:rPr>
          <w:u w:color="auto"/>
        </w:rPr>
        <w:t xml:space="preserve">环江毛南族自治县大安乡人民政府</w:t>
      </w:r>
      <w:r>
        <w:rPr>
          <w:u w:color="auto"/>
        </w:rPr>
        <w:t xml:space="preserve">2024</w:t>
      </w:r>
      <w:r>
        <w:rPr>
          <w:rFonts w:ascii="Times New Roman" w:hAnsi="Times New Roman" w:cs="Times New Roman"/>
          <w:u w:color="auto"/>
        </w:rPr>
        <w:t xml:space="preserve">年</w:t>
      </w:r>
      <w:r>
        <w:t xml:space="preserve">部门预算</w:t>
      </w:r>
      <w:r>
        <w:rPr>
          <w:rFonts w:hint="eastAsia"/>
          <w:lang w:val="en-US" w:eastAsia="zh-CN"/>
        </w:rPr>
        <w:t xml:space="preserve">相关报</w:t>
      </w:r>
      <w:r>
        <w:t xml:space="preserve">表</w:t>
      </w:r>
    </w:p>
    <w:p>
      <w:pPr>
        <w:pStyle w:val="Bodytext|2"/>
        <w:jc w:val="left"/>
        <w:rPr>
          <w:rFonts w:hint="eastAsia"/>
        </w:rPr>
      </w:pPr>
      <w:r>
        <w:rPr>
          <w:rFonts w:hint="eastAsia"/>
        </w:rPr>
        <w:t xml:space="preserve">一、部门收支总体情况表</w:t>
      </w:r>
    </w:p>
    <w:p>
      <w:pPr>
        <w:pStyle w:val="Bodytext|2"/>
        <w:jc w:val="left"/>
        <w:rPr>
          <w:rFonts w:hint="eastAsia"/>
        </w:rPr>
      </w:pPr>
      <w:r>
        <w:rPr>
          <w:rFonts w:hint="eastAsia"/>
        </w:rPr>
        <w:t xml:space="preserve">二、部门收入总体情况表</w:t>
      </w:r>
    </w:p>
    <w:p>
      <w:pPr>
        <w:pStyle w:val="Bodytext|2"/>
        <w:jc w:val="left"/>
        <w:rPr>
          <w:rFonts w:hint="eastAsia"/>
        </w:rPr>
      </w:pPr>
      <w:r>
        <w:rPr>
          <w:rFonts w:hint="eastAsia"/>
        </w:rPr>
        <w:t xml:space="preserve">三、部门支出总体情况表</w:t>
      </w:r>
    </w:p>
    <w:p>
      <w:pPr>
        <w:pStyle w:val="Bodytext|2"/>
        <w:jc w:val="left"/>
        <w:rPr>
          <w:rFonts w:hint="eastAsia"/>
        </w:rPr>
      </w:pPr>
      <w:r>
        <w:rPr>
          <w:rFonts w:hint="eastAsia"/>
        </w:rPr>
        <w:t xml:space="preserve">四、财政拨款收支总体情况表</w:t>
      </w:r>
    </w:p>
    <w:p>
      <w:pPr>
        <w:pStyle w:val="Bodytext|2"/>
        <w:jc w:val="left"/>
        <w:rPr>
          <w:rFonts w:hint="eastAsia"/>
        </w:rPr>
      </w:pPr>
      <w:r>
        <w:rPr>
          <w:rFonts w:hint="eastAsia"/>
        </w:rPr>
        <w:t xml:space="preserve">五、一般公共预算支出情况表</w:t>
      </w:r>
    </w:p>
    <w:p>
      <w:pPr>
        <w:pStyle w:val="Bodytext|2"/>
        <w:jc w:val="left"/>
        <w:rPr>
          <w:rFonts w:hint="eastAsia"/>
        </w:rPr>
      </w:pPr>
      <w:r>
        <w:rPr>
          <w:rFonts w:hint="eastAsia"/>
        </w:rPr>
        <w:t xml:space="preserve">六、一般公共预算基本支出情况表</w:t>
      </w:r>
    </w:p>
    <w:p>
      <w:pPr>
        <w:pStyle w:val="Bodytext|2"/>
        <w:jc w:val="left"/>
        <w:rPr>
          <w:rFonts w:hint="eastAsia"/>
        </w:rPr>
      </w:pPr>
      <w:r>
        <w:rPr>
          <w:rFonts w:hint="eastAsia"/>
        </w:rPr>
        <w:t xml:space="preserve">七、一般公开预算“三公”经费支出情况表</w:t>
      </w:r>
    </w:p>
    <w:p>
      <w:pPr>
        <w:pStyle w:val="Bodytext|2"/>
        <w:jc w:val="left"/>
        <w:rPr>
          <w:rFonts w:hint="eastAsia"/>
        </w:rPr>
      </w:pPr>
      <w:r>
        <w:rPr>
          <w:rFonts w:hint="eastAsia"/>
        </w:rPr>
        <w:t xml:space="preserve">八、政府性基金预算支出情况表</w:t>
      </w:r>
    </w:p>
    <w:p>
      <w:pPr>
        <w:pStyle w:val="Bodytext|2"/>
        <w:jc w:val="left"/>
        <w:rPr>
          <w:rFonts w:hint="eastAsia"/>
        </w:rPr>
      </w:pPr>
      <w:r>
        <w:rPr>
          <w:rFonts w:hint="eastAsia"/>
        </w:rPr>
        <w:t xml:space="preserve">九、国有资本经营预算支出情况表</w:t>
      </w:r>
    </w:p>
    <w:p>
      <w:pPr>
        <w:pStyle w:val="Bodytext|2"/>
        <w:jc w:val="left"/>
        <w:rPr>
          <w:rFonts w:eastAsia="宋体" w:hint="eastAsia"/>
          <w:lang w:eastAsia="zh-CN"/>
        </w:rPr>
      </w:pPr>
      <w:r>
        <w:rPr>
          <w:rFonts w:hint="eastAsia"/>
        </w:rPr>
        <w:t xml:space="preserve">十、2024年度预算项目绩效目标公开表</w:t>
      </w:r>
    </w:p>
    <w:p>
      <w:pPr>
        <w:pStyle w:val="Bodytext|2"/>
        <w:ind w:left="0" w:firstLine="320" w:leftChars="0" w:firstLineChars="100"/>
        <w:jc w:val="left"/>
        <w:rPr>
          <w:rFonts w:eastAsia="宋体" w:hint="eastAsia"/>
          <w:lang w:eastAsia="zh-CN"/>
        </w:rPr>
        <w:sectPr>
          <w:footerReference w:type="default" r:id="rId5"/>
          <w:pgSz w:w="11900" w:h="16840" w:orient="portrait"/>
          <w:pgMar w:top="1508" w:right="1674" w:bottom="1508" w:left="1851" w:header="0" w:footer="1077" w:gutter="0"/>
          <w:pgBorders>
            <w:top w:val="none" w:sz="0" w:space="0" w:color="auto"/>
            <w:left w:val="none" w:sz="0" w:space="0" w:color="auto"/>
            <w:bottom w:val="none" w:sz="0" w:space="0" w:color="auto"/>
            <w:right w:val="none" w:sz="0" w:space="0" w:color="auto"/>
          </w:pgBorders>
          <w:pgNumType w:fmt="decimal"/>
          <w:cols w:num="1" w:space="720">
            <w:col w:w="8375" w:space="720"/>
          </w:cols>
          <w:docGrid w:linePitch="360" w:charSpace="0"/>
        </w:sectPr>
      </w:pPr>
      <w:r>
        <w:t xml:space="preserve">第四部分</w:t>
      </w:r>
      <w:r>
        <w:rPr>
          <w:rFonts w:hint="eastAsia"/>
          <w:lang w:eastAsia="zh-CN"/>
        </w:rPr>
        <w:t xml:space="preserve">：</w:t>
      </w:r>
      <w:r>
        <w:t xml:space="preserve">名词</w:t>
      </w:r>
      <w:r>
        <w:rPr>
          <w:rFonts w:hint="eastAsia"/>
          <w:lang w:val="en-US" w:eastAsia="zh-CN"/>
        </w:rPr>
        <w:t xml:space="preserve">解释</w:t>
      </w:r>
    </w:p>
    <w:p>
      <w:pPr>
        <w:pStyle w:val="Heading#1|1"/>
        <w:keepNext/>
        <w:keepLines/>
        <w:pageBreakBefore w:val="0"/>
        <w:widowControl w:val="0"/>
        <w:kinsoku/>
        <w:wordWrap/>
        <w:overflowPunct/>
        <w:topLinePunct w:val="0"/>
        <w:autoSpaceDE/>
        <w:autoSpaceDN/>
        <w:bidi w:val="0"/>
        <w:adjustRightInd/>
        <w:snapToGrid/>
        <w:spacing w:before="120" w:after="0" w:line="600" w:lineRule="exact"/>
        <w:jc w:val="both"/>
        <w:textAlignment w:val="auto"/>
        <w:rPr>
          <w:b/>
          <w:bCs/>
          <w:sz w:val="40"/>
          <w:szCs w:val="40"/>
        </w:rPr>
      </w:pPr>
      <w:bookmarkStart w:id="3" w:name="bookmark12"/>
      <w:bookmarkStart w:id="4" w:name="bookmark13"/>
      <w:bookmarkStart w:id="5" w:name="bookmark14"/>
      <w:r>
        <w:rPr>
          <w:b/>
          <w:bCs/>
          <w:sz w:val="40"/>
          <w:szCs w:val="40"/>
        </w:rPr>
        <w:t xml:space="preserve">第一部分</w:t>
      </w:r>
      <w:r>
        <w:rPr>
          <w:rFonts w:hint="eastAsia"/>
          <w:b/>
          <w:bCs/>
          <w:sz w:val="40"/>
          <w:szCs w:val="40"/>
          <w:lang w:eastAsia="zh-CN"/>
        </w:rPr>
        <w:t xml:space="preserve">：</w:t>
      </w:r>
      <w:r>
        <w:rPr>
          <w:b/>
          <w:sz w:val="40"/>
          <w:u w:color="auto"/>
        </w:rPr>
        <w:t xml:space="preserve">环江毛南族自治县大安乡人民政府</w:t>
      </w:r>
      <w:r>
        <w:rPr>
          <w:b/>
          <w:bCs/>
          <w:sz w:val="40"/>
          <w:szCs w:val="40"/>
        </w:rPr>
        <w:t xml:space="preserve">概况</w:t>
      </w:r>
      <w:bookmarkEnd w:id="3"/>
      <w:bookmarkEnd w:id="4"/>
      <w:bookmarkEnd w:id="5"/>
    </w:p>
    <w:p>
      <w:pPr>
        <w:pStyle w:val="Bodytext|2"/>
        <w:spacing w:after="0" w:line="619" w:lineRule="exact"/>
        <w:ind w:firstLine="620"/>
        <w:jc w:val="left"/>
        <w:rPr>
          <w:b/>
          <w:bCs/>
        </w:rPr>
      </w:pPr>
      <w:r>
        <w:rPr>
          <w:rFonts w:hint="eastAsia"/>
          <w:b/>
          <w:bCs/>
          <w:lang w:val="en-US" w:eastAsia="zh-CN"/>
        </w:rPr>
        <w:t xml:space="preserve">一、</w:t>
      </w:r>
      <w:r>
        <w:rPr>
          <w:b/>
          <w:bCs/>
        </w:rPr>
        <w:t xml:space="preserve">主要职责</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根据中国共产党环江毛南族自治县委员会文件（环发〔2011〕33号中国共产党环江毛南族自治县委员会、环江毛南族自治县人民政府关于印发《环江毛南族自治县大安乡党政机关、事业单位职能配置、内设机构和人员编制规定》的通知）规定，本部门主要职责是：</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1.宣传和贯彻执行党的路线、方针、政策，领导和制定本地的经济和社会发展规划，并组织、协调、督促各部门的工作实施，加强对行政和经济组织的领导，引导全乡群众走勤劳致富奔小康道路，促进两个文明建设。</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2.组织全乡所属党员、干部、群众学习马列主义、毛泽东思想、邓小平理论和江泽民同志“三个代表”重要思想，学习党的路线、方针、政策；学习科学、文化、业务知识，尤其是科技兴农知识，不断提高广大党员、干部和群众的整体素质。认真做好思想政治工作，抓好党组织自身建设，增强党组织的凝聚力、吸引力和战斗力，充分发挥党员的先锋模范作用，团结党内外的干部和群众，努力实践“三个代表”，完成所担负的工作任务。</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3.负责全乡精神文明建设和社会治安综合治理，教育党员干部和其他工作人员严格遵守党纪国法。</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4.按照从严治党的要求，搞好党风廉政建设。做好党员教育、管理和发展工作。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5.负责搞好乡、村级干部(后备干部)的教育、培养、选拔、考核和监督管理。</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6.领导本乡团委、妇联、民兵和各级党组织、各经济组织，依照党的路线、方针、政策和国家法律、法规及各自的章程开展工作。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7.领导和监督、检查所属各职能部门和村委的工作。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8.管理辖区内的经济、教育、科技、文化、卫生、体育事业和财政、民政、公安、司法、计划生育等行政工作。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9.维护国有财产和劳动群众集体所有的财产，保护公民私人所有的合法财产，保障公民的合法权利；保障各种经济组织的合法权益。</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10.完成上级交给的其他工作任务。</w:t>
      </w:r>
    </w:p>
    <w:p>
      <w:pPr>
        <w:pStyle w:val="Bodytext|2"/>
        <w:spacing w:after="0" w:line="619" w:lineRule="exact"/>
        <w:ind w:firstLine="620"/>
        <w:jc w:val="left"/>
        <w:rPr>
          <w:rFonts w:hint="eastAsia"/>
          <w:b/>
          <w:bCs/>
          <w:lang w:val="en-US" w:eastAsia="zh-CN"/>
        </w:rPr>
      </w:pPr>
      <w:bookmarkStart w:id="6" w:name="bookmark24"/>
      <w:r>
        <w:rPr>
          <w:rFonts w:hint="eastAsia"/>
          <w:b/>
          <w:bCs/>
          <w:lang w:val="en-US" w:eastAsia="zh-CN"/>
        </w:rPr>
        <w:t xml:space="preserve">二</w:t>
      </w:r>
      <w:bookmarkEnd w:id="6"/>
      <w:r>
        <w:rPr>
          <w:rFonts w:hint="eastAsia"/>
          <w:b/>
          <w:bCs/>
          <w:lang w:val="en-US" w:eastAsia="zh-CN"/>
        </w:rPr>
        <w:t xml:space="preserve">、机构设置情况</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大安乡党政机构设党政办公室、社会事务办公室（加挂民政办公室牌子)、经济发展办公室（大安乡应急管理办公室）、卫生和计划生育办公室、社会治安综合治理办公室等5个机构。乡政府实行助理员制，助理员职位的设置，根据实际需要和编制数量来确定。</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乡设人大机构，不设政协机构，群团组织按有关章程规定设置。</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1.党政办公室主要职责：贯彻执行党在农村的各项方针、政策和法规，负责协调、督查各位助理员、各职能部门和各村(居)委会对各项方针、政策、法规的贯彻落实情况和乡党委、政府所布置的工作实施情况，并将情况报告乡党委、政府及上级部门；负责管理政务服务中心；负责公共突发事件处置和应急管理工作；负责收集分析本乡各方面的重要信息、情况和问题，为乡党委、政府及上级部门决策服务，并负责乡综合性文件、报告、总结等材料的起草、审核、打印；负责重要会议和重大活动的组织、协调、安排；负责做好上呈下达，保证政令畅通；负责史书、档案、保管、保密、信访工作；负责党政机关考勤、财务、车辆管理、后勤、保卫、卫生工作；兼管人员编制等各项具体工作；完成乡党委、政府布置的各项中心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2.社会事务办公室（加挂民政办公室牌子）职责：在乡分管领导的直接领导下开展工作；主要负责教育、科技、文化、卫生、体育、广播电影电视事业、扫黄打非的组织管理；负责民政、社会保障和就业行政管理工作；负责救灾救济、殡葬、流浪、乞讨、收容、遣送和拥军、优抚工作；负责基层政权建设和基层组织建设；协调有关部门抓移民工作；承办上级交办的其他事项，完成乡党委、政府布置的各项中心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3.经济发展办公室（大安乡应急管理办公室）职责：在乡分管领导的直接领导下开展工作；负责乡一、二、三产业规划和监管工作；负责乡企业的规划、指导、管理、监督、协调和服务工作；负责抓乡村建设规划、环境保护、扶贫开发、经贸、食品药品监督、农村能源管理工作；负责抓农田水利基础建、水土保持的管理、防汛抗旱的工作；承担农村土地承包管理、农民负担监督管理、农村集体资产财务管理等；负责抓安全生产监督、统计工作；负责森林防火、森林保扩工作；负责草拟全乡农业生产和各项工作计划；协助做好档案管理的有关工作；完成上级交办的其他事项，完成乡党委、政府在置的各项中心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4.卫生和计划生育办公室主要职责：做好计划生育基层基础管理、计划生育家庭发展、流动人口计划生育服务管理等工作；在乡党委、政府的领导下，执行、落实上级政府及主管部门下达的人口和计划生育目标管理责任制；督促辖区内卫生计生机构落实基本公共卫生服务项目，积极开展公共卫生服务工作，推进基本公共卫生服务均等化，做好卫生计生综合监督执法协管工作；督促辖区内卫生计生机构落实妇幼重大公共卫生服务项目，配合承担国家免费孕前优生健康检查、增补叶酸、产前筛查、新生儿疾病筛查等出生缺陷综合防治项目任务；负责对村级卫生计生工作人员提供业务培训指导，加强对村(社区）计划生育工作指导、检查和督促，深入推进乡村卫生和计生服务一体化和管理；负责对乡卫生院、村卫生室工作人员的医疗行为进行督导，协助县卫生计生部门做好乡、村医疗机构工作人员的绩效考核；完成上级党委、政府和县卫生计生部门交办的其他事项。</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5.社会治安综合治理办公室职责：在乡分管领导的直接领导下开展工作；负责协调公安派出所、司法所等部门抓好社会治安治理经常性工作；具体抓农村（社区）社会治安综合治理矛盾纠纷排查化解、信访、维稳、扫黑除恶、应急处置、法治宣传教育、防范和处理邪教问题等方面的工作；开展基层平安创建活动，推进基层社会治理工作；依托综治中心，统筹协调公安、司法行政、民政、土地、林业、水利、社会保障、人民武装部等基层部门维护社会治安和社会稳定；宣传国家法律法规，执行上级决议和指示精神；完成上级交办的各项工作任务和乡党委、政府布置的各项中心工作。</w:t>
      </w:r>
    </w:p>
    <w:p>
      <w:pPr>
        <w:pStyle w:val="Bodytext|1"/>
        <w:spacing w:line="623" w:lineRule="exact"/>
        <w:ind w:firstLine="1018" w:firstLineChars="0"/>
        <w:jc w:val="left"/>
        <w:rPr>
          <w:rFonts w:hint="eastAsia"/>
          <w:highlight w:val="none"/>
          <w:lang w:val="en-US" w:eastAsia="zh-CN"/>
        </w:rPr>
      </w:pPr>
    </w:p>
    <w:p>
      <w:pPr>
        <w:pStyle w:val="Bodytext|1"/>
        <w:spacing w:line="623" w:lineRule="exact"/>
        <w:ind w:firstLine="1018" w:firstLineChars="0"/>
        <w:jc w:val="left"/>
        <w:rPr>
          <w:rFonts w:hint="eastAsia"/>
          <w:highlight w:val="none"/>
          <w:lang w:val="en-US" w:eastAsia="zh-CN"/>
        </w:rPr>
      </w:pPr>
    </w:p>
    <w:p>
      <w:pPr/>
      <w:r>
        <w:br w:type="page"/>
      </w:r>
    </w:p>
    <w:p>
      <w:pPr>
        <w:pStyle w:val="Heading#1|1"/>
        <w:keepNext/>
        <w:keepLines/>
        <w:pageBreakBefore w:val="0"/>
        <w:widowControl w:val="0"/>
        <w:kinsoku/>
        <w:wordWrap/>
        <w:overflowPunct/>
        <w:topLinePunct w:val="0"/>
        <w:autoSpaceDE/>
        <w:autoSpaceDN/>
        <w:bidi w:val="0"/>
        <w:adjustRightInd/>
        <w:snapToGrid/>
        <w:spacing w:before="120" w:after="0" w:line="600" w:lineRule="exact"/>
        <w:jc w:val="center"/>
        <w:textAlignment w:val="auto"/>
        <w:rPr>
          <w:b/>
          <w:bCs/>
          <w:sz w:val="40"/>
          <w:szCs w:val="40"/>
        </w:rPr>
      </w:pPr>
      <w:bookmarkStart w:id="7" w:name="bookmark69"/>
      <w:bookmarkStart w:id="8" w:name="bookmark70"/>
      <w:bookmarkStart w:id="9" w:name="bookmark68"/>
      <w:bookmarkStart w:id="10" w:name="bookmark28"/>
      <w:bookmarkStart w:id="11" w:name="bookmark26"/>
      <w:bookmarkStart w:id="12" w:name="bookmark27"/>
      <w:r>
        <w:rPr>
          <w:b/>
          <w:bCs/>
          <w:sz w:val="40"/>
          <w:szCs w:val="40"/>
        </w:rPr>
        <w:t xml:space="preserve">第</w:t>
      </w:r>
      <w:r>
        <w:rPr>
          <w:rFonts w:hint="eastAsia"/>
          <w:b/>
          <w:bCs/>
          <w:sz w:val="40"/>
          <w:szCs w:val="40"/>
          <w:lang w:val="en-US" w:eastAsia="zh-CN"/>
        </w:rPr>
        <w:t xml:space="preserve">二</w:t>
      </w:r>
      <w:r>
        <w:rPr>
          <w:b/>
          <w:bCs/>
          <w:sz w:val="40"/>
          <w:szCs w:val="40"/>
        </w:rPr>
        <w:t xml:space="preserve">部分</w:t>
      </w:r>
      <w:r>
        <w:rPr>
          <w:rFonts w:hint="eastAsia"/>
          <w:b/>
          <w:bCs/>
          <w:sz w:val="40"/>
          <w:szCs w:val="40"/>
          <w:lang w:eastAsia="zh-CN"/>
        </w:rPr>
        <w:t xml:space="preserve">：</w:t>
      </w:r>
      <w:bookmarkEnd w:id="7"/>
      <w:bookmarkEnd w:id="8"/>
      <w:bookmarkEnd w:id="9"/>
      <w:r>
        <w:rPr>
          <w:rFonts w:hint="eastAsia"/>
          <w:b/>
          <w:bCs/>
          <w:sz w:val="40"/>
          <w:szCs w:val="40"/>
          <w:lang w:eastAsia="zh-CN"/>
        </w:rPr>
        <w:t xml:space="preserve">环江毛南族自治县大安乡人民政府</w:t>
      </w:r>
      <w:r>
        <w:rPr>
          <w:b/>
          <w:sz w:val="40"/>
          <w:u w:color="auto"/>
        </w:rPr>
        <w:t xml:space="preserve">2024</w:t>
      </w:r>
      <w:r>
        <w:rPr>
          <w:b/>
          <w:sz w:val="40"/>
          <w:u w:color="auto"/>
        </w:rPr>
        <w:t xml:space="preserve">年部门预算情况说明</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bookmarkStart w:id="13" w:name="bookmark71"/>
      <w:r>
        <w:rPr>
          <w:rFonts w:hint="eastAsia"/>
          <w:b/>
          <w:bCs/>
          <w:lang w:val="en-US" w:eastAsia="zh-CN"/>
        </w:rPr>
        <w:t xml:space="preserve">一</w:t>
      </w:r>
      <w:bookmarkEnd w:id="13"/>
      <w:r>
        <w:rPr>
          <w:rFonts w:hint="eastAsia"/>
          <w:b/>
          <w:bCs/>
          <w:lang w:val="en-US" w:eastAsia="zh-CN"/>
        </w:rPr>
        <w:t xml:space="preserve">、部门预算收支总体情况说明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Times New Roman" w:hAnsi="Times New Roman" w:cs="Times New Roman"/>
          <w:b/>
          <w:bCs/>
          <w:sz w:val="28"/>
          <w:szCs w:val="28"/>
          <w:lang w:val="en-US" w:eastAsia="zh-CN"/>
        </w:rPr>
      </w:pPr>
      <w:r>
        <w:rPr>
          <w:rFonts w:hint="eastAsia"/>
          <w:b w:val="0"/>
          <w:bCs w:val="0"/>
          <w:sz w:val="28"/>
          <w:szCs w:val="28"/>
        </w:rPr>
        <w:t xml:space="preserve">我部门总收入</w:t>
      </w:r>
      <w:r>
        <w:rPr>
          <w:rFonts w:hint="eastAsia"/>
          <w:sz w:val="28"/>
          <w:szCs w:val="28"/>
          <w:lang w:val="en-US" w:eastAsia="zh-CN"/>
        </w:rPr>
        <w:t xml:space="preserve">976.52</w:t>
      </w:r>
      <w:r>
        <w:rPr>
          <w:rFonts w:hint="eastAsia"/>
          <w:b w:val="0"/>
          <w:bCs w:val="0"/>
          <w:sz w:val="28"/>
          <w:szCs w:val="28"/>
        </w:rPr>
        <w:t xml:space="preserve">万元，总支出</w:t>
      </w:r>
      <w:r>
        <w:rPr>
          <w:rFonts w:hint="eastAsia"/>
          <w:sz w:val="28"/>
          <w:szCs w:val="28"/>
          <w:lang w:val="en-US" w:eastAsia="zh-CN"/>
        </w:rPr>
        <w:t xml:space="preserve">976.52</w:t>
      </w:r>
      <w:r>
        <w:rPr>
          <w:rFonts w:hint="eastAsia"/>
          <w:b w:val="0"/>
          <w:bCs w:val="0"/>
          <w:sz w:val="28"/>
          <w:szCs w:val="28"/>
        </w:rPr>
        <w:t xml:space="preserve">万元。总收入较2023年度预算数</w:t>
      </w:r>
      <w:r>
        <w:rPr>
          <w:rFonts w:hint="eastAsia"/>
          <w:sz w:val="28"/>
          <w:szCs w:val="28"/>
          <w:lang w:val="en-US" w:eastAsia="zh-CN"/>
        </w:rPr>
        <w:t xml:space="preserve">644.53</w:t>
      </w:r>
      <w:r>
        <w:rPr>
          <w:rFonts w:hint="eastAsia"/>
          <w:b w:val="0"/>
          <w:bCs w:val="0"/>
          <w:sz w:val="28"/>
          <w:szCs w:val="28"/>
        </w:rPr>
        <w:t xml:space="preserve">万元，</w:t>
      </w:r>
      <w:r>
        <w:rPr>
          <w:rFonts w:hint="eastAsia"/>
          <w:sz w:val="28"/>
          <w:szCs w:val="28"/>
        </w:rPr>
        <w:t xml:space="preserve">增加331.99</w:t>
      </w:r>
      <w:r>
        <w:rPr>
          <w:rFonts w:hint="eastAsia"/>
          <w:b w:val="0"/>
          <w:bCs w:val="0"/>
          <w:sz w:val="28"/>
          <w:szCs w:val="28"/>
        </w:rPr>
        <w:t xml:space="preserve">万元，</w:t>
      </w:r>
      <w:r>
        <w:rPr>
          <w:rFonts w:hint="eastAsia"/>
          <w:sz w:val="28"/>
          <w:szCs w:val="28"/>
        </w:rPr>
        <w:t xml:space="preserve">增长51.51%</w:t>
      </w:r>
      <w:r>
        <w:rPr>
          <w:rFonts w:hint="eastAsia"/>
          <w:b w:val="0"/>
          <w:bCs w:val="0"/>
          <w:sz w:val="28"/>
          <w:szCs w:val="28"/>
        </w:rPr>
        <w:t xml:space="preserve">，主要原因是</w:t>
      </w:r>
      <w:r>
        <w:rPr>
          <w:rFonts w:hint="eastAsia"/>
          <w:highlight w:val="none"/>
          <w:lang w:val="en-US" w:eastAsia="zh-CN"/>
        </w:rPr>
        <w:t xml:space="preserve">一般公共预算拨款（本级）较上一年度增加86.97万元，上年结转结余较上一年度增加245.00万元</w:t>
      </w:r>
      <w:r>
        <w:rPr>
          <w:rFonts w:hint="eastAsia"/>
          <w:b w:val="0"/>
          <w:bCs w:val="0"/>
          <w:sz w:val="28"/>
          <w:szCs w:val="28"/>
        </w:rPr>
        <w:t xml:space="preserve">。总支出较2023年度预算数</w:t>
      </w:r>
      <w:r>
        <w:rPr>
          <w:rFonts w:hint="eastAsia"/>
          <w:sz w:val="28"/>
          <w:szCs w:val="28"/>
          <w:lang w:val="en-US" w:eastAsia="zh-CN"/>
        </w:rPr>
        <w:t xml:space="preserve">644.53</w:t>
      </w:r>
      <w:r>
        <w:rPr>
          <w:rFonts w:hint="eastAsia"/>
          <w:b w:val="0"/>
          <w:bCs w:val="0"/>
          <w:sz w:val="28"/>
          <w:szCs w:val="28"/>
        </w:rPr>
        <w:t xml:space="preserve">万元，</w:t>
      </w:r>
      <w:r>
        <w:rPr>
          <w:rFonts w:hint="eastAsia"/>
          <w:sz w:val="28"/>
          <w:szCs w:val="28"/>
        </w:rPr>
        <w:t xml:space="preserve">增加331.99</w:t>
      </w:r>
      <w:r>
        <w:rPr>
          <w:rFonts w:hint="eastAsia"/>
          <w:b w:val="0"/>
          <w:bCs w:val="0"/>
          <w:sz w:val="28"/>
          <w:szCs w:val="28"/>
        </w:rPr>
        <w:t xml:space="preserve">万元，</w:t>
      </w:r>
      <w:r>
        <w:rPr>
          <w:rFonts w:hint="eastAsia"/>
          <w:sz w:val="28"/>
          <w:szCs w:val="28"/>
        </w:rPr>
        <w:t xml:space="preserve">增长51.51%</w:t>
      </w:r>
      <w:r>
        <w:rPr>
          <w:rFonts w:hint="eastAsia"/>
          <w:b w:val="0"/>
          <w:bCs w:val="0"/>
          <w:sz w:val="28"/>
          <w:szCs w:val="28"/>
        </w:rPr>
        <w:t xml:space="preserve">，主要原因是</w:t>
      </w:r>
      <w:r>
        <w:rPr>
          <w:rFonts w:hint="eastAsia"/>
          <w:highlight w:val="none"/>
          <w:lang w:val="en-US" w:eastAsia="zh-CN"/>
        </w:rPr>
        <w:t xml:space="preserve">一般公共服务支出较上一年度增加87.67万元，社会保障和就业支出较上一年度减少0.57万元，节能环保支出较上一年度减少41.56万元，城乡社区支出较上一年度减少4.72万元，农林水支出较上一年度增加25.14万元，交通运输支出较上一年度增加264万元，住房保障支出较上一年度增加2.02万元</w:t>
      </w:r>
      <w:r>
        <w:rPr>
          <w:rFonts w:hint="eastAsia"/>
          <w:b w:val="0"/>
          <w:bCs w:val="0"/>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二、部门收入总体情况说明</w:t>
      </w:r>
      <w:bookmarkStart w:id="14" w:name="_GoBack"/>
      <w:bookmarkEnd w:id="14"/>
    </w:p>
    <w:p>
      <w:pPr>
        <w:pStyle w:val="Bodytext|1"/>
        <w:spacing w:line="240" w:lineRule="auto"/>
        <w:ind w:firstLine="0"/>
        <w:jc w:val="left"/>
        <w:rPr>
          <w:rFonts w:ascii="Times New Roman" w:hAnsi="Times New Roman" w:cs="Times New Roman"/>
          <w:sz w:val="30"/>
          <w:szCs w:val="30"/>
          <w:lang w:val="en-US" w:eastAsia="zh-CN"/>
        </w:rPr>
      </w:pPr>
      <w:r>
        <w:rPr>
          <w:rFonts w:ascii="Times New Roman" w:hAnsi="Times New Roman" w:cs="Times New Roman"/>
          <w:sz w:val="30"/>
          <w:szCs w:val="30"/>
          <w:lang w:val="en-US" w:eastAsia="zh-CN"/>
        </w:rPr>
        <w:drawing>
          <wp:inline distT="0" distB="0" distL="114300" distR="114300">
            <wp:extent cx="4257040" cy="3139440"/>
            <wp:effectExtent l="4445" t="4445" r="5715" b="18415"/>
            <wp:docPr id="3813" name="图表 6" title="{{img_rs_table}}"/>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6"/>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u w:color="auto"/>
          <w:lang w:eastAsia="zh-CN"/>
        </w:rPr>
        <w:t xml:space="preserve">2024</w:t>
      </w:r>
      <w:r>
        <w:rPr>
          <w:rFonts w:ascii="宋体" w:eastAsia="宋体" w:hAnsi="宋体" w:cs="宋体" w:hint="eastAsia"/>
          <w:sz w:val="28"/>
          <w:szCs w:val="28"/>
          <w:u w:color="auto"/>
        </w:rPr>
        <w:t xml:space="preserve">年我部门总收入</w:t>
      </w:r>
      <w:r>
        <w:rPr>
          <w:rFonts w:ascii="宋体" w:eastAsia="宋体" w:hAnsi="宋体" w:cs="宋体" w:hint="eastAsia"/>
          <w:sz w:val="28"/>
          <w:szCs w:val="28"/>
          <w:lang w:val="en-US" w:eastAsia="zh-CN"/>
        </w:rPr>
        <w:t xml:space="preserve">976.52</w:t>
      </w:r>
      <w:r>
        <w:rPr>
          <w:rFonts w:ascii="宋体" w:eastAsia="宋体" w:hAnsi="宋体" w:cs="宋体" w:hint="eastAsia"/>
          <w:sz w:val="28"/>
          <w:szCs w:val="28"/>
          <w:u w:color="auto"/>
        </w:rPr>
        <w:t xml:space="preserve">万元，较2023年度预算数</w:t>
      </w:r>
      <w:r>
        <w:rPr>
          <w:rFonts w:ascii="宋体" w:eastAsia="宋体" w:hAnsi="宋体" w:cs="宋体" w:hint="eastAsia"/>
          <w:sz w:val="28"/>
          <w:szCs w:val="28"/>
          <w:lang w:val="en-US" w:eastAsia="zh-CN"/>
        </w:rPr>
        <w:t xml:space="preserve">644.53</w:t>
      </w:r>
      <w:r>
        <w:rPr>
          <w:rFonts w:ascii="宋体" w:eastAsia="宋体" w:hAnsi="宋体" w:cs="宋体" w:hint="eastAsia"/>
          <w:sz w:val="28"/>
          <w:szCs w:val="28"/>
          <w:u w:color="auto"/>
        </w:rPr>
        <w:t xml:space="preserve">万元，</w:t>
      </w:r>
      <w:r>
        <w:rPr>
          <w:rFonts w:ascii="宋体" w:eastAsia="宋体" w:hAnsi="宋体" w:cs="宋体" w:hint="eastAsia"/>
          <w:sz w:val="28"/>
          <w:szCs w:val="28"/>
        </w:rPr>
        <w:t xml:space="preserve">增加331.99</w:t>
      </w:r>
      <w:r>
        <w:rPr>
          <w:rFonts w:ascii="宋体" w:eastAsia="宋体" w:hAnsi="宋体" w:cs="宋体" w:hint="eastAsia"/>
          <w:sz w:val="28"/>
          <w:szCs w:val="28"/>
          <w:u w:color="auto"/>
        </w:rPr>
        <w:t xml:space="preserve">万元，</w:t>
      </w:r>
      <w:r>
        <w:rPr>
          <w:rFonts w:ascii="宋体" w:eastAsia="宋体" w:hAnsi="宋体" w:cs="宋体" w:hint="eastAsia"/>
          <w:sz w:val="28"/>
          <w:szCs w:val="28"/>
        </w:rPr>
        <w:t xml:space="preserve">增长51.51%</w:t>
      </w:r>
      <w:r>
        <w:rPr>
          <w:rFonts w:ascii="宋体" w:eastAsia="宋体" w:hAnsi="宋体" w:cs="宋体" w:hint="eastAsia"/>
          <w:sz w:val="28"/>
          <w:szCs w:val="28"/>
          <w:u w:color="auto"/>
        </w:rPr>
        <w:t xml:space="preserve">，主要原因是</w:t>
      </w:r>
      <w:r>
        <w:rPr>
          <w:rFonts w:hint="eastAsia"/>
          <w:highlight w:val="none"/>
          <w:lang w:val="en-US" w:eastAsia="zh-CN"/>
        </w:rPr>
        <w:t xml:space="preserve">一般公共预算拨款（本级）较上一年度增加86.97万元，上年结转结余较上一年度增加245.00万元</w:t>
      </w:r>
      <w:r>
        <w:rPr>
          <w:rFonts w:ascii="宋体" w:eastAsia="宋体" w:hAnsi="宋体" w:cs="宋体" w:hint="eastAsia"/>
          <w:sz w:val="28"/>
          <w:szCs w:val="28"/>
          <w:u w:color="auto"/>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三、部门支出总体情况说明</w:t>
      </w:r>
    </w:p>
    <w:p>
      <w:pPr>
        <w:pStyle w:val="Bodytext|1"/>
        <w:spacing w:line="240" w:lineRule="auto"/>
        <w:ind w:firstLine="0"/>
        <w:jc w:val="left"/>
        <w:rPr>
          <w:rFonts w:ascii="Times New Roman" w:eastAsia="Times New Roman" w:hAnsi="Times New Roman" w:cs="Times New Roman"/>
          <w:sz w:val="30"/>
          <w:szCs w:val="30"/>
        </w:rPr>
      </w:pPr>
      <w:r>
        <w:rPr>
          <w:rFonts w:ascii="Times New Roman" w:eastAsia="Times New Roman" w:hAnsi="Times New Roman" w:cs="Times New Roman"/>
          <w:sz w:val="30"/>
          <w:szCs w:val="30"/>
        </w:rPr>
        <w:drawing>
          <wp:inline distT="0" distB="0" distL="114300" distR="114300">
            <wp:extent cx="5080000" cy="3810000"/>
            <wp:effectExtent l="4445" t="4445" r="20955" b="14605"/>
            <wp:docPr id="3814" name="图表 14" title="{{img_gnkm_zc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7"/>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Times New Roman" w:hAnsi="Times New Roman" w:cs="Times New Roman" w:hint="eastAsia"/>
          <w:sz w:val="30"/>
          <w:szCs w:val="30"/>
          <w:lang w:eastAsia="zh-CN"/>
        </w:rPr>
      </w:pPr>
      <w:r>
        <w:rPr>
          <w:rFonts w:ascii="宋体" w:eastAsia="宋体" w:hAnsi="宋体" w:cs="宋体" w:hint="eastAsia"/>
          <w:sz w:val="28"/>
          <w:szCs w:val="28"/>
          <w:lang w:eastAsia="zh-CN"/>
        </w:rPr>
        <w:t xml:space="preserve">2024</w:t>
      </w:r>
      <w:r>
        <w:rPr>
          <w:rFonts w:ascii="宋体" w:eastAsia="宋体" w:hAnsi="宋体" w:cs="宋体"/>
          <w:sz w:val="28"/>
          <w:u w:color="auto"/>
        </w:rPr>
        <w:t xml:space="preserve">年我部门总支出</w:t>
      </w:r>
      <w:r>
        <w:rPr>
          <w:rFonts w:ascii="宋体" w:eastAsia="宋体" w:hAnsi="宋体" w:cs="宋体" w:hint="eastAsia"/>
          <w:sz w:val="28"/>
          <w:szCs w:val="28"/>
          <w:lang w:val="en-US" w:eastAsia="zh-CN"/>
        </w:rPr>
        <w:t xml:space="preserve">976.52</w:t>
      </w:r>
      <w:r>
        <w:rPr>
          <w:rFonts w:ascii="宋体" w:eastAsia="宋体" w:hAnsi="宋体" w:cs="宋体" w:hint="eastAsia"/>
          <w:sz w:val="28"/>
          <w:szCs w:val="28"/>
          <w:lang w:eastAsia="zh-CN"/>
        </w:rPr>
        <w:t xml:space="preserve">万元，较2023年度预算数</w:t>
      </w:r>
      <w:r>
        <w:rPr>
          <w:rFonts w:ascii="宋体" w:eastAsia="宋体" w:hAnsi="宋体" w:cs="宋体" w:hint="eastAsia"/>
          <w:sz w:val="28"/>
          <w:szCs w:val="28"/>
          <w:lang w:val="en-US" w:eastAsia="zh-CN"/>
        </w:rPr>
        <w:t xml:space="preserve">644.53</w:t>
      </w:r>
      <w:r>
        <w:rPr>
          <w:rFonts w:ascii="宋体" w:eastAsia="宋体" w:hAnsi="宋体" w:cs="宋体" w:hint="eastAsia"/>
          <w:sz w:val="28"/>
          <w:szCs w:val="28"/>
          <w:lang w:eastAsia="zh-CN"/>
        </w:rPr>
        <w:t xml:space="preserve">万元，</w:t>
      </w:r>
      <w:r>
        <w:rPr>
          <w:rFonts w:ascii="宋体" w:eastAsia="宋体" w:hAnsi="宋体" w:cs="宋体" w:hint="eastAsia"/>
          <w:sz w:val="28"/>
          <w:szCs w:val="28"/>
        </w:rPr>
        <w:t xml:space="preserve">增加331.99</w:t>
      </w:r>
      <w:r>
        <w:rPr>
          <w:rFonts w:ascii="宋体" w:eastAsia="宋体" w:hAnsi="宋体" w:cs="宋体" w:hint="eastAsia"/>
          <w:sz w:val="28"/>
          <w:szCs w:val="28"/>
          <w:lang w:eastAsia="zh-CN"/>
        </w:rPr>
        <w:t xml:space="preserve">万元，</w:t>
      </w:r>
      <w:r>
        <w:rPr>
          <w:rFonts w:ascii="宋体" w:eastAsia="宋体" w:hAnsi="宋体" w:cs="宋体" w:hint="eastAsia"/>
          <w:sz w:val="28"/>
          <w:szCs w:val="28"/>
        </w:rPr>
        <w:t xml:space="preserve">增长51.51%</w:t>
      </w:r>
      <w:r>
        <w:rPr>
          <w:rFonts w:ascii="宋体" w:eastAsia="宋体" w:hAnsi="宋体" w:cs="宋体" w:hint="eastAsia"/>
          <w:sz w:val="28"/>
          <w:szCs w:val="28"/>
          <w:lang w:eastAsia="zh-CN"/>
        </w:rPr>
        <w:t xml:space="preserve">，主要原因是</w:t>
      </w:r>
      <w:r>
        <w:rPr>
          <w:rFonts w:hint="eastAsia"/>
          <w:highlight w:val="none"/>
          <w:lang w:val="en-US" w:eastAsia="zh-CN"/>
        </w:rPr>
        <w:t xml:space="preserve">一般公共服务支出、农林水支出和交通运输支出较上一年度有所增加</w:t>
      </w:r>
      <w:r>
        <w:rPr>
          <w:rFonts w:ascii="Times New Roman" w:hAnsi="Times New Roman" w:cs="Times New Roman" w:hint="eastAsia"/>
          <w:sz w:val="30"/>
          <w:szCs w:val="30"/>
          <w:lang w:eastAsia="zh-CN"/>
        </w:rPr>
        <w:t xml:space="preserve">。主要包括：</w:t>
      </w:r>
      <w:r>
        <w:rPr>
          <w:rFonts w:hint="eastAsia"/>
          <w:highlight w:val="none"/>
          <w:lang w:val="en-US" w:eastAsia="zh-CN"/>
        </w:rPr>
        <w:t xml:space="preserve">一般公共服务支出较上一年度增加87.67万元，农林水支出较上一年度增加25.14万元，交通运输支出较上一年度增加264.00万元</w:t>
      </w:r>
      <w:r>
        <w:rPr>
          <w:rFonts w:ascii="Times New Roman" w:hAnsi="Times New Roman" w:cs="Times New Roman" w:hint="eastAsia"/>
          <w:sz w:val="30"/>
          <w:szCs w:val="30"/>
          <w:lang w:eastAsia="zh-CN"/>
        </w:rPr>
        <w:t xml:space="preserve">。</w:t>
      </w:r>
    </w:p>
    <w:p>
      <w:pPr>
        <w:pStyle w:val="Bodytext|1"/>
        <w:keepNext w:val="0"/>
        <w:keepLines w:val="0"/>
        <w:pageBreakBefore w:val="0"/>
        <w:widowControl w:val="0"/>
        <w:kinsoku/>
        <w:wordWrap/>
        <w:overflowPunct/>
        <w:topLinePunct w:val="0"/>
        <w:autoSpaceDE/>
        <w:autoSpaceDN/>
        <w:bidi w:val="0"/>
        <w:adjustRightInd/>
        <w:snapToGrid/>
        <w:spacing w:after="140" w:line="600" w:lineRule="exact"/>
        <w:ind w:firstLine="0"/>
        <w:jc w:val="left"/>
        <w:textAlignment w:val="auto"/>
      </w:pPr>
      <w:r>
        <w:t xml:space="preserve">（一）按支出功能分类科目划分，共分为</w:t>
      </w:r>
      <w:r>
        <w:rPr>
          <w:rFonts w:hint="eastAsia"/>
          <w:lang w:val="en-US" w:eastAsia="zh-CN"/>
        </w:rPr>
        <w:t xml:space="preserve">8</w:t>
      </w:r>
      <w:r>
        <w:t xml:space="preserve">类，其中:</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hint="eastAsia"/>
        </w:rPr>
      </w:pPr>
      <w:r>
        <w:rPr>
          <w:rFonts w:hint="eastAsia"/>
        </w:rPr>
        <w:t xml:space="preserve">(</w:t>
      </w:r>
      <w:r>
        <w:rPr>
          <w:u w:color="auto"/>
        </w:rPr>
        <w:t xml:space="preserve">1</w:t>
      </w:r>
      <w:r>
        <w:rPr>
          <w:u w:color="auto"/>
        </w:rPr>
        <w:t xml:space="preserve">)</w:t>
      </w:r>
      <w:r>
        <w:rPr>
          <w:u w:color="auto"/>
        </w:rPr>
        <w:t xml:space="preserve">一般公共服务支出</w:t>
      </w:r>
      <w:r>
        <w:rPr>
          <w:rFonts w:hint="eastAsia"/>
          <w:lang w:val="en-US" w:eastAsia="zh-CN"/>
        </w:rPr>
        <w:t xml:space="preserve">571.71</w:t>
      </w:r>
      <w:r>
        <w:rPr>
          <w:rFonts w:hint="eastAsia"/>
        </w:rPr>
        <w:t xml:space="preserve">万元，占支出总预算</w:t>
      </w:r>
      <w:r>
        <w:rPr>
          <w:rFonts w:hint="eastAsia"/>
          <w:lang w:val="en-US" w:eastAsia="zh-CN"/>
        </w:rPr>
        <w:t xml:space="preserve">58.55%</w:t>
      </w:r>
      <w:r>
        <w:rPr>
          <w:rFonts w:hint="eastAsia"/>
        </w:rPr>
        <w:t xml:space="preserve">,比上年</w:t>
      </w:r>
      <w:r>
        <w:rPr>
          <w:rFonts w:hint="eastAsia"/>
          <w:lang w:val="en-US" w:eastAsia="zh-CN"/>
        </w:rPr>
        <w:t xml:space="preserve">增长87.67</w:t>
      </w:r>
      <w:r>
        <w:rPr>
          <w:rFonts w:hint="eastAsia"/>
        </w:rPr>
        <w:t xml:space="preserve">万元，</w:t>
      </w:r>
      <w:r>
        <w:rPr>
          <w:rFonts w:hint="eastAsia"/>
          <w:lang w:val="en-US" w:eastAsia="zh-CN"/>
        </w:rPr>
        <w:t xml:space="preserve">增长18.11%</w:t>
      </w:r>
      <w:r>
        <w:rPr>
          <w:rFonts w:hint="eastAsia"/>
        </w:rPr>
        <w:t xml:space="preserve">,</w:t>
      </w:r>
      <w:r>
        <w:rPr>
          <w:rFonts w:hint="eastAsia"/>
          <w:highlight w:val="none"/>
        </w:rPr>
        <w:t xml:space="preserve">主要原因是：</w:t>
      </w:r>
      <w:r>
        <w:rPr>
          <w:rFonts w:hint="eastAsia"/>
          <w:highlight w:val="none"/>
          <w:lang w:val="en-US" w:eastAsia="zh-CN"/>
        </w:rPr>
        <w:t xml:space="preserve">行政运行方面支出较上一年度增加90.89万元，其他人大事务支出较上一年度减少1.04万元，其他群众团体事务支出较上一年度减少2.17万元，一般行政管理事务支出与上年持平</w:t>
      </w:r>
      <w:r>
        <w:rPr>
          <w:rFonts w:hint="eastAsia"/>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hint="eastAsia"/>
        </w:rPr>
      </w:pPr>
      <w:r>
        <w:rPr>
          <w:rFonts w:hint="eastAsia"/>
        </w:rPr>
        <w:t xml:space="preserve">(</w:t>
      </w:r>
      <w:r>
        <w:rPr>
          <w:u w:color="auto"/>
        </w:rPr>
        <w:t xml:space="preserve">2</w:t>
      </w:r>
      <w:r>
        <w:rPr>
          <w:u w:color="auto"/>
        </w:rPr>
        <w:t xml:space="preserve">)</w:t>
      </w:r>
      <w:r>
        <w:rPr>
          <w:u w:color="auto"/>
        </w:rPr>
        <w:t xml:space="preserve">节能环保支出</w:t>
      </w:r>
      <w:r>
        <w:rPr>
          <w:rFonts w:hint="eastAsia"/>
          <w:lang w:val="en-US" w:eastAsia="zh-CN"/>
        </w:rPr>
        <w:t xml:space="preserve">22.06</w:t>
      </w:r>
      <w:r>
        <w:rPr>
          <w:rFonts w:hint="eastAsia"/>
        </w:rPr>
        <w:t xml:space="preserve">万元，占支出总预算</w:t>
      </w:r>
      <w:r>
        <w:rPr>
          <w:rFonts w:hint="eastAsia"/>
          <w:lang w:val="en-US" w:eastAsia="zh-CN"/>
        </w:rPr>
        <w:t xml:space="preserve">2.26%</w:t>
      </w:r>
      <w:r>
        <w:rPr>
          <w:rFonts w:hint="eastAsia"/>
        </w:rPr>
        <w:t xml:space="preserve">,比上年</w:t>
      </w:r>
      <w:r>
        <w:rPr>
          <w:rFonts w:hint="eastAsia"/>
          <w:lang w:val="en-US" w:eastAsia="zh-CN"/>
        </w:rPr>
        <w:t xml:space="preserve">减少41.56</w:t>
      </w:r>
      <w:r>
        <w:rPr>
          <w:rFonts w:hint="eastAsia"/>
        </w:rPr>
        <w:t xml:space="preserve">万元，</w:t>
      </w:r>
      <w:r>
        <w:rPr>
          <w:rFonts w:hint="eastAsia"/>
          <w:lang w:val="en-US" w:eastAsia="zh-CN"/>
        </w:rPr>
        <w:t xml:space="preserve">减少65.33%</w:t>
      </w:r>
      <w:r>
        <w:rPr>
          <w:rFonts w:hint="eastAsia"/>
        </w:rPr>
        <w:t xml:space="preserve">,</w:t>
      </w:r>
      <w:r>
        <w:rPr>
          <w:rFonts w:hint="eastAsia"/>
          <w:highlight w:val="none"/>
        </w:rPr>
        <w:t xml:space="preserve">主要原因是：</w:t>
      </w:r>
      <w:r>
        <w:rPr>
          <w:rFonts w:hint="eastAsia"/>
          <w:highlight w:val="none"/>
          <w:lang w:val="en-US" w:eastAsia="zh-CN"/>
        </w:rPr>
        <w:t xml:space="preserve">生态保护方面支出较上一年度减少41.56万元</w:t>
      </w:r>
      <w:r>
        <w:rPr>
          <w:rFonts w:hint="eastAsia"/>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hint="eastAsia"/>
        </w:rPr>
      </w:pPr>
      <w:r>
        <w:rPr>
          <w:rFonts w:hint="eastAsia"/>
        </w:rPr>
        <w:t xml:space="preserve">(</w:t>
      </w:r>
      <w:r>
        <w:rPr>
          <w:u w:color="auto"/>
        </w:rPr>
        <w:t xml:space="preserve">3</w:t>
      </w:r>
      <w:r>
        <w:rPr>
          <w:u w:color="auto"/>
        </w:rPr>
        <w:t xml:space="preserve">)</w:t>
      </w:r>
      <w:r>
        <w:rPr>
          <w:u w:color="auto"/>
        </w:rPr>
        <w:t xml:space="preserve">社会保障和就业支出</w:t>
      </w:r>
      <w:r>
        <w:rPr>
          <w:rFonts w:hint="eastAsia"/>
          <w:lang w:val="en-US" w:eastAsia="zh-CN"/>
        </w:rPr>
        <w:t xml:space="preserve">48.31</w:t>
      </w:r>
      <w:r>
        <w:rPr>
          <w:rFonts w:hint="eastAsia"/>
        </w:rPr>
        <w:t xml:space="preserve">万元，占支出总预算</w:t>
      </w:r>
      <w:r>
        <w:rPr>
          <w:rFonts w:hint="eastAsia"/>
          <w:lang w:val="en-US" w:eastAsia="zh-CN"/>
        </w:rPr>
        <w:t xml:space="preserve">4.95%</w:t>
      </w:r>
      <w:r>
        <w:rPr>
          <w:rFonts w:hint="eastAsia"/>
        </w:rPr>
        <w:t xml:space="preserve">,比上年</w:t>
      </w:r>
      <w:r>
        <w:rPr>
          <w:rFonts w:hint="eastAsia"/>
          <w:lang w:val="en-US" w:eastAsia="zh-CN"/>
        </w:rPr>
        <w:t xml:space="preserve">减少0.57</w:t>
      </w:r>
      <w:r>
        <w:rPr>
          <w:rFonts w:hint="eastAsia"/>
        </w:rPr>
        <w:t xml:space="preserve">万元，</w:t>
      </w:r>
      <w:r>
        <w:rPr>
          <w:rFonts w:hint="eastAsia"/>
          <w:lang w:val="en-US" w:eastAsia="zh-CN"/>
        </w:rPr>
        <w:t xml:space="preserve">减少1.17%</w:t>
      </w:r>
      <w:r>
        <w:rPr>
          <w:rFonts w:hint="eastAsia"/>
        </w:rPr>
        <w:t xml:space="preserve">,</w:t>
      </w:r>
      <w:r>
        <w:rPr>
          <w:rFonts w:hint="eastAsia"/>
          <w:highlight w:val="none"/>
        </w:rPr>
        <w:t xml:space="preserve">主要原因是：</w:t>
      </w:r>
      <w:r>
        <w:rPr>
          <w:rFonts w:hint="eastAsia"/>
          <w:highlight w:val="none"/>
          <w:lang w:val="en-US" w:eastAsia="zh-CN"/>
        </w:rPr>
        <w:t xml:space="preserve">机关事业单位基本养老保险缴费支出较上一年度减少3.75万元，临时救助支出较上一年度增加3.18万元</w:t>
      </w:r>
      <w:r>
        <w:rPr>
          <w:rFonts w:hint="eastAsia"/>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hint="eastAsia"/>
        </w:rPr>
      </w:pPr>
      <w:r>
        <w:rPr>
          <w:rFonts w:hint="eastAsia"/>
        </w:rPr>
        <w:t xml:space="preserve">(</w:t>
      </w:r>
      <w:r>
        <w:rPr>
          <w:u w:color="auto"/>
        </w:rPr>
        <w:t xml:space="preserve">4</w:t>
      </w:r>
      <w:r>
        <w:rPr>
          <w:u w:color="auto"/>
        </w:rPr>
        <w:t xml:space="preserve">)</w:t>
      </w:r>
      <w:r>
        <w:rPr>
          <w:u w:color="auto"/>
        </w:rPr>
        <w:t xml:space="preserve">农林水支出</w:t>
      </w:r>
      <w:r>
        <w:rPr>
          <w:rFonts w:hint="eastAsia"/>
          <w:lang w:val="en-US" w:eastAsia="zh-CN"/>
        </w:rPr>
        <w:t xml:space="preserve">31.02</w:t>
      </w:r>
      <w:r>
        <w:rPr>
          <w:rFonts w:hint="eastAsia"/>
        </w:rPr>
        <w:t xml:space="preserve">万元，占支出总预算</w:t>
      </w:r>
      <w:r>
        <w:rPr>
          <w:rFonts w:hint="eastAsia"/>
          <w:lang w:val="en-US" w:eastAsia="zh-CN"/>
        </w:rPr>
        <w:t xml:space="preserve">3.18%</w:t>
      </w:r>
      <w:r>
        <w:rPr>
          <w:rFonts w:hint="eastAsia"/>
        </w:rPr>
        <w:t xml:space="preserve">,比上年</w:t>
      </w:r>
      <w:r>
        <w:rPr>
          <w:rFonts w:hint="eastAsia"/>
          <w:lang w:val="en-US" w:eastAsia="zh-CN"/>
        </w:rPr>
        <w:t xml:space="preserve">增长25.14</w:t>
      </w:r>
      <w:r>
        <w:rPr>
          <w:rFonts w:hint="eastAsia"/>
        </w:rPr>
        <w:t xml:space="preserve">万元，</w:t>
      </w:r>
      <w:r>
        <w:rPr>
          <w:rFonts w:hint="eastAsia"/>
          <w:lang w:val="en-US" w:eastAsia="zh-CN"/>
        </w:rPr>
        <w:t xml:space="preserve">增长427.55%</w:t>
      </w:r>
      <w:r>
        <w:rPr>
          <w:rFonts w:hint="eastAsia"/>
        </w:rPr>
        <w:t xml:space="preserve">,</w:t>
      </w:r>
      <w:r>
        <w:rPr>
          <w:rFonts w:hint="eastAsia"/>
          <w:highlight w:val="none"/>
        </w:rPr>
        <w:t xml:space="preserve">主要原因是：</w:t>
      </w:r>
      <w:r>
        <w:rPr>
          <w:rFonts w:hint="eastAsia"/>
          <w:highlight w:val="none"/>
          <w:lang w:val="en-US" w:eastAsia="zh-CN"/>
        </w:rPr>
        <w:t xml:space="preserve">对高校毕业生到基层任职补助较上一年度减少0.75万元，森林资源培育方面支出较上一年度增加28.74万元，其他农林水支出较上一年度减少2.85万元</w:t>
      </w:r>
      <w:r>
        <w:rPr>
          <w:rFonts w:hint="eastAsia"/>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hint="eastAsia"/>
        </w:rPr>
      </w:pPr>
      <w:r>
        <w:rPr>
          <w:rFonts w:hint="eastAsia"/>
        </w:rPr>
        <w:t xml:space="preserve">(</w:t>
      </w:r>
      <w:r>
        <w:rPr>
          <w:u w:color="auto"/>
        </w:rPr>
        <w:t xml:space="preserve">5</w:t>
      </w:r>
      <w:r>
        <w:rPr>
          <w:u w:color="auto"/>
        </w:rPr>
        <w:t xml:space="preserve">)</w:t>
      </w:r>
      <w:r>
        <w:rPr>
          <w:u w:color="auto"/>
        </w:rPr>
        <w:t xml:space="preserve">城乡社区支出</w:t>
      </w:r>
      <w:r>
        <w:rPr>
          <w:rFonts w:hint="eastAsia"/>
          <w:lang w:val="en-US" w:eastAsia="zh-CN"/>
        </w:rPr>
        <w:t xml:space="preserve">0.00</w:t>
      </w:r>
      <w:r>
        <w:rPr>
          <w:rFonts w:hint="eastAsia"/>
        </w:rPr>
        <w:t xml:space="preserve">万元，占支出总预算</w:t>
      </w:r>
      <w:r>
        <w:rPr>
          <w:rFonts w:hint="eastAsia"/>
          <w:lang w:val="en-US" w:eastAsia="zh-CN"/>
        </w:rPr>
        <w:t xml:space="preserve">0.00%</w:t>
      </w:r>
      <w:r>
        <w:rPr>
          <w:rFonts w:hint="eastAsia"/>
        </w:rPr>
        <w:t xml:space="preserve">,比上年</w:t>
      </w:r>
      <w:r>
        <w:rPr>
          <w:rFonts w:hint="eastAsia"/>
          <w:lang w:val="en-US" w:eastAsia="zh-CN"/>
        </w:rPr>
        <w:t xml:space="preserve">减少4.72</w:t>
      </w:r>
      <w:r>
        <w:rPr>
          <w:rFonts w:hint="eastAsia"/>
        </w:rPr>
        <w:t xml:space="preserve">万元，</w:t>
      </w:r>
      <w:r>
        <w:rPr>
          <w:rFonts w:hint="eastAsia"/>
          <w:lang w:val="en-US" w:eastAsia="zh-CN"/>
        </w:rPr>
        <w:t xml:space="preserve">减少100.00%</w:t>
      </w:r>
      <w:r>
        <w:rPr>
          <w:rFonts w:hint="eastAsia"/>
        </w:rPr>
        <w:t xml:space="preserve">,</w:t>
      </w:r>
      <w:r>
        <w:rPr>
          <w:rFonts w:hint="eastAsia"/>
          <w:highlight w:val="none"/>
        </w:rPr>
        <w:t xml:space="preserve">主要原因是：</w:t>
      </w:r>
      <w:r>
        <w:rPr>
          <w:rFonts w:hint="eastAsia"/>
          <w:highlight w:val="none"/>
          <w:lang w:val="en-US" w:eastAsia="zh-CN"/>
        </w:rPr>
        <w:t xml:space="preserve">城乡社区环境卫生方面支出较上一年度减少4.72万元</w:t>
      </w:r>
      <w:r>
        <w:rPr>
          <w:rFonts w:hint="eastAsia"/>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hint="eastAsia"/>
        </w:rPr>
      </w:pPr>
      <w:r>
        <w:rPr>
          <w:rFonts w:hint="eastAsia"/>
        </w:rPr>
        <w:t xml:space="preserve">(</w:t>
      </w:r>
      <w:r>
        <w:rPr>
          <w:u w:color="auto"/>
        </w:rPr>
        <w:t xml:space="preserve">6</w:t>
      </w:r>
      <w:r>
        <w:rPr>
          <w:u w:color="auto"/>
        </w:rPr>
        <w:t xml:space="preserve">)</w:t>
      </w:r>
      <w:r>
        <w:rPr>
          <w:u w:color="auto"/>
        </w:rPr>
        <w:t xml:space="preserve">住房保障支出</w:t>
      </w:r>
      <w:r>
        <w:rPr>
          <w:rFonts w:hint="eastAsia"/>
          <w:lang w:val="en-US" w:eastAsia="zh-CN"/>
        </w:rPr>
        <w:t xml:space="preserve">37.91</w:t>
      </w:r>
      <w:r>
        <w:rPr>
          <w:rFonts w:hint="eastAsia"/>
        </w:rPr>
        <w:t xml:space="preserve">万元，占支出总预算</w:t>
      </w:r>
      <w:r>
        <w:rPr>
          <w:rFonts w:hint="eastAsia"/>
          <w:lang w:val="en-US" w:eastAsia="zh-CN"/>
        </w:rPr>
        <w:t xml:space="preserve">3.88%</w:t>
      </w:r>
      <w:r>
        <w:rPr>
          <w:rFonts w:hint="eastAsia"/>
        </w:rPr>
        <w:t xml:space="preserve">,比上年</w:t>
      </w:r>
      <w:r>
        <w:rPr>
          <w:rFonts w:hint="eastAsia"/>
          <w:lang w:val="en-US" w:eastAsia="zh-CN"/>
        </w:rPr>
        <w:t xml:space="preserve">增长2.02</w:t>
      </w:r>
      <w:r>
        <w:rPr>
          <w:rFonts w:hint="eastAsia"/>
        </w:rPr>
        <w:t xml:space="preserve">万元，</w:t>
      </w:r>
      <w:r>
        <w:rPr>
          <w:rFonts w:hint="eastAsia"/>
          <w:lang w:val="en-US" w:eastAsia="zh-CN"/>
        </w:rPr>
        <w:t xml:space="preserve">增长5.63%</w:t>
      </w:r>
      <w:r>
        <w:rPr>
          <w:rFonts w:hint="eastAsia"/>
        </w:rPr>
        <w:t xml:space="preserve">,</w:t>
      </w:r>
      <w:r>
        <w:rPr>
          <w:rFonts w:hint="eastAsia"/>
          <w:highlight w:val="none"/>
        </w:rPr>
        <w:t xml:space="preserve">主要原因是：</w:t>
      </w:r>
      <w:r>
        <w:rPr>
          <w:rFonts w:hint="eastAsia"/>
          <w:highlight w:val="none"/>
          <w:lang w:val="en-US" w:eastAsia="zh-CN"/>
        </w:rPr>
        <w:t xml:space="preserve">住房公积金方面支出较上一年度增加2.02万元</w:t>
      </w:r>
      <w:r>
        <w:rPr>
          <w:rFonts w:hint="eastAsia"/>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hint="eastAsia"/>
        </w:rPr>
      </w:pPr>
      <w:r>
        <w:rPr>
          <w:rFonts w:hint="eastAsia"/>
        </w:rPr>
        <w:t xml:space="preserve">(</w:t>
      </w:r>
      <w:r>
        <w:rPr>
          <w:u w:color="auto"/>
        </w:rPr>
        <w:t xml:space="preserve">7</w:t>
      </w:r>
      <w:r>
        <w:rPr>
          <w:u w:color="auto"/>
        </w:rPr>
        <w:t xml:space="preserve">)</w:t>
      </w:r>
      <w:r>
        <w:rPr>
          <w:u w:color="auto"/>
        </w:rPr>
        <w:t xml:space="preserve">灾害防治及应急管理支出</w:t>
      </w:r>
      <w:r>
        <w:rPr>
          <w:rFonts w:hint="eastAsia"/>
          <w:lang w:val="en-US" w:eastAsia="zh-CN"/>
        </w:rPr>
        <w:t xml:space="preserve">1.50</w:t>
      </w:r>
      <w:r>
        <w:rPr>
          <w:rFonts w:hint="eastAsia"/>
        </w:rPr>
        <w:t xml:space="preserve">万元，占支出总预算</w:t>
      </w:r>
      <w:r>
        <w:rPr>
          <w:rFonts w:hint="eastAsia"/>
          <w:lang w:val="en-US" w:eastAsia="zh-CN"/>
        </w:rPr>
        <w:t xml:space="preserve">0.15%</w:t>
      </w:r>
      <w:r>
        <w:rPr>
          <w:rFonts w:hint="eastAsia"/>
        </w:rPr>
        <w:t xml:space="preserve">,比上年</w:t>
      </w:r>
      <w:r>
        <w:rPr>
          <w:rFonts w:hint="eastAsia"/>
          <w:lang w:val="en-US" w:eastAsia="zh-CN"/>
        </w:rPr>
        <w:t xml:space="preserve">增长0.00</w:t>
      </w:r>
      <w:r>
        <w:rPr>
          <w:rFonts w:hint="eastAsia"/>
        </w:rPr>
        <w:t xml:space="preserve">万元，</w:t>
      </w:r>
      <w:r>
        <w:rPr>
          <w:rFonts w:hint="eastAsia"/>
          <w:lang w:val="en-US" w:eastAsia="zh-CN"/>
        </w:rPr>
        <w:t xml:space="preserve">增长0.00%</w:t>
      </w:r>
      <w:r>
        <w:rPr>
          <w:rFonts w:hint="eastAsia"/>
        </w:rPr>
        <w:t xml:space="preserve">,</w:t>
      </w:r>
      <w:r>
        <w:rPr>
          <w:rFonts w:hint="eastAsia"/>
          <w:highlight w:val="none"/>
        </w:rPr>
        <w:t xml:space="preserve">主要原因是：</w:t>
      </w:r>
      <w:r>
        <w:rPr>
          <w:rFonts w:hint="eastAsia"/>
          <w:highlight w:val="none"/>
          <w:lang w:val="en-US" w:eastAsia="zh-CN"/>
        </w:rPr>
        <w:t xml:space="preserve">地质灾害防治方面的支出与上一年度持平</w:t>
      </w:r>
      <w:r>
        <w:rPr>
          <w:rFonts w:hint="eastAsia"/>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hint="eastAsia"/>
        </w:rPr>
      </w:pPr>
      <w:r>
        <w:rPr>
          <w:rFonts w:hint="eastAsia"/>
        </w:rPr>
        <w:t xml:space="preserve">(</w:t>
      </w:r>
      <w:r>
        <w:rPr>
          <w:u w:color="auto"/>
        </w:rPr>
        <w:t xml:space="preserve">8</w:t>
      </w:r>
      <w:r>
        <w:rPr>
          <w:u w:color="auto"/>
        </w:rPr>
        <w:t xml:space="preserve">)</w:t>
      </w:r>
      <w:r>
        <w:rPr>
          <w:u w:color="auto"/>
        </w:rPr>
        <w:t xml:space="preserve">交通运输支出</w:t>
      </w:r>
      <w:r>
        <w:rPr>
          <w:rFonts w:hint="eastAsia"/>
          <w:lang w:val="en-US" w:eastAsia="zh-CN"/>
        </w:rPr>
        <w:t xml:space="preserve">264.00</w:t>
      </w:r>
      <w:r>
        <w:rPr>
          <w:rFonts w:hint="eastAsia"/>
        </w:rPr>
        <w:t xml:space="preserve">万元，占支出总预算</w:t>
      </w:r>
      <w:r>
        <w:rPr>
          <w:rFonts w:hint="eastAsia"/>
          <w:lang w:val="en-US" w:eastAsia="zh-CN"/>
        </w:rPr>
        <w:t xml:space="preserve">27.03%</w:t>
      </w:r>
      <w:r>
        <w:rPr>
          <w:rFonts w:hint="eastAsia"/>
        </w:rPr>
        <w:t xml:space="preserve">,比上年</w:t>
      </w:r>
      <w:r>
        <w:rPr>
          <w:rFonts w:hint="eastAsia"/>
          <w:lang w:val="en-US" w:eastAsia="zh-CN"/>
        </w:rPr>
        <w:t xml:space="preserve">增长264.00</w:t>
      </w:r>
      <w:r>
        <w:rPr>
          <w:rFonts w:hint="eastAsia"/>
        </w:rPr>
        <w:t xml:space="preserve">万元，</w:t>
      </w:r>
      <w:r>
        <w:rPr>
          <w:rFonts w:hint="eastAsia"/>
          <w:lang w:val="en-US" w:eastAsia="zh-CN"/>
        </w:rPr>
        <w:t xml:space="preserve">增长100%</w:t>
      </w:r>
      <w:r>
        <w:rPr>
          <w:rFonts w:hint="eastAsia"/>
        </w:rPr>
        <w:t xml:space="preserve">,</w:t>
      </w:r>
      <w:r>
        <w:rPr>
          <w:rFonts w:hint="eastAsia"/>
          <w:highlight w:val="none"/>
        </w:rPr>
        <w:t xml:space="preserve">主要原因是：</w:t>
      </w:r>
      <w:r>
        <w:rPr>
          <w:rFonts w:hint="eastAsia"/>
          <w:highlight w:val="none"/>
          <w:lang w:val="en-US" w:eastAsia="zh-CN"/>
        </w:rPr>
        <w:t xml:space="preserve">公路建设方面的支出较上一年度增加264.00万元</w:t>
      </w:r>
      <w:r>
        <w:rPr>
          <w:rFonts w:hint="eastAsia"/>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740"/>
        <w:jc w:val="left"/>
        <w:textAlignment w:val="auto"/>
      </w:pPr>
      <w:r>
        <w:t xml:space="preserve">(二)按支出结构分类划分，分为基本支出预算和项目支出预算。</w:t>
      </w:r>
    </w:p>
    <w:p>
      <w:pPr>
        <w:pStyle w:val="Bodytext|1"/>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firstLine="560" w:leftChars="0" w:firstLineChars="200"/>
        <w:jc w:val="left"/>
        <w:textAlignment w:val="auto"/>
      </w:pPr>
      <w:r>
        <w:t xml:space="preserve">基本支出预算。</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eastAsia"/>
          <w:lang w:val="en-US" w:eastAsia="zh-CN"/>
        </w:rPr>
      </w:pPr>
      <w:r>
        <w:rPr>
          <w:rFonts w:hint="eastAsia"/>
        </w:rPr>
        <w:t xml:space="preserve">基本支出预算</w:t>
      </w:r>
      <w:r>
        <w:rPr>
          <w:rFonts w:hint="eastAsia"/>
          <w:lang w:val="en-US" w:eastAsia="zh-CN"/>
        </w:rPr>
        <w:t xml:space="preserve">581.98</w:t>
      </w:r>
      <w:r>
        <w:rPr>
          <w:rFonts w:hint="eastAsia"/>
        </w:rPr>
        <w:t xml:space="preserve">万元，占支出预算</w:t>
      </w:r>
      <w:r>
        <w:rPr>
          <w:u w:color="auto"/>
        </w:rPr>
        <w:t xml:space="preserve">59.60%</w:t>
      </w:r>
      <w:r>
        <w:rPr>
          <w:u w:color="auto"/>
        </w:rPr>
        <w:t xml:space="preserve">,比上年</w:t>
      </w:r>
      <w:r>
        <w:rPr>
          <w:u w:color="auto"/>
        </w:rPr>
        <w:t xml:space="preserve">增长86.97</w:t>
      </w:r>
      <w:r>
        <w:rPr>
          <w:u w:color="auto"/>
        </w:rPr>
        <w:t xml:space="preserve">万元，</w:t>
      </w:r>
      <w:r>
        <w:rPr>
          <w:u w:color="auto"/>
        </w:rPr>
        <w:t xml:space="preserve">增长17.57%</w:t>
      </w:r>
      <w:r>
        <w:t xml:space="preserve">。</w:t>
      </w:r>
      <w:r>
        <w:rPr>
          <w:rFonts w:hint="eastAsia"/>
          <w:lang w:val="en-US" w:eastAsia="zh-CN"/>
        </w:rPr>
        <w:t xml:space="preserve">其中：</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1</w:t>
      </w:r>
      <w:r>
        <w:rPr>
          <w:rFonts w:ascii="宋体" w:eastAsia="宋体" w:hAnsi="宋体" w:cs="宋体"/>
          <w:sz w:val="28"/>
          <w:u w:color="auto"/>
        </w:rPr>
        <w:t xml:space="preserve">)</w:t>
      </w:r>
      <w:r>
        <w:rPr>
          <w:rFonts w:ascii="宋体" w:eastAsia="宋体" w:hAnsi="宋体" w:cs="宋体"/>
          <w:sz w:val="28"/>
          <w:u w:color="auto"/>
        </w:rPr>
        <w:t xml:space="preserve">工资福利支出</w:t>
      </w:r>
      <w:r>
        <w:rPr>
          <w:rFonts w:ascii="宋体" w:eastAsia="宋体" w:hAnsi="宋体" w:cs="宋体" w:hint="eastAsia"/>
          <w:sz w:val="28"/>
          <w:szCs w:val="28"/>
          <w:lang w:val="en-US" w:eastAsia="zh-CN"/>
        </w:rPr>
        <w:t xml:space="preserve">496.72</w:t>
      </w:r>
      <w:r>
        <w:rPr>
          <w:rFonts w:ascii="宋体" w:eastAsia="宋体" w:hAnsi="宋体" w:cs="宋体" w:hint="eastAsia"/>
          <w:sz w:val="28"/>
          <w:szCs w:val="28"/>
        </w:rPr>
        <w:t xml:space="preserve">万</w:t>
      </w:r>
      <w:r>
        <w:rPr>
          <w:rFonts w:ascii="宋体" w:eastAsia="宋体" w:hAnsi="宋体" w:cs="宋体"/>
          <w:sz w:val="28"/>
          <w:szCs w:val="28"/>
        </w:rPr>
        <w:t xml:space="preserve">元，占基本</w:t>
      </w:r>
      <w:r>
        <w:rPr>
          <w:rFonts w:ascii="宋体" w:eastAsia="宋体" w:hAnsi="宋体" w:cs="宋体" w:hint="eastAsia"/>
          <w:sz w:val="28"/>
          <w:szCs w:val="28"/>
        </w:rPr>
        <w:t xml:space="preserve">支出总预算</w:t>
      </w:r>
      <w:r>
        <w:rPr>
          <w:rFonts w:ascii="宋体" w:eastAsia="宋体" w:hAnsi="宋体" w:cs="宋体" w:hint="eastAsia"/>
          <w:sz w:val="28"/>
          <w:szCs w:val="28"/>
          <w:lang w:val="en-US" w:eastAsia="zh-CN"/>
        </w:rPr>
        <w:t xml:space="preserve">85.35%</w:t>
      </w:r>
      <w:r>
        <w:rPr>
          <w:rFonts w:ascii="宋体" w:eastAsia="宋体" w:hAnsi="宋体" w:cs="宋体" w:hint="eastAsia"/>
          <w:sz w:val="28"/>
          <w:szCs w:val="28"/>
        </w:rPr>
        <w:t xml:space="preserve">,比上年</w:t>
      </w:r>
      <w:r>
        <w:rPr>
          <w:rFonts w:ascii="宋体" w:eastAsia="宋体" w:hAnsi="宋体" w:cs="宋体"/>
          <w:sz w:val="28"/>
          <w:u w:color="auto"/>
        </w:rPr>
        <w:t xml:space="preserve">增长77.69</w:t>
      </w:r>
      <w:r>
        <w:rPr>
          <w:rFonts w:ascii="宋体" w:eastAsia="宋体" w:hAnsi="宋体" w:cs="宋体"/>
          <w:sz w:val="28"/>
          <w:u w:color="auto"/>
        </w:rPr>
        <w:t xml:space="preserve">万元，</w:t>
      </w:r>
      <w:r>
        <w:rPr>
          <w:rFonts w:ascii="宋体" w:eastAsia="宋体" w:hAnsi="宋体" w:cs="宋体"/>
          <w:sz w:val="28"/>
          <w:u w:color="auto"/>
        </w:rPr>
        <w:t xml:space="preserve">增长18.54%</w:t>
      </w:r>
      <w:r>
        <w:rPr>
          <w:rFonts w:ascii="宋体" w:eastAsia="宋体" w:hAnsi="宋体" w:cs="宋体"/>
          <w:sz w:val="28"/>
          <w:u w:color="auto"/>
        </w:rPr>
        <w:t xml:space="preserve">,主要原因是：奖金较上一年度增加46.14万元，住房公积金较上一年度增加4.70万元，其他工资福利支出较上一年度增加28.81万元</w:t>
      </w:r>
      <w:r>
        <w:rPr>
          <w:rFonts w:ascii="宋体" w:eastAsia="宋体" w:hAnsi="宋体" w:cs="宋体" w:hint="eastAsia"/>
          <w:sz w:val="28"/>
          <w:szCs w:val="28"/>
          <w:lang w:val="en-US" w:eastAsia="zh-CN"/>
        </w:rPr>
        <w:t xml:space="preserve">。</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2</w:t>
      </w:r>
      <w:r>
        <w:rPr>
          <w:rFonts w:ascii="宋体" w:eastAsia="宋体" w:hAnsi="宋体" w:cs="宋体"/>
          <w:sz w:val="28"/>
          <w:u w:color="auto"/>
        </w:rPr>
        <w:t xml:space="preserve">)</w:t>
      </w:r>
      <w:r>
        <w:rPr>
          <w:rFonts w:ascii="宋体" w:eastAsia="宋体" w:hAnsi="宋体" w:cs="宋体"/>
          <w:sz w:val="28"/>
          <w:u w:color="auto"/>
        </w:rPr>
        <w:t xml:space="preserve">商品和服务支出</w:t>
      </w:r>
      <w:r>
        <w:rPr>
          <w:rFonts w:ascii="宋体" w:eastAsia="宋体" w:hAnsi="宋体" w:cs="宋体" w:hint="eastAsia"/>
          <w:sz w:val="28"/>
          <w:szCs w:val="28"/>
          <w:lang w:val="en-US" w:eastAsia="zh-CN"/>
        </w:rPr>
        <w:t xml:space="preserve">46.94</w:t>
      </w:r>
      <w:r>
        <w:rPr>
          <w:rFonts w:ascii="宋体" w:eastAsia="宋体" w:hAnsi="宋体" w:cs="宋体" w:hint="eastAsia"/>
          <w:sz w:val="28"/>
          <w:szCs w:val="28"/>
        </w:rPr>
        <w:t xml:space="preserve">万</w:t>
      </w:r>
      <w:r>
        <w:rPr>
          <w:rFonts w:ascii="宋体" w:eastAsia="宋体" w:hAnsi="宋体" w:cs="宋体"/>
          <w:sz w:val="28"/>
          <w:szCs w:val="28"/>
        </w:rPr>
        <w:t xml:space="preserve">元，占基本</w:t>
      </w:r>
      <w:r>
        <w:rPr>
          <w:rFonts w:ascii="宋体" w:eastAsia="宋体" w:hAnsi="宋体" w:cs="宋体" w:hint="eastAsia"/>
          <w:sz w:val="28"/>
          <w:szCs w:val="28"/>
        </w:rPr>
        <w:t xml:space="preserve">支出总预算</w:t>
      </w:r>
      <w:r>
        <w:rPr>
          <w:rFonts w:ascii="宋体" w:eastAsia="宋体" w:hAnsi="宋体" w:cs="宋体" w:hint="eastAsia"/>
          <w:sz w:val="28"/>
          <w:szCs w:val="28"/>
          <w:lang w:val="en-US" w:eastAsia="zh-CN"/>
        </w:rPr>
        <w:t xml:space="preserve">8.07%</w:t>
      </w:r>
      <w:r>
        <w:rPr>
          <w:rFonts w:ascii="宋体" w:eastAsia="宋体" w:hAnsi="宋体" w:cs="宋体" w:hint="eastAsia"/>
          <w:sz w:val="28"/>
          <w:szCs w:val="28"/>
        </w:rPr>
        <w:t xml:space="preserve">,比上年</w:t>
      </w:r>
      <w:r>
        <w:rPr>
          <w:rFonts w:ascii="宋体" w:eastAsia="宋体" w:hAnsi="宋体" w:cs="宋体"/>
          <w:sz w:val="28"/>
          <w:u w:color="auto"/>
        </w:rPr>
        <w:t xml:space="preserve">减少3.08</w:t>
      </w:r>
      <w:r>
        <w:rPr>
          <w:rFonts w:ascii="宋体" w:eastAsia="宋体" w:hAnsi="宋体" w:cs="宋体"/>
          <w:sz w:val="28"/>
          <w:u w:color="auto"/>
        </w:rPr>
        <w:t xml:space="preserve">万元，</w:t>
      </w:r>
      <w:r>
        <w:rPr>
          <w:rFonts w:ascii="宋体" w:eastAsia="宋体" w:hAnsi="宋体" w:cs="宋体"/>
          <w:sz w:val="28"/>
          <w:u w:color="auto"/>
        </w:rPr>
        <w:t xml:space="preserve">减少6.16%</w:t>
      </w:r>
      <w:r>
        <w:rPr>
          <w:rFonts w:ascii="宋体" w:eastAsia="宋体" w:hAnsi="宋体" w:cs="宋体"/>
          <w:sz w:val="28"/>
          <w:u w:color="auto"/>
        </w:rPr>
        <w:t xml:space="preserve">,主要原因是：电费较上一年度减少2.49万元，工会经费较上一年度减少2.17万元</w:t>
      </w:r>
      <w:r>
        <w:rPr>
          <w:rFonts w:ascii="宋体" w:eastAsia="宋体" w:hAnsi="宋体" w:cs="宋体" w:hint="eastAsia"/>
          <w:sz w:val="28"/>
          <w:szCs w:val="28"/>
          <w:lang w:val="en-US" w:eastAsia="zh-CN"/>
        </w:rPr>
        <w:t xml:space="preserve">。</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3</w:t>
      </w:r>
      <w:r>
        <w:rPr>
          <w:rFonts w:ascii="宋体" w:eastAsia="宋体" w:hAnsi="宋体" w:cs="宋体"/>
          <w:sz w:val="28"/>
          <w:u w:color="auto"/>
        </w:rPr>
        <w:t xml:space="preserve">)</w:t>
      </w:r>
      <w:r>
        <w:rPr>
          <w:rFonts w:ascii="宋体" w:eastAsia="宋体" w:hAnsi="宋体" w:cs="宋体"/>
          <w:sz w:val="28"/>
          <w:u w:color="auto"/>
        </w:rPr>
        <w:t xml:space="preserve">对个人和家庭的补助</w:t>
      </w:r>
      <w:r>
        <w:rPr>
          <w:rFonts w:ascii="宋体" w:eastAsia="宋体" w:hAnsi="宋体" w:cs="宋体" w:hint="eastAsia"/>
          <w:sz w:val="28"/>
          <w:szCs w:val="28"/>
          <w:lang w:val="en-US" w:eastAsia="zh-CN"/>
        </w:rPr>
        <w:t xml:space="preserve">38.33</w:t>
      </w:r>
      <w:r>
        <w:rPr>
          <w:rFonts w:ascii="宋体" w:eastAsia="宋体" w:hAnsi="宋体" w:cs="宋体" w:hint="eastAsia"/>
          <w:sz w:val="28"/>
          <w:szCs w:val="28"/>
        </w:rPr>
        <w:t xml:space="preserve">万</w:t>
      </w:r>
      <w:r>
        <w:rPr>
          <w:rFonts w:ascii="宋体" w:eastAsia="宋体" w:hAnsi="宋体" w:cs="宋体"/>
          <w:sz w:val="28"/>
          <w:szCs w:val="28"/>
        </w:rPr>
        <w:t xml:space="preserve">元，占基本</w:t>
      </w:r>
      <w:r>
        <w:rPr>
          <w:rFonts w:ascii="宋体" w:eastAsia="宋体" w:hAnsi="宋体" w:cs="宋体" w:hint="eastAsia"/>
          <w:sz w:val="28"/>
          <w:szCs w:val="28"/>
        </w:rPr>
        <w:t xml:space="preserve">支出总预算</w:t>
      </w:r>
      <w:r>
        <w:rPr>
          <w:rFonts w:ascii="宋体" w:eastAsia="宋体" w:hAnsi="宋体" w:cs="宋体" w:hint="eastAsia"/>
          <w:sz w:val="28"/>
          <w:szCs w:val="28"/>
          <w:lang w:val="en-US" w:eastAsia="zh-CN"/>
        </w:rPr>
        <w:t xml:space="preserve">6.59%</w:t>
      </w:r>
      <w:r>
        <w:rPr>
          <w:rFonts w:ascii="宋体" w:eastAsia="宋体" w:hAnsi="宋体" w:cs="宋体" w:hint="eastAsia"/>
          <w:sz w:val="28"/>
          <w:szCs w:val="28"/>
        </w:rPr>
        <w:t xml:space="preserve">,比上年</w:t>
      </w:r>
      <w:r>
        <w:rPr>
          <w:rFonts w:ascii="宋体" w:eastAsia="宋体" w:hAnsi="宋体" w:cs="宋体"/>
          <w:sz w:val="28"/>
          <w:u w:color="auto"/>
        </w:rPr>
        <w:t xml:space="preserve">增长12.37</w:t>
      </w:r>
      <w:r>
        <w:rPr>
          <w:rFonts w:ascii="宋体" w:eastAsia="宋体" w:hAnsi="宋体" w:cs="宋体"/>
          <w:sz w:val="28"/>
          <w:u w:color="auto"/>
        </w:rPr>
        <w:t xml:space="preserve">万元，</w:t>
      </w:r>
      <w:r>
        <w:rPr>
          <w:rFonts w:ascii="宋体" w:eastAsia="宋体" w:hAnsi="宋体" w:cs="宋体"/>
          <w:sz w:val="28"/>
          <w:u w:color="auto"/>
        </w:rPr>
        <w:t xml:space="preserve">增长47.65%</w:t>
      </w:r>
      <w:r>
        <w:rPr>
          <w:rFonts w:ascii="宋体" w:eastAsia="宋体" w:hAnsi="宋体" w:cs="宋体"/>
          <w:sz w:val="28"/>
          <w:u w:color="auto"/>
        </w:rPr>
        <w:t xml:space="preserve">,主要原因是：退休费较上一年度增加10.43万元，生活补助较上一年度增加1.94万元</w:t>
      </w:r>
      <w:r>
        <w:rPr>
          <w:rFonts w:ascii="宋体" w:eastAsia="宋体" w:hAnsi="宋体" w:cs="宋体" w:hint="eastAsia"/>
          <w:sz w:val="28"/>
          <w:szCs w:val="28"/>
          <w:lang w:val="en-US" w:eastAsia="zh-CN"/>
        </w:rPr>
        <w:t xml:space="preserve">。</w:t>
      </w:r>
    </w:p>
    <w:p>
      <w:pPr>
        <w:pStyle w:val="Bodytext|1"/>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b w:val="0"/>
          <w:bCs w:val="0"/>
          <w:color w:val="000000"/>
          <w:sz w:val="28"/>
          <w:szCs w:val="28"/>
          <w:lang w:val="zh-TW" w:eastAsia="zh-TW" w:bidi="zh-TW"/>
        </w:rPr>
      </w:pPr>
      <w:r>
        <w:rPr>
          <w:rFonts w:ascii="宋体" w:eastAsia="宋体" w:hAnsi="宋体" w:cs="宋体" w:hint="eastAsia"/>
          <w:b w:val="0"/>
          <w:bCs w:val="0"/>
          <w:color w:val="000000"/>
          <w:sz w:val="28"/>
          <w:szCs w:val="28"/>
          <w:lang w:val="zh-TW" w:eastAsia="zh-TW" w:bidi="zh-TW"/>
        </w:rPr>
        <w:t xml:space="preserve">项目支出预算。</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eastAsia"/>
          <w:lang w:val="en-US" w:eastAsia="zh-CN"/>
        </w:rPr>
      </w:pPr>
      <w:r>
        <w:rPr>
          <w:rFonts w:hint="eastAsia"/>
        </w:rPr>
        <w:t xml:space="preserve">项目支出预算</w:t>
      </w:r>
      <w:r>
        <w:rPr>
          <w:rFonts w:hint="eastAsia"/>
          <w:lang w:val="en-US" w:eastAsia="zh-CN"/>
        </w:rPr>
        <w:t xml:space="preserve">394.53</w:t>
      </w:r>
      <w:r>
        <w:rPr>
          <w:rFonts w:hint="eastAsia"/>
        </w:rPr>
        <w:t xml:space="preserve">万元，占支出预算</w:t>
      </w:r>
      <w:r>
        <w:rPr>
          <w:u w:color="auto"/>
        </w:rPr>
        <w:t xml:space="preserve">40.40%</w:t>
      </w:r>
      <w:r>
        <w:rPr>
          <w:rFonts w:hint="eastAsia"/>
        </w:rPr>
        <w:t xml:space="preserve">,比上年</w:t>
      </w:r>
      <w:r>
        <w:rPr>
          <w:u w:color="auto"/>
        </w:rPr>
        <w:t xml:space="preserve">增长245.00</w:t>
      </w:r>
      <w:r>
        <w:rPr>
          <w:rFonts w:hint="eastAsia"/>
        </w:rPr>
        <w:t xml:space="preserve">万元，</w:t>
      </w:r>
      <w:r>
        <w:rPr>
          <w:u w:color="auto"/>
        </w:rPr>
        <w:t xml:space="preserve">增长163.85%</w:t>
      </w:r>
      <w:r>
        <w:t xml:space="preserve">。</w:t>
      </w:r>
      <w:r>
        <w:rPr>
          <w:rFonts w:hint="eastAsia"/>
          <w:lang w:val="en-US" w:eastAsia="zh-CN"/>
        </w:rPr>
        <w:t xml:space="preserve">其中：</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color w:val="000000"/>
          <w:sz w:val="28"/>
          <w:szCs w:val="28"/>
          <w:lang w:val="en-US" w:eastAsia="zh-CN" w:bidi="zh-TW"/>
        </w:rPr>
      </w:pPr>
      <w:r>
        <w:rPr>
          <w:rFonts w:ascii="宋体" w:eastAsia="宋体" w:hAnsi="宋体" w:cs="宋体" w:hint="eastAsia"/>
          <w:sz w:val="28"/>
          <w:szCs w:val="28"/>
        </w:rPr>
        <w:t xml:space="preserve">(</w:t>
      </w:r>
      <w:r>
        <w:rPr>
          <w:rFonts w:ascii="宋体" w:eastAsia="宋体" w:hAnsi="宋体" w:cs="宋体"/>
          <w:sz w:val="28"/>
          <w:u w:color="auto"/>
        </w:rPr>
        <w:t xml:space="preserve">1</w:t>
      </w:r>
      <w:r>
        <w:rPr>
          <w:rFonts w:ascii="宋体" w:eastAsia="宋体" w:hAnsi="宋体" w:cs="宋体"/>
          <w:sz w:val="28"/>
          <w:u w:color="auto"/>
        </w:rPr>
        <w:t xml:space="preserve">)</w:t>
      </w:r>
      <w:r>
        <w:rPr>
          <w:rFonts w:ascii="宋体" w:eastAsia="宋体" w:hAnsi="宋体" w:cs="宋体"/>
          <w:sz w:val="28"/>
          <w:u w:color="auto"/>
        </w:rPr>
        <w:t xml:space="preserve">商品和服务支出</w:t>
      </w:r>
      <w:r>
        <w:rPr>
          <w:rFonts w:ascii="宋体" w:eastAsia="宋体" w:hAnsi="宋体" w:cs="宋体" w:hint="eastAsia"/>
          <w:sz w:val="28"/>
          <w:szCs w:val="28"/>
          <w:lang w:val="en-US" w:eastAsia="zh-CN"/>
        </w:rPr>
        <w:t xml:space="preserve">102.25</w:t>
      </w:r>
      <w:r>
        <w:rPr>
          <w:rFonts w:ascii="宋体" w:eastAsia="宋体" w:hAnsi="宋体" w:cs="宋体" w:hint="eastAsia"/>
          <w:sz w:val="28"/>
          <w:szCs w:val="28"/>
        </w:rPr>
        <w:t xml:space="preserve">万</w:t>
      </w:r>
      <w:r>
        <w:rPr>
          <w:rFonts w:ascii="宋体" w:eastAsia="宋体" w:hAnsi="宋体" w:cs="宋体"/>
          <w:sz w:val="28"/>
          <w:szCs w:val="28"/>
        </w:rPr>
        <w:t xml:space="preserve">元，占</w:t>
      </w:r>
      <w:r>
        <w:rPr>
          <w:rFonts w:hint="eastAsia"/>
        </w:rPr>
        <w:t xml:space="preserve">项</w:t>
      </w:r>
      <w:r>
        <w:rPr>
          <w:rFonts w:ascii="宋体" w:eastAsia="宋体" w:hAnsi="宋体" w:cs="宋体" w:hint="eastAsia"/>
          <w:color w:val="000000"/>
          <w:sz w:val="28"/>
          <w:szCs w:val="28"/>
          <w:lang w:val="zh-TW" w:eastAsia="zh-TW" w:bidi="zh-TW"/>
        </w:rPr>
        <w:t xml:space="preserve">目支出总预算</w:t>
      </w:r>
      <w:r>
        <w:rPr>
          <w:rFonts w:ascii="宋体" w:eastAsia="宋体" w:hAnsi="宋体" w:cs="宋体" w:hint="eastAsia"/>
          <w:color w:val="000000"/>
          <w:sz w:val="28"/>
          <w:szCs w:val="28"/>
          <w:lang w:val="en-US" w:eastAsia="zh-CN" w:bidi="zh-TW"/>
        </w:rPr>
        <w:t xml:space="preserve">25.92%</w:t>
      </w:r>
      <w:r>
        <w:rPr>
          <w:rFonts w:ascii="宋体" w:eastAsia="宋体" w:hAnsi="宋体" w:cs="宋体" w:hint="eastAsia"/>
          <w:color w:val="000000"/>
          <w:sz w:val="28"/>
          <w:szCs w:val="28"/>
          <w:lang w:val="zh-TW" w:eastAsia="zh-TW" w:bidi="zh-TW"/>
        </w:rPr>
        <w:t xml:space="preserve">,比上年</w:t>
      </w:r>
      <w:r>
        <w:rPr>
          <w:rFonts w:ascii="宋体" w:eastAsia="宋体" w:hAnsi="宋体" w:cs="宋体"/>
          <w:color w:val="000000"/>
          <w:sz w:val="28"/>
          <w:u w:color="auto"/>
        </w:rPr>
        <w:t xml:space="preserve">减少32.05</w:t>
      </w:r>
      <w:r>
        <w:rPr>
          <w:rFonts w:ascii="宋体" w:eastAsia="宋体" w:hAnsi="宋体" w:cs="宋体"/>
          <w:color w:val="000000"/>
          <w:sz w:val="28"/>
          <w:u w:color="auto"/>
        </w:rPr>
        <w:t xml:space="preserve">万元，</w:t>
      </w:r>
      <w:r>
        <w:rPr>
          <w:rFonts w:ascii="宋体" w:eastAsia="宋体" w:hAnsi="宋体" w:cs="宋体"/>
          <w:color w:val="000000"/>
          <w:sz w:val="28"/>
          <w:u w:color="auto"/>
        </w:rPr>
        <w:t xml:space="preserve">减少23.86%</w:t>
      </w:r>
      <w:r>
        <w:rPr>
          <w:rFonts w:ascii="宋体" w:eastAsia="宋体" w:hAnsi="宋体" w:cs="宋体"/>
          <w:color w:val="000000"/>
          <w:sz w:val="28"/>
          <w:u w:color="auto"/>
        </w:rPr>
        <w:t xml:space="preserve">,主要原因是：</w:t>
      </w:r>
      <w:r>
        <w:rPr>
          <w:rFonts w:ascii="宋体" w:eastAsia="宋体" w:hAnsi="宋体" w:cs="宋体" w:hint="eastAsia"/>
          <w:color w:val="000000"/>
          <w:sz w:val="28"/>
          <w:szCs w:val="28"/>
          <w:lang w:val="zh-TW" w:eastAsia="zh-TW" w:bidi="zh-TW"/>
        </w:rPr>
        <w:t xml:space="preserve">本年度用于办公经费、会议费、培训费、委托业务费、公务接待费、维修（护）费和其他商品和服务支出等方面支出较上一年度有所减少</w:t>
      </w:r>
      <w:r>
        <w:rPr>
          <w:rFonts w:ascii="宋体" w:eastAsia="宋体" w:hAnsi="宋体" w:cs="宋体" w:hint="eastAsia"/>
          <w:color w:val="000000"/>
          <w:sz w:val="28"/>
          <w:szCs w:val="28"/>
          <w:lang w:val="en-US" w:eastAsia="zh-CN" w:bidi="zh-TW"/>
        </w:rPr>
        <w:t xml:space="preserve">。</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color w:val="000000"/>
          <w:sz w:val="28"/>
          <w:szCs w:val="28"/>
          <w:lang w:val="en-US" w:eastAsia="zh-CN" w:bidi="zh-TW"/>
        </w:rPr>
      </w:pPr>
      <w:r>
        <w:rPr>
          <w:rFonts w:ascii="宋体" w:eastAsia="宋体" w:hAnsi="宋体" w:cs="宋体" w:hint="eastAsia"/>
          <w:sz w:val="28"/>
          <w:szCs w:val="28"/>
        </w:rPr>
        <w:t xml:space="preserve">(</w:t>
      </w:r>
      <w:r>
        <w:rPr>
          <w:rFonts w:ascii="宋体" w:eastAsia="宋体" w:hAnsi="宋体" w:cs="宋体"/>
          <w:sz w:val="28"/>
          <w:u w:color="auto"/>
        </w:rPr>
        <w:t xml:space="preserve">2</w:t>
      </w:r>
      <w:r>
        <w:rPr>
          <w:rFonts w:ascii="宋体" w:eastAsia="宋体" w:hAnsi="宋体" w:cs="宋体"/>
          <w:sz w:val="28"/>
          <w:u w:color="auto"/>
        </w:rPr>
        <w:t xml:space="preserve">)</w:t>
      </w:r>
      <w:r>
        <w:rPr>
          <w:rFonts w:ascii="宋体" w:eastAsia="宋体" w:hAnsi="宋体" w:cs="宋体"/>
          <w:sz w:val="28"/>
          <w:u w:color="auto"/>
        </w:rPr>
        <w:t xml:space="preserve">对个人和家庭的补助</w:t>
      </w:r>
      <w:r>
        <w:rPr>
          <w:rFonts w:ascii="宋体" w:eastAsia="宋体" w:hAnsi="宋体" w:cs="宋体" w:hint="eastAsia"/>
          <w:sz w:val="28"/>
          <w:szCs w:val="28"/>
          <w:lang w:val="en-US" w:eastAsia="zh-CN"/>
        </w:rPr>
        <w:t xml:space="preserve">25.78</w:t>
      </w:r>
      <w:r>
        <w:rPr>
          <w:rFonts w:ascii="宋体" w:eastAsia="宋体" w:hAnsi="宋体" w:cs="宋体" w:hint="eastAsia"/>
          <w:sz w:val="28"/>
          <w:szCs w:val="28"/>
        </w:rPr>
        <w:t xml:space="preserve">万</w:t>
      </w:r>
      <w:r>
        <w:rPr>
          <w:rFonts w:ascii="宋体" w:eastAsia="宋体" w:hAnsi="宋体" w:cs="宋体"/>
          <w:sz w:val="28"/>
          <w:szCs w:val="28"/>
        </w:rPr>
        <w:t xml:space="preserve">元，占</w:t>
      </w:r>
      <w:r>
        <w:rPr>
          <w:rFonts w:hint="eastAsia"/>
        </w:rPr>
        <w:t xml:space="preserve">项</w:t>
      </w:r>
      <w:r>
        <w:rPr>
          <w:rFonts w:ascii="宋体" w:eastAsia="宋体" w:hAnsi="宋体" w:cs="宋体" w:hint="eastAsia"/>
          <w:color w:val="000000"/>
          <w:sz w:val="28"/>
          <w:szCs w:val="28"/>
          <w:lang w:val="zh-TW" w:eastAsia="zh-TW" w:bidi="zh-TW"/>
        </w:rPr>
        <w:t xml:space="preserve">目支出总预算</w:t>
      </w:r>
      <w:r>
        <w:rPr>
          <w:rFonts w:ascii="宋体" w:eastAsia="宋体" w:hAnsi="宋体" w:cs="宋体" w:hint="eastAsia"/>
          <w:color w:val="000000"/>
          <w:sz w:val="28"/>
          <w:szCs w:val="28"/>
          <w:lang w:val="en-US" w:eastAsia="zh-CN" w:bidi="zh-TW"/>
        </w:rPr>
        <w:t xml:space="preserve">6.53%</w:t>
      </w:r>
      <w:r>
        <w:rPr>
          <w:rFonts w:ascii="宋体" w:eastAsia="宋体" w:hAnsi="宋体" w:cs="宋体" w:hint="eastAsia"/>
          <w:color w:val="000000"/>
          <w:sz w:val="28"/>
          <w:szCs w:val="28"/>
          <w:lang w:val="zh-TW" w:eastAsia="zh-TW" w:bidi="zh-TW"/>
        </w:rPr>
        <w:t xml:space="preserve">,比上年</w:t>
      </w:r>
      <w:r>
        <w:rPr>
          <w:rFonts w:ascii="宋体" w:eastAsia="宋体" w:hAnsi="宋体" w:cs="宋体"/>
          <w:color w:val="000000"/>
          <w:sz w:val="28"/>
          <w:u w:color="auto"/>
        </w:rPr>
        <w:t xml:space="preserve">增长21.12</w:t>
      </w:r>
      <w:r>
        <w:rPr>
          <w:rFonts w:ascii="宋体" w:eastAsia="宋体" w:hAnsi="宋体" w:cs="宋体"/>
          <w:color w:val="000000"/>
          <w:sz w:val="28"/>
          <w:u w:color="auto"/>
        </w:rPr>
        <w:t xml:space="preserve">万元，</w:t>
      </w:r>
      <w:r>
        <w:rPr>
          <w:rFonts w:ascii="宋体" w:eastAsia="宋体" w:hAnsi="宋体" w:cs="宋体"/>
          <w:color w:val="000000"/>
          <w:sz w:val="28"/>
          <w:u w:color="auto"/>
        </w:rPr>
        <w:t xml:space="preserve">增长453.22%</w:t>
      </w:r>
      <w:r>
        <w:rPr>
          <w:rFonts w:ascii="宋体" w:eastAsia="宋体" w:hAnsi="宋体" w:cs="宋体"/>
          <w:color w:val="000000"/>
          <w:sz w:val="28"/>
          <w:u w:color="auto"/>
        </w:rPr>
        <w:t xml:space="preserve">,主要原因是：</w:t>
      </w:r>
      <w:r>
        <w:rPr>
          <w:rFonts w:ascii="宋体" w:eastAsia="宋体" w:hAnsi="宋体" w:cs="宋体" w:hint="eastAsia"/>
          <w:color w:val="000000"/>
          <w:sz w:val="28"/>
          <w:szCs w:val="28"/>
          <w:lang w:val="zh-TW" w:eastAsia="zh-TW" w:bidi="zh-TW"/>
        </w:rPr>
        <w:t xml:space="preserve">本年度用于社会福利和救助、个人农业生产补贴等方面支出较上一年度有所增加</w:t>
      </w:r>
      <w:r>
        <w:rPr>
          <w:rFonts w:ascii="宋体" w:eastAsia="宋体" w:hAnsi="宋体" w:cs="宋体" w:hint="eastAsia"/>
          <w:color w:val="000000"/>
          <w:sz w:val="28"/>
          <w:szCs w:val="28"/>
          <w:lang w:val="en-US" w:eastAsia="zh-CN" w:bidi="zh-TW"/>
        </w:rPr>
        <w:t xml:space="preserve">。</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color w:val="000000"/>
          <w:sz w:val="28"/>
          <w:szCs w:val="28"/>
          <w:lang w:val="en-US" w:eastAsia="zh-CN" w:bidi="zh-TW"/>
        </w:rPr>
      </w:pPr>
      <w:r>
        <w:rPr>
          <w:rFonts w:ascii="宋体" w:eastAsia="宋体" w:hAnsi="宋体" w:cs="宋体" w:hint="eastAsia"/>
          <w:sz w:val="28"/>
          <w:szCs w:val="28"/>
        </w:rPr>
        <w:t xml:space="preserve">(</w:t>
      </w:r>
      <w:r>
        <w:rPr>
          <w:rFonts w:ascii="宋体" w:eastAsia="宋体" w:hAnsi="宋体" w:cs="宋体"/>
          <w:sz w:val="28"/>
          <w:u w:color="auto"/>
        </w:rPr>
        <w:t xml:space="preserve">3</w:t>
      </w:r>
      <w:r>
        <w:rPr>
          <w:rFonts w:ascii="宋体" w:eastAsia="宋体" w:hAnsi="宋体" w:cs="宋体"/>
          <w:sz w:val="28"/>
          <w:u w:color="auto"/>
        </w:rPr>
        <w:t xml:space="preserve">)</w:t>
      </w:r>
      <w:r>
        <w:rPr>
          <w:rFonts w:ascii="宋体" w:eastAsia="宋体" w:hAnsi="宋体" w:cs="宋体"/>
          <w:sz w:val="28"/>
          <w:u w:color="auto"/>
        </w:rPr>
        <w:t xml:space="preserve">资本性支出</w:t>
      </w:r>
      <w:r>
        <w:rPr>
          <w:rFonts w:ascii="宋体" w:eastAsia="宋体" w:hAnsi="宋体" w:cs="宋体" w:hint="eastAsia"/>
          <w:sz w:val="28"/>
          <w:szCs w:val="28"/>
          <w:lang w:val="en-US" w:eastAsia="zh-CN"/>
        </w:rPr>
        <w:t xml:space="preserve">266.50</w:t>
      </w:r>
      <w:r>
        <w:rPr>
          <w:rFonts w:ascii="宋体" w:eastAsia="宋体" w:hAnsi="宋体" w:cs="宋体" w:hint="eastAsia"/>
          <w:sz w:val="28"/>
          <w:szCs w:val="28"/>
        </w:rPr>
        <w:t xml:space="preserve">万</w:t>
      </w:r>
      <w:r>
        <w:rPr>
          <w:rFonts w:ascii="宋体" w:eastAsia="宋体" w:hAnsi="宋体" w:cs="宋体"/>
          <w:sz w:val="28"/>
          <w:szCs w:val="28"/>
        </w:rPr>
        <w:t xml:space="preserve">元，占</w:t>
      </w:r>
      <w:r>
        <w:rPr>
          <w:rFonts w:hint="eastAsia"/>
        </w:rPr>
        <w:t xml:space="preserve">项</w:t>
      </w:r>
      <w:r>
        <w:rPr>
          <w:rFonts w:ascii="宋体" w:eastAsia="宋体" w:hAnsi="宋体" w:cs="宋体" w:hint="eastAsia"/>
          <w:color w:val="000000"/>
          <w:sz w:val="28"/>
          <w:szCs w:val="28"/>
          <w:lang w:val="zh-TW" w:eastAsia="zh-TW" w:bidi="zh-TW"/>
        </w:rPr>
        <w:t xml:space="preserve">目支出总预算</w:t>
      </w:r>
      <w:r>
        <w:rPr>
          <w:rFonts w:ascii="宋体" w:eastAsia="宋体" w:hAnsi="宋体" w:cs="宋体" w:hint="eastAsia"/>
          <w:color w:val="000000"/>
          <w:sz w:val="28"/>
          <w:szCs w:val="28"/>
          <w:lang w:val="en-US" w:eastAsia="zh-CN" w:bidi="zh-TW"/>
        </w:rPr>
        <w:t xml:space="preserve">67.55%</w:t>
      </w:r>
      <w:r>
        <w:rPr>
          <w:rFonts w:ascii="宋体" w:eastAsia="宋体" w:hAnsi="宋体" w:cs="宋体" w:hint="eastAsia"/>
          <w:color w:val="000000"/>
          <w:sz w:val="28"/>
          <w:szCs w:val="28"/>
          <w:lang w:val="zh-TW" w:eastAsia="zh-TW" w:bidi="zh-TW"/>
        </w:rPr>
        <w:t xml:space="preserve">,比上年</w:t>
      </w:r>
      <w:r>
        <w:rPr>
          <w:rFonts w:ascii="宋体" w:eastAsia="宋体" w:hAnsi="宋体" w:cs="宋体"/>
          <w:color w:val="000000"/>
          <w:sz w:val="28"/>
          <w:u w:color="auto"/>
        </w:rPr>
        <w:t xml:space="preserve">增长260.65</w:t>
      </w:r>
      <w:r>
        <w:rPr>
          <w:rFonts w:ascii="宋体" w:eastAsia="宋体" w:hAnsi="宋体" w:cs="宋体"/>
          <w:color w:val="000000"/>
          <w:sz w:val="28"/>
          <w:u w:color="auto"/>
        </w:rPr>
        <w:t xml:space="preserve">万元，</w:t>
      </w:r>
      <w:r>
        <w:rPr>
          <w:rFonts w:ascii="宋体" w:eastAsia="宋体" w:hAnsi="宋体" w:cs="宋体"/>
          <w:color w:val="000000"/>
          <w:sz w:val="28"/>
          <w:u w:color="auto"/>
        </w:rPr>
        <w:t xml:space="preserve">增长4455.56%</w:t>
      </w:r>
      <w:r>
        <w:rPr>
          <w:rFonts w:ascii="宋体" w:eastAsia="宋体" w:hAnsi="宋体" w:cs="宋体"/>
          <w:color w:val="000000"/>
          <w:sz w:val="28"/>
          <w:u w:color="auto"/>
        </w:rPr>
        <w:t xml:space="preserve">,主要原因是：</w:t>
      </w:r>
      <w:r>
        <w:rPr>
          <w:rFonts w:ascii="宋体" w:eastAsia="宋体" w:hAnsi="宋体" w:cs="宋体" w:hint="eastAsia"/>
          <w:color w:val="000000"/>
          <w:sz w:val="28"/>
          <w:szCs w:val="28"/>
          <w:lang w:val="zh-TW" w:eastAsia="zh-TW" w:bidi="zh-TW"/>
        </w:rPr>
        <w:t xml:space="preserve">本年度用于其他资本性支出较上一年度有所增加</w:t>
      </w:r>
      <w:r>
        <w:rPr>
          <w:rFonts w:ascii="宋体" w:eastAsia="宋体" w:hAnsi="宋体" w:cs="宋体" w:hint="eastAsia"/>
          <w:color w:val="000000"/>
          <w:sz w:val="28"/>
          <w:szCs w:val="28"/>
          <w:lang w:val="en-US" w:eastAsia="zh-CN" w:bidi="zh-TW"/>
        </w:rPr>
        <w:t xml:space="preserve">。</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color w:val="000000"/>
          <w:sz w:val="28"/>
          <w:szCs w:val="28"/>
          <w:lang w:val="en-US" w:eastAsia="zh-CN" w:bidi="zh-TW"/>
        </w:rPr>
      </w:pPr>
      <w:r>
        <w:rPr>
          <w:rFonts w:ascii="宋体" w:eastAsia="宋体" w:hAnsi="宋体" w:cs="宋体" w:hint="eastAsia"/>
          <w:sz w:val="28"/>
          <w:szCs w:val="28"/>
        </w:rPr>
        <w:t xml:space="preserve">(</w:t>
      </w:r>
      <w:r>
        <w:rPr>
          <w:rFonts w:ascii="宋体" w:eastAsia="宋体" w:hAnsi="宋体" w:cs="宋体"/>
          <w:sz w:val="28"/>
          <w:u w:color="auto"/>
        </w:rPr>
        <w:t xml:space="preserve">4</w:t>
      </w:r>
      <w:r>
        <w:rPr>
          <w:rFonts w:ascii="宋体" w:eastAsia="宋体" w:hAnsi="宋体" w:cs="宋体"/>
          <w:sz w:val="28"/>
          <w:u w:color="auto"/>
        </w:rPr>
        <w:t xml:space="preserve">)</w:t>
      </w:r>
      <w:r>
        <w:rPr>
          <w:rFonts w:ascii="宋体" w:eastAsia="宋体" w:hAnsi="宋体" w:cs="宋体"/>
          <w:sz w:val="28"/>
          <w:u w:color="auto"/>
        </w:rPr>
        <w:t xml:space="preserve">资本性支出（基本建设）</w:t>
      </w:r>
      <w:r>
        <w:rPr>
          <w:rFonts w:ascii="宋体" w:eastAsia="宋体" w:hAnsi="宋体" w:cs="宋体" w:hint="eastAsia"/>
          <w:sz w:val="28"/>
          <w:szCs w:val="28"/>
          <w:lang w:val="en-US" w:eastAsia="zh-CN"/>
        </w:rPr>
        <w:t xml:space="preserve">0.00</w:t>
      </w:r>
      <w:r>
        <w:rPr>
          <w:rFonts w:ascii="宋体" w:eastAsia="宋体" w:hAnsi="宋体" w:cs="宋体" w:hint="eastAsia"/>
          <w:sz w:val="28"/>
          <w:szCs w:val="28"/>
        </w:rPr>
        <w:t xml:space="preserve">万</w:t>
      </w:r>
      <w:r>
        <w:rPr>
          <w:rFonts w:ascii="宋体" w:eastAsia="宋体" w:hAnsi="宋体" w:cs="宋体"/>
          <w:sz w:val="28"/>
          <w:szCs w:val="28"/>
        </w:rPr>
        <w:t xml:space="preserve">元，占</w:t>
      </w:r>
      <w:r>
        <w:rPr>
          <w:rFonts w:hint="eastAsia"/>
        </w:rPr>
        <w:t xml:space="preserve">项</w:t>
      </w:r>
      <w:r>
        <w:rPr>
          <w:rFonts w:ascii="宋体" w:eastAsia="宋体" w:hAnsi="宋体" w:cs="宋体" w:hint="eastAsia"/>
          <w:color w:val="000000"/>
          <w:sz w:val="28"/>
          <w:szCs w:val="28"/>
          <w:lang w:val="zh-TW" w:eastAsia="zh-TW" w:bidi="zh-TW"/>
        </w:rPr>
        <w:t xml:space="preserve">目支出总预算</w:t>
      </w:r>
      <w:r>
        <w:rPr>
          <w:rFonts w:ascii="宋体" w:eastAsia="宋体" w:hAnsi="宋体" w:cs="宋体" w:hint="eastAsia"/>
          <w:color w:val="000000"/>
          <w:sz w:val="28"/>
          <w:szCs w:val="28"/>
          <w:lang w:val="en-US" w:eastAsia="zh-CN" w:bidi="zh-TW"/>
        </w:rPr>
        <w:t xml:space="preserve">0.00%</w:t>
      </w:r>
      <w:r>
        <w:rPr>
          <w:rFonts w:ascii="宋体" w:eastAsia="宋体" w:hAnsi="宋体" w:cs="宋体" w:hint="eastAsia"/>
          <w:color w:val="000000"/>
          <w:sz w:val="28"/>
          <w:szCs w:val="28"/>
          <w:lang w:val="zh-TW" w:eastAsia="zh-TW" w:bidi="zh-TW"/>
        </w:rPr>
        <w:t xml:space="preserve">,比上年</w:t>
      </w:r>
      <w:r>
        <w:rPr>
          <w:rFonts w:ascii="宋体" w:eastAsia="宋体" w:hAnsi="宋体" w:cs="宋体"/>
          <w:color w:val="000000"/>
          <w:sz w:val="28"/>
          <w:u w:color="auto"/>
        </w:rPr>
        <w:t xml:space="preserve">减少4.72</w:t>
      </w:r>
      <w:r>
        <w:rPr>
          <w:rFonts w:ascii="宋体" w:eastAsia="宋体" w:hAnsi="宋体" w:cs="宋体"/>
          <w:color w:val="000000"/>
          <w:sz w:val="28"/>
          <w:u w:color="auto"/>
        </w:rPr>
        <w:t xml:space="preserve">万元，</w:t>
      </w:r>
      <w:r>
        <w:rPr>
          <w:rFonts w:ascii="宋体" w:eastAsia="宋体" w:hAnsi="宋体" w:cs="宋体"/>
          <w:color w:val="000000"/>
          <w:sz w:val="28"/>
          <w:u w:color="auto"/>
        </w:rPr>
        <w:t xml:space="preserve">减少100.00%</w:t>
      </w:r>
      <w:r>
        <w:rPr>
          <w:rFonts w:ascii="宋体" w:eastAsia="宋体" w:hAnsi="宋体" w:cs="宋体"/>
          <w:color w:val="000000"/>
          <w:sz w:val="28"/>
          <w:u w:color="auto"/>
        </w:rPr>
        <w:t xml:space="preserve">,主要原因是：</w:t>
      </w:r>
      <w:r>
        <w:rPr>
          <w:rFonts w:ascii="宋体" w:eastAsia="宋体" w:hAnsi="宋体" w:cs="宋体" w:hint="eastAsia"/>
          <w:color w:val="000000"/>
          <w:sz w:val="28"/>
          <w:szCs w:val="28"/>
          <w:lang w:val="zh-TW" w:eastAsia="zh-TW" w:bidi="zh-TW"/>
        </w:rPr>
        <w:t xml:space="preserve">本年度无资本性支出（基本建设）方面的支出</w:t>
      </w:r>
      <w:r>
        <w:rPr>
          <w:rFonts w:ascii="宋体" w:eastAsia="宋体" w:hAnsi="宋体" w:cs="宋体" w:hint="eastAsia"/>
          <w:color w:val="000000"/>
          <w:sz w:val="28"/>
          <w:szCs w:val="28"/>
          <w:lang w:val="en-US" w:eastAsia="zh-CN" w:bidi="zh-TW"/>
        </w:rPr>
        <w:t xml:space="preserve">。</w:t>
      </w:r>
    </w:p>
    <w:p>
      <w:pPr>
        <w:pStyle w:val="Bodytext|2"/>
        <w:spacing w:after="0" w:line="619" w:lineRule="exact"/>
        <w:ind w:firstLine="620"/>
        <w:jc w:val="left"/>
        <w:rPr>
          <w:rFonts w:hint="eastAsia"/>
          <w:b/>
          <w:bCs/>
          <w:lang w:val="en-US" w:eastAsia="zh-CN"/>
        </w:rPr>
      </w:pPr>
      <w:r>
        <w:rPr>
          <w:rFonts w:hint="eastAsia"/>
          <w:b/>
          <w:bCs/>
          <w:lang w:val="en-US" w:eastAsia="zh-CN"/>
        </w:rPr>
        <w:t xml:space="preserve">四、财政拨款收支总体情况说明</w:t>
      </w:r>
    </w:p>
    <w:p>
      <w:pPr>
        <w:pStyle w:val="Bodytext|1"/>
        <w:spacing w:line="240" w:lineRule="auto"/>
        <w:ind w:firstLine="0"/>
        <w:jc w:val="left"/>
        <w:rPr>
          <w:lang w:val="en-US" w:eastAsia="zh-CN"/>
        </w:rPr>
      </w:pPr>
      <w:r>
        <w:rPr>
          <w:rFonts w:hint="eastAsia"/>
          <w:lang w:val="en-US" w:eastAsia="zh-CN"/>
        </w:rPr>
        <w:drawing>
          <wp:inline distT="0" distB="0" distL="114300" distR="114300">
            <wp:extent cx="5080000" cy="3810000"/>
            <wp:effectExtent l="4445" t="4445" r="5715" b="10795"/>
            <wp:docPr id="3815" name="图表 13" title="{{img_sz_c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8"/>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rPr>
      </w:pPr>
      <w:r>
        <w:rPr>
          <w:rFonts w:ascii="宋体" w:eastAsia="宋体" w:hAnsi="宋体" w:cs="宋体" w:hint="eastAsia"/>
          <w:sz w:val="28"/>
          <w:szCs w:val="28"/>
          <w:lang w:eastAsia="zh-CN"/>
        </w:rPr>
        <w:t xml:space="preserve">2024</w:t>
      </w:r>
      <w:r>
        <w:rPr>
          <w:rFonts w:ascii="宋体" w:eastAsia="宋体" w:hAnsi="宋体" w:cs="宋体" w:hint="eastAsia"/>
          <w:sz w:val="28"/>
          <w:szCs w:val="28"/>
          <w:u w:color="auto"/>
        </w:rPr>
        <w:t xml:space="preserve">年</w:t>
      </w:r>
      <w:r>
        <w:rPr>
          <w:rFonts w:ascii="宋体" w:eastAsia="宋体" w:hAnsi="宋体" w:cs="宋体" w:hint="eastAsia"/>
          <w:sz w:val="28"/>
          <w:szCs w:val="28"/>
        </w:rPr>
        <w:t xml:space="preserve">财政拨款收入我部门财政拨款总收入</w:t>
      </w:r>
      <w:r>
        <w:rPr>
          <w:rFonts w:ascii="宋体" w:eastAsia="宋体" w:hAnsi="宋体" w:cs="宋体" w:hint="eastAsia"/>
          <w:sz w:val="28"/>
          <w:szCs w:val="28"/>
          <w:lang w:val="en-US" w:eastAsia="zh-CN" w:bidi="en-US"/>
        </w:rPr>
        <w:t xml:space="preserve">976.52</w:t>
      </w:r>
      <w:r>
        <w:rPr>
          <w:rFonts w:ascii="宋体" w:eastAsia="宋体" w:hAnsi="宋体" w:cs="宋体" w:hint="eastAsia"/>
          <w:sz w:val="28"/>
          <w:szCs w:val="28"/>
        </w:rPr>
        <w:t xml:space="preserve">万元，总支出</w:t>
      </w:r>
      <w:r>
        <w:rPr>
          <w:rFonts w:ascii="宋体" w:eastAsia="宋体" w:hAnsi="宋体" w:cs="宋体" w:hint="eastAsia"/>
          <w:sz w:val="28"/>
          <w:szCs w:val="28"/>
          <w:lang w:val="en-US" w:eastAsia="zh-CN" w:bidi="en-US"/>
        </w:rPr>
        <w:t xml:space="preserve">976.52</w:t>
      </w:r>
      <w:r>
        <w:rPr>
          <w:rFonts w:ascii="宋体" w:eastAsia="宋体" w:hAnsi="宋体" w:cs="宋体" w:hint="eastAsia"/>
          <w:sz w:val="28"/>
          <w:szCs w:val="28"/>
        </w:rPr>
        <w:t xml:space="preserve">万元。财政拨款总收入较2023年度预算数</w:t>
      </w:r>
      <w:r>
        <w:rPr>
          <w:rFonts w:ascii="宋体" w:eastAsia="宋体" w:hAnsi="宋体" w:cs="宋体" w:hint="eastAsia"/>
          <w:sz w:val="28"/>
          <w:szCs w:val="28"/>
          <w:lang w:val="en-US" w:eastAsia="zh-CN" w:bidi="en-US"/>
        </w:rPr>
        <w:t xml:space="preserve">644.53</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增加331.99</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增长51.51%</w:t>
      </w:r>
      <w:r>
        <w:rPr>
          <w:rFonts w:ascii="宋体" w:eastAsia="宋体" w:hAnsi="宋体" w:cs="宋体" w:hint="eastAsia"/>
          <w:sz w:val="28"/>
          <w:szCs w:val="28"/>
        </w:rPr>
        <w:t xml:space="preserve">，主要原因是</w:t>
      </w:r>
      <w:r>
        <w:rPr>
          <w:rFonts w:hint="eastAsia"/>
          <w:highlight w:val="none"/>
          <w:lang w:val="en-US" w:eastAsia="zh-CN"/>
        </w:rPr>
        <w:t xml:space="preserve">一般公共预算拨款（本级）较上一年度增加86.97万元，上年结转结余较上一年度增加245.00万元</w:t>
      </w:r>
      <w:r>
        <w:rPr>
          <w:rFonts w:ascii="宋体" w:eastAsia="宋体" w:hAnsi="宋体" w:cs="宋体" w:hint="eastAsia"/>
          <w:sz w:val="28"/>
          <w:szCs w:val="28"/>
        </w:rPr>
        <w:t xml:space="preserve">。财政拨款总支出较2023年度预算数</w:t>
      </w:r>
      <w:r>
        <w:rPr>
          <w:rFonts w:ascii="宋体" w:eastAsia="宋体" w:hAnsi="宋体" w:cs="宋体" w:hint="eastAsia"/>
          <w:sz w:val="28"/>
          <w:szCs w:val="28"/>
          <w:lang w:val="en-US" w:eastAsia="zh-CN" w:bidi="en-US"/>
        </w:rPr>
        <w:t xml:space="preserve">644.53</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增加331.99</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增长51.51%</w:t>
      </w:r>
      <w:r>
        <w:rPr>
          <w:rFonts w:ascii="宋体" w:eastAsia="宋体" w:hAnsi="宋体" w:cs="宋体" w:hint="eastAsia"/>
          <w:sz w:val="28"/>
          <w:szCs w:val="28"/>
        </w:rPr>
        <w:t xml:space="preserve">，主要原因是</w:t>
      </w:r>
      <w:r>
        <w:rPr>
          <w:rFonts w:hint="eastAsia"/>
          <w:highlight w:val="none"/>
          <w:lang w:val="en-US" w:eastAsia="zh-CN"/>
        </w:rPr>
        <w:t xml:space="preserve">一般公共服务支出较上一年度增加87.67万元，社会保障和就业支出较上一年度减少0.57万元，节能环保支出较上一年度减少41.56万元，城乡社区支出较上一年度减少4.72万元，农林水支出较上一年度增加25.14万元，交通运输支出较上一年度增加264万元，住房保障支出较上一年度增加2.02万元</w:t>
      </w:r>
      <w:r>
        <w:rPr>
          <w:rFonts w:ascii="宋体" w:eastAsia="宋体" w:hAnsi="宋体" w:cs="宋体" w:hint="eastAsia"/>
          <w:sz w:val="28"/>
          <w:szCs w:val="28"/>
        </w:rPr>
        <w:t xml:space="preserve">。</w:t>
      </w:r>
    </w:p>
    <w:p>
      <w:pPr>
        <w:pStyle w:val="Bodytext|2"/>
        <w:spacing w:after="0" w:line="619" w:lineRule="exact"/>
        <w:ind w:firstLine="620"/>
        <w:jc w:val="left"/>
        <w:rPr>
          <w:rFonts w:hint="eastAsia"/>
          <w:b/>
          <w:bCs/>
          <w:lang w:val="en-US" w:eastAsia="zh-CN"/>
        </w:rPr>
      </w:pPr>
      <w:r>
        <w:rPr>
          <w:rFonts w:hint="eastAsia"/>
          <w:b/>
          <w:bCs/>
          <w:lang w:val="en-US" w:eastAsia="zh-CN"/>
        </w:rPr>
        <w:t xml:space="preserve">五、一般公共预算支出情况说明</w:t>
      </w:r>
    </w:p>
    <w:p>
      <w:pPr>
        <w:pStyle w:val="Bodytext|1"/>
        <w:spacing w:line="240" w:lineRule="auto"/>
        <w:ind w:firstLine="0"/>
        <w:jc w:val="left"/>
        <w:rPr>
          <w:lang w:eastAsia="zh-CN"/>
        </w:rPr>
      </w:pPr>
      <w:r>
        <w:rPr>
          <w:lang w:eastAsia="zh-CN"/>
        </w:rPr>
        <w:drawing>
          <wp:inline distT="0" distB="0" distL="114300" distR="114300">
            <wp:extent cx="5080000" cy="3810000"/>
            <wp:effectExtent l="4445" t="4445" r="20955" b="14605"/>
            <wp:docPr id="3816" name="图表 10" title="{{img_zc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9"/>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lang w:eastAsia="zh-CN"/>
        </w:rPr>
        <w:t xml:space="preserve">2024</w:t>
      </w:r>
      <w:r>
        <w:rPr>
          <w:rFonts w:ascii="宋体" w:eastAsia="宋体" w:hAnsi="宋体" w:cs="宋体" w:hint="eastAsia"/>
          <w:sz w:val="28"/>
          <w:szCs w:val="28"/>
          <w:lang w:val="en-US" w:eastAsia="zh-CN"/>
        </w:rPr>
        <w:t xml:space="preserve">年</w:t>
      </w:r>
      <w:r>
        <w:rPr>
          <w:rFonts w:ascii="宋体" w:eastAsia="宋体" w:hAnsi="宋体" w:cs="宋体" w:hint="eastAsia"/>
          <w:sz w:val="28"/>
          <w:szCs w:val="28"/>
        </w:rPr>
        <w:t xml:space="preserve">一般公共预算支出共</w:t>
      </w:r>
      <w:r>
        <w:rPr>
          <w:rFonts w:ascii="宋体" w:eastAsia="宋体" w:hAnsi="宋体" w:cs="宋体" w:hint="eastAsia"/>
          <w:sz w:val="28"/>
          <w:szCs w:val="28"/>
          <w:lang w:val="en-US" w:eastAsia="zh-CN"/>
        </w:rPr>
        <w:t xml:space="preserve">976.52</w:t>
      </w:r>
      <w:r>
        <w:rPr>
          <w:rFonts w:ascii="宋体" w:eastAsia="宋体" w:hAnsi="宋体" w:cs="宋体" w:hint="eastAsia"/>
          <w:sz w:val="28"/>
          <w:szCs w:val="28"/>
        </w:rPr>
        <w:t xml:space="preserve">万元，较2023年度预算数</w:t>
      </w:r>
      <w:r>
        <w:rPr>
          <w:rFonts w:ascii="宋体" w:eastAsia="宋体" w:hAnsi="宋体" w:cs="宋体" w:hint="eastAsia"/>
          <w:sz w:val="28"/>
          <w:szCs w:val="28"/>
          <w:lang w:val="en-US" w:eastAsia="zh-CN"/>
        </w:rPr>
        <w:t xml:space="preserve">644.53</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增加331.99</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增长51.51%</w:t>
      </w:r>
      <w:r>
        <w:rPr>
          <w:rFonts w:ascii="宋体" w:eastAsia="宋体" w:hAnsi="宋体" w:cs="宋体" w:hint="eastAsia"/>
          <w:sz w:val="28"/>
          <w:szCs w:val="28"/>
        </w:rPr>
        <w:t xml:space="preserve">，主要原因是</w:t>
      </w:r>
      <w:r>
        <w:rPr>
          <w:rFonts w:hint="eastAsia"/>
          <w:highlight w:val="none"/>
          <w:lang w:val="en-US" w:eastAsia="zh-CN"/>
        </w:rPr>
        <w:t xml:space="preserve">人员经费支出较上一年度增加90.70万元，公用经费支出较上一年度减少3.08万元，项目支出较上一年度增加245.00万元</w:t>
      </w:r>
      <w:r>
        <w:rPr>
          <w:rFonts w:ascii="宋体" w:eastAsia="宋体" w:hAnsi="宋体" w:cs="宋体" w:hint="eastAsia"/>
          <w:sz w:val="28"/>
          <w:szCs w:val="28"/>
        </w:rPr>
        <w:t xml:space="preserve">。中央提前下达2024年一般公共预算转移支付资金安排的支出</w:t>
      </w:r>
      <w:r>
        <w:rPr>
          <w:rFonts w:ascii="宋体" w:eastAsia="宋体" w:hAnsi="宋体" w:cs="宋体" w:hint="eastAsia"/>
          <w:sz w:val="28"/>
          <w:szCs w:val="28"/>
          <w:lang w:val="en-US" w:eastAsia="zh-CN"/>
        </w:rPr>
        <w:t xml:space="preserve">0.00</w:t>
      </w:r>
      <w:r>
        <w:rPr>
          <w:rFonts w:ascii="宋体" w:eastAsia="宋体" w:hAnsi="宋体" w:cs="宋体" w:hint="eastAsia"/>
          <w:sz w:val="28"/>
          <w:szCs w:val="28"/>
        </w:rPr>
        <w:t xml:space="preserve">万元。具体情况为：</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一般公共服务支出</w:t>
      </w:r>
      <w:r>
        <w:rPr>
          <w:rFonts w:ascii="宋体" w:eastAsia="宋体" w:hAnsi="宋体" w:cs="宋体" w:hint="eastAsia"/>
          <w:sz w:val="28"/>
          <w:szCs w:val="28"/>
        </w:rPr>
        <w:t xml:space="preserve">（类）支出</w:t>
      </w:r>
      <w:r>
        <w:rPr>
          <w:rFonts w:ascii="宋体" w:eastAsia="宋体" w:hAnsi="宋体" w:cs="宋体"/>
          <w:sz w:val="28"/>
          <w:u w:color="auto"/>
        </w:rPr>
        <w:t xml:space="preserve">571.71</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58.55%</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484.04</w:t>
      </w:r>
      <w:r>
        <w:rPr>
          <w:rFonts w:ascii="宋体" w:eastAsia="宋体" w:hAnsi="宋体" w:cs="宋体" w:hint="eastAsia"/>
          <w:sz w:val="28"/>
          <w:szCs w:val="28"/>
        </w:rPr>
        <w:t xml:space="preserve">万元，</w:t>
      </w:r>
      <w:r>
        <w:rPr>
          <w:rFonts w:ascii="宋体" w:eastAsia="宋体" w:hAnsi="宋体" w:cs="宋体"/>
          <w:sz w:val="28"/>
          <w:u w:color="auto"/>
        </w:rPr>
        <w:t xml:space="preserve">增长87.67</w:t>
      </w:r>
      <w:r>
        <w:rPr>
          <w:rFonts w:ascii="宋体" w:eastAsia="宋体" w:hAnsi="宋体" w:cs="宋体" w:hint="eastAsia"/>
          <w:sz w:val="28"/>
          <w:szCs w:val="28"/>
        </w:rPr>
        <w:t xml:space="preserve">万元，</w:t>
      </w:r>
      <w:r>
        <w:rPr>
          <w:rFonts w:ascii="宋体" w:eastAsia="宋体" w:hAnsi="宋体" w:cs="宋体"/>
          <w:sz w:val="28"/>
          <w:u w:color="auto"/>
        </w:rPr>
        <w:t xml:space="preserve">增长18.11%</w:t>
      </w:r>
      <w:r>
        <w:rPr>
          <w:rFonts w:ascii="宋体" w:eastAsia="宋体" w:hAnsi="宋体" w:cs="宋体" w:hint="eastAsia"/>
          <w:sz w:val="28"/>
          <w:szCs w:val="28"/>
        </w:rPr>
        <w:t xml:space="preserve">，主要原因是：</w:t>
      </w:r>
      <w:r>
        <w:rPr>
          <w:rFonts w:hint="eastAsia"/>
          <w:highlight w:val="none"/>
        </w:rPr>
        <w:t xml:space="preserve">工资奖金津补贴较上一年度增加41.51万元，社会保障缴费较上一年度增加6.43万元，其他工资福利支出较上一年度增加28.81万元，委托业务费较上一年度增加3.10万元，离退休费较上一年度增加10.43万元</w:t>
      </w:r>
      <w:r>
        <w:rPr>
          <w:rFonts w:ascii="宋体" w:eastAsia="宋体" w:hAnsi="宋体" w:cs="宋体" w:hint="eastAsia"/>
          <w:sz w:val="28"/>
          <w:szCs w:val="28"/>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交通运输支出</w:t>
      </w:r>
      <w:r>
        <w:rPr>
          <w:rFonts w:ascii="宋体" w:eastAsia="宋体" w:hAnsi="宋体" w:cs="宋体" w:hint="eastAsia"/>
          <w:sz w:val="28"/>
          <w:szCs w:val="28"/>
        </w:rPr>
        <w:t xml:space="preserve">（类）支出</w:t>
      </w:r>
      <w:r>
        <w:rPr>
          <w:rFonts w:ascii="宋体" w:eastAsia="宋体" w:hAnsi="宋体" w:cs="宋体"/>
          <w:sz w:val="28"/>
          <w:u w:color="auto"/>
        </w:rPr>
        <w:t xml:space="preserve">264.00</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27.03%</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0.00</w:t>
      </w:r>
      <w:r>
        <w:rPr>
          <w:rFonts w:ascii="宋体" w:eastAsia="宋体" w:hAnsi="宋体" w:cs="宋体" w:hint="eastAsia"/>
          <w:sz w:val="28"/>
          <w:szCs w:val="28"/>
        </w:rPr>
        <w:t xml:space="preserve">万元，</w:t>
      </w:r>
      <w:r>
        <w:rPr>
          <w:rFonts w:ascii="宋体" w:eastAsia="宋体" w:hAnsi="宋体" w:cs="宋体"/>
          <w:sz w:val="28"/>
          <w:u w:color="auto"/>
        </w:rPr>
        <w:t xml:space="preserve">增长264.00</w:t>
      </w:r>
      <w:r>
        <w:rPr>
          <w:rFonts w:ascii="宋体" w:eastAsia="宋体" w:hAnsi="宋体" w:cs="宋体" w:hint="eastAsia"/>
          <w:sz w:val="28"/>
          <w:szCs w:val="28"/>
        </w:rPr>
        <w:t xml:space="preserve">万元，</w:t>
      </w:r>
      <w:r>
        <w:rPr>
          <w:rFonts w:ascii="宋体" w:eastAsia="宋体" w:hAnsi="宋体" w:cs="宋体"/>
          <w:sz w:val="28"/>
          <w:u w:color="auto"/>
        </w:rPr>
        <w:t xml:space="preserve">增长100%</w:t>
      </w:r>
      <w:r>
        <w:rPr>
          <w:rFonts w:ascii="宋体" w:eastAsia="宋体" w:hAnsi="宋体" w:cs="宋体" w:hint="eastAsia"/>
          <w:sz w:val="28"/>
          <w:szCs w:val="28"/>
        </w:rPr>
        <w:t xml:space="preserve">，主要原因是：</w:t>
      </w:r>
      <w:r>
        <w:rPr>
          <w:rFonts w:hint="eastAsia"/>
          <w:highlight w:val="none"/>
        </w:rPr>
        <w:t xml:space="preserve">本年度新增公路建设方面支出264.00万元</w:t>
      </w:r>
      <w:r>
        <w:rPr>
          <w:rFonts w:ascii="宋体" w:eastAsia="宋体" w:hAnsi="宋体" w:cs="宋体" w:hint="eastAsia"/>
          <w:sz w:val="28"/>
          <w:szCs w:val="28"/>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住房保障支出</w:t>
      </w:r>
      <w:r>
        <w:rPr>
          <w:rFonts w:ascii="宋体" w:eastAsia="宋体" w:hAnsi="宋体" w:cs="宋体" w:hint="eastAsia"/>
          <w:sz w:val="28"/>
          <w:szCs w:val="28"/>
        </w:rPr>
        <w:t xml:space="preserve">（类）支出</w:t>
      </w:r>
      <w:r>
        <w:rPr>
          <w:rFonts w:ascii="宋体" w:eastAsia="宋体" w:hAnsi="宋体" w:cs="宋体"/>
          <w:sz w:val="28"/>
          <w:u w:color="auto"/>
        </w:rPr>
        <w:t xml:space="preserve">37.91</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3.88%</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35.89</w:t>
      </w:r>
      <w:r>
        <w:rPr>
          <w:rFonts w:ascii="宋体" w:eastAsia="宋体" w:hAnsi="宋体" w:cs="宋体" w:hint="eastAsia"/>
          <w:sz w:val="28"/>
          <w:szCs w:val="28"/>
        </w:rPr>
        <w:t xml:space="preserve">万元，</w:t>
      </w:r>
      <w:r>
        <w:rPr>
          <w:rFonts w:ascii="宋体" w:eastAsia="宋体" w:hAnsi="宋体" w:cs="宋体"/>
          <w:sz w:val="28"/>
          <w:u w:color="auto"/>
        </w:rPr>
        <w:t xml:space="preserve">增长2.02</w:t>
      </w:r>
      <w:r>
        <w:rPr>
          <w:rFonts w:ascii="宋体" w:eastAsia="宋体" w:hAnsi="宋体" w:cs="宋体" w:hint="eastAsia"/>
          <w:sz w:val="28"/>
          <w:szCs w:val="28"/>
        </w:rPr>
        <w:t xml:space="preserve">万元，</w:t>
      </w:r>
      <w:r>
        <w:rPr>
          <w:rFonts w:ascii="宋体" w:eastAsia="宋体" w:hAnsi="宋体" w:cs="宋体"/>
          <w:sz w:val="28"/>
          <w:u w:color="auto"/>
        </w:rPr>
        <w:t xml:space="preserve">增长5.63%</w:t>
      </w:r>
      <w:r>
        <w:rPr>
          <w:rFonts w:ascii="宋体" w:eastAsia="宋体" w:hAnsi="宋体" w:cs="宋体" w:hint="eastAsia"/>
          <w:sz w:val="28"/>
          <w:szCs w:val="28"/>
        </w:rPr>
        <w:t xml:space="preserve">，主要原因是：</w:t>
      </w:r>
      <w:r>
        <w:rPr>
          <w:rFonts w:hint="eastAsia"/>
          <w:highlight w:val="none"/>
        </w:rPr>
        <w:t xml:space="preserve">住房公积金方面支出较上一年度有所增加</w:t>
      </w:r>
      <w:r>
        <w:rPr>
          <w:rFonts w:ascii="宋体" w:eastAsia="宋体" w:hAnsi="宋体" w:cs="宋体" w:hint="eastAsia"/>
          <w:sz w:val="28"/>
          <w:szCs w:val="28"/>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农林水支出</w:t>
      </w:r>
      <w:r>
        <w:rPr>
          <w:rFonts w:ascii="宋体" w:eastAsia="宋体" w:hAnsi="宋体" w:cs="宋体" w:hint="eastAsia"/>
          <w:sz w:val="28"/>
          <w:szCs w:val="28"/>
        </w:rPr>
        <w:t xml:space="preserve">（类）支出</w:t>
      </w:r>
      <w:r>
        <w:rPr>
          <w:rFonts w:ascii="宋体" w:eastAsia="宋体" w:hAnsi="宋体" w:cs="宋体"/>
          <w:sz w:val="28"/>
          <w:u w:color="auto"/>
        </w:rPr>
        <w:t xml:space="preserve">31.02</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3.18%</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5.88</w:t>
      </w:r>
      <w:r>
        <w:rPr>
          <w:rFonts w:ascii="宋体" w:eastAsia="宋体" w:hAnsi="宋体" w:cs="宋体" w:hint="eastAsia"/>
          <w:sz w:val="28"/>
          <w:szCs w:val="28"/>
        </w:rPr>
        <w:t xml:space="preserve">万元，</w:t>
      </w:r>
      <w:r>
        <w:rPr>
          <w:rFonts w:ascii="宋体" w:eastAsia="宋体" w:hAnsi="宋体" w:cs="宋体"/>
          <w:sz w:val="28"/>
          <w:u w:color="auto"/>
        </w:rPr>
        <w:t xml:space="preserve">增长25.14</w:t>
      </w:r>
      <w:r>
        <w:rPr>
          <w:rFonts w:ascii="宋体" w:eastAsia="宋体" w:hAnsi="宋体" w:cs="宋体" w:hint="eastAsia"/>
          <w:sz w:val="28"/>
          <w:szCs w:val="28"/>
        </w:rPr>
        <w:t xml:space="preserve">万元，</w:t>
      </w:r>
      <w:r>
        <w:rPr>
          <w:rFonts w:ascii="宋体" w:eastAsia="宋体" w:hAnsi="宋体" w:cs="宋体"/>
          <w:sz w:val="28"/>
          <w:u w:color="auto"/>
        </w:rPr>
        <w:t xml:space="preserve">增长427.55%</w:t>
      </w:r>
      <w:r>
        <w:rPr>
          <w:rFonts w:ascii="宋体" w:eastAsia="宋体" w:hAnsi="宋体" w:cs="宋体" w:hint="eastAsia"/>
          <w:sz w:val="28"/>
          <w:szCs w:val="28"/>
        </w:rPr>
        <w:t xml:space="preserve">，主要原因是：</w:t>
      </w:r>
      <w:r>
        <w:rPr>
          <w:rFonts w:hint="eastAsia"/>
          <w:highlight w:val="none"/>
        </w:rPr>
        <w:t xml:space="preserve">新一轮退耕还林还草延长期补助较上一年度有所增加</w:t>
      </w:r>
      <w:r>
        <w:rPr>
          <w:rFonts w:ascii="宋体" w:eastAsia="宋体" w:hAnsi="宋体" w:cs="宋体" w:hint="eastAsia"/>
          <w:sz w:val="28"/>
          <w:szCs w:val="28"/>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城乡社区支出</w:t>
      </w:r>
      <w:r>
        <w:rPr>
          <w:rFonts w:ascii="宋体" w:eastAsia="宋体" w:hAnsi="宋体" w:cs="宋体" w:hint="eastAsia"/>
          <w:sz w:val="28"/>
          <w:szCs w:val="28"/>
        </w:rPr>
        <w:t xml:space="preserve">（类）支出</w:t>
      </w:r>
      <w:r>
        <w:rPr>
          <w:rFonts w:ascii="宋体" w:eastAsia="宋体" w:hAnsi="宋体" w:cs="宋体"/>
          <w:sz w:val="28"/>
          <w:u w:color="auto"/>
        </w:rPr>
        <w:t xml:space="preserve">0.00</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0.00%</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4.72</w:t>
      </w:r>
      <w:r>
        <w:rPr>
          <w:rFonts w:ascii="宋体" w:eastAsia="宋体" w:hAnsi="宋体" w:cs="宋体" w:hint="eastAsia"/>
          <w:sz w:val="28"/>
          <w:szCs w:val="28"/>
        </w:rPr>
        <w:t xml:space="preserve">万元，</w:t>
      </w:r>
      <w:r>
        <w:rPr>
          <w:rFonts w:ascii="宋体" w:eastAsia="宋体" w:hAnsi="宋体" w:cs="宋体"/>
          <w:sz w:val="28"/>
          <w:u w:color="auto"/>
        </w:rPr>
        <w:t xml:space="preserve">减少4.72</w:t>
      </w:r>
      <w:r>
        <w:rPr>
          <w:rFonts w:ascii="宋体" w:eastAsia="宋体" w:hAnsi="宋体" w:cs="宋体" w:hint="eastAsia"/>
          <w:sz w:val="28"/>
          <w:szCs w:val="28"/>
        </w:rPr>
        <w:t xml:space="preserve">万元，</w:t>
      </w:r>
      <w:r>
        <w:rPr>
          <w:rFonts w:ascii="宋体" w:eastAsia="宋体" w:hAnsi="宋体" w:cs="宋体"/>
          <w:sz w:val="28"/>
          <w:u w:color="auto"/>
        </w:rPr>
        <w:t xml:space="preserve">减少100.00%</w:t>
      </w:r>
      <w:r>
        <w:rPr>
          <w:rFonts w:ascii="宋体" w:eastAsia="宋体" w:hAnsi="宋体" w:cs="宋体" w:hint="eastAsia"/>
          <w:sz w:val="28"/>
          <w:szCs w:val="28"/>
        </w:rPr>
        <w:t xml:space="preserve">，主要原因是：</w:t>
      </w:r>
      <w:r>
        <w:rPr>
          <w:rFonts w:hint="eastAsia"/>
          <w:highlight w:val="none"/>
        </w:rPr>
        <w:t xml:space="preserve">本年度无城乡社区支出（类）方面的支出</w:t>
      </w:r>
      <w:r>
        <w:rPr>
          <w:rFonts w:ascii="宋体" w:eastAsia="宋体" w:hAnsi="宋体" w:cs="宋体" w:hint="eastAsia"/>
          <w:sz w:val="28"/>
          <w:szCs w:val="28"/>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灾害防治及应急管理支出</w:t>
      </w:r>
      <w:r>
        <w:rPr>
          <w:rFonts w:ascii="宋体" w:eastAsia="宋体" w:hAnsi="宋体" w:cs="宋体" w:hint="eastAsia"/>
          <w:sz w:val="28"/>
          <w:szCs w:val="28"/>
        </w:rPr>
        <w:t xml:space="preserve">（类）支出</w:t>
      </w:r>
      <w:r>
        <w:rPr>
          <w:rFonts w:ascii="宋体" w:eastAsia="宋体" w:hAnsi="宋体" w:cs="宋体"/>
          <w:sz w:val="28"/>
          <w:u w:color="auto"/>
        </w:rPr>
        <w:t xml:space="preserve">1.50</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0.15%</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1.50</w:t>
      </w:r>
      <w:r>
        <w:rPr>
          <w:rFonts w:ascii="宋体" w:eastAsia="宋体" w:hAnsi="宋体" w:cs="宋体" w:hint="eastAsia"/>
          <w:sz w:val="28"/>
          <w:szCs w:val="28"/>
        </w:rPr>
        <w:t xml:space="preserve">万元，</w:t>
      </w:r>
      <w:r>
        <w:rPr>
          <w:rFonts w:ascii="宋体" w:eastAsia="宋体" w:hAnsi="宋体" w:cs="宋体"/>
          <w:sz w:val="28"/>
          <w:u w:color="auto"/>
        </w:rPr>
        <w:t xml:space="preserve">增长0.00</w:t>
      </w:r>
      <w:r>
        <w:rPr>
          <w:rFonts w:ascii="宋体" w:eastAsia="宋体" w:hAnsi="宋体" w:cs="宋体" w:hint="eastAsia"/>
          <w:sz w:val="28"/>
          <w:szCs w:val="28"/>
        </w:rPr>
        <w:t xml:space="preserve">万元，</w:t>
      </w:r>
      <w:r>
        <w:rPr>
          <w:rFonts w:ascii="宋体" w:eastAsia="宋体" w:hAnsi="宋体" w:cs="宋体"/>
          <w:sz w:val="28"/>
          <w:u w:color="auto"/>
        </w:rPr>
        <w:t xml:space="preserve">增长0.00%</w:t>
      </w:r>
      <w:r>
        <w:rPr>
          <w:rFonts w:ascii="宋体" w:eastAsia="宋体" w:hAnsi="宋体" w:cs="宋体" w:hint="eastAsia"/>
          <w:sz w:val="28"/>
          <w:szCs w:val="28"/>
        </w:rPr>
        <w:t xml:space="preserve">，主要原因是：</w:t>
      </w:r>
      <w:r>
        <w:rPr>
          <w:rFonts w:hint="eastAsia"/>
          <w:highlight w:val="none"/>
        </w:rPr>
        <w:t xml:space="preserve">本年度灾害防治及应急管理支出（类）支出与上年持平</w:t>
      </w:r>
      <w:r>
        <w:rPr>
          <w:rFonts w:ascii="宋体" w:eastAsia="宋体" w:hAnsi="宋体" w:cs="宋体" w:hint="eastAsia"/>
          <w:sz w:val="28"/>
          <w:szCs w:val="28"/>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社会保障和就业支出</w:t>
      </w:r>
      <w:r>
        <w:rPr>
          <w:rFonts w:ascii="宋体" w:eastAsia="宋体" w:hAnsi="宋体" w:cs="宋体" w:hint="eastAsia"/>
          <w:sz w:val="28"/>
          <w:szCs w:val="28"/>
        </w:rPr>
        <w:t xml:space="preserve">（类）支出</w:t>
      </w:r>
      <w:r>
        <w:rPr>
          <w:rFonts w:ascii="宋体" w:eastAsia="宋体" w:hAnsi="宋体" w:cs="宋体"/>
          <w:sz w:val="28"/>
          <w:u w:color="auto"/>
        </w:rPr>
        <w:t xml:space="preserve">48.31</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4.95%</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48.88</w:t>
      </w:r>
      <w:r>
        <w:rPr>
          <w:rFonts w:ascii="宋体" w:eastAsia="宋体" w:hAnsi="宋体" w:cs="宋体" w:hint="eastAsia"/>
          <w:sz w:val="28"/>
          <w:szCs w:val="28"/>
        </w:rPr>
        <w:t xml:space="preserve">万元，</w:t>
      </w:r>
      <w:r>
        <w:rPr>
          <w:rFonts w:ascii="宋体" w:eastAsia="宋体" w:hAnsi="宋体" w:cs="宋体"/>
          <w:sz w:val="28"/>
          <w:u w:color="auto"/>
        </w:rPr>
        <w:t xml:space="preserve">减少0.57</w:t>
      </w:r>
      <w:r>
        <w:rPr>
          <w:rFonts w:ascii="宋体" w:eastAsia="宋体" w:hAnsi="宋体" w:cs="宋体" w:hint="eastAsia"/>
          <w:sz w:val="28"/>
          <w:szCs w:val="28"/>
        </w:rPr>
        <w:t xml:space="preserve">万元，</w:t>
      </w:r>
      <w:r>
        <w:rPr>
          <w:rFonts w:ascii="宋体" w:eastAsia="宋体" w:hAnsi="宋体" w:cs="宋体"/>
          <w:sz w:val="28"/>
          <w:u w:color="auto"/>
        </w:rPr>
        <w:t xml:space="preserve">减少1.17%</w:t>
      </w:r>
      <w:r>
        <w:rPr>
          <w:rFonts w:ascii="宋体" w:eastAsia="宋体" w:hAnsi="宋体" w:cs="宋体" w:hint="eastAsia"/>
          <w:sz w:val="28"/>
          <w:szCs w:val="28"/>
        </w:rPr>
        <w:t xml:space="preserve">，主要原因是：</w:t>
      </w:r>
      <w:r>
        <w:rPr>
          <w:rFonts w:hint="eastAsia"/>
          <w:highlight w:val="none"/>
        </w:rPr>
        <w:t xml:space="preserve">用于社会保障缴费、社会福利和救助等方面的支出较上一年有所减少</w:t>
      </w:r>
      <w:r>
        <w:rPr>
          <w:rFonts w:ascii="宋体" w:eastAsia="宋体" w:hAnsi="宋体" w:cs="宋体" w:hint="eastAsia"/>
          <w:sz w:val="28"/>
          <w:szCs w:val="28"/>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节能环保支出</w:t>
      </w:r>
      <w:r>
        <w:rPr>
          <w:rFonts w:ascii="宋体" w:eastAsia="宋体" w:hAnsi="宋体" w:cs="宋体" w:hint="eastAsia"/>
          <w:sz w:val="28"/>
          <w:szCs w:val="28"/>
        </w:rPr>
        <w:t xml:space="preserve">（类）支出</w:t>
      </w:r>
      <w:r>
        <w:rPr>
          <w:rFonts w:ascii="宋体" w:eastAsia="宋体" w:hAnsi="宋体" w:cs="宋体"/>
          <w:sz w:val="28"/>
          <w:u w:color="auto"/>
        </w:rPr>
        <w:t xml:space="preserve">22.06</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2.26%</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63.62</w:t>
      </w:r>
      <w:r>
        <w:rPr>
          <w:rFonts w:ascii="宋体" w:eastAsia="宋体" w:hAnsi="宋体" w:cs="宋体" w:hint="eastAsia"/>
          <w:sz w:val="28"/>
          <w:szCs w:val="28"/>
        </w:rPr>
        <w:t xml:space="preserve">万元，</w:t>
      </w:r>
      <w:r>
        <w:rPr>
          <w:rFonts w:ascii="宋体" w:eastAsia="宋体" w:hAnsi="宋体" w:cs="宋体"/>
          <w:sz w:val="28"/>
          <w:u w:color="auto"/>
        </w:rPr>
        <w:t xml:space="preserve">减少41.56</w:t>
      </w:r>
      <w:r>
        <w:rPr>
          <w:rFonts w:ascii="宋体" w:eastAsia="宋体" w:hAnsi="宋体" w:cs="宋体" w:hint="eastAsia"/>
          <w:sz w:val="28"/>
          <w:szCs w:val="28"/>
        </w:rPr>
        <w:t xml:space="preserve">万元，</w:t>
      </w:r>
      <w:r>
        <w:rPr>
          <w:rFonts w:ascii="宋体" w:eastAsia="宋体" w:hAnsi="宋体" w:cs="宋体"/>
          <w:sz w:val="28"/>
          <w:u w:color="auto"/>
        </w:rPr>
        <w:t xml:space="preserve">减少65.33%</w:t>
      </w:r>
      <w:r>
        <w:rPr>
          <w:rFonts w:ascii="宋体" w:eastAsia="宋体" w:hAnsi="宋体" w:cs="宋体" w:hint="eastAsia"/>
          <w:sz w:val="28"/>
          <w:szCs w:val="28"/>
        </w:rPr>
        <w:t xml:space="preserve">，主要原因是：</w:t>
      </w:r>
      <w:r>
        <w:rPr>
          <w:rFonts w:hint="eastAsia"/>
          <w:highlight w:val="none"/>
        </w:rPr>
        <w:t xml:space="preserve">用于生态护林员劳务补助资金方面的支出有所减少</w:t>
      </w:r>
      <w:r>
        <w:rPr>
          <w:rFonts w:ascii="宋体" w:eastAsia="宋体" w:hAnsi="宋体" w:cs="宋体" w:hint="eastAsia"/>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六、一般公共预算基本支出情况说明</w:t>
      </w:r>
    </w:p>
    <w:p>
      <w:pPr>
        <w:pStyle w:val="Bodytext|2"/>
        <w:spacing w:after="0"/>
        <w:ind w:firstLine="0"/>
        <w:jc w:val="left"/>
        <w:rPr>
          <w:highlight w:val="yellow"/>
          <w:lang w:val="en-US" w:eastAsia="zh-CN"/>
        </w:rPr>
      </w:pPr>
      <w:r>
        <w:rPr>
          <w:highlight w:val="none"/>
          <w:lang w:val="en-US" w:eastAsia="zh-CN"/>
        </w:rPr>
        <w:drawing>
          <wp:inline distT="0" distB="0" distL="114300" distR="114300">
            <wp:extent cx="5080000" cy="3810000"/>
            <wp:effectExtent l="4445" t="4445" r="20955" b="14605"/>
            <wp:docPr id="3817" name="图表 3" title="{{rep6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10"/>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hint="eastAsia"/>
          <w:lang w:val="en-US" w:eastAsia="zh-CN"/>
        </w:rPr>
      </w:pPr>
      <w:r>
        <w:rPr>
          <w:rFonts w:hint="eastAsia"/>
          <w:lang w:val="en-US" w:eastAsia="zh-CN"/>
        </w:rPr>
        <w:t xml:space="preserve">2024</w:t>
      </w:r>
      <w:r>
        <w:rPr>
          <w:u w:color="auto"/>
        </w:rPr>
        <w:t xml:space="preserve">年</w:t>
      </w:r>
      <w:r>
        <w:rPr>
          <w:rFonts w:hint="eastAsia"/>
        </w:rPr>
        <w:t xml:space="preserve">一般公共预算基本支出共</w:t>
      </w:r>
      <w:r>
        <w:rPr>
          <w:rFonts w:hint="eastAsia"/>
          <w:lang w:val="en-US" w:eastAsia="zh-CN"/>
        </w:rPr>
        <w:t xml:space="preserve">581.98</w:t>
      </w:r>
      <w:r>
        <w:rPr>
          <w:rFonts w:hint="eastAsia"/>
        </w:rPr>
        <w:t xml:space="preserve">万元，较2023年度预算数</w:t>
      </w:r>
      <w:r>
        <w:rPr>
          <w:rFonts w:hint="eastAsia"/>
          <w:lang w:val="en-US" w:eastAsia="zh-CN"/>
        </w:rPr>
        <w:t xml:space="preserve">495.01</w:t>
      </w:r>
      <w:r>
        <w:rPr>
          <w:rFonts w:hint="eastAsia"/>
        </w:rPr>
        <w:t xml:space="preserve">万元</w:t>
      </w:r>
      <w:r>
        <w:rPr>
          <w:rFonts w:hint="eastAsia"/>
          <w:lang w:val="en-US" w:eastAsia="zh-CN"/>
        </w:rPr>
        <w:t xml:space="preserve">,</w:t>
      </w:r>
      <w:r>
        <w:rPr>
          <w:u w:color="auto"/>
        </w:rPr>
        <w:t xml:space="preserve">增加86.97</w:t>
      </w:r>
      <w:r>
        <w:rPr>
          <w:rFonts w:hint="eastAsia"/>
        </w:rPr>
        <w:t xml:space="preserve">万元，</w:t>
      </w:r>
      <w:r>
        <w:rPr>
          <w:rFonts w:hint="eastAsia"/>
          <w:lang w:val="en-US" w:eastAsia="zh-CN"/>
        </w:rPr>
        <w:t xml:space="preserve">增长17.57%</w:t>
      </w:r>
      <w:r>
        <w:rPr>
          <w:rFonts w:hint="eastAsia"/>
        </w:rPr>
        <w:t xml:space="preserve">，主要原因是</w:t>
      </w:r>
      <w:r>
        <w:rPr>
          <w:rFonts w:hint="eastAsia"/>
          <w:highlight w:val="none"/>
          <w:lang w:val="en-US" w:eastAsia="zh-CN"/>
        </w:rPr>
        <w:t xml:space="preserve">工资福利支出支出、对个人和家庭的补助支出等方面支出较上一年度有所增加</w:t>
      </w:r>
      <w:r>
        <w:rPr>
          <w:rFonts w:hint="eastAsia"/>
        </w:rPr>
        <w:t xml:space="preserve">。具体情况为：</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 xml:space="preserve">工资福利支出</w:t>
      </w:r>
      <w:r>
        <w:rPr>
          <w:rFonts w:hint="eastAsia"/>
        </w:rPr>
        <w:t xml:space="preserve">支出预算</w:t>
      </w:r>
      <w:r>
        <w:rPr>
          <w:rFonts w:hint="eastAsia"/>
          <w:lang w:val="en-US" w:eastAsia="zh-CN"/>
        </w:rPr>
        <w:t xml:space="preserve">496.72</w:t>
      </w:r>
      <w:r>
        <w:t xml:space="preserve">万元</w:t>
      </w:r>
      <w:r>
        <w:rPr>
          <w:rFonts w:hint="eastAsia"/>
          <w:lang w:eastAsia="zh-CN"/>
        </w:rPr>
        <w:t xml:space="preserve">，</w:t>
      </w:r>
      <w:r>
        <w:rPr>
          <w:rFonts w:hint="eastAsia"/>
        </w:rPr>
        <w:t xml:space="preserve">占基本支出预算的</w:t>
      </w:r>
      <w:r>
        <w:rPr>
          <w:rFonts w:hint="eastAsia"/>
          <w:lang w:val="en-US" w:eastAsia="zh-CN"/>
        </w:rPr>
        <w:t xml:space="preserve">85.35%</w:t>
      </w:r>
      <w:r>
        <w:rPr>
          <w:rFonts w:hint="eastAsia"/>
        </w:rPr>
        <w:t xml:space="preserve">，较2023年度预算数</w:t>
      </w:r>
      <w:r>
        <w:rPr>
          <w:rFonts w:hint="eastAsia"/>
          <w:lang w:val="en-US" w:eastAsia="zh-CN"/>
        </w:rPr>
        <w:t xml:space="preserve">419.03</w:t>
      </w:r>
      <w:r>
        <w:rPr>
          <w:rFonts w:hint="eastAsia"/>
        </w:rPr>
        <w:t xml:space="preserve">万元，</w:t>
      </w:r>
      <w:r>
        <w:rPr>
          <w:rFonts w:hint="eastAsia"/>
          <w:lang w:val="en-US" w:eastAsia="zh-CN"/>
        </w:rPr>
        <w:t xml:space="preserve">增长77.69</w:t>
      </w:r>
      <w:r>
        <w:rPr>
          <w:rFonts w:hint="eastAsia"/>
        </w:rPr>
        <w:t xml:space="preserve">万元，</w:t>
      </w:r>
      <w:r>
        <w:rPr>
          <w:rFonts w:hint="eastAsia"/>
          <w:lang w:val="en-US" w:eastAsia="zh-CN"/>
        </w:rPr>
        <w:t xml:space="preserve">增长18.54%</w:t>
      </w:r>
      <w:r>
        <w:rPr>
          <w:rFonts w:hint="eastAsia"/>
        </w:rPr>
        <w:t xml:space="preserve">，主要原因是：</w:t>
      </w:r>
      <w:r>
        <w:rPr>
          <w:rFonts w:hint="eastAsia"/>
          <w:highlight w:val="none"/>
        </w:rPr>
        <w:t xml:space="preserve">工资奖金津补贴、社会保障缴费、住房公积金、其他工资福利支出等方面支出较上一年度有所增加</w:t>
      </w:r>
      <w:r>
        <w:rPr>
          <w:rFonts w:hint="eastAsia"/>
          <w:highlight w:val="none"/>
          <w:lang w:val="en-US" w:eastAsia="zh-CN"/>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 xml:space="preserve">商品和服务支出</w:t>
      </w:r>
      <w:r>
        <w:rPr>
          <w:rFonts w:hint="eastAsia"/>
        </w:rPr>
        <w:t xml:space="preserve">支出预算</w:t>
      </w:r>
      <w:r>
        <w:rPr>
          <w:rFonts w:hint="eastAsia"/>
          <w:lang w:val="en-US" w:eastAsia="zh-CN"/>
        </w:rPr>
        <w:t xml:space="preserve">46.94</w:t>
      </w:r>
      <w:r>
        <w:t xml:space="preserve">万元</w:t>
      </w:r>
      <w:r>
        <w:rPr>
          <w:rFonts w:hint="eastAsia"/>
          <w:lang w:eastAsia="zh-CN"/>
        </w:rPr>
        <w:t xml:space="preserve">，</w:t>
      </w:r>
      <w:r>
        <w:rPr>
          <w:rFonts w:hint="eastAsia"/>
        </w:rPr>
        <w:t xml:space="preserve">占基本支出预算的</w:t>
      </w:r>
      <w:r>
        <w:rPr>
          <w:rFonts w:hint="eastAsia"/>
          <w:lang w:val="en-US" w:eastAsia="zh-CN"/>
        </w:rPr>
        <w:t xml:space="preserve">8.07%</w:t>
      </w:r>
      <w:r>
        <w:rPr>
          <w:rFonts w:hint="eastAsia"/>
        </w:rPr>
        <w:t xml:space="preserve">，较2023年度预算数</w:t>
      </w:r>
      <w:r>
        <w:rPr>
          <w:rFonts w:hint="eastAsia"/>
          <w:lang w:val="en-US" w:eastAsia="zh-CN"/>
        </w:rPr>
        <w:t xml:space="preserve">50.02</w:t>
      </w:r>
      <w:r>
        <w:rPr>
          <w:rFonts w:hint="eastAsia"/>
        </w:rPr>
        <w:t xml:space="preserve">万元，</w:t>
      </w:r>
      <w:r>
        <w:rPr>
          <w:rFonts w:hint="eastAsia"/>
          <w:lang w:val="en-US" w:eastAsia="zh-CN"/>
        </w:rPr>
        <w:t xml:space="preserve">减少3.08</w:t>
      </w:r>
      <w:r>
        <w:rPr>
          <w:rFonts w:hint="eastAsia"/>
        </w:rPr>
        <w:t xml:space="preserve">万元，</w:t>
      </w:r>
      <w:r>
        <w:rPr>
          <w:rFonts w:hint="eastAsia"/>
          <w:lang w:val="en-US" w:eastAsia="zh-CN"/>
        </w:rPr>
        <w:t xml:space="preserve">减少6.16%</w:t>
      </w:r>
      <w:r>
        <w:rPr>
          <w:rFonts w:hint="eastAsia"/>
        </w:rPr>
        <w:t xml:space="preserve">，主要原因是：</w:t>
      </w:r>
      <w:r>
        <w:rPr>
          <w:rFonts w:hint="eastAsia"/>
          <w:highlight w:val="none"/>
        </w:rPr>
        <w:t xml:space="preserve">办公经费、公务接待费、维修（护）费、其他商品和服务支出等方面支出较上一年度有所减少</w:t>
      </w:r>
      <w:r>
        <w:rPr>
          <w:rFonts w:hint="eastAsia"/>
          <w:highlight w:val="none"/>
          <w:lang w:val="en-US" w:eastAsia="zh-CN"/>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 xml:space="preserve">对个人和家庭的补助</w:t>
      </w:r>
      <w:r>
        <w:rPr>
          <w:rFonts w:hint="eastAsia"/>
        </w:rPr>
        <w:t xml:space="preserve">支出预算</w:t>
      </w:r>
      <w:r>
        <w:rPr>
          <w:rFonts w:hint="eastAsia"/>
          <w:lang w:val="en-US" w:eastAsia="zh-CN"/>
        </w:rPr>
        <w:t xml:space="preserve">38.33</w:t>
      </w:r>
      <w:r>
        <w:t xml:space="preserve">万元</w:t>
      </w:r>
      <w:r>
        <w:rPr>
          <w:rFonts w:hint="eastAsia"/>
          <w:lang w:eastAsia="zh-CN"/>
        </w:rPr>
        <w:t xml:space="preserve">，</w:t>
      </w:r>
      <w:r>
        <w:rPr>
          <w:rFonts w:hint="eastAsia"/>
        </w:rPr>
        <w:t xml:space="preserve">占基本支出预算的</w:t>
      </w:r>
      <w:r>
        <w:rPr>
          <w:rFonts w:hint="eastAsia"/>
          <w:lang w:val="en-US" w:eastAsia="zh-CN"/>
        </w:rPr>
        <w:t xml:space="preserve">6.59%</w:t>
      </w:r>
      <w:r>
        <w:rPr>
          <w:rFonts w:hint="eastAsia"/>
        </w:rPr>
        <w:t xml:space="preserve">，较2023年度预算数</w:t>
      </w:r>
      <w:r>
        <w:rPr>
          <w:rFonts w:hint="eastAsia"/>
          <w:lang w:val="en-US" w:eastAsia="zh-CN"/>
        </w:rPr>
        <w:t xml:space="preserve">25.96</w:t>
      </w:r>
      <w:r>
        <w:rPr>
          <w:rFonts w:hint="eastAsia"/>
        </w:rPr>
        <w:t xml:space="preserve">万元，</w:t>
      </w:r>
      <w:r>
        <w:rPr>
          <w:rFonts w:hint="eastAsia"/>
          <w:lang w:val="en-US" w:eastAsia="zh-CN"/>
        </w:rPr>
        <w:t xml:space="preserve">增长12.37</w:t>
      </w:r>
      <w:r>
        <w:rPr>
          <w:rFonts w:hint="eastAsia"/>
        </w:rPr>
        <w:t xml:space="preserve">万元，</w:t>
      </w:r>
      <w:r>
        <w:rPr>
          <w:rFonts w:hint="eastAsia"/>
          <w:lang w:val="en-US" w:eastAsia="zh-CN"/>
        </w:rPr>
        <w:t xml:space="preserve">增长47.65%</w:t>
      </w:r>
      <w:r>
        <w:rPr>
          <w:rFonts w:hint="eastAsia"/>
        </w:rPr>
        <w:t xml:space="preserve">，主要原因是：</w:t>
      </w:r>
      <w:r>
        <w:rPr>
          <w:rFonts w:hint="eastAsia"/>
          <w:highlight w:val="none"/>
        </w:rPr>
        <w:t xml:space="preserve">社会福利和救助、离退休费等方面支出较上一年度有所增加</w:t>
      </w:r>
      <w:r>
        <w:rPr>
          <w:rFonts w:hint="eastAsia"/>
          <w:highlight w:val="none"/>
          <w:lang w:val="en-US" w:eastAsia="zh-CN"/>
        </w:rPr>
        <w:t xml:space="preserve">。</w:t>
      </w:r>
    </w:p>
    <w:p>
      <w:pPr>
        <w:pStyle w:val="Bodytext|2"/>
        <w:spacing w:after="0" w:line="619" w:lineRule="exact"/>
        <w:ind w:firstLine="620"/>
        <w:jc w:val="left"/>
        <w:rPr>
          <w:rFonts w:hint="eastAsia"/>
          <w:b/>
          <w:bCs/>
        </w:rPr>
      </w:pPr>
      <w:r>
        <w:rPr>
          <w:rFonts w:hint="eastAsia"/>
          <w:b/>
          <w:bCs/>
          <w:lang w:val="en-US" w:eastAsia="zh-CN"/>
        </w:rPr>
        <w:t xml:space="preserve">七、一般公共预算</w:t>
      </w:r>
      <w:r>
        <w:rPr>
          <w:rFonts w:hint="eastAsia"/>
          <w:b/>
          <w:bCs/>
          <w:lang w:val="zh-CN" w:eastAsia="zh-CN"/>
        </w:rPr>
        <w:t xml:space="preserve">“三</w:t>
      </w:r>
      <w:r>
        <w:rPr>
          <w:rFonts w:hint="eastAsia"/>
          <w:b/>
          <w:bCs/>
          <w:lang w:val="en-US" w:eastAsia="zh-CN"/>
        </w:rPr>
        <w:t xml:space="preserve">公”经费支出情况说明</w:t>
      </w:r>
    </w:p>
    <w:p>
      <w:pPr>
        <w:pStyle w:val="Bodytext|2"/>
        <w:spacing w:after="0"/>
        <w:ind w:firstLine="0"/>
        <w:jc w:val="left"/>
        <w:rPr>
          <w:highlight w:val="yellow"/>
          <w:lang w:val="en-US" w:eastAsia="zh-CN"/>
        </w:rPr>
      </w:pPr>
      <w:r>
        <w:rPr>
          <w:rFonts w:hint="eastAsia"/>
          <w:highlight w:val="none"/>
          <w:lang w:val="en-US" w:eastAsia="zh-CN"/>
        </w:rPr>
        <w:drawing>
          <wp:inline distT="0" distB="0" distL="114300" distR="114300">
            <wp:extent cx="5080000" cy="3810000"/>
            <wp:effectExtent l="4445" t="4445" r="5715" b="10795"/>
            <wp:docPr id="3818" name="图表 23" title="{{img_sgzc_ys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11"/>
              </a:graphicData>
            </a:graphic>
          </wp:inline>
        </w:drawing>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lang w:eastAsia="zh-CN"/>
        </w:rPr>
      </w:pPr>
      <w:bookmarkStart w:id="15" w:name="bookmark90"/>
      <w:r>
        <w:rPr>
          <w:rFonts w:hint="eastAsia"/>
          <w:b w:val="0"/>
          <w:bCs w:val="0"/>
          <w:sz w:val="28"/>
          <w:szCs w:val="28"/>
          <w:lang w:eastAsia="zh-CN"/>
        </w:rPr>
        <w:t xml:space="preserve">（</w:t>
      </w:r>
      <w:r>
        <w:rPr>
          <w:rFonts w:hint="eastAsia"/>
          <w:b w:val="0"/>
          <w:bCs w:val="0"/>
          <w:sz w:val="28"/>
          <w:szCs w:val="28"/>
          <w:lang w:val="en-US" w:eastAsia="zh-CN"/>
        </w:rPr>
        <w:t xml:space="preserve">一</w:t>
      </w:r>
      <w:r>
        <w:rPr>
          <w:rFonts w:hint="eastAsia"/>
          <w:b w:val="0"/>
          <w:bCs w:val="0"/>
          <w:sz w:val="28"/>
          <w:szCs w:val="28"/>
          <w:lang w:eastAsia="zh-CN"/>
        </w:rPr>
        <w:t xml:space="preserve">）</w:t>
      </w:r>
      <w:r>
        <w:rPr>
          <w:sz w:val="28"/>
          <w:u w:color="auto"/>
        </w:rPr>
        <w:t xml:space="preserve">2024</w:t>
      </w:r>
      <w:r>
        <w:rPr>
          <w:sz w:val="28"/>
          <w:u w:color="auto"/>
        </w:rPr>
        <w:t xml:space="preserve">年部门预算共安排</w:t>
      </w:r>
      <w:r>
        <w:rPr>
          <w:rFonts w:hint="eastAsia"/>
          <w:b w:val="0"/>
          <w:bCs w:val="0"/>
          <w:sz w:val="28"/>
          <w:szCs w:val="28"/>
          <w:lang w:val="zh-CN" w:eastAsia="zh-CN"/>
        </w:rPr>
        <w:t xml:space="preserve">“三公</w:t>
      </w:r>
      <w:r>
        <w:rPr>
          <w:rFonts w:hint="eastAsia"/>
          <w:b w:val="0"/>
          <w:bCs w:val="0"/>
          <w:sz w:val="28"/>
          <w:szCs w:val="28"/>
          <w:lang w:val="en-US" w:eastAsia="zh-CN"/>
        </w:rPr>
        <w:t xml:space="preserve">"</w:t>
      </w:r>
      <w:r>
        <w:rPr>
          <w:rFonts w:hint="eastAsia"/>
          <w:b w:val="0"/>
          <w:bCs w:val="0"/>
          <w:sz w:val="28"/>
          <w:szCs w:val="28"/>
          <w:lang w:eastAsia="zh-CN"/>
        </w:rPr>
        <w:t xml:space="preserve">经费支出预算</w:t>
      </w:r>
      <w:r>
        <w:rPr>
          <w:rFonts w:hint="eastAsia"/>
          <w:b w:val="0"/>
          <w:bCs w:val="0"/>
          <w:sz w:val="28"/>
          <w:szCs w:val="28"/>
          <w:lang w:val="en-US" w:eastAsia="zh-CN"/>
        </w:rPr>
        <w:t xml:space="preserve">12.10</w:t>
      </w:r>
      <w:r>
        <w:rPr>
          <w:rFonts w:hint="eastAsia"/>
          <w:b w:val="0"/>
          <w:bCs w:val="0"/>
          <w:sz w:val="28"/>
          <w:szCs w:val="28"/>
          <w:lang w:eastAsia="zh-CN"/>
        </w:rPr>
        <w:t xml:space="preserve">万元（全口径），其中：因公出国（境）经费支出预算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万元，公务接待费支出预算</w:t>
      </w:r>
      <w:r>
        <w:rPr>
          <w:rFonts w:hint="eastAsia"/>
          <w:b w:val="0"/>
          <w:bCs w:val="0"/>
          <w:sz w:val="28"/>
          <w:szCs w:val="28"/>
          <w:lang w:val="en-US" w:eastAsia="zh-CN"/>
        </w:rPr>
        <w:t xml:space="preserve">5.20</w:t>
      </w:r>
      <w:r>
        <w:rPr>
          <w:rFonts w:hint="eastAsia"/>
          <w:b w:val="0"/>
          <w:bCs w:val="0"/>
          <w:sz w:val="28"/>
          <w:szCs w:val="28"/>
          <w:lang w:eastAsia="zh-CN"/>
        </w:rPr>
        <w:t xml:space="preserve">万元，公务用车购置及运行费支出预算</w:t>
      </w:r>
      <w:r>
        <w:rPr>
          <w:rFonts w:hint="eastAsia"/>
          <w:b w:val="0"/>
          <w:bCs w:val="0"/>
          <w:sz w:val="28"/>
          <w:szCs w:val="28"/>
          <w:lang w:val="en-US" w:eastAsia="zh-CN"/>
        </w:rPr>
        <w:t xml:space="preserve">6.90</w:t>
      </w:r>
      <w:r>
        <w:rPr>
          <w:rFonts w:hint="eastAsia"/>
          <w:b w:val="0"/>
          <w:bCs w:val="0"/>
          <w:sz w:val="28"/>
          <w:szCs w:val="28"/>
          <w:lang w:eastAsia="zh-CN"/>
        </w:rPr>
        <w:t xml:space="preserve">万元（公务用车购置费</w:t>
      </w:r>
      <w:r>
        <w:rPr>
          <w:rFonts w:hint="eastAsia"/>
          <w:b w:val="0"/>
          <w:bCs w:val="0"/>
          <w:sz w:val="28"/>
          <w:szCs w:val="28"/>
          <w:lang w:val="en-US" w:eastAsia="zh-CN"/>
        </w:rPr>
        <w:t xml:space="preserve">0.00</w:t>
      </w:r>
      <w:r>
        <w:rPr>
          <w:rFonts w:hint="eastAsia"/>
          <w:b w:val="0"/>
          <w:bCs w:val="0"/>
          <w:sz w:val="28"/>
          <w:szCs w:val="28"/>
          <w:lang w:eastAsia="zh-CN"/>
        </w:rPr>
        <w:t xml:space="preserve">万元,公务用车运行维护费</w:t>
      </w:r>
      <w:r>
        <w:rPr>
          <w:rFonts w:hint="eastAsia"/>
          <w:b w:val="0"/>
          <w:bCs w:val="0"/>
          <w:sz w:val="28"/>
          <w:szCs w:val="28"/>
          <w:lang w:val="en-US" w:eastAsia="zh-CN"/>
        </w:rPr>
        <w:t xml:space="preserve">6.90</w:t>
      </w:r>
      <w:r>
        <w:rPr>
          <w:rFonts w:hint="eastAsia"/>
          <w:b w:val="0"/>
          <w:bCs w:val="0"/>
          <w:sz w:val="28"/>
          <w:szCs w:val="28"/>
          <w:lang w:eastAsia="zh-CN"/>
        </w:rPr>
        <w:t xml:space="preserve">万元）。</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lang w:eastAsia="zh-CN"/>
        </w:rPr>
        <w:t xml:space="preserve">（</w:t>
      </w:r>
      <w:r>
        <w:rPr>
          <w:rFonts w:hint="eastAsia"/>
          <w:b w:val="0"/>
          <w:bCs w:val="0"/>
          <w:sz w:val="28"/>
          <w:szCs w:val="28"/>
          <w:lang w:val="en-US" w:eastAsia="zh-CN"/>
        </w:rPr>
        <w:t xml:space="preserve">二</w:t>
      </w:r>
      <w:r>
        <w:rPr>
          <w:rFonts w:hint="eastAsia"/>
          <w:b w:val="0"/>
          <w:bCs w:val="0"/>
          <w:sz w:val="28"/>
          <w:szCs w:val="28"/>
          <w:lang w:eastAsia="zh-CN"/>
        </w:rPr>
        <w:t xml:space="preserve">）</w:t>
      </w:r>
      <w:r>
        <w:rPr>
          <w:sz w:val="28"/>
          <w:u w:color="auto"/>
        </w:rPr>
        <w:t xml:space="preserve">2024</w:t>
      </w:r>
      <w:r>
        <w:rPr>
          <w:rFonts w:hint="eastAsia"/>
          <w:b w:val="0"/>
          <w:bCs w:val="0"/>
          <w:sz w:val="28"/>
          <w:szCs w:val="28"/>
        </w:rPr>
        <w:t xml:space="preserve">年一般公共预算安排的“三公”经费支出预算</w:t>
      </w:r>
      <w:r>
        <w:rPr>
          <w:rFonts w:hint="eastAsia"/>
          <w:b w:val="0"/>
          <w:bCs w:val="0"/>
          <w:sz w:val="28"/>
          <w:szCs w:val="28"/>
          <w:lang w:val="en-US" w:eastAsia="zh-CN"/>
        </w:rPr>
        <w:t xml:space="preserve">12.10</w:t>
      </w:r>
      <w:r>
        <w:rPr>
          <w:rFonts w:hint="eastAsia"/>
          <w:b w:val="0"/>
          <w:bCs w:val="0"/>
          <w:sz w:val="28"/>
          <w:szCs w:val="28"/>
        </w:rPr>
        <w:t xml:space="preserve">万元，同口径较2023年度预算数</w:t>
      </w:r>
      <w:r>
        <w:rPr>
          <w:rFonts w:hint="eastAsia"/>
          <w:b w:val="0"/>
          <w:bCs w:val="0"/>
          <w:sz w:val="28"/>
          <w:szCs w:val="28"/>
          <w:lang w:val="en-US" w:eastAsia="zh-CN"/>
        </w:rPr>
        <w:t xml:space="preserve">12.60</w:t>
      </w:r>
      <w:r>
        <w:rPr>
          <w:rFonts w:hint="eastAsia"/>
          <w:b w:val="0"/>
          <w:bCs w:val="0"/>
          <w:sz w:val="28"/>
          <w:szCs w:val="28"/>
        </w:rPr>
        <w:t xml:space="preserve">万元，</w:t>
      </w:r>
      <w:r>
        <w:rPr>
          <w:rFonts w:hint="eastAsia"/>
          <w:b w:val="0"/>
          <w:bCs w:val="0"/>
          <w:sz w:val="28"/>
          <w:szCs w:val="28"/>
          <w:lang w:val="en-US" w:eastAsia="zh-CN"/>
        </w:rPr>
        <w:t xml:space="preserve">减少0.50</w:t>
      </w:r>
      <w:r>
        <w:rPr>
          <w:rFonts w:hint="eastAsia"/>
          <w:b w:val="0"/>
          <w:bCs w:val="0"/>
          <w:sz w:val="28"/>
          <w:szCs w:val="28"/>
        </w:rPr>
        <w:t xml:space="preserve">万元，</w:t>
      </w:r>
      <w:r>
        <w:rPr>
          <w:rFonts w:hint="eastAsia"/>
          <w:b w:val="0"/>
          <w:bCs w:val="0"/>
          <w:sz w:val="28"/>
          <w:szCs w:val="28"/>
          <w:lang w:val="en-US" w:eastAsia="zh-CN"/>
        </w:rPr>
        <w:t xml:space="preserve">减少3.97%</w:t>
      </w:r>
      <w:r>
        <w:rPr>
          <w:rFonts w:hint="eastAsia"/>
          <w:b w:val="0"/>
          <w:bCs w:val="0"/>
          <w:sz w:val="28"/>
          <w:szCs w:val="28"/>
        </w:rPr>
        <w:t xml:space="preserve">，具体如下：</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eastAsia="宋体" w:hint="eastAsia"/>
          <w:b w:val="0"/>
          <w:bCs w:val="0"/>
          <w:sz w:val="28"/>
          <w:szCs w:val="28"/>
          <w:lang w:eastAsia="zh-CN"/>
        </w:rPr>
      </w:pPr>
      <w:r>
        <w:rPr>
          <w:rFonts w:hint="eastAsia"/>
          <w:b w:val="0"/>
          <w:bCs w:val="0"/>
          <w:sz w:val="28"/>
          <w:szCs w:val="28"/>
        </w:rPr>
        <w:t xml:space="preserve">1.因公出国（境）费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highlight w:val="none"/>
          <w:lang w:val="en-US" w:eastAsia="zh-CN"/>
        </w:rPr>
        <w:t xml:space="preserve">因公出国（境）费方面支出与上年持平</w:t>
      </w:r>
      <w:r>
        <w:rPr>
          <w:rFonts w:hint="eastAsia"/>
          <w:b w:val="0"/>
          <w:bCs w:val="0"/>
          <w:sz w:val="28"/>
          <w:szCs w:val="28"/>
        </w:rPr>
        <w:t xml:space="preserve">。</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eastAsia="宋体" w:hint="eastAsia"/>
          <w:b w:val="0"/>
          <w:bCs w:val="0"/>
          <w:sz w:val="28"/>
          <w:szCs w:val="28"/>
          <w:lang w:eastAsia="zh-CN"/>
        </w:rPr>
      </w:pPr>
      <w:r>
        <w:rPr>
          <w:rFonts w:hint="eastAsia"/>
          <w:b w:val="0"/>
          <w:bCs w:val="0"/>
          <w:sz w:val="28"/>
          <w:szCs w:val="28"/>
        </w:rPr>
        <w:t xml:space="preserve">2.公务接待费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5.20</w:t>
      </w:r>
      <w:r>
        <w:rPr>
          <w:rFonts w:hint="eastAsia"/>
          <w:b w:val="0"/>
          <w:bCs w:val="0"/>
          <w:sz w:val="28"/>
          <w:szCs w:val="28"/>
        </w:rPr>
        <w:t xml:space="preserve">万元，较2023年度预算数</w:t>
      </w:r>
      <w:r>
        <w:rPr>
          <w:sz w:val="28"/>
          <w:u w:color="auto"/>
        </w:rPr>
        <w:t xml:space="preserve">5.70</w:t>
      </w:r>
      <w:r>
        <w:rPr>
          <w:rFonts w:hint="eastAsia"/>
          <w:b w:val="0"/>
          <w:bCs w:val="0"/>
          <w:sz w:val="28"/>
          <w:szCs w:val="28"/>
        </w:rPr>
        <w:t xml:space="preserve">万元，</w:t>
      </w:r>
      <w:r>
        <w:rPr>
          <w:sz w:val="28"/>
          <w:u w:color="auto"/>
        </w:rPr>
        <w:t xml:space="preserve">减少0.50</w:t>
      </w:r>
      <w:r>
        <w:rPr>
          <w:rFonts w:hint="eastAsia"/>
          <w:b w:val="0"/>
          <w:bCs w:val="0"/>
          <w:sz w:val="28"/>
          <w:szCs w:val="28"/>
        </w:rPr>
        <w:t xml:space="preserve">万元，</w:t>
      </w:r>
      <w:r>
        <w:rPr>
          <w:sz w:val="28"/>
          <w:u w:color="auto"/>
        </w:rPr>
        <w:t xml:space="preserve">减少8.77%</w:t>
      </w:r>
      <w:r>
        <w:rPr>
          <w:rFonts w:hint="eastAsia"/>
          <w:b w:val="0"/>
          <w:bCs w:val="0"/>
          <w:sz w:val="28"/>
          <w:szCs w:val="28"/>
        </w:rPr>
        <w:t xml:space="preserve">，主要原因是</w:t>
      </w:r>
      <w:r>
        <w:rPr>
          <w:rFonts w:hint="eastAsia"/>
          <w:highlight w:val="none"/>
          <w:lang w:val="en-US" w:eastAsia="zh-CN"/>
        </w:rPr>
        <w:t xml:space="preserve">落实党的政策，严格控制公务接待费支出</w:t>
      </w:r>
      <w:r>
        <w:rPr>
          <w:rFonts w:hint="eastAsia"/>
          <w:b w:val="0"/>
          <w:bCs w:val="0"/>
          <w:sz w:val="28"/>
          <w:szCs w:val="28"/>
        </w:rPr>
        <w:t xml:space="preserve">。</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rPr>
        <w:t xml:space="preserve">3.公务用车购置及运行费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6.90</w:t>
      </w:r>
      <w:r>
        <w:rPr>
          <w:rFonts w:hint="eastAsia"/>
          <w:b w:val="0"/>
          <w:bCs w:val="0"/>
          <w:sz w:val="28"/>
          <w:szCs w:val="28"/>
        </w:rPr>
        <w:t xml:space="preserve">万元，较2023年度预算数</w:t>
      </w:r>
      <w:r>
        <w:rPr>
          <w:sz w:val="28"/>
          <w:u w:color="auto"/>
        </w:rPr>
        <w:t xml:space="preserve">6.90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，其中：</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eastAsia="宋体" w:hint="eastAsia"/>
          <w:b w:val="0"/>
          <w:bCs w:val="0"/>
          <w:sz w:val="28"/>
          <w:szCs w:val="28"/>
          <w:lang w:eastAsia="zh-CN"/>
        </w:rPr>
      </w:pPr>
      <w:r>
        <w:rPr>
          <w:rFonts w:hint="eastAsia"/>
          <w:b w:val="0"/>
          <w:bCs w:val="0"/>
          <w:sz w:val="28"/>
          <w:szCs w:val="28"/>
        </w:rPr>
        <w:t xml:space="preserve">公务用车购置费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highlight w:val="none"/>
          <w:lang w:val="en-US" w:eastAsia="zh-CN"/>
        </w:rPr>
        <w:t xml:space="preserve">公务用车购置费方面支出与上年持平</w:t>
      </w:r>
      <w:r>
        <w:rPr>
          <w:rFonts w:hint="eastAsia"/>
          <w:b w:val="0"/>
          <w:bCs w:val="0"/>
          <w:sz w:val="28"/>
          <w:szCs w:val="28"/>
        </w:rPr>
        <w:t xml:space="preserve">。</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rPr>
        <w:t xml:space="preserve">公务用车运行维护费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6.90</w:t>
      </w:r>
      <w:r>
        <w:rPr>
          <w:rFonts w:hint="eastAsia"/>
          <w:b w:val="0"/>
          <w:bCs w:val="0"/>
          <w:sz w:val="28"/>
          <w:szCs w:val="28"/>
        </w:rPr>
        <w:t xml:space="preserve">万元，较2023年度预算数</w:t>
      </w:r>
      <w:r>
        <w:rPr>
          <w:sz w:val="28"/>
          <w:u w:color="auto"/>
        </w:rPr>
        <w:t xml:space="preserve">6.90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，主要原因是</w:t>
      </w:r>
      <w:r>
        <w:rPr>
          <w:rFonts w:hint="eastAsia"/>
          <w:highlight w:val="none"/>
          <w:lang w:val="en-US" w:eastAsia="zh-CN"/>
        </w:rPr>
        <w:t xml:space="preserve">公务用车运行维护费方面支出与上年持平</w:t>
      </w:r>
      <w:r>
        <w:rPr>
          <w:rFonts w:hint="eastAsia"/>
          <w:b w:val="0"/>
          <w:bCs w:val="0"/>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八</w:t>
      </w:r>
      <w:bookmarkEnd w:id="15"/>
      <w:r>
        <w:rPr>
          <w:rFonts w:hint="eastAsia"/>
          <w:b/>
          <w:bCs/>
          <w:lang w:val="en-US" w:eastAsia="zh-CN"/>
        </w:rPr>
        <w:t xml:space="preserve">、政府性基金预算支出情况说明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eastAsia="宋体" w:hint="eastAsia"/>
          <w:lang w:eastAsia="zh-CN"/>
        </w:rPr>
      </w:pPr>
      <w:r>
        <w:rPr>
          <w:rFonts w:hint="eastAsia"/>
        </w:rPr>
        <w:t xml:space="preserve">我部门</w:t>
      </w:r>
      <w:r>
        <w:rPr>
          <w:rFonts w:hint="eastAsia"/>
          <w:b w:val="0"/>
          <w:bCs w:val="0"/>
          <w:sz w:val="28"/>
          <w:szCs w:val="28"/>
          <w:lang w:eastAsia="zh-CN"/>
        </w:rPr>
        <w:t xml:space="preserve">2024</w:t>
      </w:r>
      <w:r>
        <w:rPr>
          <w:rFonts w:hint="eastAsia"/>
        </w:rPr>
        <w:t xml:space="preserve">年政府性基金预算支出共</w:t>
      </w:r>
      <w:r>
        <w:rPr>
          <w:rFonts w:hint="eastAsia"/>
          <w:b w:val="0"/>
          <w:bCs w:val="0"/>
          <w:sz w:val="28"/>
          <w:szCs w:val="28"/>
          <w:lang w:eastAsia="zh-CN"/>
        </w:rPr>
        <w:t xml:space="preserve">0.00</w:t>
      </w:r>
      <w:r>
        <w:rPr>
          <w:rFonts w:hint="eastAsia"/>
        </w:rPr>
        <w:t xml:space="preserve">万元，较2023年度预算数</w:t>
      </w:r>
      <w:r>
        <w:rPr>
          <w:rFonts w:hint="eastAsia"/>
          <w:b w:val="0"/>
          <w:bCs w:val="0"/>
          <w:sz w:val="28"/>
          <w:szCs w:val="28"/>
          <w:lang w:eastAsia="zh-CN"/>
        </w:rPr>
        <w:t xml:space="preserve">0.00</w:t>
      </w:r>
      <w:r>
        <w:rPr>
          <w:rFonts w:hint="eastAsia"/>
        </w:rPr>
        <w:t xml:space="preserve">万元，</w:t>
      </w:r>
      <w:r>
        <w:rPr>
          <w:rFonts w:hint="eastAsia"/>
          <w:b w:val="0"/>
          <w:bCs w:val="0"/>
          <w:sz w:val="28"/>
          <w:szCs w:val="28"/>
          <w:lang w:eastAsia="zh-CN"/>
        </w:rPr>
        <w:t xml:space="preserve">增加0.00</w:t>
      </w:r>
      <w:r>
        <w:rPr>
          <w:rFonts w:hint="eastAsia"/>
        </w:rPr>
        <w:t xml:space="preserve">万元，</w:t>
      </w:r>
      <w:r>
        <w:rPr>
          <w:rFonts w:hint="eastAsia"/>
          <w:b w:val="0"/>
          <w:bCs w:val="0"/>
          <w:sz w:val="28"/>
          <w:szCs w:val="28"/>
          <w:lang w:eastAsia="zh-CN"/>
        </w:rPr>
        <w:t xml:space="preserve">增长0%</w:t>
      </w:r>
      <w:r>
        <w:rPr>
          <w:rFonts w:hint="eastAsia"/>
        </w:rPr>
        <w:t xml:space="preserve">，主要原因是</w:t>
      </w:r>
      <w:r>
        <w:rPr>
          <w:rFonts w:hint="eastAsia"/>
          <w:highlight w:val="none"/>
          <w:lang w:val="en-US" w:eastAsia="zh-CN"/>
        </w:rPr>
        <w:t xml:space="preserve">政府性基金预算支出与上年持平</w:t>
      </w:r>
      <w:r>
        <w:rPr>
          <w:rFonts w:hint="eastAsia"/>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bookmarkStart w:id="16" w:name="bookmark91"/>
      <w:r>
        <w:rPr>
          <w:rFonts w:hint="eastAsia"/>
          <w:b/>
          <w:bCs/>
          <w:lang w:val="en-US" w:eastAsia="zh-CN"/>
        </w:rPr>
        <w:t xml:space="preserve">九</w:t>
      </w:r>
      <w:bookmarkEnd w:id="16"/>
      <w:r>
        <w:rPr>
          <w:rFonts w:hint="eastAsia"/>
          <w:b/>
          <w:bCs/>
          <w:lang w:val="en-US" w:eastAsia="zh-CN"/>
        </w:rPr>
        <w:t xml:space="preserve">、国有资本经营预算支出情况说明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eastAsia="宋体" w:hint="eastAsia"/>
          <w:lang w:eastAsia="zh-CN"/>
        </w:rPr>
      </w:pPr>
      <w:r>
        <w:rPr>
          <w:rFonts w:hint="eastAsia"/>
        </w:rPr>
        <w:t xml:space="preserve">我部门</w:t>
      </w:r>
      <w:r>
        <w:rPr>
          <w:rFonts w:hint="eastAsia"/>
          <w:lang w:eastAsia="zh-CN"/>
        </w:rPr>
        <w:t xml:space="preserve">2024</w:t>
      </w:r>
      <w:r>
        <w:rPr>
          <w:rFonts w:hint="eastAsia"/>
        </w:rPr>
        <w:t xml:space="preserve">年国有资本经营预算支出共</w:t>
      </w:r>
      <w:r>
        <w:rPr>
          <w:rFonts w:hint="eastAsia"/>
          <w:lang w:eastAsia="zh-CN"/>
        </w:rPr>
        <w:t xml:space="preserve">0.00</w:t>
      </w:r>
      <w:r>
        <w:rPr>
          <w:rFonts w:hint="eastAsia"/>
        </w:rPr>
        <w:t xml:space="preserve">万元，较2023年度预算数</w:t>
      </w:r>
      <w:r>
        <w:rPr>
          <w:rFonts w:hint="eastAsia"/>
          <w:lang w:eastAsia="zh-CN"/>
        </w:rPr>
        <w:t xml:space="preserve">0.00</w:t>
      </w:r>
      <w:r>
        <w:rPr>
          <w:rFonts w:hint="eastAsia"/>
        </w:rPr>
        <w:t xml:space="preserve">万元，</w:t>
      </w:r>
      <w:r>
        <w:rPr>
          <w:rFonts w:hint="eastAsia"/>
          <w:lang w:eastAsia="zh-CN"/>
        </w:rPr>
        <w:t xml:space="preserve">增加0.00</w:t>
      </w:r>
      <w:r>
        <w:rPr>
          <w:rFonts w:hint="eastAsia"/>
        </w:rPr>
        <w:t xml:space="preserve">万元，</w:t>
      </w:r>
      <w:r>
        <w:rPr>
          <w:rFonts w:hint="eastAsia"/>
          <w:lang w:eastAsia="zh-CN"/>
        </w:rPr>
        <w:t xml:space="preserve">增长0%</w:t>
      </w:r>
      <w:r>
        <w:rPr>
          <w:rFonts w:hint="eastAsia"/>
        </w:rPr>
        <w:t xml:space="preserve">，主要原因是</w:t>
      </w:r>
      <w:r>
        <w:rPr>
          <w:rFonts w:hint="eastAsia"/>
          <w:lang w:val="en-US" w:eastAsia="zh-CN"/>
        </w:rPr>
        <w:t xml:space="preserve">国有资本经营预算支出与上年持平</w:t>
      </w:r>
      <w:r>
        <w:rPr>
          <w:rFonts w:hint="eastAsia"/>
        </w:rPr>
        <w:t xml:space="preserve">。</w:t>
      </w:r>
    </w:p>
    <w:p>
      <w:pPr>
        <w:pStyle w:val="Bodytext|2"/>
        <w:keepNext w:val="0"/>
        <w:keepLines w:val="0"/>
        <w:pageBreakBefore w:val="0"/>
        <w:widowControl w:val="0"/>
        <w:tabs>
          <w:tab w:val="left" w:pos="1235"/>
        </w:tabs>
        <w:kinsoku/>
        <w:wordWrap/>
        <w:overflowPunct/>
        <w:topLinePunct w:val="0"/>
        <w:autoSpaceDE/>
        <w:autoSpaceDN/>
        <w:bidi w:val="0"/>
        <w:adjustRightInd/>
        <w:snapToGrid/>
        <w:spacing w:before="120" w:after="0" w:line="600" w:lineRule="exact"/>
        <w:ind w:firstLine="578"/>
        <w:jc w:val="left"/>
        <w:textAlignment w:val="auto"/>
        <w:rPr>
          <w:b/>
          <w:bCs/>
        </w:rPr>
      </w:pPr>
      <w:r>
        <w:rPr>
          <w:b/>
          <w:bCs/>
        </w:rPr>
        <w:t xml:space="preserve">十、其他重要事项</w:t>
      </w:r>
      <w:r>
        <w:rPr>
          <w:rFonts w:hint="eastAsia"/>
          <w:b/>
          <w:bCs/>
          <w:lang w:val="en-US" w:eastAsia="zh-CN"/>
        </w:rPr>
        <w:t xml:space="preserve">情况</w:t>
      </w:r>
      <w:r>
        <w:rPr>
          <w:b/>
          <w:bCs/>
        </w:rPr>
        <w:t xml:space="preserve">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（一）机关运行经费安排情况说明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2024</w:t>
      </w:r>
      <w:r>
        <w:rPr>
          <w:rFonts w:ascii="宋体" w:eastAsia="宋体" w:hAnsi="宋体" w:cs="宋体" w:hint="eastAsia"/>
          <w:sz w:val="28"/>
          <w:szCs w:val="28"/>
          <w:lang w:eastAsia="zh-CN"/>
        </w:rPr>
        <w:t xml:space="preserve">年本部门机关运行经费预算</w:t>
      </w:r>
      <w:r>
        <w:rPr>
          <w:rFonts w:ascii="宋体" w:eastAsia="宋体" w:hAnsi="宋体" w:cs="宋体" w:hint="eastAsia"/>
          <w:sz w:val="28"/>
          <w:szCs w:val="28"/>
          <w:lang w:val="en-US" w:eastAsia="zh-CN"/>
        </w:rPr>
        <w:t xml:space="preserve">46.94</w:t>
      </w:r>
      <w:r>
        <w:rPr>
          <w:rFonts w:ascii="宋体" w:eastAsia="宋体" w:hAnsi="宋体" w:cs="宋体" w:hint="eastAsia"/>
          <w:sz w:val="28"/>
          <w:szCs w:val="28"/>
          <w:lang w:eastAsia="zh-CN"/>
        </w:rPr>
        <w:t xml:space="preserve">万元，较2023年度预算数</w:t>
      </w:r>
      <w:r>
        <w:rPr>
          <w:rFonts w:ascii="宋体" w:eastAsia="宋体" w:hAnsi="宋体" w:cs="宋体" w:hint="eastAsia"/>
          <w:sz w:val="28"/>
          <w:szCs w:val="28"/>
          <w:lang w:val="en-US" w:eastAsia="zh-CN"/>
        </w:rPr>
        <w:t xml:space="preserve">50.02</w:t>
      </w:r>
      <w:r>
        <w:rPr>
          <w:rFonts w:ascii="宋体" w:eastAsia="宋体" w:hAnsi="宋体" w:cs="宋体" w:hint="eastAsia"/>
          <w:sz w:val="28"/>
          <w:szCs w:val="28"/>
          <w:lang w:eastAsia="zh-CN"/>
        </w:rPr>
        <w:t xml:space="preserve">万元，</w:t>
      </w:r>
      <w:r>
        <w:rPr>
          <w:rFonts w:ascii="宋体" w:eastAsia="宋体" w:hAnsi="宋体" w:cs="宋体" w:hint="eastAsia"/>
          <w:sz w:val="28"/>
          <w:szCs w:val="28"/>
          <w:lang w:val="en-US" w:eastAsia="zh-CN"/>
        </w:rPr>
        <w:t xml:space="preserve">减少3.08</w:t>
      </w:r>
      <w:r>
        <w:rPr>
          <w:rFonts w:ascii="宋体" w:eastAsia="宋体" w:hAnsi="宋体" w:cs="宋体" w:hint="eastAsia"/>
          <w:sz w:val="28"/>
          <w:szCs w:val="28"/>
          <w:lang w:eastAsia="zh-CN"/>
        </w:rPr>
        <w:t xml:space="preserve">万元，</w:t>
      </w:r>
      <w:r>
        <w:rPr>
          <w:rFonts w:ascii="宋体" w:eastAsia="宋体" w:hAnsi="宋体" w:cs="宋体" w:hint="eastAsia"/>
          <w:sz w:val="28"/>
          <w:szCs w:val="28"/>
          <w:lang w:val="en-US" w:eastAsia="zh-CN"/>
        </w:rPr>
        <w:t xml:space="preserve">下降6.16%</w:t>
      </w:r>
      <w:r>
        <w:rPr>
          <w:rFonts w:ascii="宋体" w:eastAsia="宋体" w:hAnsi="宋体" w:cs="宋体" w:hint="eastAsia"/>
          <w:sz w:val="28"/>
          <w:szCs w:val="28"/>
          <w:lang w:eastAsia="zh-CN"/>
        </w:rPr>
        <w:t xml:space="preserve">，主要原因是：</w:t>
      </w:r>
      <w:r>
        <w:rPr>
          <w:rFonts w:ascii="宋体" w:eastAsia="宋体" w:hAnsi="宋体" w:cs="宋体" w:hint="eastAsia"/>
          <w:sz w:val="28"/>
          <w:szCs w:val="28"/>
          <w:lang w:val="en-US" w:eastAsia="zh-CN"/>
        </w:rPr>
        <w:t xml:space="preserve">定额商品和服务支出、工会经费、公务交通补贴、机关公务移动通信补贴等方面支出较上一年度有所减少</w:t>
      </w:r>
      <w:r>
        <w:rPr>
          <w:rFonts w:ascii="宋体" w:eastAsia="宋体" w:hAnsi="宋体" w:cs="宋体" w:hint="eastAsia"/>
          <w:sz w:val="28"/>
          <w:szCs w:val="28"/>
          <w:lang w:eastAsia="zh-CN"/>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（二）政府采购预算安排情况说明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default"/>
          <w:sz w:val="28"/>
          <w:szCs w:val="28"/>
          <w:lang w:val="en-US" w:eastAsia="zh-CN"/>
        </w:rPr>
      </w:pPr>
      <w:r>
        <w:rPr>
          <w:rFonts w:ascii="宋体" w:eastAsia="宋体" w:hAnsi="宋体" w:cs="宋体" w:hint="eastAsia"/>
          <w:sz w:val="28"/>
          <w:szCs w:val="28"/>
          <w:lang w:eastAsia="zh-CN"/>
        </w:rPr>
        <w:t xml:space="preserve">我部门2024年政府采购预算总金额</w:t>
      </w:r>
      <w:r>
        <w:rPr>
          <w:rFonts w:ascii="宋体" w:eastAsia="宋体" w:hAnsi="宋体" w:cs="宋体" w:hint="eastAsia"/>
          <w:sz w:val="28"/>
          <w:szCs w:val="28"/>
          <w:lang w:val="en-US" w:eastAsia="zh-CN"/>
        </w:rPr>
        <w:t xml:space="preserve">9.90</w:t>
      </w:r>
      <w:r>
        <w:rPr>
          <w:rFonts w:ascii="宋体" w:eastAsia="宋体" w:hAnsi="宋体" w:cs="宋体" w:hint="eastAsia"/>
          <w:sz w:val="28"/>
          <w:szCs w:val="28"/>
          <w:lang w:eastAsia="zh-CN"/>
        </w:rPr>
        <w:t xml:space="preserve">万元。其中：货物类采购</w:t>
      </w:r>
      <w:r>
        <w:rPr>
          <w:rFonts w:ascii="宋体" w:eastAsia="宋体" w:hAnsi="宋体" w:cs="宋体" w:hint="eastAsia"/>
          <w:sz w:val="28"/>
          <w:szCs w:val="28"/>
          <w:lang w:val="en-US" w:eastAsia="zh-CN"/>
        </w:rPr>
        <w:t xml:space="preserve">2.50</w:t>
      </w:r>
      <w:r>
        <w:rPr>
          <w:rFonts w:ascii="宋体" w:eastAsia="宋体" w:hAnsi="宋体" w:cs="宋体" w:hint="eastAsia"/>
          <w:sz w:val="28"/>
          <w:szCs w:val="28"/>
          <w:lang w:eastAsia="zh-CN"/>
        </w:rPr>
        <w:t xml:space="preserve">万元、工程类采购</w:t>
      </w:r>
      <w:r>
        <w:rPr>
          <w:rFonts w:ascii="宋体" w:eastAsia="宋体" w:hAnsi="宋体" w:cs="宋体" w:hint="eastAsia"/>
          <w:sz w:val="28"/>
          <w:szCs w:val="28"/>
          <w:lang w:val="en-US" w:eastAsia="zh-CN"/>
        </w:rPr>
        <w:t xml:space="preserve">0.00</w:t>
      </w:r>
      <w:r>
        <w:rPr>
          <w:rFonts w:ascii="宋体" w:eastAsia="宋体" w:hAnsi="宋体" w:cs="宋体" w:hint="eastAsia"/>
          <w:sz w:val="28"/>
          <w:szCs w:val="28"/>
          <w:lang w:eastAsia="zh-CN"/>
        </w:rPr>
        <w:t xml:space="preserve">万元、服务类采购</w:t>
      </w:r>
      <w:r>
        <w:rPr>
          <w:rFonts w:ascii="宋体" w:eastAsia="宋体" w:hAnsi="宋体" w:cs="宋体" w:hint="eastAsia"/>
          <w:sz w:val="28"/>
          <w:szCs w:val="28"/>
          <w:lang w:val="en-US" w:eastAsia="zh-CN"/>
        </w:rPr>
        <w:t xml:space="preserve">7.40</w:t>
      </w:r>
      <w:r>
        <w:rPr>
          <w:rFonts w:ascii="宋体" w:eastAsia="宋体" w:hAnsi="宋体" w:cs="宋体" w:hint="eastAsia"/>
          <w:sz w:val="28"/>
          <w:szCs w:val="28"/>
          <w:lang w:eastAsia="zh-CN"/>
        </w:rPr>
        <w:t xml:space="preserve">万元。</w:t>
      </w:r>
      <w:r>
        <w:rPr>
          <w:rFonts w:ascii="宋体" w:eastAsia="宋体" w:hAnsi="宋体" w:cs="宋体" w:hint="eastAsia"/>
          <w:sz w:val="28"/>
          <w:szCs w:val="28"/>
          <w:lang w:val="en-US" w:eastAsia="zh-CN"/>
        </w:rPr>
        <w:t xml:space="preserve">主要用于：办公设备购置、印刷服务、公务用车运行维护等方面支出的采购</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（三）国有资产占用情况说明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截至2023年12月31日，本部门共有车辆</w:t>
      </w:r>
      <w:r>
        <w:rPr>
          <w:rFonts w:hint="eastAsia"/>
          <w:highlight w:val="none"/>
          <w:lang w:val="en-US" w:eastAsia="zh-CN"/>
        </w:rPr>
        <w:t xml:space="preserve">5</w:t>
      </w:r>
      <w:r>
        <w:rPr>
          <w:rFonts w:ascii="宋体" w:eastAsia="宋体" w:hAnsi="宋体" w:cs="宋体" w:hint="eastAsia"/>
          <w:sz w:val="28"/>
          <w:szCs w:val="28"/>
          <w:lang w:eastAsia="zh-CN"/>
        </w:rPr>
        <w:t xml:space="preserve">辆，其中，应急机要通信用车</w:t>
      </w:r>
      <w:r>
        <w:rPr>
          <w:rFonts w:hint="eastAsia"/>
          <w:highlight w:val="none"/>
          <w:lang w:val="en-US" w:eastAsia="zh-CN"/>
        </w:rPr>
        <w:t xml:space="preserve">0</w:t>
      </w:r>
      <w:r>
        <w:rPr>
          <w:rFonts w:ascii="宋体" w:eastAsia="宋体" w:hAnsi="宋体" w:cs="宋体" w:hint="eastAsia"/>
          <w:sz w:val="28"/>
          <w:szCs w:val="28"/>
          <w:lang w:eastAsia="zh-CN"/>
        </w:rPr>
        <w:t xml:space="preserve">辆、一般执法执勤用车</w:t>
      </w:r>
      <w:r>
        <w:rPr>
          <w:rFonts w:hint="eastAsia"/>
          <w:highlight w:val="none"/>
          <w:lang w:val="en-US" w:eastAsia="zh-CN"/>
        </w:rPr>
        <w:t xml:space="preserve">0</w:t>
      </w:r>
      <w:r>
        <w:rPr>
          <w:rFonts w:ascii="宋体" w:eastAsia="宋体" w:hAnsi="宋体" w:cs="宋体" w:hint="eastAsia"/>
          <w:sz w:val="28"/>
          <w:szCs w:val="28"/>
          <w:lang w:eastAsia="zh-CN"/>
        </w:rPr>
        <w:t xml:space="preserve">辆、特种专业技术用车</w:t>
      </w:r>
      <w:r>
        <w:rPr>
          <w:rFonts w:hint="eastAsia"/>
          <w:highlight w:val="none"/>
          <w:lang w:val="en-US" w:eastAsia="zh-CN"/>
        </w:rPr>
        <w:t xml:space="preserve">0</w:t>
      </w:r>
      <w:r>
        <w:rPr>
          <w:rFonts w:ascii="宋体" w:eastAsia="宋体" w:hAnsi="宋体" w:cs="宋体" w:hint="eastAsia"/>
          <w:sz w:val="28"/>
          <w:szCs w:val="28"/>
          <w:lang w:eastAsia="zh-CN"/>
        </w:rPr>
        <w:t xml:space="preserve">辆、其他用车</w:t>
      </w:r>
      <w:r>
        <w:rPr>
          <w:rFonts w:hint="eastAsia"/>
          <w:highlight w:val="none"/>
          <w:lang w:val="en-US" w:eastAsia="zh-CN"/>
        </w:rPr>
        <w:t xml:space="preserve">5</w:t>
      </w:r>
      <w:r>
        <w:rPr>
          <w:rFonts w:ascii="宋体" w:eastAsia="宋体" w:hAnsi="宋体" w:cs="宋体" w:hint="eastAsia"/>
          <w:sz w:val="28"/>
          <w:szCs w:val="28"/>
          <w:lang w:eastAsia="zh-CN"/>
        </w:rPr>
        <w:t xml:space="preserve">辆，单位价值200万元以上大型设备</w:t>
      </w:r>
      <w:r>
        <w:rPr>
          <w:rFonts w:hint="eastAsia"/>
          <w:highlight w:val="none"/>
          <w:lang w:val="en-US" w:eastAsia="zh-CN"/>
        </w:rPr>
        <w:t xml:space="preserve">0</w:t>
      </w:r>
      <w:r>
        <w:rPr>
          <w:rFonts w:ascii="宋体" w:eastAsia="宋体" w:hAnsi="宋体" w:cs="宋体" w:hint="eastAsia"/>
          <w:sz w:val="28"/>
          <w:szCs w:val="28"/>
          <w:lang w:eastAsia="zh-CN"/>
        </w:rPr>
        <w:t xml:space="preserve">台（套）。</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（四）预算绩效目标情况说明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1.我部门2024年所有项目支出全面实施绩效目标管理，涉及项目</w:t>
      </w:r>
      <w:r>
        <w:rPr>
          <w:rFonts w:hint="eastAsia"/>
          <w:highlight w:val="none"/>
          <w:lang w:val="en-US" w:eastAsia="zh-CN"/>
        </w:rPr>
        <w:t xml:space="preserve">30</w:t>
      </w:r>
      <w:r>
        <w:rPr>
          <w:rFonts w:ascii="宋体" w:eastAsia="宋体" w:hAnsi="宋体" w:cs="宋体" w:hint="eastAsia"/>
          <w:sz w:val="28"/>
          <w:szCs w:val="28"/>
          <w:lang w:eastAsia="zh-CN"/>
        </w:rPr>
        <w:t xml:space="preserve">个，预算资金</w:t>
      </w:r>
      <w:r>
        <w:rPr>
          <w:rFonts w:hint="eastAsia"/>
          <w:highlight w:val="none"/>
          <w:lang w:val="en-US" w:eastAsia="zh-CN"/>
        </w:rPr>
        <w:t xml:space="preserve">394.53</w:t>
      </w:r>
      <w:r>
        <w:rPr>
          <w:rFonts w:ascii="宋体" w:eastAsia="宋体" w:hAnsi="宋体" w:cs="宋体" w:hint="eastAsia"/>
          <w:sz w:val="28"/>
          <w:szCs w:val="28"/>
          <w:lang w:eastAsia="zh-CN"/>
        </w:rPr>
        <w:t xml:space="preserve">万元。绩效目标情况详见报表（日常运转类项目、工资类人员经费项目和涉密项目等除外）。</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2.重点项目预算绩效目标说明。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highlight w:val="none"/>
          <w:lang w:val="en-US" w:eastAsia="zh-CN"/>
        </w:rPr>
      </w:pPr>
      <w:r>
        <w:rPr>
          <w:rFonts w:hint="eastAsia"/>
          <w:highlight w:val="none"/>
          <w:lang w:val="en-US" w:eastAsia="zh-CN"/>
        </w:rPr>
        <w:t xml:space="preserve">项目名称：农村乡村道路“三项工程”资金，预算资金264.00万元。</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highlight w:val="none"/>
          <w:lang w:val="en-US" w:eastAsia="zh-CN"/>
        </w:rPr>
      </w:pPr>
      <w:r>
        <w:rPr>
          <w:rFonts w:hint="eastAsia"/>
          <w:highlight w:val="none"/>
          <w:lang w:val="en-US" w:eastAsia="zh-CN"/>
        </w:rPr>
        <w:t xml:space="preserve">2024年度绩效目标为：1、加强道路提升对乡村振兴助力的宣传及道路提升申请流程的宣传；2、加宽路面8处，共10.074km；3、确保受益总户数931户3124人，其中脱贫户103户361人；4、服务对象满意度达90％以上。</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highlight w:val="none"/>
          <w:lang w:val="en-US" w:eastAsia="zh-CN"/>
        </w:rPr>
      </w:pPr>
      <w:r>
        <w:rPr>
          <w:rFonts w:hint="eastAsia"/>
          <w:highlight w:val="none"/>
          <w:lang w:val="en-US" w:eastAsia="zh-CN"/>
        </w:rPr>
        <w:t xml:space="preserve">设1条数量指标：道路提升里程≤10.074公里；设1条质量指标：经费支出合规性严格执行相关财经法规、制度；设1条时效指标：经费支出时效性年内完成支付；设1条成本指标：项目支出成本≥264万元；设1条经济放益指标:社会效益指标：对提高群众生活水平，促进和谐社会建设的改善或提升程度较高；设1条满意度指标：服务对象满意度≥90%。</w:t>
      </w:r>
    </w:p>
    <w:p>
      <w:pPr>
        <w:pStyle w:val="Bodytext|1"/>
        <w:spacing w:line="624" w:lineRule="exact"/>
        <w:ind w:firstLine="600"/>
        <w:jc w:val="left"/>
        <w:rPr>
          <w:rFonts w:hint="eastAsia"/>
          <w:highlight w:val="none"/>
          <w:lang w:val="en-US" w:eastAsia="zh-CN"/>
        </w:rPr>
      </w:pPr>
    </w:p>
    <w:p>
      <w:pPr>
        <w:pStyle w:val="Bodytext|1"/>
        <w:spacing w:line="624" w:lineRule="exact"/>
        <w:jc w:val="left"/>
        <w:rPr>
          <w:rFonts w:hint="default"/>
          <w:highlight w:val="none"/>
          <w:lang w:val="en-US" w:eastAsia="zh-CN"/>
        </w:rPr>
        <w:sectPr>
          <w:headerReference w:type="default" r:id="rId12"/>
          <w:footerReference w:type="default" r:id="rId13"/>
          <w:pgSz w:w="11900" w:h="16840" w:orient="portrait"/>
          <w:pgMar w:top="1440" w:right="1800" w:bottom="1440" w:left="1800" w:header="0" w:footer="1077" w:gutter="0"/>
          <w:pgBorders>
            <w:top w:val="none" w:sz="0" w:space="0" w:color="auto"/>
            <w:left w:val="none" w:sz="0" w:space="0" w:color="auto"/>
            <w:bottom w:val="none" w:sz="0" w:space="0" w:color="auto"/>
            <w:right w:val="none" w:sz="0" w:space="0" w:color="auto"/>
          </w:pgBorders>
          <w:pgNumType w:fmt="decimal"/>
          <w:cols w:num="1" w:space="720">
            <w:col w:w="8300" w:space="720"/>
          </w:cols>
          <w:docGrid w:linePitch="360" w:charSpace="0"/>
        </w:sectPr>
      </w:pPr>
    </w:p>
    <w:p>
      <w:pPr>
        <w:pStyle w:val="Heading#1|1"/>
        <w:keepNext/>
        <w:keepLines/>
        <w:spacing w:after="980"/>
        <w:jc w:val="center"/>
        <w:rPr>
          <w:rFonts w:ascii="宋体" w:eastAsia="宋体" w:hAnsi="宋体" w:cs="宋体" w:hint="eastAsia"/>
          <w:b/>
          <w:bCs/>
          <w:sz w:val="36"/>
          <w:szCs w:val="36"/>
        </w:rPr>
      </w:pPr>
      <w:bookmarkEnd w:id="10"/>
      <w:bookmarkEnd w:id="11"/>
      <w:bookmarkEnd w:id="12"/>
      <w:r>
        <w:rPr>
          <w:rFonts w:ascii="宋体" w:eastAsia="宋体" w:hAnsi="宋体" w:cs="宋体" w:hint="eastAsia"/>
          <w:b/>
          <w:bCs/>
          <w:sz w:val="36"/>
          <w:szCs w:val="36"/>
        </w:rPr>
        <w:t xml:space="preserve">第</w:t>
      </w:r>
      <w:r>
        <w:rPr>
          <w:rFonts w:ascii="宋体" w:eastAsia="宋体" w:hAnsi="宋体" w:cs="宋体" w:hint="eastAsia"/>
          <w:b/>
          <w:bCs/>
          <w:sz w:val="36"/>
          <w:szCs w:val="36"/>
          <w:lang w:val="en-US" w:eastAsia="zh-CN"/>
        </w:rPr>
        <w:t xml:space="preserve">三</w:t>
      </w:r>
      <w:r>
        <w:rPr>
          <w:rFonts w:ascii="宋体" w:eastAsia="宋体" w:hAnsi="宋体" w:cs="宋体" w:hint="eastAsia"/>
          <w:b/>
          <w:bCs/>
          <w:sz w:val="36"/>
          <w:szCs w:val="36"/>
        </w:rPr>
        <w:t xml:space="preserve">部分</w:t>
      </w:r>
      <w:r>
        <w:rPr>
          <w:rFonts w:ascii="宋体" w:eastAsia="宋体" w:hAnsi="宋体" w:cs="宋体" w:hint="eastAsia"/>
          <w:b/>
          <w:bCs/>
          <w:sz w:val="36"/>
          <w:szCs w:val="36"/>
          <w:lang w:eastAsia="zh-CN"/>
        </w:rPr>
        <w:t xml:space="preserve">环江毛南族自治县大安乡人民政府</w:t>
      </w:r>
      <w:r>
        <w:rPr>
          <w:rFonts w:ascii="宋体" w:eastAsia="宋体" w:hAnsi="宋体" w:cs="宋体"/>
          <w:b/>
          <w:sz w:val="36"/>
          <w:u w:color="auto"/>
        </w:rPr>
        <w:t xml:space="preserve">2024</w:t>
      </w:r>
      <w:r>
        <w:rPr>
          <w:rFonts w:ascii="宋体" w:eastAsia="宋体" w:hAnsi="宋体" w:cs="宋体"/>
          <w:b/>
          <w:sz w:val="36"/>
          <w:u w:color="auto"/>
        </w:rPr>
        <w:t xml:space="preserve">年</w:t>
      </w:r>
      <w:r>
        <w:rPr>
          <w:rFonts w:ascii="宋体" w:eastAsia="宋体" w:hAnsi="宋体" w:cs="宋体" w:hint="eastAsia"/>
          <w:b/>
          <w:bCs/>
          <w:sz w:val="36"/>
          <w:szCs w:val="36"/>
        </w:rPr>
        <w:t xml:space="preserve">部门预算表</w:t>
      </w:r>
    </w:p>
    <w:p>
      <w:pPr>
        <w:pStyle w:val="Heading#2|1"/>
        <w:keepNext/>
        <w:keepLines/>
        <w:spacing w:after="240"/>
        <w:jc w:val="center"/>
      </w:pPr>
      <w:bookmarkStart w:id="17" w:name="bookmark29"/>
      <w:bookmarkStart w:id="18" w:name="bookmark31"/>
      <w:bookmarkStart w:id="19" w:name="bookmark30"/>
      <w:r>
        <w:t xml:space="preserve">收支总体情况表</w:t>
      </w:r>
      <w:bookmarkEnd w:id="17"/>
      <w:bookmarkEnd w:id="18"/>
      <w:bookmarkEnd w:id="19"/>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3339"/>
        <w:gridCol w:w="3760"/>
        <w:gridCol w:w="3542"/>
        <w:gridCol w:w="3571"/>
      </w:tblGrid>
      <w:tr>
        <w:tblPrEx>
          <w:tblW w:w="0" w:type="auto"/>
          <w:tblInd w:w="0" w:type="dxa"/>
          <w:tblLayout w:type="fixed"/>
          <w:tblCellMar>
            <w:top w:w="0" w:type="dxa"/>
            <w:left w:w="10" w:type="dxa"/>
            <w:bottom w:w="0" w:type="dxa"/>
            <w:right w:w="10" w:type="dxa"/>
          </w:tblCellMar>
        </w:tblPrEx>
        <w:trPr>
          <w:trHeight w:hRule="exact" w:val="331"/>
        </w:trPr>
        <w:tc>
          <w:tcPr>
            <w:tcW w:w="10641" w:type="dxa"/>
            <w:gridSpan w:val="3"/>
            <w:tcBorders>
              <w:bottom w:val="single" w:sz="4" w:space="0" w:color="auto"/>
            </w:tcBorders>
            <w:shd w:val="clear" w:color="auto" w:fill="FFFFFF"/>
          </w:tcPr>
          <w:p>
            <w:pPr>
              <w:pStyle w:val="Other|1"/>
              <w:spacing w:line="240" w:lineRule="auto"/>
              <w:ind w:firstLine="0"/>
              <w:jc w:val="left"/>
              <w:rPr>
                <w:sz w:val="17"/>
                <w:szCs w:val="17"/>
              </w:rPr>
            </w:pPr>
            <w:r>
              <w:rPr>
                <w:sz w:val="17"/>
                <w:szCs w:val="17"/>
              </w:rPr>
              <w:t xml:space="preserve">单位名称：</w:t>
            </w:r>
            <w:r>
              <w:rPr>
                <w:rFonts w:hint="eastAsia"/>
                <w:sz w:val="17"/>
                <w:szCs w:val="17"/>
                <w:lang w:eastAsia="zh-CN"/>
              </w:rPr>
              <w:t xml:space="preserve">环江毛南族自治县大安乡人民政府</w:t>
            </w:r>
          </w:p>
        </w:tc>
        <w:tc>
          <w:tcPr>
            <w:tcW w:w="3571" w:type="dxa"/>
            <w:tcBorders>
              <w:bottom w:val="single" w:sz="4" w:space="0" w:color="auto"/>
            </w:tcBorders>
            <w:shd w:val="clear" w:color="auto" w:fill="FFFFFF"/>
          </w:tcPr>
          <w:p>
            <w:pPr>
              <w:pStyle w:val="Other|1"/>
              <w:spacing w:line="240" w:lineRule="auto"/>
              <w:ind w:firstLine="2380" w:firstLineChars="1400"/>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trHeight w:hRule="exact" w:val="456"/>
        </w:trPr>
        <w:tc>
          <w:tcPr>
            <w:tcW w:w="7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2890" w:firstLineChars="1700"/>
              <w:jc w:val="both"/>
              <w:rPr>
                <w:sz w:val="17"/>
                <w:szCs w:val="17"/>
              </w:rPr>
            </w:pPr>
            <w:r>
              <w:rPr>
                <w:sz w:val="17"/>
                <w:szCs w:val="17"/>
              </w:rPr>
              <w:t xml:space="preserve">收入</w:t>
            </w:r>
          </w:p>
        </w:tc>
        <w:tc>
          <w:tcPr>
            <w:tcW w:w="71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right="340" w:firstLine="2890" w:firstLineChars="1700"/>
              <w:jc w:val="both"/>
              <w:rPr>
                <w:sz w:val="17"/>
                <w:szCs w:val="17"/>
              </w:rPr>
            </w:pPr>
            <w:r>
              <w:rPr>
                <w:sz w:val="17"/>
                <w:szCs w:val="17"/>
              </w:rPr>
              <w:t xml:space="preserve">支出</w:t>
            </w:r>
          </w:p>
        </w:tc>
      </w:tr>
      <w:tr>
        <w:tblPrEx>
          <w:tblW w:w="0" w:type="auto"/>
          <w:tblInd w:w="0" w:type="dxa"/>
          <w:tblLayout w:type="fixed"/>
          <w:tblCellMar>
            <w:top w:w="0" w:type="dxa"/>
            <w:left w:w="10" w:type="dxa"/>
            <w:bottom w:w="0" w:type="dxa"/>
            <w:right w:w="10" w:type="dxa"/>
          </w:tblCellMar>
        </w:tblPrEx>
        <w:trPr>
          <w:trHeight w:hRule="exact" w:val="432"/>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项目</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预算数</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tabs>
                <w:tab w:val="left" w:pos="894"/>
              </w:tabs>
              <w:spacing w:line="240" w:lineRule="auto"/>
              <w:jc w:val="left"/>
              <w:rPr>
                <w:sz w:val="17"/>
                <w:szCs w:val="17"/>
              </w:rPr>
            </w:pPr>
            <w:r>
              <w:rPr>
                <w:sz w:val="17"/>
                <w:szCs w:val="17"/>
              </w:rPr>
              <w:t xml:space="preserve">项</w:t>
            </w:r>
            <w:r>
              <w:rPr>
                <w:sz w:val="17"/>
                <w:szCs w:val="17"/>
              </w:rPr>
              <w:tab/>
            </w:r>
            <w:r>
              <w:rPr>
                <w:sz w:val="17"/>
                <w:szCs w:val="17"/>
              </w:rPr>
              <w:t xml:space="preserve">目（按支出功能科目分类）</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预算数</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一、一般公共预算拨款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651.98</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一、一般公共服务支出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571.71</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二、外交支出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651.98</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三、国防支出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二、政府性基金预算拨款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四、公共安全支出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五、教育支出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六、科学技术支出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三、国有资本经营预算拨款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七、文化旅游体育与传媒支出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八、社会保障和就业支出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48.31</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九、卫生健康支出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四、财政专户管理资金收入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十、节能环保支出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22.06</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五、事业收入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十一、城乡社区支出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六、事业单位经营收入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十二、农林水支出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31.02</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七、上级补助收入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十三、交通运输支出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264.00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八、附属单位上缴收入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十四、资源勘探工业信息等支出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九、其他收入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十五、商业服务业等支出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十六、金融支出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十七、援助其他地区支出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十八、自然资源海洋气象等支出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十九、住房保障支出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37.91</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二十、粮油物资储备支出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二十一、国有资本经营预算支出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二十二、灾害防治及应急管理支出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1.50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二十三、其他支出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二十四、债务还本支出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二十五、债务付息支出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二十六、债务发行费用支出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本年收入合计</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651.98</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本年支出合计</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976.52</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上年结转结余</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324.53</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结转下年支出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收入总计</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976.52</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支出总计</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976.52</w:t>
            </w:r>
          </w:p>
        </w:tc>
      </w:tr>
    </w:tbl>
    <w:p>
      <w:pPr>
        <w:pStyle w:val="Tablecaption|1"/>
        <w:ind w:left="101"/>
        <w:jc w:val="left"/>
      </w:pPr>
      <w:r>
        <w:t xml:space="preserve">注：报表金额单位转换时可能存在四舍五入尾数误差。</w:t>
      </w: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sectPr>
          <w:headerReference w:type="default" r:id="rId14"/>
          <w:footerReference w:type="default" r:id="rId15"/>
          <w:pgSz w:w="16840" w:h="11900" w:orient="landscape"/>
          <w:pgMar w:top="2397" w:right="761" w:bottom="1966" w:left="739" w:header="0" w:footer="1474" w:gutter="0"/>
          <w:pgBorders>
            <w:top w:val="none" w:sz="0" w:space="0" w:color="auto"/>
            <w:left w:val="none" w:sz="0" w:space="0" w:color="auto"/>
            <w:bottom w:val="none" w:sz="0" w:space="0" w:color="auto"/>
            <w:right w:val="none" w:sz="0" w:space="0" w:color="auto"/>
          </w:pgBorders>
          <w:pgNumType w:fmt="decimal"/>
          <w:cols w:num="1" w:space="720">
            <w:col w:w="15340" w:space="720"/>
          </w:cols>
          <w:docGrid w:linePitch="360" w:charSpace="0"/>
        </w:sectPr>
      </w:pPr>
    </w:p>
    <w:p>
      <w:pPr>
        <w:tabs>
          <w:tab w:val="left" w:pos="859"/>
        </w:tabs>
        <w:jc w:val="left"/>
        <w:rPr>
          <w:rFonts w:eastAsia="宋体"/>
          <w:lang w:eastAsia="zh-CN"/>
        </w:rPr>
      </w:pPr>
    </w:p>
    <w:p>
      <w:pPr>
        <w:tabs>
          <w:tab w:val="left" w:pos="859"/>
        </w:tabs>
        <w:jc w:val="center"/>
        <w:rPr>
          <w:rFonts w:eastAsia="宋体" w:hint="eastAsia"/>
          <w:lang w:val="en-US" w:eastAsia="zh-CN"/>
        </w:rPr>
      </w:pPr>
    </w:p>
    <w:p>
      <w:pPr>
        <w:tabs>
          <w:tab w:val="left" w:pos="859"/>
        </w:tabs>
        <w:jc w:val="center"/>
        <w:rPr>
          <w:rFonts w:eastAsia="宋体" w:hint="eastAsia"/>
          <w:lang w:val="en-US" w:eastAsia="zh-CN"/>
        </w:rPr>
      </w:pPr>
      <w:r>
        <w:rPr>
          <w:rFonts w:eastAsia="宋体" w:hint="eastAsia"/>
          <w:lang w:val="en-US" w:eastAsia="zh-CN"/>
        </w:rPr>
        <w:t xml:space="preserve">收入总体情况表</w:t>
      </w:r>
    </w:p>
    <w:p>
      <w:pPr>
        <w:tabs>
          <w:tab w:val="left" w:pos="859"/>
        </w:tabs>
        <w:jc w:val="center"/>
        <w:rPr>
          <w:rFonts w:eastAsia="宋体" w:hint="eastAsia"/>
          <w:lang w:val="en-US" w:eastAsia="zh-CN"/>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firstRow="0" w:lastRow="0" w:firstColumn="0" w:lastColumn="0" w:noHBand="1" w:noVBand="1"/>
      </w:tblPr>
      <w:tblGrid>
        <w:gridCol w:w="1636"/>
        <w:gridCol w:w="1279"/>
        <w:gridCol w:w="990"/>
        <w:gridCol w:w="926"/>
        <w:gridCol w:w="909"/>
        <w:gridCol w:w="1161"/>
        <w:gridCol w:w="1031"/>
        <w:gridCol w:w="844"/>
        <w:gridCol w:w="856"/>
        <w:gridCol w:w="1035"/>
        <w:gridCol w:w="1011"/>
        <w:gridCol w:w="859"/>
        <w:gridCol w:w="944"/>
        <w:gridCol w:w="150"/>
        <w:gridCol w:w="872"/>
        <w:gridCol w:w="1054"/>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270"/>
        </w:trPr>
        <w:tc>
          <w:tcPr>
            <w:tcW w:w="13481" w:type="dxa"/>
            <w:gridSpan w:val="13"/>
            <w:tcBorders>
              <w:top w:val="nil"/>
              <w:left w:val="nil"/>
              <w:right w:val="nil"/>
            </w:tcBorders>
          </w:tcPr>
          <w:p>
            <w:pPr>
              <w:pStyle w:val="Tablecaption|1"/>
              <w:jc w:val="both"/>
              <w:rPr>
                <w:rFonts w:hint="eastAsia"/>
                <w:lang w:val="en-US" w:eastAsia="zh-CN"/>
              </w:rPr>
            </w:pPr>
            <w:r>
              <w:rPr>
                <w:sz w:val="17"/>
                <w:szCs w:val="17"/>
              </w:rPr>
              <w:t xml:space="preserve">单位名称：</w:t>
            </w:r>
            <w:r>
              <w:rPr>
                <w:rFonts w:hint="eastAsia"/>
                <w:sz w:val="17"/>
                <w:szCs w:val="17"/>
                <w:lang w:eastAsia="zh-CN"/>
              </w:rPr>
              <w:t xml:space="preserve">环江毛南族自治县大安乡人民政府</w:t>
            </w:r>
          </w:p>
        </w:tc>
        <w:tc>
          <w:tcPr>
            <w:tcW w:w="2076" w:type="dxa"/>
            <w:gridSpan w:val="3"/>
            <w:tcBorders>
              <w:top w:val="nil"/>
              <w:left w:val="nil"/>
              <w:right w:val="nil"/>
            </w:tcBorders>
          </w:tcPr>
          <w:p>
            <w:pPr>
              <w:pStyle w:val="Tablecaption|1"/>
              <w:ind w:firstLine="340" w:firstLineChars="200"/>
              <w:jc w:val="left"/>
              <w:rPr>
                <w:rFonts w:hint="eastAsia"/>
                <w:lang w:val="en-US" w:eastAsia="zh-CN"/>
              </w:rPr>
            </w:pPr>
            <w:r>
              <w:rPr>
                <w:sz w:val="17"/>
                <w:szCs w:val="17"/>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vMerge w:val="restart"/>
          </w:tcPr>
          <w:p>
            <w:pPr>
              <w:tabs>
                <w:tab w:val="left" w:pos="859"/>
              </w:tabs>
              <w:jc w:val="both"/>
              <w:rPr>
                <w:rFonts w:eastAsia="宋体" w:hint="eastAsia"/>
                <w:vertAlign w:val="baseline"/>
                <w:lang w:val="en-US" w:eastAsia="zh-CN"/>
              </w:rPr>
            </w:pPr>
            <w:r>
              <w:rPr>
                <w:sz w:val="17"/>
                <w:szCs w:val="17"/>
              </w:rPr>
              <w:t xml:space="preserve">部门（单位）代码</w:t>
            </w:r>
          </w:p>
        </w:tc>
        <w:tc>
          <w:tcPr>
            <w:tcW w:w="1279" w:type="dxa"/>
            <w:vMerge w:val="restart"/>
          </w:tcPr>
          <w:p>
            <w:pPr>
              <w:tabs>
                <w:tab w:val="left" w:pos="859"/>
              </w:tabs>
              <w:jc w:val="both"/>
              <w:rPr>
                <w:rFonts w:eastAsia="宋体" w:hint="eastAsia"/>
                <w:vertAlign w:val="baseline"/>
                <w:lang w:val="en-US" w:eastAsia="zh-CN"/>
              </w:rPr>
            </w:pPr>
            <w:r>
              <w:rPr>
                <w:sz w:val="17"/>
                <w:szCs w:val="17"/>
              </w:rPr>
              <w:t xml:space="preserve">部门（单位）名称</w:t>
            </w:r>
          </w:p>
        </w:tc>
        <w:tc>
          <w:tcPr>
            <w:tcW w:w="990" w:type="dxa"/>
            <w:vMerge w:val="restart"/>
          </w:tcPr>
          <w:p>
            <w:pPr>
              <w:pStyle w:val="Other|1"/>
              <w:spacing w:line="240" w:lineRule="auto"/>
              <w:ind w:firstLine="300" w:firstLineChars="0"/>
              <w:jc w:val="left"/>
              <w:rPr>
                <w:rFonts w:eastAsia="宋体" w:hint="eastAsia"/>
                <w:vertAlign w:val="baseline"/>
                <w:lang w:val="en-US" w:eastAsia="zh-CN"/>
              </w:rPr>
            </w:pPr>
            <w:r>
              <w:rPr>
                <w:rFonts w:hint="eastAsia"/>
                <w:sz w:val="17"/>
                <w:szCs w:val="17"/>
                <w:lang w:val="en-US" w:eastAsia="zh-CN"/>
              </w:rPr>
              <w:t xml:space="preserve">合</w:t>
            </w:r>
            <w:r>
              <w:rPr>
                <w:sz w:val="17"/>
                <w:szCs w:val="17"/>
              </w:rPr>
              <w:t xml:space="preserve">计</w:t>
            </w:r>
          </w:p>
        </w:tc>
        <w:tc>
          <w:tcPr>
            <w:tcW w:w="4871" w:type="dxa"/>
            <w:gridSpan w:val="5"/>
          </w:tcPr>
          <w:p>
            <w:pPr>
              <w:tabs>
                <w:tab w:val="left" w:pos="859"/>
              </w:tabs>
              <w:jc w:val="both"/>
              <w:rPr>
                <w:rFonts w:eastAsia="宋体" w:hint="eastAsia"/>
                <w:vertAlign w:val="baseline"/>
                <w:lang w:val="en-US" w:eastAsia="zh-CN"/>
              </w:rPr>
            </w:pPr>
            <w:r>
              <w:rPr>
                <w:sz w:val="17"/>
                <w:szCs w:val="17"/>
              </w:rPr>
              <w:t xml:space="preserve">本年收入</w:t>
            </w:r>
          </w:p>
        </w:tc>
        <w:tc>
          <w:tcPr>
            <w:tcW w:w="6781" w:type="dxa"/>
            <w:gridSpan w:val="8"/>
          </w:tcPr>
          <w:p>
            <w:pPr>
              <w:tabs>
                <w:tab w:val="left" w:pos="859"/>
              </w:tabs>
              <w:jc w:val="both"/>
              <w:rPr>
                <w:rFonts w:eastAsia="宋体" w:hint="eastAsia"/>
                <w:vertAlign w:val="baseline"/>
                <w:lang w:val="en-US" w:eastAsia="zh-CN"/>
              </w:rPr>
            </w:pPr>
            <w:r>
              <w:rPr>
                <w:sz w:val="17"/>
                <w:szCs w:val="17"/>
              </w:rPr>
              <w:t xml:space="preserve">上年结转结余</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058"/>
        </w:trPr>
        <w:tc>
          <w:tcPr>
            <w:tcW w:w="1636" w:type="dxa"/>
            <w:vMerge/>
          </w:tcPr>
          <w:p>
            <w:pPr>
              <w:tabs>
                <w:tab w:val="left" w:pos="859"/>
              </w:tabs>
              <w:jc w:val="both"/>
              <w:rPr>
                <w:rFonts w:eastAsia="宋体" w:hint="eastAsia"/>
                <w:vertAlign w:val="baseline"/>
                <w:lang w:val="en-US" w:eastAsia="zh-CN"/>
              </w:rPr>
            </w:pPr>
          </w:p>
        </w:tc>
        <w:tc>
          <w:tcPr>
            <w:tcW w:w="1279" w:type="dxa"/>
            <w:vMerge/>
          </w:tcPr>
          <w:p>
            <w:pPr>
              <w:tabs>
                <w:tab w:val="left" w:pos="859"/>
              </w:tabs>
              <w:jc w:val="both"/>
              <w:rPr>
                <w:rFonts w:eastAsia="宋体" w:hint="eastAsia"/>
                <w:vertAlign w:val="baseline"/>
                <w:lang w:val="en-US" w:eastAsia="zh-CN"/>
              </w:rPr>
            </w:pPr>
          </w:p>
        </w:tc>
        <w:tc>
          <w:tcPr>
            <w:tcW w:w="990" w:type="dxa"/>
            <w:vMerge/>
            <w:vAlign w:val="center"/>
          </w:tcPr>
          <w:p>
            <w:pPr>
              <w:pStyle w:val="Other|1"/>
              <w:spacing w:line="240" w:lineRule="auto"/>
              <w:ind w:firstLine="300" w:firstLineChars="0"/>
              <w:jc w:val="left"/>
              <w:rPr>
                <w:rFonts w:eastAsia="宋体" w:hint="eastAsia"/>
                <w:vertAlign w:val="baseline"/>
                <w:lang w:val="en-US" w:eastAsia="zh-CN"/>
              </w:rPr>
            </w:pPr>
          </w:p>
        </w:tc>
        <w:tc>
          <w:tcPr>
            <w:tcW w:w="926" w:type="dxa"/>
            <w:vAlign w:val="center"/>
          </w:tcPr>
          <w:p>
            <w:pPr>
              <w:pStyle w:val="Other|1"/>
              <w:spacing w:line="240" w:lineRule="auto"/>
              <w:ind w:firstLine="300" w:firstLineChars="0"/>
              <w:jc w:val="left"/>
              <w:rPr>
                <w:rFonts w:eastAsia="宋体" w:hint="eastAsia"/>
                <w:vertAlign w:val="baseline"/>
                <w:lang w:val="en-US" w:eastAsia="zh-CN"/>
              </w:rPr>
            </w:pPr>
            <w:r>
              <w:rPr>
                <w:sz w:val="17"/>
                <w:szCs w:val="17"/>
              </w:rPr>
              <w:t xml:space="preserve">小计</w:t>
            </w:r>
          </w:p>
        </w:tc>
        <w:tc>
          <w:tcPr>
            <w:tcW w:w="909" w:type="dxa"/>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一般公共预算</w:t>
            </w:r>
          </w:p>
        </w:tc>
        <w:tc>
          <w:tcPr>
            <w:tcW w:w="1161" w:type="dxa"/>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政府性基金预算</w:t>
            </w:r>
          </w:p>
        </w:tc>
        <w:tc>
          <w:tcPr>
            <w:tcW w:w="1031" w:type="dxa"/>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国有资本经营预算</w:t>
            </w:r>
          </w:p>
        </w:tc>
        <w:tc>
          <w:tcPr>
            <w:tcW w:w="844" w:type="dxa"/>
          </w:tcPr>
          <w:p>
            <w:pPr>
              <w:pStyle w:val="Other|1"/>
              <w:spacing w:line="312" w:lineRule="exact"/>
              <w:ind w:firstLine="0"/>
              <w:jc w:val="left"/>
              <w:rPr>
                <w:sz w:val="17"/>
                <w:szCs w:val="17"/>
              </w:rPr>
            </w:pPr>
            <w:r>
              <w:rPr>
                <w:sz w:val="17"/>
                <w:szCs w:val="17"/>
              </w:rPr>
              <w:t xml:space="preserve">财政专户管理资金</w:t>
            </w:r>
          </w:p>
          <w:p>
            <w:pPr>
              <w:pStyle w:val="Other|1"/>
              <w:spacing w:line="312" w:lineRule="exact"/>
              <w:ind w:firstLine="0" w:firstLineChars="0"/>
              <w:jc w:val="left"/>
              <w:rPr>
                <w:rFonts w:eastAsia="宋体" w:hint="eastAsia"/>
                <w:vertAlign w:val="baseline"/>
                <w:lang w:val="en-US" w:eastAsia="zh-CN"/>
              </w:rPr>
            </w:pPr>
            <w:r>
              <w:rPr>
                <w:sz w:val="17"/>
                <w:szCs w:val="17"/>
              </w:rPr>
              <w:t xml:space="preserve">收入</w:t>
            </w:r>
          </w:p>
        </w:tc>
        <w:tc>
          <w:tcPr>
            <w:tcW w:w="856" w:type="dxa"/>
            <w:vAlign w:val="center"/>
          </w:tcPr>
          <w:p>
            <w:pPr>
              <w:pStyle w:val="Other|1"/>
              <w:spacing w:line="240" w:lineRule="auto"/>
              <w:ind w:firstLine="0" w:firstLineChars="0"/>
              <w:jc w:val="left"/>
              <w:rPr>
                <w:rFonts w:eastAsia="宋体" w:hint="eastAsia"/>
                <w:vertAlign w:val="baseline"/>
                <w:lang w:val="en-US" w:eastAsia="zh-CN"/>
              </w:rPr>
            </w:pPr>
            <w:r>
              <w:rPr>
                <w:sz w:val="17"/>
                <w:szCs w:val="17"/>
              </w:rPr>
              <w:t xml:space="preserve">单位资金</w:t>
            </w:r>
          </w:p>
        </w:tc>
        <w:tc>
          <w:tcPr>
            <w:tcW w:w="1035" w:type="dxa"/>
            <w:vAlign w:val="center"/>
          </w:tcPr>
          <w:p>
            <w:pPr>
              <w:pStyle w:val="Other|1"/>
              <w:spacing w:line="240" w:lineRule="auto"/>
              <w:ind w:firstLine="300" w:firstLineChars="0"/>
              <w:jc w:val="left"/>
              <w:rPr>
                <w:rFonts w:eastAsia="宋体" w:hint="eastAsia"/>
                <w:vertAlign w:val="baseline"/>
                <w:lang w:val="en-US" w:eastAsia="zh-CN"/>
              </w:rPr>
            </w:pPr>
            <w:r>
              <w:rPr>
                <w:sz w:val="17"/>
                <w:szCs w:val="17"/>
              </w:rPr>
              <w:t xml:space="preserve">小计</w:t>
            </w:r>
          </w:p>
        </w:tc>
        <w:tc>
          <w:tcPr>
            <w:tcW w:w="1011" w:type="dxa"/>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一般公共预算</w:t>
            </w:r>
          </w:p>
        </w:tc>
        <w:tc>
          <w:tcPr>
            <w:tcW w:w="859" w:type="dxa"/>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政府性基金预算</w:t>
            </w:r>
          </w:p>
        </w:tc>
        <w:tc>
          <w:tcPr>
            <w:tcW w:w="1094" w:type="dxa"/>
            <w:gridSpan w:val="2"/>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国有资本经营预算</w:t>
            </w:r>
          </w:p>
        </w:tc>
        <w:tc>
          <w:tcPr>
            <w:tcW w:w="872" w:type="dxa"/>
          </w:tcPr>
          <w:p>
            <w:pPr>
              <w:pStyle w:val="Other|1"/>
              <w:spacing w:line="312" w:lineRule="exact"/>
              <w:ind w:firstLine="0"/>
              <w:jc w:val="left"/>
              <w:rPr>
                <w:sz w:val="17"/>
                <w:szCs w:val="17"/>
              </w:rPr>
            </w:pPr>
            <w:r>
              <w:rPr>
                <w:sz w:val="17"/>
                <w:szCs w:val="17"/>
              </w:rPr>
              <w:t xml:space="preserve">财政专户管理资金</w:t>
            </w:r>
          </w:p>
          <w:p>
            <w:pPr>
              <w:pStyle w:val="Other|1"/>
              <w:spacing w:line="312" w:lineRule="exact"/>
              <w:ind w:right="280" w:firstLine="0" w:rightChars="0" w:firstLineChars="0"/>
              <w:jc w:val="left"/>
              <w:rPr>
                <w:rFonts w:eastAsia="宋体" w:hint="eastAsia"/>
                <w:vertAlign w:val="baseline"/>
                <w:lang w:val="en-US" w:eastAsia="zh-CN"/>
              </w:rPr>
            </w:pPr>
            <w:r>
              <w:rPr>
                <w:sz w:val="17"/>
                <w:szCs w:val="17"/>
              </w:rPr>
              <w:t xml:space="preserve">收入</w:t>
            </w:r>
          </w:p>
        </w:tc>
        <w:tc>
          <w:tcPr>
            <w:tcW w:w="1054" w:type="dxa"/>
            <w:vAlign w:val="center"/>
          </w:tcPr>
          <w:p>
            <w:pPr>
              <w:pStyle w:val="Other|1"/>
              <w:spacing w:line="240" w:lineRule="auto"/>
              <w:ind w:firstLine="140" w:firstLineChars="0"/>
              <w:jc w:val="left"/>
              <w:rPr>
                <w:rFonts w:eastAsia="宋体" w:hint="eastAsia"/>
                <w:vertAlign w:val="baseline"/>
                <w:lang w:val="en-US" w:eastAsia="zh-CN"/>
              </w:rPr>
            </w:pPr>
            <w:r>
              <w:rPr>
                <w:sz w:val="17"/>
                <w:szCs w:val="17"/>
              </w:rPr>
              <w:t xml:space="preserve">单位资金</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tcPr>
          <w:p>
            <w:pPr>
              <w:tabs>
                <w:tab w:val="left" w:pos="859"/>
              </w:tabs>
              <w:jc w:val="both"/>
              <w:rPr>
                <w:rFonts w:eastAsia="宋体" w:hint="eastAsia"/>
                <w:vertAlign w:val="baseline"/>
                <w:lang w:val="en-US" w:eastAsia="zh-CN"/>
              </w:rPr>
            </w:pPr>
          </w:p>
        </w:tc>
        <w:tc>
          <w:tcPr>
            <w:tcW w:w="1279" w:type="dxa"/>
          </w:tcPr>
          <w:p>
            <w:pPr>
              <w:tabs>
                <w:tab w:val="left" w:pos="859"/>
              </w:tabs>
              <w:jc w:val="both"/>
              <w:rPr>
                <w:rFonts w:eastAsia="宋体" w:hint="eastAsia"/>
                <w:vertAlign w:val="baseline"/>
                <w:lang w:val="en-US" w:eastAsia="zh-CN"/>
              </w:rPr>
            </w:pPr>
          </w:p>
        </w:tc>
        <w:tc>
          <w:tcPr>
            <w:tcW w:w="990"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1</w:t>
            </w:r>
          </w:p>
        </w:tc>
        <w:tc>
          <w:tcPr>
            <w:tcW w:w="926"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2</w:t>
            </w:r>
          </w:p>
        </w:tc>
        <w:tc>
          <w:tcPr>
            <w:tcW w:w="909"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3</w:t>
            </w:r>
          </w:p>
        </w:tc>
        <w:tc>
          <w:tcPr>
            <w:tcW w:w="1161" w:type="dxa"/>
            <w:vAlign w:val="center"/>
          </w:tcPr>
          <w:p>
            <w:pPr>
              <w:pStyle w:val="Other|1"/>
              <w:spacing w:line="240" w:lineRule="auto"/>
              <w:ind w:firstLine="44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4</w:t>
            </w:r>
          </w:p>
        </w:tc>
        <w:tc>
          <w:tcPr>
            <w:tcW w:w="1031" w:type="dxa"/>
            <w:vAlign w:val="center"/>
          </w:tcPr>
          <w:p>
            <w:pPr>
              <w:pStyle w:val="Other|1"/>
              <w:spacing w:line="240" w:lineRule="auto"/>
              <w:ind w:firstLine="42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5</w:t>
            </w:r>
          </w:p>
        </w:tc>
        <w:tc>
          <w:tcPr>
            <w:tcW w:w="844" w:type="dxa"/>
            <w:vAlign w:val="center"/>
          </w:tcPr>
          <w:p>
            <w:pPr>
              <w:pStyle w:val="Other|1"/>
              <w:spacing w:line="240" w:lineRule="auto"/>
              <w:ind w:firstLine="42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6</w:t>
            </w:r>
          </w:p>
        </w:tc>
        <w:tc>
          <w:tcPr>
            <w:tcW w:w="856" w:type="dxa"/>
            <w:vAlign w:val="center"/>
          </w:tcPr>
          <w:p>
            <w:pPr>
              <w:pStyle w:val="Other|1"/>
              <w:spacing w:line="240" w:lineRule="auto"/>
              <w:ind w:firstLine="44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7</w:t>
            </w:r>
          </w:p>
        </w:tc>
        <w:tc>
          <w:tcPr>
            <w:tcW w:w="1035" w:type="dxa"/>
            <w:vAlign w:val="center"/>
          </w:tcPr>
          <w:p>
            <w:pPr>
              <w:pStyle w:val="Other|1"/>
              <w:spacing w:line="240" w:lineRule="auto"/>
              <w:ind w:firstLine="44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8</w:t>
            </w:r>
          </w:p>
        </w:tc>
        <w:tc>
          <w:tcPr>
            <w:tcW w:w="1011" w:type="dxa"/>
            <w:vAlign w:val="center"/>
          </w:tcPr>
          <w:p>
            <w:pPr>
              <w:pStyle w:val="Other|1"/>
              <w:spacing w:line="240" w:lineRule="auto"/>
              <w:ind w:firstLine="42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9</w:t>
            </w:r>
          </w:p>
        </w:tc>
        <w:tc>
          <w:tcPr>
            <w:tcW w:w="859" w:type="dxa"/>
            <w:vAlign w:val="center"/>
          </w:tcPr>
          <w:p>
            <w:pPr>
              <w:pStyle w:val="Other|1"/>
              <w:spacing w:line="240" w:lineRule="auto"/>
              <w:ind w:right="360" w:firstLine="0" w:rightChars="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10</w:t>
            </w:r>
          </w:p>
        </w:tc>
        <w:tc>
          <w:tcPr>
            <w:tcW w:w="1094" w:type="dxa"/>
            <w:gridSpan w:val="2"/>
            <w:vAlign w:val="center"/>
          </w:tcPr>
          <w:p>
            <w:pPr>
              <w:pStyle w:val="Other|1"/>
              <w:spacing w:line="240" w:lineRule="auto"/>
              <w:ind w:firstLine="44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11</w:t>
            </w:r>
          </w:p>
        </w:tc>
        <w:tc>
          <w:tcPr>
            <w:tcW w:w="872" w:type="dxa"/>
            <w:vAlign w:val="center"/>
          </w:tcPr>
          <w:p>
            <w:pPr>
              <w:pStyle w:val="Other|1"/>
              <w:spacing w:line="240" w:lineRule="auto"/>
              <w:ind w:right="380" w:firstLine="0" w:rightChars="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12</w:t>
            </w:r>
          </w:p>
        </w:tc>
        <w:tc>
          <w:tcPr>
            <w:tcW w:w="1054" w:type="dxa"/>
            <w:vAlign w:val="center"/>
          </w:tcPr>
          <w:p>
            <w:pPr>
              <w:pStyle w:val="Other|1"/>
              <w:spacing w:line="240" w:lineRule="auto"/>
              <w:ind w:right="420" w:firstLine="0" w:rightChars="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13</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vAlign w:val="center"/>
          </w:tcPr>
          <w:p>
            <w:pPr>
              <w:pStyle w:val="Other|1"/>
              <w:spacing w:line="240" w:lineRule="auto"/>
              <w:ind w:firstLine="0" w:firstLineChars="0"/>
              <w:jc w:val="left"/>
              <w:rPr>
                <w:rFonts w:eastAsia="宋体" w:hint="eastAsia"/>
                <w:vertAlign w:val="baseline"/>
                <w:lang w:val="en-US" w:eastAsia="zh-CN"/>
              </w:rPr>
            </w:pPr>
          </w:p>
        </w:tc>
        <w:tc>
          <w:tcPr>
            <w:tcW w:w="1279" w:type="dxa"/>
          </w:tcPr>
          <w:p>
            <w:pPr>
              <w:pStyle w:val="Other|1"/>
              <w:spacing w:line="326" w:lineRule="exact"/>
              <w:ind w:firstLine="0" w:firstLineChars="0"/>
              <w:jc w:val="left"/>
              <w:rPr>
                <w:rFonts w:eastAsia="宋体" w:hint="eastAsia"/>
                <w:vertAlign w:val="baseline"/>
                <w:lang w:val="en-US" w:eastAsia="zh-CN"/>
              </w:rPr>
            </w:pPr>
            <w:r>
              <w:rPr>
                <w:rFonts w:hint="eastAsia"/>
                <w:sz w:val="17"/>
                <w:szCs w:val="17"/>
                <w:lang w:val="en-US" w:eastAsia="zh-CN"/>
              </w:rPr>
              <w:t xml:space="preserve">合计</w:t>
            </w:r>
          </w:p>
        </w:tc>
        <w:tc>
          <w:tcPr>
            <w:tcW w:w="990"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976.52</w:t>
            </w:r>
          </w:p>
        </w:tc>
        <w:tc>
          <w:tcPr>
            <w:tcW w:w="926" w:type="dxa"/>
            <w:vAlign w:val="center"/>
          </w:tcPr>
          <w:p>
            <w:pPr>
              <w:pStyle w:val="Other|1"/>
              <w:spacing w:line="240" w:lineRule="auto"/>
              <w:ind w:firstLine="300" w:firstLineChars="0"/>
              <w:jc w:val="left"/>
              <w:rPr>
                <w:rFonts w:eastAsia="宋体" w:hint="eastAsia"/>
                <w:vertAlign w:val="baseline"/>
                <w:lang w:val="en-US" w:eastAsia="zh-CN"/>
              </w:rPr>
            </w:pPr>
            <w:r>
              <w:rPr>
                <w:rFonts w:hint="eastAsia"/>
                <w:sz w:val="17"/>
                <w:szCs w:val="17"/>
                <w:lang w:val="en-US" w:eastAsia="zh-CN"/>
              </w:rPr>
              <w:t xml:space="preserve">976.52</w:t>
            </w:r>
          </w:p>
        </w:tc>
        <w:tc>
          <w:tcPr>
            <w:tcW w:w="909" w:type="dxa"/>
            <w:vAlign w:val="center"/>
          </w:tcPr>
          <w:p>
            <w:pPr>
              <w:pStyle w:val="Other|1"/>
              <w:spacing w:line="240" w:lineRule="auto"/>
              <w:ind w:firstLine="2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976.52</w:t>
            </w:r>
          </w:p>
        </w:tc>
        <w:tc>
          <w:tcPr>
            <w:tcW w:w="1161" w:type="dxa"/>
            <w:vAlign w:val="center"/>
          </w:tcPr>
          <w:p>
            <w:pPr>
              <w:pStyle w:val="Other|1"/>
              <w:spacing w:line="240" w:lineRule="auto"/>
              <w:ind w:firstLine="520" w:firstLineChars="0"/>
              <w:jc w:val="left"/>
              <w:rPr>
                <w:rFonts w:eastAsia="宋体" w:hint="eastAsia"/>
                <w:vertAlign w:val="baseline"/>
                <w:lang w:val="en-US" w:eastAsia="zh-CN"/>
              </w:rPr>
            </w:pPr>
            <w:r>
              <w:rPr>
                <w:rFonts w:hint="eastAsia"/>
                <w:sz w:val="17"/>
                <w:szCs w:val="17"/>
                <w:lang w:val="en-US" w:eastAsia="zh-CN"/>
              </w:rPr>
              <w:t xml:space="preserve">0.00</w:t>
            </w:r>
          </w:p>
        </w:tc>
        <w:tc>
          <w:tcPr>
            <w:tcW w:w="1031"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844"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856"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1035" w:type="dxa"/>
            <w:vAlign w:val="center"/>
          </w:tcPr>
          <w:p>
            <w:pPr>
              <w:pStyle w:val="Other|1"/>
              <w:spacing w:line="240" w:lineRule="auto"/>
              <w:ind w:firstLine="52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11"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859"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94" w:type="dxa"/>
            <w:gridSpan w:val="2"/>
            <w:vAlign w:val="center"/>
          </w:tcPr>
          <w:p>
            <w:pPr>
              <w:pStyle w:val="Other|1"/>
              <w:spacing w:line="240" w:lineRule="auto"/>
              <w:ind w:firstLine="58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872"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54" w:type="dxa"/>
            <w:vAlign w:val="center"/>
          </w:tcPr>
          <w:p>
            <w:pPr>
              <w:pStyle w:val="Other|1"/>
              <w:spacing w:line="240" w:lineRule="auto"/>
              <w:ind w:firstLine="54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rPr>
              <w:t xml:space="preserve">707001</w:t>
            </w:r>
          </w:p>
        </w:tc>
        <w:tc>
          <w:tcPr>
            <w:tcW w:w="1279" w:type="dxa"/>
          </w:tcPr>
          <w:p>
            <w:pPr>
              <w:pStyle w:val="Other|1"/>
              <w:spacing w:line="326" w:lineRule="exact"/>
              <w:ind w:firstLine="0" w:firstLineChars="0"/>
              <w:jc w:val="left"/>
              <w:rPr>
                <w:rFonts w:eastAsia="宋体" w:hint="eastAsia"/>
                <w:vertAlign w:val="baseline"/>
                <w:lang w:val="en-US" w:eastAsia="zh-CN"/>
              </w:rPr>
            </w:pPr>
          </w:p>
        </w:tc>
        <w:tc>
          <w:tcPr>
            <w:tcW w:w="990"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976.52</w:t>
            </w:r>
          </w:p>
        </w:tc>
        <w:tc>
          <w:tcPr>
            <w:tcW w:w="926" w:type="dxa"/>
            <w:vAlign w:val="center"/>
          </w:tcPr>
          <w:p>
            <w:pPr>
              <w:pStyle w:val="Other|1"/>
              <w:spacing w:line="240" w:lineRule="auto"/>
              <w:ind w:firstLine="300" w:firstLineChars="0"/>
              <w:jc w:val="left"/>
              <w:rPr>
                <w:rFonts w:eastAsia="宋体" w:hint="eastAsia"/>
                <w:vertAlign w:val="baseline"/>
                <w:lang w:val="en-US" w:eastAsia="zh-CN"/>
              </w:rPr>
            </w:pPr>
            <w:r>
              <w:rPr>
                <w:rFonts w:hint="eastAsia"/>
                <w:sz w:val="17"/>
                <w:szCs w:val="17"/>
                <w:lang w:val="en-US" w:eastAsia="zh-CN"/>
              </w:rPr>
              <w:t xml:space="preserve">976.52</w:t>
            </w:r>
          </w:p>
        </w:tc>
        <w:tc>
          <w:tcPr>
            <w:tcW w:w="909" w:type="dxa"/>
            <w:vAlign w:val="center"/>
          </w:tcPr>
          <w:p>
            <w:pPr>
              <w:pStyle w:val="Other|1"/>
              <w:spacing w:line="240" w:lineRule="auto"/>
              <w:ind w:firstLine="2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976.52</w:t>
            </w:r>
          </w:p>
        </w:tc>
        <w:tc>
          <w:tcPr>
            <w:tcW w:w="1161" w:type="dxa"/>
            <w:vAlign w:val="center"/>
          </w:tcPr>
          <w:p>
            <w:pPr>
              <w:pStyle w:val="Other|1"/>
              <w:spacing w:line="240" w:lineRule="auto"/>
              <w:ind w:firstLine="520" w:firstLineChars="0"/>
              <w:jc w:val="left"/>
              <w:rPr>
                <w:rFonts w:eastAsia="宋体" w:hint="eastAsia"/>
                <w:vertAlign w:val="baseline"/>
                <w:lang w:val="en-US" w:eastAsia="zh-CN"/>
              </w:rPr>
            </w:pPr>
            <w:r>
              <w:rPr>
                <w:rFonts w:hint="eastAsia"/>
                <w:sz w:val="17"/>
                <w:szCs w:val="17"/>
                <w:lang w:val="en-US" w:eastAsia="zh-CN"/>
              </w:rPr>
              <w:t xml:space="preserve">0.00</w:t>
            </w:r>
          </w:p>
        </w:tc>
        <w:tc>
          <w:tcPr>
            <w:tcW w:w="1031"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844"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856"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1035" w:type="dxa"/>
            <w:vAlign w:val="center"/>
          </w:tcPr>
          <w:p>
            <w:pPr>
              <w:pStyle w:val="Other|1"/>
              <w:spacing w:line="240" w:lineRule="auto"/>
              <w:ind w:firstLine="52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11"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859"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94" w:type="dxa"/>
            <w:gridSpan w:val="2"/>
            <w:vAlign w:val="center"/>
          </w:tcPr>
          <w:p>
            <w:pPr>
              <w:pStyle w:val="Other|1"/>
              <w:spacing w:line="240" w:lineRule="auto"/>
              <w:ind w:firstLine="58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872"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54" w:type="dxa"/>
            <w:vAlign w:val="center"/>
          </w:tcPr>
          <w:p>
            <w:pPr>
              <w:pStyle w:val="Other|1"/>
              <w:spacing w:line="240" w:lineRule="auto"/>
              <w:ind w:firstLine="54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5557" w:type="dxa"/>
            <w:gridSpan w:val="16"/>
            <w:tcBorders>
              <w:left w:val="nil"/>
              <w:bottom w:val="nil"/>
              <w:right w:val="nil"/>
            </w:tcBorders>
          </w:tcPr>
          <w:p>
            <w:pPr>
              <w:pStyle w:val="Tablecaption|1"/>
              <w:jc w:val="left"/>
              <w:rPr>
                <w:rFonts w:eastAsia="宋体" w:hint="eastAsia"/>
                <w:vertAlign w:val="baseline"/>
                <w:lang w:val="en-US" w:eastAsia="zh-CN"/>
              </w:rPr>
            </w:pPr>
            <w:r>
              <w:t xml:space="preserve">注：本报表金额单位转换时可能存在四舍五入尾数误差。</w:t>
            </w:r>
          </w:p>
        </w:tc>
      </w:tr>
    </w:tbl>
    <w:p>
      <w:pPr>
        <w:tabs>
          <w:tab w:val="left" w:pos="859"/>
        </w:tabs>
        <w:jc w:val="both"/>
        <w:rPr>
          <w:rFonts w:eastAsia="宋体" w:hint="eastAsia"/>
          <w:lang w:val="en-US" w:eastAsia="zh-CN"/>
        </w:rPr>
      </w:pPr>
    </w:p>
    <w:p>
      <w:pPr>
        <w:tabs>
          <w:tab w:val="left" w:pos="859"/>
        </w:tabs>
        <w:jc w:val="center"/>
        <w:rPr>
          <w:rFonts w:eastAsia="宋体" w:hint="eastAsia"/>
          <w:lang w:val="en-US" w:eastAsia="zh-CN"/>
        </w:rPr>
      </w:pPr>
    </w:p>
    <w:p>
      <w:pPr>
        <w:tabs>
          <w:tab w:val="left" w:pos="859"/>
        </w:tabs>
        <w:jc w:val="both"/>
        <w:rPr>
          <w:rFonts w:eastAsia="宋体" w:hint="eastAsia"/>
          <w:lang w:val="en-US" w:eastAsia="zh-CN"/>
        </w:rPr>
      </w:pPr>
    </w:p>
    <w:p>
      <w:pPr>
        <w:spacing w:line="1" w:lineRule="exact"/>
        <w:jc w:val="left"/>
        <w:rPr>
          <w:lang w:eastAsia="zh-CN"/>
        </w:rPr>
        <w:sectPr>
          <w:headerReference w:type="default" r:id="rId16"/>
          <w:footerReference w:type="default" r:id="rId17"/>
          <w:pgSz w:w="16840" w:h="11900" w:orient="landscape"/>
          <w:pgMar w:top="2709" w:right="764" w:bottom="2709" w:left="735" w:header="2281" w:footer="1474" w:gutter="0"/>
          <w:pgBorders>
            <w:top w:val="none" w:sz="0" w:space="0" w:color="auto"/>
            <w:left w:val="none" w:sz="0" w:space="0" w:color="auto"/>
            <w:bottom w:val="none" w:sz="0" w:space="0" w:color="auto"/>
            <w:right w:val="none" w:sz="0" w:space="0" w:color="auto"/>
          </w:pgBorders>
          <w:pgNumType w:fmt="decimal"/>
          <w:cols w:num="1" w:space="720">
            <w:col w:w="15341" w:space="720"/>
          </w:cols>
          <w:docGrid w:linePitch="360" w:charSpace="0"/>
        </w:sectPr>
      </w:pPr>
    </w:p>
    <w:p>
      <w:pPr>
        <w:pStyle w:val="Heading#2|1"/>
        <w:keepNext/>
        <w:keepLines/>
        <w:spacing w:after="240"/>
        <w:jc w:val="center"/>
      </w:pPr>
      <w:bookmarkStart w:id="20" w:name="bookmark41"/>
      <w:bookmarkStart w:id="21" w:name="bookmark43"/>
      <w:bookmarkStart w:id="22" w:name="bookmark42"/>
      <w:r>
        <w:t xml:space="preserve">支出总体情况表</w:t>
      </w:r>
      <w:bookmarkEnd w:id="20"/>
      <w:bookmarkEnd w:id="21"/>
      <w:bookmarkEnd w:id="22"/>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1843"/>
        <w:gridCol w:w="1934"/>
        <w:gridCol w:w="2390"/>
        <w:gridCol w:w="2280"/>
        <w:gridCol w:w="2299"/>
        <w:gridCol w:w="2222"/>
        <w:gridCol w:w="2371"/>
      </w:tblGrid>
      <w:tr>
        <w:tblPrEx>
          <w:tblW w:w="0" w:type="auto"/>
          <w:tblInd w:w="0" w:type="dxa"/>
          <w:tblLayout w:type="fixed"/>
          <w:tblCellMar>
            <w:top w:w="0" w:type="dxa"/>
            <w:left w:w="10" w:type="dxa"/>
            <w:bottom w:w="0" w:type="dxa"/>
            <w:right w:w="10" w:type="dxa"/>
          </w:tblCellMar>
        </w:tblPrEx>
        <w:trPr>
          <w:trHeight w:hRule="exact" w:val="346"/>
        </w:trPr>
        <w:tc>
          <w:tcPr>
            <w:tcW w:w="12968" w:type="dxa"/>
            <w:gridSpan w:val="6"/>
            <w:shd w:val="clear" w:color="auto" w:fill="FFFFFF"/>
          </w:tcPr>
          <w:p>
            <w:pPr>
              <w:pStyle w:val="Other|1"/>
              <w:spacing w:line="240" w:lineRule="auto"/>
              <w:ind w:firstLine="0"/>
              <w:jc w:val="left"/>
              <w:rPr>
                <w:sz w:val="17"/>
                <w:szCs w:val="17"/>
              </w:rPr>
            </w:pPr>
            <w:r>
              <w:rPr>
                <w:sz w:val="17"/>
                <w:szCs w:val="17"/>
              </w:rPr>
              <w:t xml:space="preserve">单位名称：</w:t>
            </w:r>
            <w:r>
              <w:rPr>
                <w:rFonts w:hint="eastAsia"/>
                <w:sz w:val="17"/>
                <w:szCs w:val="17"/>
                <w:lang w:eastAsia="zh-CN"/>
              </w:rPr>
              <w:t xml:space="preserve">环江毛南族自治县大安乡人民政府</w:t>
            </w:r>
          </w:p>
        </w:tc>
        <w:tc>
          <w:tcPr>
            <w:tcW w:w="2371" w:type="dxa"/>
            <w:shd w:val="clear" w:color="auto" w:fill="FFFFFF"/>
          </w:tcPr>
          <w:p>
            <w:pPr>
              <w:pStyle w:val="Other|1"/>
              <w:spacing w:line="240" w:lineRule="auto"/>
              <w:ind w:firstLine="1190" w:firstLineChars="700"/>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trHeight w:hRule="exact" w:val="854"/>
        </w:trPr>
        <w:tc>
          <w:tcPr>
            <w:tcW w:w="1843"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科目编码</w:t>
            </w:r>
          </w:p>
        </w:tc>
        <w:tc>
          <w:tcPr>
            <w:tcW w:w="1934"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40"/>
              <w:jc w:val="left"/>
              <w:rPr>
                <w:sz w:val="17"/>
                <w:szCs w:val="17"/>
              </w:rPr>
            </w:pPr>
            <w:r>
              <w:rPr>
                <w:sz w:val="17"/>
                <w:szCs w:val="17"/>
              </w:rPr>
              <w:t xml:space="preserve">部门（单位）代码</w:t>
            </w:r>
          </w:p>
        </w:tc>
        <w:tc>
          <w:tcPr>
            <w:tcW w:w="2390" w:type="dxa"/>
            <w:tcBorders>
              <w:top w:val="single" w:sz="4" w:space="0" w:color="auto"/>
              <w:left w:val="single" w:sz="4" w:space="0" w:color="auto"/>
              <w:bottom w:val="single" w:sz="4" w:space="0" w:color="auto"/>
            </w:tcBorders>
            <w:shd w:val="clear" w:color="auto" w:fill="FFFFFF"/>
            <w:vAlign w:val="center"/>
          </w:tcPr>
          <w:p>
            <w:pPr>
              <w:pStyle w:val="Other|1"/>
              <w:spacing w:after="120" w:line="240" w:lineRule="auto"/>
              <w:ind w:firstLine="0"/>
              <w:jc w:val="left"/>
              <w:rPr>
                <w:sz w:val="17"/>
                <w:szCs w:val="17"/>
              </w:rPr>
            </w:pPr>
            <w:r>
              <w:rPr>
                <w:sz w:val="17"/>
                <w:szCs w:val="17"/>
              </w:rPr>
              <w:t xml:space="preserve">部门（单位）名称</w:t>
            </w:r>
          </w:p>
          <w:p>
            <w:pPr>
              <w:pStyle w:val="Other|1"/>
              <w:spacing w:line="240" w:lineRule="auto"/>
              <w:ind w:firstLine="0"/>
              <w:jc w:val="left"/>
              <w:rPr>
                <w:sz w:val="17"/>
                <w:szCs w:val="17"/>
              </w:rPr>
            </w:pPr>
            <w:r>
              <w:rPr>
                <w:sz w:val="17"/>
                <w:szCs w:val="17"/>
              </w:rPr>
              <w:t xml:space="preserve">（功能分类科目名称）</w:t>
            </w:r>
          </w:p>
        </w:tc>
        <w:tc>
          <w:tcPr>
            <w:tcW w:w="228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合计</w:t>
            </w:r>
          </w:p>
        </w:tc>
        <w:tc>
          <w:tcPr>
            <w:tcW w:w="2299"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基本支出</w:t>
            </w:r>
          </w:p>
        </w:tc>
        <w:tc>
          <w:tcPr>
            <w:tcW w:w="2222"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项目支出</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结转下年支出</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合计</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976.52</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581.98</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394.53</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707001</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976.52</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581.98</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394.53</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2010301</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行政运行</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566.16</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496.16</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70.00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2012999</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其他群众团体事务支出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3.81</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3.81</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2013202</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一般行政管理事务</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1.75</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1.75</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2080505</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机关事业单位基本养老保险缴费支出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44.11</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44.11</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2082001</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临时救助支出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4.20</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4.20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2110401</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生态保护</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22.06</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22.06</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2130205</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森林资源培育</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31.02</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31.02</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2140104</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公路建设</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264.00</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264.00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2210201</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住房公积金</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37.91</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37.91</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2240601</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地质灾害防治</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1.50</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1.50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bl>
    <w:p>
      <w:pPr>
        <w:pStyle w:val="Tablecaption|1"/>
        <w:ind w:left="672"/>
        <w:jc w:val="left"/>
      </w:pPr>
      <w:r>
        <w:t xml:space="preserve">注：本报表金额单位转换时可能存在四舍五入尾数误差。</w:t>
      </w:r>
      <w:r>
        <w:br w:type="page"/>
      </w:r>
    </w:p>
    <w:p>
      <w:pPr>
        <w:pStyle w:val="Heading#2|1"/>
        <w:keepNext/>
        <w:keepLines/>
        <w:spacing w:after="240"/>
        <w:jc w:val="center"/>
      </w:pPr>
      <w:bookmarkStart w:id="23" w:name="bookmark45"/>
      <w:bookmarkStart w:id="24" w:name="bookmark46"/>
      <w:bookmarkStart w:id="25" w:name="bookmark44"/>
      <w:r>
        <w:t xml:space="preserve">财政拨款收支总体情况表</w:t>
      </w:r>
      <w:bookmarkEnd w:id="23"/>
      <w:bookmarkEnd w:id="24"/>
      <w:bookmarkEnd w:id="25"/>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2885"/>
        <w:gridCol w:w="955"/>
        <w:gridCol w:w="3830"/>
        <w:gridCol w:w="3826"/>
        <w:gridCol w:w="3845"/>
        <w:gridCol w:w="1"/>
      </w:tblGrid>
      <w:tr>
        <w:tblPrEx>
          <w:tblW w:w="0" w:type="auto"/>
          <w:tblInd w:w="0" w:type="dxa"/>
          <w:tblLayout w:type="fixed"/>
          <w:tblCellMar>
            <w:top w:w="0" w:type="dxa"/>
            <w:left w:w="10" w:type="dxa"/>
            <w:bottom w:w="0" w:type="dxa"/>
            <w:right w:w="10" w:type="dxa"/>
          </w:tblCellMar>
        </w:tblPrEx>
        <w:trPr>
          <w:gridAfter w:val="1"/>
          <w:wAfter w:w="1" w:type="dxa"/>
          <w:trHeight w:hRule="exact" w:val="346"/>
        </w:trPr>
        <w:tc>
          <w:tcPr>
            <w:tcW w:w="11496" w:type="dxa"/>
            <w:gridSpan w:val="4"/>
            <w:shd w:val="clear" w:color="auto" w:fill="FFFFFF"/>
          </w:tcPr>
          <w:p>
            <w:pPr>
              <w:pStyle w:val="Other|1"/>
              <w:spacing w:line="240" w:lineRule="auto"/>
              <w:ind w:firstLine="0"/>
              <w:jc w:val="left"/>
              <w:rPr>
                <w:rFonts w:hint="default"/>
                <w:sz w:val="17"/>
                <w:szCs w:val="17"/>
                <w:lang w:val="en-US"/>
              </w:rPr>
            </w:pPr>
            <w:r>
              <w:rPr>
                <w:sz w:val="17"/>
                <w:szCs w:val="17"/>
              </w:rPr>
              <w:t xml:space="preserve">单位名称：</w:t>
            </w:r>
            <w:r>
              <w:rPr>
                <w:rFonts w:hint="eastAsia"/>
                <w:sz w:val="17"/>
                <w:szCs w:val="17"/>
                <w:lang w:eastAsia="zh-CN"/>
              </w:rPr>
              <w:t xml:space="preserve">环江毛南族自治县大安乡人民政府</w:t>
            </w:r>
          </w:p>
        </w:tc>
        <w:tc>
          <w:tcPr>
            <w:tcW w:w="3845" w:type="dxa"/>
            <w:shd w:val="clear" w:color="auto" w:fill="FFFFFF"/>
          </w:tcPr>
          <w:p>
            <w:pPr>
              <w:pStyle w:val="Other|1"/>
              <w:spacing w:line="240" w:lineRule="auto"/>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2885" w:type="dxa"/>
            <w:tcBorders>
              <w:top w:val="single" w:sz="4" w:space="0" w:color="auto"/>
              <w:left w:val="single" w:sz="4" w:space="0" w:color="auto"/>
            </w:tcBorders>
            <w:shd w:val="clear" w:color="auto" w:fill="FFFFFF"/>
          </w:tcPr>
          <w:p>
            <w:pPr>
              <w:jc w:val="left"/>
              <w:rPr>
                <w:sz w:val="10"/>
                <w:szCs w:val="10"/>
              </w:rPr>
            </w:pPr>
          </w:p>
        </w:tc>
        <w:tc>
          <w:tcPr>
            <w:tcW w:w="955" w:type="dxa"/>
            <w:tcBorders>
              <w:top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收</w:t>
            </w:r>
          </w:p>
        </w:tc>
        <w:tc>
          <w:tcPr>
            <w:tcW w:w="3830" w:type="dxa"/>
            <w:tcBorders>
              <w:top w:val="single" w:sz="4" w:space="0" w:color="auto"/>
            </w:tcBorders>
            <w:shd w:val="clear" w:color="auto" w:fill="FFFFFF"/>
            <w:vAlign w:val="center"/>
          </w:tcPr>
          <w:p>
            <w:pPr>
              <w:pStyle w:val="Other|1"/>
              <w:spacing w:line="240" w:lineRule="auto"/>
              <w:ind w:firstLine="340"/>
              <w:jc w:val="left"/>
              <w:rPr>
                <w:sz w:val="17"/>
                <w:szCs w:val="17"/>
              </w:rPr>
            </w:pPr>
            <w:r>
              <w:rPr>
                <w:sz w:val="17"/>
                <w:szCs w:val="17"/>
              </w:rPr>
              <w:t xml:space="preserve">入</w:t>
            </w:r>
          </w:p>
        </w:tc>
        <w:tc>
          <w:tcPr>
            <w:tcW w:w="3826" w:type="dxa"/>
            <w:tcBorders>
              <w:top w:val="single" w:sz="4" w:space="0" w:color="auto"/>
              <w:left w:val="single" w:sz="4" w:space="0" w:color="auto"/>
            </w:tcBorders>
            <w:shd w:val="clear" w:color="auto" w:fill="FFFFFF"/>
            <w:vAlign w:val="center"/>
          </w:tcPr>
          <w:p>
            <w:pPr>
              <w:pStyle w:val="Other|1"/>
              <w:spacing w:line="240" w:lineRule="auto"/>
              <w:ind w:right="340" w:firstLine="2720" w:firstLineChars="1600"/>
              <w:jc w:val="left"/>
              <w:rPr>
                <w:sz w:val="17"/>
                <w:szCs w:val="17"/>
              </w:rPr>
            </w:pPr>
            <w:r>
              <w:rPr>
                <w:sz w:val="17"/>
                <w:szCs w:val="17"/>
              </w:rPr>
              <w:t xml:space="preserve">支</w:t>
            </w:r>
          </w:p>
        </w:tc>
        <w:tc>
          <w:tcPr>
            <w:tcW w:w="3845" w:type="dxa"/>
            <w:tcBorders>
              <w:top w:val="single" w:sz="4" w:space="0" w:color="auto"/>
              <w:right w:val="single" w:sz="4" w:space="0" w:color="auto"/>
            </w:tcBorders>
            <w:shd w:val="clear" w:color="auto" w:fill="FFFFFF"/>
            <w:vAlign w:val="center"/>
          </w:tcPr>
          <w:p>
            <w:pPr>
              <w:pStyle w:val="Other|1"/>
              <w:spacing w:line="240" w:lineRule="auto"/>
              <w:ind w:firstLine="935" w:firstLineChars="550"/>
              <w:jc w:val="left"/>
              <w:rPr>
                <w:sz w:val="17"/>
                <w:szCs w:val="17"/>
              </w:rPr>
            </w:pPr>
            <w:r>
              <w:rPr>
                <w:sz w:val="17"/>
                <w:szCs w:val="17"/>
              </w:rPr>
              <w:t xml:space="preserve">出</w:t>
            </w:r>
          </w:p>
        </w:tc>
      </w:tr>
      <w:tr>
        <w:tblPrEx>
          <w:tblW w:w="0" w:type="auto"/>
          <w:tblInd w:w="0" w:type="dxa"/>
          <w:tblLayout w:type="fixed"/>
          <w:tblCellMar>
            <w:top w:w="0" w:type="dxa"/>
            <w:left w:w="10" w:type="dxa"/>
            <w:bottom w:w="0" w:type="dxa"/>
            <w:right w:w="10" w:type="dxa"/>
          </w:tblCellMar>
        </w:tblPrEx>
        <w:trPr>
          <w:gridAfter w:val="1"/>
          <w:wAfter w:w="1" w:type="dxa"/>
          <w:trHeight w:hRule="exact" w:val="451"/>
        </w:trPr>
        <w:tc>
          <w:tcPr>
            <w:tcW w:w="3840" w:type="dxa"/>
            <w:gridSpan w:val="2"/>
            <w:tcBorders>
              <w:top w:val="single" w:sz="4" w:space="0" w:color="auto"/>
              <w:lef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项目</w:t>
            </w:r>
          </w:p>
        </w:tc>
        <w:tc>
          <w:tcPr>
            <w:tcW w:w="3830" w:type="dxa"/>
            <w:tcBorders>
              <w:top w:val="single" w:sz="4" w:space="0" w:color="auto"/>
              <w:lef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预算数</w:t>
            </w:r>
          </w:p>
        </w:tc>
        <w:tc>
          <w:tcPr>
            <w:tcW w:w="3826" w:type="dxa"/>
            <w:tcBorders>
              <w:top w:val="single" w:sz="4" w:space="0" w:color="auto"/>
              <w:left w:val="single" w:sz="4" w:space="0" w:color="auto"/>
            </w:tcBorders>
            <w:shd w:val="clear" w:color="auto" w:fill="FFFFFF"/>
            <w:vAlign w:val="center"/>
          </w:tcPr>
          <w:p>
            <w:pPr>
              <w:pStyle w:val="Other|1"/>
              <w:tabs>
                <w:tab w:val="left" w:pos="1034"/>
              </w:tabs>
              <w:spacing w:line="240" w:lineRule="auto"/>
              <w:ind w:firstLine="540"/>
              <w:jc w:val="center"/>
              <w:rPr>
                <w:sz w:val="17"/>
                <w:szCs w:val="17"/>
              </w:rPr>
            </w:pPr>
            <w:r>
              <w:rPr>
                <w:sz w:val="17"/>
                <w:szCs w:val="17"/>
              </w:rPr>
              <w:t xml:space="preserve">项</w:t>
            </w:r>
            <w:r>
              <w:rPr>
                <w:sz w:val="17"/>
                <w:szCs w:val="17"/>
              </w:rPr>
              <w:tab/>
            </w:r>
            <w:r>
              <w:rPr>
                <w:sz w:val="17"/>
                <w:szCs w:val="17"/>
              </w:rPr>
              <w:t xml:space="preserve">目（按支出功能科目分类）</w:t>
            </w:r>
          </w:p>
        </w:tc>
        <w:tc>
          <w:tcPr>
            <w:tcW w:w="3845" w:type="dxa"/>
            <w:tcBorders>
              <w:top w:val="single" w:sz="4" w:space="0" w:color="auto"/>
              <w:left w:val="single" w:sz="4" w:space="0" w:color="auto"/>
              <w:righ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预算数</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一、一般公共预算拨款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651.98</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一、一般公共服务支出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571.71</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二、外交支出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651.98</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三、国防支出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二、政府性基金预算拨款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四、公共安全支出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五、教育支出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六、科学技术支出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三、国有资本经营预算拨款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七、文化旅游体育与传媒支出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八、社会保障和就业支出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48.31</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九、卫生健康支出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十、节能环保支出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22.06</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十一、城乡社区支出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十二、农林水支出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31.02</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十三、交通运输支出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264.00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十四、资源勘探工业信息等支出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十五、商业服务业等支出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十六、金融支出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十七、援助其他地区支出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十八、自然资源海洋气象等支出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十九、住房保障支出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37.91</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二十、粮油物资储备支出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二十一、国有资本经营预算支出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二十二、灾害防治及应急管理支出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1.50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二十三、其他支出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二十四、债务还本支出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二十五、债务付息支出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二十六、债务发行费用支出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本年收入合计</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651.98</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本年支出合计</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976.52</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上年结转结余</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324.53</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结转下年支出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收入总计</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976.52</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支出总计</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976.52</w:t>
            </w:r>
          </w:p>
        </w:tc>
      </w:tr>
      <w:tr>
        <w:tblPrEx>
          <w:tblW w:w="0" w:type="auto"/>
          <w:tblInd w:w="0" w:type="dxa"/>
          <w:tblLayout w:type="fixed"/>
          <w:tblCellMar>
            <w:top w:w="0" w:type="dxa"/>
            <w:left w:w="10" w:type="dxa"/>
            <w:bottom w:w="0" w:type="dxa"/>
            <w:right w:w="10" w:type="dxa"/>
          </w:tblCellMar>
        </w:tblPrEx>
        <w:trPr>
          <w:trHeight w:hRule="exact" w:val="352"/>
        </w:trPr>
        <w:tc>
          <w:tcPr>
            <w:tcW w:w="15342" w:type="dxa"/>
            <w:gridSpan w:val="6"/>
            <w:tcBorders>
              <w:top w:val="single" w:sz="4" w:space="0" w:color="auto"/>
            </w:tcBorders>
            <w:shd w:val="clear" w:color="auto" w:fill="FFFFFF"/>
          </w:tcPr>
          <w:p>
            <w:pPr>
              <w:jc w:val="left"/>
              <w:rPr>
                <w:sz w:val="10"/>
                <w:szCs w:val="10"/>
                <w:lang w:eastAsia="zh-CN"/>
              </w:rPr>
            </w:pPr>
            <w:r>
              <w:rPr>
                <w:sz w:val="17"/>
                <w:szCs w:val="17"/>
              </w:rPr>
              <w:t xml:space="preserve">注：表中功能分类科目，根据各部门实际预算编制情况编列。</w:t>
            </w:r>
          </w:p>
        </w:tc>
      </w:tr>
      <w:tr>
        <w:tblPrEx>
          <w:tblW w:w="0" w:type="auto"/>
          <w:tblInd w:w="0" w:type="dxa"/>
          <w:tblLayout w:type="fixed"/>
          <w:tblCellMar>
            <w:top w:w="0" w:type="dxa"/>
            <w:left w:w="10" w:type="dxa"/>
            <w:bottom w:w="0" w:type="dxa"/>
            <w:right w:w="10" w:type="dxa"/>
          </w:tblCellMar>
        </w:tblPrEx>
        <w:trPr>
          <w:trHeight w:hRule="exact" w:val="274"/>
        </w:trPr>
        <w:tc>
          <w:tcPr>
            <w:tcW w:w="15342" w:type="dxa"/>
            <w:gridSpan w:val="6"/>
            <w:shd w:val="clear" w:color="auto" w:fill="FFFFFF"/>
            <w:vAlign w:val="bottom"/>
          </w:tcPr>
          <w:p>
            <w:pPr>
              <w:jc w:val="left"/>
              <w:rPr>
                <w:sz w:val="10"/>
                <w:szCs w:val="10"/>
                <w:lang w:eastAsia="zh-CN"/>
              </w:rPr>
            </w:pPr>
            <w:r>
              <w:rPr>
                <w:sz w:val="17"/>
                <w:szCs w:val="17"/>
              </w:rPr>
              <w:t xml:space="preserve">报表金额单位转换时可能存在四舍五入尾数误差。</w:t>
            </w:r>
          </w:p>
        </w:tc>
      </w:tr>
    </w:tbl>
    <w:p>
      <w:pPr>
        <w:jc w:val="left"/>
        <w:rPr>
          <w:lang w:eastAsia="zh-CN"/>
        </w:rPr>
      </w:pPr>
      <w:r>
        <w:br w:type="page"/>
      </w:r>
    </w:p>
    <w:p>
      <w:pPr>
        <w:jc w:val="center"/>
        <w:rPr>
          <w:rFonts w:hint="eastAsia"/>
          <w:lang w:eastAsia="zh-CN"/>
        </w:rPr>
      </w:pPr>
      <w:r>
        <w:rPr>
          <w:rFonts w:hint="eastAsia"/>
          <w:lang w:eastAsia="zh-CN"/>
        </w:rPr>
        <w:t xml:space="preserve">一般公共预算支出情况表</w:t>
      </w:r>
    </w:p>
    <w:p>
      <w:pPr>
        <w:jc w:val="center"/>
        <w:rPr>
          <w:rFonts w:hint="eastAsia"/>
          <w:lang w:eastAsia="zh-CN"/>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1715"/>
        <w:gridCol w:w="1676"/>
        <w:gridCol w:w="1662"/>
        <w:gridCol w:w="1717"/>
        <w:gridCol w:w="1879"/>
        <w:gridCol w:w="1729"/>
        <w:gridCol w:w="1718"/>
        <w:gridCol w:w="72"/>
        <w:gridCol w:w="1694"/>
        <w:gridCol w:w="1695"/>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2096" w:type="dxa"/>
            <w:gridSpan w:val="7"/>
            <w:tcBorders>
              <w:top w:val="nil"/>
              <w:left w:val="nil"/>
              <w:right w:val="nil"/>
            </w:tcBorders>
          </w:tcPr>
          <w:p>
            <w:pPr>
              <w:jc w:val="left"/>
              <w:rPr>
                <w:rFonts w:hint="eastAsia"/>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环江毛南族自治县大安乡人民政府</w:t>
            </w:r>
          </w:p>
        </w:tc>
        <w:tc>
          <w:tcPr>
            <w:tcW w:w="3461" w:type="dxa"/>
            <w:gridSpan w:val="3"/>
            <w:tcBorders>
              <w:top w:val="nil"/>
              <w:left w:val="nil"/>
              <w:right w:val="nil"/>
            </w:tcBorders>
          </w:tcPr>
          <w:p>
            <w:pPr>
              <w:ind w:firstLine="1760" w:firstLineChars="1100"/>
              <w:jc w:val="left"/>
              <w:rPr>
                <w:rFonts w:hint="eastAsia"/>
                <w:vertAlign w:val="baseline"/>
                <w:lang w:eastAsia="zh-CN"/>
              </w:rPr>
            </w:pPr>
            <w:r>
              <w:rPr>
                <w:rFonts w:ascii="宋体" w:eastAsia="宋体" w:hAnsi="宋体" w:cs="宋体" w:hint="eastAsia"/>
                <w:sz w:val="16"/>
                <w:szCs w:val="16"/>
                <w:vertAlign w:val="baseline"/>
                <w:lang w:eastAsia="zh-CN"/>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Merge w:val="restart"/>
          </w:tcPr>
          <w:p>
            <w:pPr>
              <w:jc w:val="center"/>
              <w:rPr>
                <w:rFonts w:hint="eastAsia"/>
                <w:vertAlign w:val="baseline"/>
                <w:lang w:eastAsia="zh-CN"/>
              </w:rPr>
            </w:pPr>
            <w:r>
              <w:rPr>
                <w:sz w:val="17"/>
                <w:szCs w:val="17"/>
              </w:rPr>
              <w:t xml:space="preserve">科目编码</w:t>
            </w:r>
          </w:p>
        </w:tc>
        <w:tc>
          <w:tcPr>
            <w:tcW w:w="1676" w:type="dxa"/>
            <w:vMerge w:val="restart"/>
          </w:tcPr>
          <w:p>
            <w:pPr>
              <w:jc w:val="center"/>
              <w:rPr>
                <w:rFonts w:hint="eastAsia"/>
                <w:vertAlign w:val="baseline"/>
                <w:lang w:eastAsia="zh-CN"/>
              </w:rPr>
            </w:pPr>
            <w:r>
              <w:rPr>
                <w:sz w:val="17"/>
                <w:szCs w:val="17"/>
              </w:rPr>
              <w:t xml:space="preserve">部门（单位）代码</w:t>
            </w:r>
          </w:p>
        </w:tc>
        <w:tc>
          <w:tcPr>
            <w:tcW w:w="1662" w:type="dxa"/>
            <w:vMerge w:val="restart"/>
          </w:tcPr>
          <w:p>
            <w:pPr>
              <w:pStyle w:val="Other|1"/>
              <w:spacing w:after="120" w:line="240" w:lineRule="auto"/>
              <w:ind w:firstLine="0"/>
              <w:jc w:val="center"/>
              <w:rPr>
                <w:sz w:val="17"/>
                <w:szCs w:val="17"/>
              </w:rPr>
            </w:pPr>
            <w:r>
              <w:rPr>
                <w:sz w:val="17"/>
                <w:szCs w:val="17"/>
              </w:rPr>
              <w:t xml:space="preserve">部门（单位）名称</w:t>
            </w:r>
          </w:p>
          <w:p>
            <w:pPr>
              <w:jc w:val="center"/>
              <w:rPr>
                <w:rFonts w:hint="eastAsia"/>
                <w:vertAlign w:val="baseline"/>
                <w:lang w:eastAsia="zh-CN"/>
              </w:rPr>
            </w:pPr>
            <w:r>
              <w:rPr>
                <w:sz w:val="17"/>
                <w:szCs w:val="17"/>
              </w:rPr>
              <w:t xml:space="preserve">（功能分类科目名称）</w:t>
            </w:r>
          </w:p>
        </w:tc>
        <w:tc>
          <w:tcPr>
            <w:tcW w:w="1717" w:type="dxa"/>
            <w:vMerge w:val="restart"/>
          </w:tcPr>
          <w:p>
            <w:pPr>
              <w:jc w:val="center"/>
              <w:rPr>
                <w:rFonts w:hint="eastAsia"/>
                <w:vertAlign w:val="baseline"/>
                <w:lang w:eastAsia="zh-CN"/>
              </w:rPr>
            </w:pPr>
            <w:r>
              <w:rPr>
                <w:sz w:val="17"/>
                <w:szCs w:val="17"/>
              </w:rPr>
              <w:t xml:space="preserve">合计</w:t>
            </w:r>
          </w:p>
        </w:tc>
        <w:tc>
          <w:tcPr>
            <w:tcW w:w="5398" w:type="dxa"/>
            <w:gridSpan w:val="4"/>
          </w:tcPr>
          <w:p>
            <w:pPr>
              <w:jc w:val="center"/>
              <w:rPr>
                <w:rFonts w:hint="eastAsia"/>
                <w:vertAlign w:val="baseline"/>
                <w:lang w:eastAsia="zh-CN"/>
              </w:rPr>
            </w:pPr>
            <w:r>
              <w:rPr>
                <w:sz w:val="17"/>
                <w:szCs w:val="17"/>
              </w:rPr>
              <w:t xml:space="preserve">基本支出</w:t>
            </w:r>
          </w:p>
        </w:tc>
        <w:tc>
          <w:tcPr>
            <w:tcW w:w="1694" w:type="dxa"/>
            <w:vMerge w:val="restart"/>
          </w:tcPr>
          <w:p>
            <w:pPr>
              <w:jc w:val="center"/>
              <w:rPr>
                <w:rFonts w:hint="eastAsia"/>
                <w:vertAlign w:val="baseline"/>
                <w:lang w:eastAsia="zh-CN"/>
              </w:rPr>
            </w:pPr>
            <w:r>
              <w:rPr>
                <w:sz w:val="17"/>
                <w:szCs w:val="17"/>
              </w:rPr>
              <w:t xml:space="preserve">项目支出</w:t>
            </w:r>
          </w:p>
        </w:tc>
        <w:tc>
          <w:tcPr>
            <w:tcW w:w="1695" w:type="dxa"/>
            <w:vMerge w:val="restart"/>
          </w:tcPr>
          <w:p>
            <w:pPr>
              <w:jc w:val="center"/>
              <w:rPr>
                <w:rFonts w:hint="eastAsia"/>
                <w:vertAlign w:val="baseline"/>
                <w:lang w:eastAsia="zh-CN"/>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Merge/>
          </w:tcPr>
          <w:p>
            <w:pPr>
              <w:jc w:val="center"/>
              <w:rPr>
                <w:rFonts w:hint="eastAsia"/>
                <w:vertAlign w:val="baseline"/>
                <w:lang w:eastAsia="zh-CN"/>
              </w:rPr>
            </w:pPr>
          </w:p>
        </w:tc>
        <w:tc>
          <w:tcPr>
            <w:tcW w:w="1676" w:type="dxa"/>
            <w:vMerge/>
          </w:tcPr>
          <w:p>
            <w:pPr>
              <w:jc w:val="center"/>
              <w:rPr>
                <w:rFonts w:hint="eastAsia"/>
                <w:vertAlign w:val="baseline"/>
                <w:lang w:eastAsia="zh-CN"/>
              </w:rPr>
            </w:pPr>
          </w:p>
        </w:tc>
        <w:tc>
          <w:tcPr>
            <w:tcW w:w="1662" w:type="dxa"/>
            <w:vMerge/>
          </w:tcPr>
          <w:p>
            <w:pPr>
              <w:jc w:val="center"/>
              <w:rPr>
                <w:rFonts w:hint="eastAsia"/>
                <w:vertAlign w:val="baseline"/>
                <w:lang w:eastAsia="zh-CN"/>
              </w:rPr>
            </w:pPr>
          </w:p>
        </w:tc>
        <w:tc>
          <w:tcPr>
            <w:tcW w:w="1717" w:type="dxa"/>
            <w:vMerge/>
          </w:tcPr>
          <w:p>
            <w:pPr>
              <w:jc w:val="center"/>
              <w:rPr>
                <w:rFonts w:hint="eastAsia"/>
                <w:vertAlign w:val="baseline"/>
                <w:lang w:eastAsia="zh-CN"/>
              </w:rPr>
            </w:pPr>
          </w:p>
        </w:tc>
        <w:tc>
          <w:tcPr>
            <w:tcW w:w="1879" w:type="dxa"/>
            <w:vAlign w:val="center"/>
          </w:tcPr>
          <w:p>
            <w:pPr>
              <w:pStyle w:val="Other|1"/>
              <w:spacing w:line="240" w:lineRule="auto"/>
              <w:ind w:firstLine="0" w:firstLineChars="0"/>
              <w:jc w:val="center"/>
              <w:rPr>
                <w:rFonts w:hint="eastAsia"/>
                <w:vertAlign w:val="baseline"/>
                <w:lang w:eastAsia="zh-CN"/>
              </w:rPr>
            </w:pPr>
            <w:r>
              <w:rPr>
                <w:sz w:val="17"/>
                <w:szCs w:val="17"/>
              </w:rPr>
              <w:t xml:space="preserve">小计</w:t>
            </w:r>
          </w:p>
        </w:tc>
        <w:tc>
          <w:tcPr>
            <w:tcW w:w="1729" w:type="dxa"/>
            <w:vAlign w:val="center"/>
          </w:tcPr>
          <w:p>
            <w:pPr>
              <w:pStyle w:val="Other|1"/>
              <w:spacing w:line="240" w:lineRule="auto"/>
              <w:ind w:firstLine="0" w:firstLineChars="0"/>
              <w:jc w:val="center"/>
              <w:rPr>
                <w:rFonts w:hint="eastAsia"/>
                <w:vertAlign w:val="baseline"/>
                <w:lang w:eastAsia="zh-CN"/>
              </w:rPr>
            </w:pPr>
            <w:r>
              <w:rPr>
                <w:sz w:val="17"/>
                <w:szCs w:val="17"/>
              </w:rPr>
              <w:t xml:space="preserve">人员经费</w:t>
            </w:r>
          </w:p>
        </w:tc>
        <w:tc>
          <w:tcPr>
            <w:tcW w:w="1790" w:type="dxa"/>
            <w:gridSpan w:val="2"/>
            <w:vAlign w:val="center"/>
          </w:tcPr>
          <w:p>
            <w:pPr>
              <w:pStyle w:val="Other|1"/>
              <w:spacing w:line="240" w:lineRule="auto"/>
              <w:ind w:firstLine="440" w:firstLineChars="0"/>
              <w:jc w:val="center"/>
              <w:rPr>
                <w:rFonts w:hint="eastAsia"/>
                <w:vertAlign w:val="baseline"/>
                <w:lang w:eastAsia="zh-CN"/>
              </w:rPr>
            </w:pPr>
            <w:r>
              <w:rPr>
                <w:sz w:val="17"/>
                <w:szCs w:val="17"/>
              </w:rPr>
              <w:t xml:space="preserve">公用经费</w:t>
            </w:r>
          </w:p>
        </w:tc>
        <w:tc>
          <w:tcPr>
            <w:tcW w:w="1694" w:type="dxa"/>
            <w:vMerge/>
          </w:tcPr>
          <w:p>
            <w:pPr>
              <w:jc w:val="center"/>
              <w:rPr>
                <w:rFonts w:hint="eastAsia"/>
                <w:vertAlign w:val="baseline"/>
                <w:lang w:eastAsia="zh-CN"/>
              </w:rPr>
            </w:pPr>
          </w:p>
        </w:tc>
        <w:tc>
          <w:tcPr>
            <w:tcW w:w="1695" w:type="dxa"/>
            <w:vMerge/>
          </w:tcPr>
          <w:p>
            <w:pPr>
              <w:jc w:val="center"/>
              <w:rPr>
                <w:rFonts w:hint="eastAsia"/>
                <w:vertAlign w:val="baseline"/>
                <w:lang w:eastAsia="zh-CN"/>
              </w:rPr>
            </w:pP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jc w:val="center"/>
              <w:rPr>
                <w:rFonts w:hint="eastAsia"/>
                <w:vertAlign w:val="baseline"/>
                <w:lang w:eastAsia="zh-CN"/>
              </w:rPr>
            </w:pPr>
          </w:p>
        </w:tc>
        <w:tc>
          <w:tcPr>
            <w:tcW w:w="1676" w:type="dxa"/>
            <w:vAlign w:val="center"/>
          </w:tcPr>
          <w:p>
            <w:pPr>
              <w:jc w:val="center"/>
              <w:rPr>
                <w:rFonts w:hint="eastAsia"/>
                <w:vertAlign w:val="baseline"/>
                <w:lang w:eastAsia="zh-CN"/>
              </w:rPr>
            </w:pPr>
          </w:p>
        </w:tc>
        <w:tc>
          <w:tcPr>
            <w:tcW w:w="1662" w:type="dxa"/>
            <w:vAlign w:val="center"/>
          </w:tcPr>
          <w:p>
            <w:pPr>
              <w:jc w:val="center"/>
              <w:rPr>
                <w:rFonts w:hint="eastAsia"/>
                <w:vertAlign w:val="baseline"/>
                <w:lang w:eastAsia="zh-CN"/>
              </w:rPr>
            </w:pPr>
          </w:p>
        </w:tc>
        <w:tc>
          <w:tcPr>
            <w:tcW w:w="1717"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1</w:t>
            </w:r>
          </w:p>
        </w:tc>
        <w:tc>
          <w:tcPr>
            <w:tcW w:w="1879"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2</w:t>
            </w:r>
          </w:p>
        </w:tc>
        <w:tc>
          <w:tcPr>
            <w:tcW w:w="1729"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3</w:t>
            </w:r>
          </w:p>
        </w:tc>
        <w:tc>
          <w:tcPr>
            <w:tcW w:w="1790" w:type="dxa"/>
            <w:gridSpan w:val="2"/>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4</w:t>
            </w:r>
          </w:p>
        </w:tc>
        <w:tc>
          <w:tcPr>
            <w:tcW w:w="1694" w:type="dxa"/>
            <w:vAlign w:val="center"/>
          </w:tcPr>
          <w:p>
            <w:pPr>
              <w:pStyle w:val="Other|1"/>
              <w:spacing w:line="240" w:lineRule="auto"/>
              <w:ind w:firstLine="660" w:firstLineChars="0"/>
              <w:jc w:val="center"/>
              <w:rPr>
                <w:rFonts w:hint="eastAsia"/>
                <w:vertAlign w:val="baseline"/>
                <w:lang w:eastAsia="zh-CN"/>
              </w:rPr>
            </w:pPr>
            <w:r>
              <w:rPr>
                <w:rFonts w:ascii="Times New Roman" w:eastAsia="Times New Roman" w:hAnsi="Times New Roman" w:cs="Times New Roman"/>
                <w:b/>
                <w:bCs/>
                <w:sz w:val="17"/>
                <w:szCs w:val="17"/>
              </w:rPr>
              <w:t xml:space="preserve">5</w:t>
            </w:r>
          </w:p>
        </w:tc>
        <w:tc>
          <w:tcPr>
            <w:tcW w:w="1695" w:type="dxa"/>
            <w:vAlign w:val="center"/>
          </w:tcPr>
          <w:p>
            <w:pPr>
              <w:pStyle w:val="Other|1"/>
              <w:spacing w:line="240" w:lineRule="auto"/>
              <w:ind w:right="700" w:firstLine="0" w:rightChars="0" w:firstLineChars="0"/>
              <w:jc w:val="center"/>
              <w:rPr>
                <w:rFonts w:hint="eastAsia"/>
                <w:vertAlign w:val="baseline"/>
                <w:lang w:eastAsia="zh-CN"/>
              </w:rPr>
            </w:pPr>
            <w:r>
              <w:rPr>
                <w:rFonts w:ascii="Times New Roman" w:eastAsia="Times New Roman" w:hAnsi="Times New Roman" w:cs="Times New Roman"/>
                <w:b/>
                <w:bCs/>
                <w:sz w:val="17"/>
                <w:szCs w:val="17"/>
              </w:rPr>
              <w:t xml:space="preserve">6</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p>
        </w:tc>
        <w:tc>
          <w:tcPr>
            <w:tcW w:w="1676"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707001</w:t>
            </w:r>
          </w:p>
        </w:tc>
        <w:tc>
          <w:tcPr>
            <w:tcW w:w="1662" w:type="dxa"/>
            <w:vAlign w:val="center"/>
          </w:tcPr>
          <w:p>
            <w:pPr>
              <w:pStyle w:val="Other|1"/>
              <w:spacing w:line="240" w:lineRule="auto"/>
              <w:ind w:firstLine="0" w:firstLineChars="0"/>
              <w:jc w:val="center"/>
              <w:rPr>
                <w:rFonts w:hint="eastAsia"/>
                <w:vertAlign w:val="baseline"/>
                <w:lang w:eastAsia="zh-CN"/>
              </w:rPr>
            </w:pP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976.52</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581.99</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535.05</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46.94</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394.53</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2010301</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行政运行</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566.16</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496.16</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453.03</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43.13</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70.00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2012999</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其他群众团体事务支出</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3.81</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3.81</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3.81</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2013202</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一般行政管理事务</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1.75</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1.75</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2080505</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机关事业单位基本养老保险缴费支出</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44.11</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44.11</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44.11</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2082001</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临时救助支出</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4.20</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4.20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2110401</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生态保护</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22.06</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22.06</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2130205</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森林资源培育</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31.02</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31.02</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2140104</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公路建设</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264.00</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264.00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2210201</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住房公积金</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37.91</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37.91</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37.91</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2240601</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地质灾害防治</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1.50</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1.50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5557" w:type="dxa"/>
            <w:gridSpan w:val="10"/>
            <w:tcBorders>
              <w:left w:val="nil"/>
              <w:bottom w:val="nil"/>
              <w:right w:val="nil"/>
            </w:tcBorders>
          </w:tcPr>
          <w:p>
            <w:pPr>
              <w:jc w:val="left"/>
              <w:rPr>
                <w:rFonts w:hint="eastAsia"/>
                <w:vertAlign w:val="baseline"/>
                <w:lang w:eastAsia="zh-CN"/>
              </w:rPr>
            </w:pPr>
            <w:r>
              <w:rPr>
                <w:sz w:val="16"/>
                <w:szCs w:val="16"/>
              </w:rPr>
              <w:t xml:space="preserve">注：本报表金额单位转换时可能存在四舍五入尾数误差。</w:t>
            </w:r>
          </w:p>
        </w:tc>
      </w:tr>
    </w:tbl>
    <w:p>
      <w:pPr>
        <w:jc w:val="left"/>
        <w:rPr>
          <w:rFonts w:hint="eastAsia"/>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Heading#2|1"/>
        <w:keepNext/>
        <w:keepLines/>
        <w:spacing w:after="240"/>
        <w:jc w:val="center"/>
      </w:pPr>
      <w:bookmarkStart w:id="26" w:name="bookmark58"/>
      <w:bookmarkStart w:id="27" w:name="bookmark56"/>
      <w:bookmarkStart w:id="28" w:name="bookmark57"/>
      <w:r>
        <w:t xml:space="preserve">一般公共预算基本支出情况表</w:t>
      </w:r>
      <w:bookmarkEnd w:id="26"/>
      <w:bookmarkEnd w:id="27"/>
      <w:bookmarkEnd w:id="28"/>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3110"/>
        <w:gridCol w:w="3111"/>
        <w:gridCol w:w="3111"/>
        <w:gridCol w:w="3112"/>
        <w:gridCol w:w="3113"/>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2444" w:type="dxa"/>
            <w:gridSpan w:val="4"/>
            <w:tcBorders>
              <w:top w:val="nil"/>
              <w:left w:val="nil"/>
              <w:right w:val="nil"/>
            </w:tcBorders>
          </w:tcPr>
          <w:p>
            <w:pPr>
              <w:jc w:val="left"/>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环江毛南族自治县大安乡人民政府</w:t>
            </w:r>
          </w:p>
        </w:tc>
        <w:tc>
          <w:tcPr>
            <w:tcW w:w="3113" w:type="dxa"/>
            <w:tcBorders>
              <w:top w:val="nil"/>
              <w:left w:val="nil"/>
              <w:right w:val="nil"/>
            </w:tcBorders>
          </w:tcPr>
          <w:p>
            <w:pPr>
              <w:ind w:firstLine="1760" w:firstLineChars="1100"/>
              <w:jc w:val="left"/>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35"/>
        </w:trPr>
        <w:tc>
          <w:tcPr>
            <w:tcW w:w="6221" w:type="dxa"/>
            <w:gridSpan w:val="2"/>
          </w:tcPr>
          <w:p>
            <w:pPr>
              <w:jc w:val="left"/>
              <w:rPr>
                <w:vertAlign w:val="baseline"/>
                <w:lang w:eastAsia="zh-CN"/>
              </w:rPr>
            </w:pPr>
            <w:r>
              <w:rPr>
                <w:sz w:val="17"/>
                <w:szCs w:val="17"/>
              </w:rPr>
              <w:t xml:space="preserve">部门预算支出经济分类科目</w:t>
            </w:r>
          </w:p>
        </w:tc>
        <w:tc>
          <w:tcPr>
            <w:tcW w:w="9336" w:type="dxa"/>
            <w:gridSpan w:val="3"/>
          </w:tcPr>
          <w:p>
            <w:pPr>
              <w:jc w:val="left"/>
              <w:rPr>
                <w:vertAlign w:val="baseline"/>
                <w:lang w:eastAsia="zh-CN"/>
              </w:rPr>
            </w:pPr>
            <w:r>
              <w:rPr>
                <w:sz w:val="17"/>
                <w:szCs w:val="17"/>
              </w:rPr>
              <w:t xml:space="preserve">本年一般公共预算基本支出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20"/>
        </w:trPr>
        <w:tc>
          <w:tcPr>
            <w:tcW w:w="3110" w:type="dxa"/>
            <w:vAlign w:val="center"/>
          </w:tcPr>
          <w:p>
            <w:pPr>
              <w:pStyle w:val="Other|1"/>
              <w:spacing w:line="240" w:lineRule="auto"/>
              <w:ind w:firstLine="0" w:firstLineChars="0"/>
              <w:jc w:val="center"/>
              <w:rPr>
                <w:vertAlign w:val="baseline"/>
                <w:lang w:eastAsia="zh-CN"/>
              </w:rPr>
            </w:pPr>
            <w:r>
              <w:rPr>
                <w:sz w:val="17"/>
                <w:szCs w:val="17"/>
              </w:rPr>
              <w:t xml:space="preserve">科目编码</w:t>
            </w:r>
          </w:p>
        </w:tc>
        <w:tc>
          <w:tcPr>
            <w:tcW w:w="3111" w:type="dxa"/>
            <w:vAlign w:val="center"/>
          </w:tcPr>
          <w:p>
            <w:pPr>
              <w:pStyle w:val="Other|1"/>
              <w:spacing w:line="240" w:lineRule="auto"/>
              <w:ind w:firstLine="0" w:firstLineChars="0"/>
              <w:jc w:val="center"/>
              <w:rPr>
                <w:vertAlign w:val="baseline"/>
                <w:lang w:eastAsia="zh-CN"/>
              </w:rPr>
            </w:pPr>
            <w:r>
              <w:rPr>
                <w:sz w:val="17"/>
                <w:szCs w:val="17"/>
              </w:rPr>
              <w:t xml:space="preserve">科目名称</w:t>
            </w:r>
          </w:p>
        </w:tc>
        <w:tc>
          <w:tcPr>
            <w:tcW w:w="3111" w:type="dxa"/>
            <w:vAlign w:val="center"/>
          </w:tcPr>
          <w:p>
            <w:pPr>
              <w:pStyle w:val="Other|1"/>
              <w:spacing w:line="240" w:lineRule="auto"/>
              <w:ind w:firstLine="0" w:firstLineChars="0"/>
              <w:jc w:val="center"/>
              <w:rPr>
                <w:vertAlign w:val="baseline"/>
                <w:lang w:eastAsia="zh-CN"/>
              </w:rPr>
            </w:pPr>
            <w:r>
              <w:rPr>
                <w:sz w:val="17"/>
                <w:szCs w:val="17"/>
              </w:rPr>
              <w:t xml:space="preserve">合计</w:t>
            </w:r>
          </w:p>
        </w:tc>
        <w:tc>
          <w:tcPr>
            <w:tcW w:w="3112" w:type="dxa"/>
            <w:vAlign w:val="center"/>
          </w:tcPr>
          <w:p>
            <w:pPr>
              <w:pStyle w:val="Other|1"/>
              <w:spacing w:line="240" w:lineRule="auto"/>
              <w:ind w:firstLine="0" w:firstLineChars="0"/>
              <w:jc w:val="center"/>
              <w:rPr>
                <w:vertAlign w:val="baseline"/>
                <w:lang w:eastAsia="zh-CN"/>
              </w:rPr>
            </w:pPr>
            <w:r>
              <w:rPr>
                <w:sz w:val="17"/>
                <w:szCs w:val="17"/>
              </w:rPr>
              <w:t xml:space="preserve">人员经费</w:t>
            </w:r>
          </w:p>
        </w:tc>
        <w:tc>
          <w:tcPr>
            <w:tcW w:w="3113" w:type="dxa"/>
            <w:vAlign w:val="center"/>
          </w:tcPr>
          <w:p>
            <w:pPr>
              <w:pStyle w:val="Other|1"/>
              <w:spacing w:line="240" w:lineRule="auto"/>
              <w:ind w:firstLine="0" w:firstLineChars="0"/>
              <w:jc w:val="center"/>
              <w:rPr>
                <w:vertAlign w:val="baseline"/>
                <w:lang w:eastAsia="zh-CN"/>
              </w:rPr>
            </w:pPr>
            <w:r>
              <w:rPr>
                <w:sz w:val="17"/>
                <w:szCs w:val="17"/>
              </w:rPr>
              <w:t xml:space="preserve">公用经费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合计</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581.99</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535.05</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46.94</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工资福利支出</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496.72</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496.72</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基本工资</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112.88</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112.88</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津贴补贴</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83.21</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83.21</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30103</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奖金</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106.13</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106.13</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30108</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机关事业单位基本养老保险缴费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49.47</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49.47</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30110</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职工基本医疗保险缴费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20.15</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20.15</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30112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其他社会保障缴费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0.51</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0.51</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30113</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住房公积金</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40.59</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40.59</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30199</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其他工资福利支出</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83.78</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83.78</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商品和服务支出</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46.94</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46.94</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30201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办公费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30202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印刷费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30205</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水费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30206</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电费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2.31</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2.31</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30207</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邮电费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3.83</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3.83</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30209</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物业管理费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30211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差旅费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4.25</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4.25</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30213</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维修（护）费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30215</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会议费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30216</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培训费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30217</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公务接待费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30226</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劳务费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30227</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委托业务费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30228</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工会经费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3.81</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3.81</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30231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公务用车运行维护费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6.90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6.90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30239</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其他交通费用</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24.84</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24.84</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30299</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其他商品和服务支出</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303</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对个人和家庭的补助</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38.33</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38.33</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30302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退休费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24.81</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24.81</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30305</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生活补助</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13.52</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13.52</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30306</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救济费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30310</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个人农业生产补贴</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310</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资本性支出</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31002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办公设备购置</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31099</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其他资本性支出</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32"/>
        </w:trPr>
        <w:tc>
          <w:tcPr>
            <w:tcW w:w="15557" w:type="dxa"/>
            <w:gridSpan w:val="5"/>
            <w:tcBorders>
              <w:left w:val="nil"/>
              <w:bottom w:val="nil"/>
              <w:right w:val="nil"/>
            </w:tcBorders>
          </w:tcPr>
          <w:p>
            <w:pPr>
              <w:jc w:val="left"/>
              <w:rPr>
                <w:sz w:val="16"/>
                <w:szCs w:val="16"/>
              </w:rPr>
            </w:pPr>
          </w:p>
          <w:p>
            <w:pPr>
              <w:jc w:val="left"/>
              <w:rPr>
                <w:vertAlign w:val="baseline"/>
                <w:lang w:eastAsia="zh-CN"/>
              </w:rPr>
            </w:pPr>
            <w:r>
              <w:rPr>
                <w:sz w:val="16"/>
                <w:szCs w:val="16"/>
              </w:rPr>
              <w:t xml:space="preserve">注：本报表金额单位转换时可能存在四舍五入尾数误差。</w:t>
            </w:r>
          </w:p>
        </w:tc>
      </w:tr>
    </w:tbl>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Heading#2|1"/>
        <w:keepNext/>
        <w:keepLines/>
        <w:spacing w:after="240"/>
        <w:jc w:val="center"/>
        <w:rPr>
          <w:rFonts w:hint="default"/>
          <w:sz w:val="28"/>
          <w:szCs w:val="28"/>
          <w:lang w:val="en-US" w:eastAsia="zh-CN"/>
        </w:rPr>
      </w:pPr>
      <w:bookmarkStart w:id="29" w:name="bookmark67"/>
      <w:bookmarkStart w:id="30" w:name="bookmark65"/>
      <w:bookmarkStart w:id="31" w:name="bookmark66"/>
      <w:r>
        <w:rPr>
          <w:rFonts w:hint="default"/>
          <w:sz w:val="28"/>
          <w:szCs w:val="28"/>
          <w:lang w:val="en-US" w:eastAsia="zh-CN"/>
        </w:rPr>
        <w:t xml:space="preserve">一般公共预算“三公”经费预算表</w:t>
      </w: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296"/>
        <w:gridCol w:w="1918"/>
        <w:gridCol w:w="1884"/>
        <w:gridCol w:w="1895"/>
        <w:gridCol w:w="1888"/>
        <w:gridCol w:w="1890"/>
        <w:gridCol w:w="1895"/>
        <w:gridCol w:w="2"/>
        <w:gridCol w:w="1889"/>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3666" w:type="dxa"/>
            <w:gridSpan w:val="7"/>
            <w:tcBorders>
              <w:top w:val="nil"/>
              <w:left w:val="nil"/>
              <w:right w:val="nil"/>
            </w:tcBorders>
          </w:tcPr>
          <w:p>
            <w:pPr>
              <w:pStyle w:val="Tablecaption|1"/>
              <w:bidi w:val="0"/>
              <w:jc w:val="both"/>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环江毛南族自治县大安乡人民政府</w:t>
            </w:r>
          </w:p>
        </w:tc>
        <w:tc>
          <w:tcPr>
            <w:tcW w:w="1891" w:type="dxa"/>
            <w:gridSpan w:val="2"/>
            <w:tcBorders>
              <w:top w:val="nil"/>
              <w:left w:val="nil"/>
              <w:right w:val="nil"/>
            </w:tcBorders>
          </w:tcPr>
          <w:p>
            <w:pPr>
              <w:pStyle w:val="Tablecaption|1"/>
              <w:bidi w:val="0"/>
              <w:ind w:firstLine="480" w:firstLineChars="300"/>
              <w:jc w:val="both"/>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Merge w:val="restart"/>
          </w:tcPr>
          <w:p>
            <w:pPr>
              <w:pStyle w:val="Tablecaption|1"/>
              <w:bidi w:val="0"/>
              <w:jc w:val="center"/>
              <w:rPr>
                <w:rFonts w:hint="eastAsia"/>
                <w:vertAlign w:val="baseline"/>
                <w:lang w:val="en-US" w:eastAsia="zh-CN"/>
              </w:rPr>
            </w:pPr>
            <w:r>
              <w:rPr>
                <w:sz w:val="17"/>
                <w:szCs w:val="17"/>
              </w:rPr>
              <w:t xml:space="preserve">门（单位）代码</w:t>
            </w:r>
          </w:p>
        </w:tc>
        <w:tc>
          <w:tcPr>
            <w:tcW w:w="1918" w:type="dxa"/>
            <w:vMerge w:val="restart"/>
          </w:tcPr>
          <w:p>
            <w:pPr>
              <w:pStyle w:val="Tablecaption|1"/>
              <w:bidi w:val="0"/>
              <w:jc w:val="center"/>
              <w:rPr>
                <w:rFonts w:hint="eastAsia"/>
                <w:vertAlign w:val="baseline"/>
                <w:lang w:val="en-US" w:eastAsia="zh-CN"/>
              </w:rPr>
            </w:pPr>
            <w:r>
              <w:rPr>
                <w:sz w:val="17"/>
                <w:szCs w:val="17"/>
              </w:rPr>
              <w:t xml:space="preserve">部门（单位）名称</w:t>
            </w:r>
          </w:p>
        </w:tc>
        <w:tc>
          <w:tcPr>
            <w:tcW w:w="11343" w:type="dxa"/>
            <w:gridSpan w:val="7"/>
          </w:tcPr>
          <w:p>
            <w:pPr>
              <w:pStyle w:val="Tablecaption|1"/>
              <w:bidi w:val="0"/>
              <w:jc w:val="center"/>
              <w:rPr>
                <w:rFonts w:hint="eastAsia"/>
                <w:vertAlign w:val="baseline"/>
                <w:lang w:val="en-US" w:eastAsia="zh-CN"/>
              </w:rPr>
            </w:pPr>
            <w:r>
              <w:rPr>
                <w:sz w:val="17"/>
                <w:szCs w:val="17"/>
                <w:lang w:val="zh-CN" w:eastAsia="zh-CN" w:bidi="zh-CN"/>
              </w:rPr>
              <w:t xml:space="preserve">“三</w:t>
            </w:r>
            <w:r>
              <w:rPr>
                <w:sz w:val="17"/>
                <w:szCs w:val="17"/>
              </w:rPr>
              <w:t xml:space="preserve">公”经费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Merge/>
          </w:tcPr>
          <w:p>
            <w:pPr>
              <w:pStyle w:val="Tablecaption|1"/>
              <w:bidi w:val="0"/>
              <w:jc w:val="center"/>
              <w:rPr>
                <w:rFonts w:hint="eastAsia"/>
                <w:vertAlign w:val="baseline"/>
                <w:lang w:val="en-US" w:eastAsia="zh-CN"/>
              </w:rPr>
            </w:pPr>
          </w:p>
        </w:tc>
        <w:tc>
          <w:tcPr>
            <w:tcW w:w="1918" w:type="dxa"/>
            <w:vMerge/>
          </w:tcPr>
          <w:p>
            <w:pPr>
              <w:pStyle w:val="Tablecaption|1"/>
              <w:bidi w:val="0"/>
              <w:jc w:val="center"/>
              <w:rPr>
                <w:rFonts w:hint="eastAsia"/>
                <w:vertAlign w:val="baseline"/>
                <w:lang w:val="en-US" w:eastAsia="zh-CN"/>
              </w:rPr>
            </w:pPr>
          </w:p>
        </w:tc>
        <w:tc>
          <w:tcPr>
            <w:tcW w:w="1884" w:type="dxa"/>
            <w:vMerge w:val="restart"/>
          </w:tcPr>
          <w:p>
            <w:pPr>
              <w:pStyle w:val="Tablecaption|1"/>
              <w:bidi w:val="0"/>
              <w:jc w:val="center"/>
              <w:rPr>
                <w:rFonts w:hint="eastAsia"/>
                <w:vertAlign w:val="baseline"/>
                <w:lang w:val="en-US" w:eastAsia="zh-CN"/>
              </w:rPr>
            </w:pPr>
            <w:r>
              <w:rPr>
                <w:sz w:val="17"/>
                <w:szCs w:val="17"/>
              </w:rPr>
              <w:t xml:space="preserve">合计</w:t>
            </w:r>
          </w:p>
        </w:tc>
        <w:tc>
          <w:tcPr>
            <w:tcW w:w="1895" w:type="dxa"/>
            <w:vMerge w:val="restart"/>
          </w:tcPr>
          <w:p>
            <w:pPr>
              <w:pStyle w:val="Tablecaption|1"/>
              <w:bidi w:val="0"/>
              <w:jc w:val="center"/>
              <w:rPr>
                <w:rFonts w:hint="eastAsia"/>
                <w:vertAlign w:val="baseline"/>
                <w:lang w:val="en-US" w:eastAsia="zh-CN"/>
              </w:rPr>
            </w:pPr>
            <w:r>
              <w:rPr>
                <w:sz w:val="17"/>
                <w:szCs w:val="17"/>
              </w:rPr>
              <w:t xml:space="preserve">因公出国（境）费</w:t>
            </w:r>
          </w:p>
        </w:tc>
        <w:tc>
          <w:tcPr>
            <w:tcW w:w="5675" w:type="dxa"/>
            <w:gridSpan w:val="4"/>
          </w:tcPr>
          <w:p>
            <w:pPr>
              <w:pStyle w:val="Tablecaption|1"/>
              <w:bidi w:val="0"/>
              <w:jc w:val="center"/>
              <w:rPr>
                <w:rFonts w:hint="eastAsia"/>
                <w:vertAlign w:val="baseline"/>
                <w:lang w:val="en-US" w:eastAsia="zh-CN"/>
              </w:rPr>
            </w:pPr>
            <w:r>
              <w:rPr>
                <w:sz w:val="17"/>
                <w:szCs w:val="17"/>
              </w:rPr>
              <w:t xml:space="preserve">公务用车购置及运行维护费</w:t>
            </w:r>
          </w:p>
        </w:tc>
        <w:tc>
          <w:tcPr>
            <w:tcW w:w="1889" w:type="dxa"/>
            <w:vMerge w:val="restart"/>
          </w:tcPr>
          <w:p>
            <w:pPr>
              <w:pStyle w:val="Tablecaption|1"/>
              <w:bidi w:val="0"/>
              <w:jc w:val="center"/>
              <w:rPr>
                <w:rFonts w:hint="eastAsia"/>
                <w:vertAlign w:val="baseline"/>
                <w:lang w:val="en-US" w:eastAsia="zh-CN"/>
              </w:rPr>
            </w:pPr>
            <w:r>
              <w:rPr>
                <w:sz w:val="17"/>
                <w:szCs w:val="17"/>
              </w:rPr>
              <w:t xml:space="preserve">公务接待费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Merge/>
          </w:tcPr>
          <w:p>
            <w:pPr>
              <w:pStyle w:val="Tablecaption|1"/>
              <w:bidi w:val="0"/>
              <w:jc w:val="center"/>
              <w:rPr>
                <w:rFonts w:hint="eastAsia"/>
                <w:vertAlign w:val="baseline"/>
                <w:lang w:val="en-US" w:eastAsia="zh-CN"/>
              </w:rPr>
            </w:pPr>
          </w:p>
        </w:tc>
        <w:tc>
          <w:tcPr>
            <w:tcW w:w="1918" w:type="dxa"/>
            <w:vMerge/>
          </w:tcPr>
          <w:p>
            <w:pPr>
              <w:pStyle w:val="Tablecaption|1"/>
              <w:bidi w:val="0"/>
              <w:jc w:val="center"/>
              <w:rPr>
                <w:rFonts w:hint="eastAsia"/>
                <w:vertAlign w:val="baseline"/>
                <w:lang w:val="en-US" w:eastAsia="zh-CN"/>
              </w:rPr>
            </w:pPr>
          </w:p>
        </w:tc>
        <w:tc>
          <w:tcPr>
            <w:tcW w:w="1884" w:type="dxa"/>
            <w:vMerge/>
          </w:tcPr>
          <w:p>
            <w:pPr>
              <w:pStyle w:val="Tablecaption|1"/>
              <w:bidi w:val="0"/>
              <w:jc w:val="center"/>
              <w:rPr>
                <w:rFonts w:hint="eastAsia"/>
                <w:vertAlign w:val="baseline"/>
                <w:lang w:val="en-US" w:eastAsia="zh-CN"/>
              </w:rPr>
            </w:pPr>
          </w:p>
        </w:tc>
        <w:tc>
          <w:tcPr>
            <w:tcW w:w="1895" w:type="dxa"/>
            <w:vMerge/>
          </w:tcPr>
          <w:p>
            <w:pPr>
              <w:pStyle w:val="Tablecaption|1"/>
              <w:bidi w:val="0"/>
              <w:jc w:val="center"/>
              <w:rPr>
                <w:rFonts w:hint="eastAsia"/>
                <w:vertAlign w:val="baseline"/>
                <w:lang w:val="en-US" w:eastAsia="zh-CN"/>
              </w:rPr>
            </w:pPr>
          </w:p>
        </w:tc>
        <w:tc>
          <w:tcPr>
            <w:tcW w:w="1888" w:type="dxa"/>
            <w:vAlign w:val="center"/>
          </w:tcPr>
          <w:p>
            <w:pPr>
              <w:pStyle w:val="Other|1"/>
              <w:spacing w:line="240" w:lineRule="auto"/>
              <w:ind w:firstLine="0" w:firstLineChars="0"/>
              <w:jc w:val="center"/>
              <w:rPr>
                <w:rFonts w:hint="eastAsia"/>
                <w:vertAlign w:val="baseline"/>
                <w:lang w:val="en-US" w:eastAsia="zh-CN"/>
              </w:rPr>
            </w:pPr>
            <w:r>
              <w:rPr>
                <w:sz w:val="17"/>
                <w:szCs w:val="17"/>
              </w:rPr>
              <w:t xml:space="preserve">小计</w:t>
            </w:r>
          </w:p>
        </w:tc>
        <w:tc>
          <w:tcPr>
            <w:tcW w:w="1890" w:type="dxa"/>
            <w:vAlign w:val="center"/>
          </w:tcPr>
          <w:p>
            <w:pPr>
              <w:pStyle w:val="Other|1"/>
              <w:spacing w:line="240" w:lineRule="auto"/>
              <w:ind w:firstLine="220" w:firstLineChars="0"/>
              <w:jc w:val="center"/>
              <w:rPr>
                <w:rFonts w:hint="eastAsia"/>
                <w:vertAlign w:val="baseline"/>
                <w:lang w:val="en-US" w:eastAsia="zh-CN"/>
              </w:rPr>
            </w:pPr>
            <w:r>
              <w:rPr>
                <w:sz w:val="17"/>
                <w:szCs w:val="17"/>
              </w:rPr>
              <w:t xml:space="preserve">公务用车运行维护费</w:t>
            </w:r>
          </w:p>
        </w:tc>
        <w:tc>
          <w:tcPr>
            <w:tcW w:w="1897" w:type="dxa"/>
            <w:gridSpan w:val="2"/>
            <w:vAlign w:val="center"/>
          </w:tcPr>
          <w:p>
            <w:pPr>
              <w:pStyle w:val="Other|1"/>
              <w:spacing w:line="240" w:lineRule="auto"/>
              <w:ind w:firstLine="400" w:firstLineChars="0"/>
              <w:jc w:val="center"/>
              <w:rPr>
                <w:rFonts w:hint="eastAsia"/>
                <w:vertAlign w:val="baseline"/>
                <w:lang w:val="en-US" w:eastAsia="zh-CN"/>
              </w:rPr>
            </w:pPr>
            <w:r>
              <w:rPr>
                <w:sz w:val="17"/>
                <w:szCs w:val="17"/>
              </w:rPr>
              <w:t xml:space="preserve">公务用车购置费</w:t>
            </w:r>
          </w:p>
        </w:tc>
        <w:tc>
          <w:tcPr>
            <w:tcW w:w="1889" w:type="dxa"/>
            <w:vMerge/>
          </w:tcPr>
          <w:p>
            <w:pPr>
              <w:pStyle w:val="Tablecaption|1"/>
              <w:bidi w:val="0"/>
              <w:jc w:val="center"/>
              <w:rPr>
                <w:rFonts w:hint="eastAsia"/>
                <w:vertAlign w:val="baseline"/>
                <w:lang w:val="en-US" w:eastAsia="zh-CN"/>
              </w:rPr>
            </w:pP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Align w:val="center"/>
          </w:tcPr>
          <w:p>
            <w:pPr>
              <w:jc w:val="center"/>
              <w:rPr>
                <w:rFonts w:hint="eastAsia"/>
                <w:vertAlign w:val="baseline"/>
                <w:lang w:val="en-US" w:eastAsia="zh-CN"/>
              </w:rPr>
            </w:pPr>
          </w:p>
        </w:tc>
        <w:tc>
          <w:tcPr>
            <w:tcW w:w="1918" w:type="dxa"/>
            <w:vAlign w:val="center"/>
          </w:tcPr>
          <w:p>
            <w:pPr>
              <w:jc w:val="center"/>
              <w:rPr>
                <w:rFonts w:hint="eastAsia"/>
                <w:vertAlign w:val="baseline"/>
                <w:lang w:val="en-US" w:eastAsia="zh-CN"/>
              </w:rPr>
            </w:pPr>
          </w:p>
        </w:tc>
        <w:tc>
          <w:tcPr>
            <w:tcW w:w="1884"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1</w:t>
            </w:r>
          </w:p>
        </w:tc>
        <w:tc>
          <w:tcPr>
            <w:tcW w:w="1895"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2</w:t>
            </w:r>
          </w:p>
        </w:tc>
        <w:tc>
          <w:tcPr>
            <w:tcW w:w="1888"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3</w:t>
            </w:r>
          </w:p>
        </w:tc>
        <w:tc>
          <w:tcPr>
            <w:tcW w:w="1890"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4</w:t>
            </w:r>
          </w:p>
        </w:tc>
        <w:tc>
          <w:tcPr>
            <w:tcW w:w="1897" w:type="dxa"/>
            <w:gridSpan w:val="2"/>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5</w:t>
            </w:r>
          </w:p>
        </w:tc>
        <w:tc>
          <w:tcPr>
            <w:tcW w:w="1889"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6</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Align w:val="center"/>
          </w:tcPr>
          <w:p>
            <w:pPr>
              <w:pStyle w:val="Other|1"/>
              <w:spacing w:line="240" w:lineRule="auto"/>
              <w:ind w:firstLine="0" w:firstLineChars="0"/>
              <w:jc w:val="lef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707001</w:t>
            </w:r>
          </w:p>
        </w:tc>
        <w:tc>
          <w:tcPr>
            <w:tcW w:w="1918" w:type="dxa"/>
            <w:vAlign w:val="center"/>
          </w:tcPr>
          <w:p>
            <w:pPr>
              <w:pStyle w:val="Other|1"/>
              <w:spacing w:line="240" w:lineRule="auto"/>
              <w:ind w:firstLine="0" w:firstLineChars="0"/>
              <w:jc w:val="left"/>
              <w:rPr>
                <w:rFonts w:hint="eastAsia"/>
                <w:vertAlign w:val="baseline"/>
                <w:lang w:val="en-US" w:eastAsia="zh-CN"/>
              </w:rPr>
            </w:pPr>
          </w:p>
        </w:tc>
        <w:tc>
          <w:tcPr>
            <w:tcW w:w="1884"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12.10</w:t>
            </w:r>
          </w:p>
        </w:tc>
        <w:tc>
          <w:tcPr>
            <w:tcW w:w="1895"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88"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6.90</w:t>
            </w:r>
          </w:p>
        </w:tc>
        <w:tc>
          <w:tcPr>
            <w:tcW w:w="1890"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6.90</w:t>
            </w:r>
          </w:p>
        </w:tc>
        <w:tc>
          <w:tcPr>
            <w:tcW w:w="1897" w:type="dxa"/>
            <w:gridSpan w:val="2"/>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89"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5.20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12"/>
        </w:trPr>
        <w:tc>
          <w:tcPr>
            <w:tcW w:w="15557" w:type="dxa"/>
            <w:gridSpan w:val="9"/>
            <w:tcBorders>
              <w:left w:val="nil"/>
              <w:bottom w:val="nil"/>
              <w:right w:val="nil"/>
            </w:tcBorders>
          </w:tcPr>
          <w:p>
            <w:pPr>
              <w:pStyle w:val="Tablecaption|1"/>
              <w:bidi w:val="0"/>
              <w:jc w:val="both"/>
              <w:rPr>
                <w:rFonts w:hint="eastAsia"/>
                <w:vertAlign w:val="baseline"/>
                <w:lang w:val="en-US" w:eastAsia="zh-CN"/>
              </w:rPr>
            </w:pPr>
            <w:r>
              <w:rPr>
                <w:rFonts w:ascii="宋体" w:eastAsia="宋体" w:hAnsi="宋体" w:cs="宋体" w:hint="eastAsia"/>
                <w:sz w:val="16"/>
                <w:szCs w:val="16"/>
              </w:rPr>
              <w:t xml:space="preserve">注：本报表金额单位转换时可能存在四舍五入尾数误差</w:t>
            </w:r>
          </w:p>
        </w:tc>
      </w:tr>
    </w:tbl>
    <w:p>
      <w:pPr>
        <w:pStyle w:val="Tablecaption|1"/>
        <w:bidi w:val="0"/>
        <w:rPr>
          <w:rFonts w:hint="eastAsia"/>
          <w:lang w:val="en-US" w:eastAsia="zh-CN"/>
        </w:rPr>
      </w:pPr>
    </w:p>
    <w:p>
      <w:pPr>
        <w:pStyle w:val="Heading#2|1"/>
        <w:keepNext/>
        <w:keepLines/>
        <w:spacing w:after="240"/>
        <w:jc w:val="center"/>
      </w:pPr>
    </w:p>
    <w:p>
      <w:pPr>
        <w:pStyle w:val="Heading#2|1"/>
        <w:keepNext/>
        <w:keepLines/>
        <w:spacing w:after="240"/>
        <w:jc w:val="center"/>
      </w:pPr>
    </w:p>
    <w:p>
      <w:pPr>
        <w:pStyle w:val="Heading#2|1"/>
        <w:keepNext/>
        <w:keepLines/>
        <w:spacing w:after="240"/>
        <w:jc w:val="center"/>
      </w:pPr>
    </w:p>
    <w:p>
      <w:pPr>
        <w:pStyle w:val="Heading#2|1"/>
        <w:keepNext/>
        <w:keepLines/>
        <w:spacing w:after="240"/>
        <w:jc w:val="center"/>
      </w:pPr>
    </w:p>
    <w:p>
      <w:pPr>
        <w:pStyle w:val="Heading#2|1"/>
        <w:keepNext/>
        <w:keepLines/>
        <w:spacing w:after="240"/>
        <w:jc w:val="center"/>
      </w:pPr>
    </w:p>
    <w:p>
      <w:pPr>
        <w:pStyle w:val="Tablecaption|1"/>
        <w:bidi w:val="0"/>
      </w:pPr>
    </w:p>
    <w:p>
      <w:pPr>
        <w:pStyle w:val="Heading#2|1"/>
        <w:keepNext/>
        <w:keepLines/>
        <w:spacing w:after="240"/>
        <w:jc w:val="center"/>
      </w:pPr>
      <w:r>
        <w:t xml:space="preserve">政府性基金预算支出情况表</w:t>
      </w:r>
      <w:bookmarkEnd w:id="29"/>
      <w:bookmarkEnd w:id="30"/>
      <w:bookmarkEnd w:id="31"/>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527"/>
        <w:gridCol w:w="2161"/>
        <w:gridCol w:w="2162"/>
        <w:gridCol w:w="2222"/>
        <w:gridCol w:w="2161"/>
        <w:gridCol w:w="2161"/>
        <w:gridCol w:w="2163"/>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5"/>
        </w:trPr>
        <w:tc>
          <w:tcPr>
            <w:tcW w:w="13394" w:type="dxa"/>
            <w:gridSpan w:val="6"/>
            <w:tcBorders>
              <w:top w:val="nil"/>
              <w:left w:val="nil"/>
              <w:right w:val="nil"/>
            </w:tcBorders>
          </w:tcPr>
          <w:p>
            <w:pPr>
              <w:pStyle w:val="Tablecaption|1"/>
              <w:tabs>
                <w:tab w:val="left" w:pos="14213"/>
              </w:tabs>
              <w:ind w:left="101"/>
              <w:jc w:val="left"/>
            </w:pPr>
            <w:r>
              <w:t xml:space="preserve">单位名称：</w:t>
            </w:r>
            <w:r>
              <w:rPr>
                <w:rFonts w:hint="eastAsia"/>
                <w:lang w:eastAsia="zh-CN"/>
              </w:rPr>
              <w:t xml:space="preserve">环江毛南族自治县大安乡人民政府</w:t>
            </w:r>
            <w:r>
              <w:tab/>
            </w:r>
            <w:r>
              <w:t xml:space="preserve">单位：万元</w:t>
            </w:r>
          </w:p>
        </w:tc>
        <w:tc>
          <w:tcPr>
            <w:tcW w:w="2163" w:type="dxa"/>
            <w:tcBorders>
              <w:top w:val="nil"/>
              <w:left w:val="nil"/>
              <w:right w:val="nil"/>
            </w:tcBorders>
          </w:tcPr>
          <w:p>
            <w:pPr>
              <w:pStyle w:val="Tablecaption|1"/>
              <w:tabs>
                <w:tab w:val="left" w:pos="14213"/>
              </w:tabs>
              <w:ind w:left="101" w:firstLine="680" w:firstLineChars="400"/>
              <w:jc w:val="left"/>
            </w:pPr>
            <w:r>
              <w:rPr>
                <w:rFonts w:hint="eastAsia"/>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tcPr>
          <w:p>
            <w:pPr>
              <w:pStyle w:val="Tablecaption|1"/>
              <w:bidi w:val="0"/>
              <w:jc w:val="center"/>
              <w:rPr>
                <w:vertAlign w:val="baseline"/>
              </w:rPr>
            </w:pPr>
            <w:r>
              <w:rPr>
                <w:sz w:val="17"/>
                <w:szCs w:val="17"/>
              </w:rPr>
              <w:t xml:space="preserve">科目编码</w:t>
            </w:r>
          </w:p>
        </w:tc>
        <w:tc>
          <w:tcPr>
            <w:tcW w:w="2161" w:type="dxa"/>
          </w:tcPr>
          <w:p>
            <w:pPr>
              <w:pStyle w:val="Tablecaption|1"/>
              <w:bidi w:val="0"/>
              <w:jc w:val="center"/>
              <w:rPr>
                <w:vertAlign w:val="baseline"/>
              </w:rPr>
            </w:pPr>
            <w:r>
              <w:rPr>
                <w:sz w:val="17"/>
                <w:szCs w:val="17"/>
              </w:rPr>
              <w:t xml:space="preserve">部门（单位）代码</w:t>
            </w:r>
          </w:p>
        </w:tc>
        <w:tc>
          <w:tcPr>
            <w:tcW w:w="2162" w:type="dxa"/>
          </w:tcPr>
          <w:p>
            <w:pPr>
              <w:pStyle w:val="Tablecaption|1"/>
              <w:bidi w:val="0"/>
              <w:jc w:val="center"/>
              <w:rPr>
                <w:vertAlign w:val="baseline"/>
              </w:rPr>
            </w:pPr>
            <w:r>
              <w:rPr>
                <w:sz w:val="17"/>
                <w:szCs w:val="17"/>
              </w:rPr>
              <w:t xml:space="preserve">部门（单位）名称（功能分类科目名称）</w:t>
            </w:r>
          </w:p>
        </w:tc>
        <w:tc>
          <w:tcPr>
            <w:tcW w:w="2222" w:type="dxa"/>
            <w:vAlign w:val="center"/>
          </w:tcPr>
          <w:p>
            <w:pPr>
              <w:pStyle w:val="Other|1"/>
              <w:spacing w:line="240" w:lineRule="auto"/>
              <w:ind w:firstLine="0" w:firstLineChars="0"/>
              <w:jc w:val="center"/>
              <w:rPr>
                <w:vertAlign w:val="baseline"/>
              </w:rPr>
            </w:pPr>
            <w:r>
              <w:rPr>
                <w:sz w:val="17"/>
                <w:szCs w:val="17"/>
              </w:rPr>
              <w:t xml:space="preserve">合计</w:t>
            </w:r>
          </w:p>
        </w:tc>
        <w:tc>
          <w:tcPr>
            <w:tcW w:w="2161" w:type="dxa"/>
            <w:vAlign w:val="center"/>
          </w:tcPr>
          <w:p>
            <w:pPr>
              <w:pStyle w:val="Other|1"/>
              <w:spacing w:line="240" w:lineRule="auto"/>
              <w:ind w:firstLine="0" w:firstLineChars="0"/>
              <w:jc w:val="center"/>
              <w:rPr>
                <w:vertAlign w:val="baseline"/>
              </w:rPr>
            </w:pPr>
            <w:r>
              <w:rPr>
                <w:sz w:val="17"/>
                <w:szCs w:val="17"/>
              </w:rPr>
              <w:t xml:space="preserve">基本支出</w:t>
            </w:r>
          </w:p>
        </w:tc>
        <w:tc>
          <w:tcPr>
            <w:tcW w:w="2161" w:type="dxa"/>
            <w:vAlign w:val="center"/>
          </w:tcPr>
          <w:p>
            <w:pPr>
              <w:pStyle w:val="Other|1"/>
              <w:spacing w:line="240" w:lineRule="auto"/>
              <w:ind w:firstLine="0" w:firstLineChars="0"/>
              <w:jc w:val="center"/>
              <w:rPr>
                <w:vertAlign w:val="baseline"/>
              </w:rPr>
            </w:pPr>
            <w:r>
              <w:rPr>
                <w:sz w:val="17"/>
                <w:szCs w:val="17"/>
              </w:rPr>
              <w:t xml:space="preserve">项目支出</w:t>
            </w:r>
          </w:p>
        </w:tc>
        <w:tc>
          <w:tcPr>
            <w:tcW w:w="2163" w:type="dxa"/>
            <w:vAlign w:val="center"/>
          </w:tcPr>
          <w:p>
            <w:pPr>
              <w:pStyle w:val="Other|1"/>
              <w:spacing w:line="240" w:lineRule="auto"/>
              <w:ind w:firstLine="0" w:firstLineChars="0"/>
              <w:jc w:val="center"/>
              <w:rPr>
                <w:vertAlign w:val="baseline"/>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2010301</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行政运行</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2012999</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其他群众团体事务支出</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2013202</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一般行政管理事务</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2080505</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机关事业单位基本养老保险缴费支出</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2082001</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临时救助支出</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2110401</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生态保护</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2130205</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森林资源培育</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2140104</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公路建设</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2210201</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住房公积金</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2240601</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地质灾害防治</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5557" w:type="dxa"/>
            <w:gridSpan w:val="7"/>
            <w:tcBorders>
              <w:left w:val="nil"/>
              <w:bottom w:val="nil"/>
              <w:right w:val="nil"/>
            </w:tcBorders>
          </w:tcPr>
          <w:p>
            <w:pPr>
              <w:pStyle w:val="Tablecaption|1"/>
              <w:bidi w:val="0"/>
              <w:jc w:val="both"/>
              <w:rPr>
                <w:vertAlign w:val="baseline"/>
              </w:rPr>
            </w:pPr>
            <w:r>
              <w:t xml:space="preserve">注：本报表金额单位转换时可能存在四舍五入尾数误差</w:t>
            </w:r>
          </w:p>
        </w:tc>
      </w:tr>
    </w:tbl>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jc w:val="center"/>
        <w:rPr>
          <w:sz w:val="28"/>
          <w:szCs w:val="28"/>
        </w:rPr>
      </w:pPr>
      <w:r>
        <w:rPr>
          <w:sz w:val="28"/>
          <w:szCs w:val="28"/>
        </w:rPr>
        <w:t xml:space="preserve">国有资本经营预算支出情况表</w:t>
      </w:r>
    </w:p>
    <w:p>
      <w:pPr>
        <w:pStyle w:val="Tablecaption|1"/>
        <w:bidi w:val="0"/>
        <w:jc w:val="center"/>
        <w:rPr>
          <w:sz w:val="28"/>
          <w:szCs w:val="28"/>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527"/>
        <w:gridCol w:w="2161"/>
        <w:gridCol w:w="2162"/>
        <w:gridCol w:w="2222"/>
        <w:gridCol w:w="2161"/>
        <w:gridCol w:w="2161"/>
        <w:gridCol w:w="2163"/>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3394" w:type="dxa"/>
            <w:gridSpan w:val="6"/>
            <w:tcBorders>
              <w:top w:val="nil"/>
              <w:left w:val="nil"/>
              <w:right w:val="nil"/>
            </w:tcBorders>
          </w:tcPr>
          <w:p>
            <w:pPr>
              <w:pStyle w:val="Tablecaption|1"/>
              <w:tabs>
                <w:tab w:val="left" w:pos="14213"/>
              </w:tabs>
              <w:ind w:left="101"/>
              <w:jc w:val="left"/>
            </w:pPr>
            <w:r>
              <w:t xml:space="preserve">单位名称：</w:t>
            </w:r>
            <w:r>
              <w:rPr>
                <w:rFonts w:hint="eastAsia"/>
                <w:lang w:eastAsia="zh-CN"/>
              </w:rPr>
              <w:t xml:space="preserve">环江毛南族自治县大安乡人民政府</w:t>
            </w:r>
            <w:r>
              <w:tab/>
            </w:r>
            <w:r>
              <w:t xml:space="preserve">单位：万元</w:t>
            </w:r>
          </w:p>
        </w:tc>
        <w:tc>
          <w:tcPr>
            <w:tcW w:w="2163" w:type="dxa"/>
            <w:tcBorders>
              <w:top w:val="nil"/>
              <w:left w:val="nil"/>
              <w:right w:val="nil"/>
            </w:tcBorders>
          </w:tcPr>
          <w:p>
            <w:pPr>
              <w:pStyle w:val="Tablecaption|1"/>
              <w:tabs>
                <w:tab w:val="left" w:pos="14213"/>
              </w:tabs>
              <w:ind w:left="101"/>
              <w:jc w:val="left"/>
            </w:pPr>
            <w:r>
              <w:rPr>
                <w:rFonts w:ascii="宋体" w:eastAsia="宋体" w:hAnsi="宋体" w:cs="宋体" w:hint="eastAsia"/>
                <w:sz w:val="17"/>
                <w:szCs w:val="17"/>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vMerge w:val="restart"/>
          </w:tcPr>
          <w:p>
            <w:pPr>
              <w:pStyle w:val="Tablecaption|1"/>
              <w:bidi w:val="0"/>
              <w:jc w:val="center"/>
              <w:rPr>
                <w:vertAlign w:val="baseline"/>
              </w:rPr>
            </w:pPr>
            <w:r>
              <w:rPr>
                <w:sz w:val="17"/>
                <w:szCs w:val="17"/>
              </w:rPr>
              <w:t xml:space="preserve">科目编码</w:t>
            </w:r>
          </w:p>
        </w:tc>
        <w:tc>
          <w:tcPr>
            <w:tcW w:w="2161" w:type="dxa"/>
            <w:vMerge w:val="restart"/>
          </w:tcPr>
          <w:p>
            <w:pPr>
              <w:pStyle w:val="Tablecaption|1"/>
              <w:bidi w:val="0"/>
              <w:jc w:val="center"/>
              <w:rPr>
                <w:vertAlign w:val="baseline"/>
              </w:rPr>
            </w:pPr>
            <w:r>
              <w:rPr>
                <w:sz w:val="17"/>
                <w:szCs w:val="17"/>
              </w:rPr>
              <w:t xml:space="preserve">部门（单位）代码</w:t>
            </w:r>
          </w:p>
        </w:tc>
        <w:tc>
          <w:tcPr>
            <w:tcW w:w="2162" w:type="dxa"/>
            <w:vMerge w:val="restart"/>
          </w:tcPr>
          <w:p>
            <w:pPr>
              <w:pStyle w:val="Tablecaption|1"/>
              <w:bidi w:val="0"/>
              <w:jc w:val="center"/>
              <w:rPr>
                <w:vertAlign w:val="baseline"/>
              </w:rPr>
            </w:pPr>
            <w:r>
              <w:rPr>
                <w:sz w:val="17"/>
                <w:szCs w:val="17"/>
              </w:rPr>
              <w:t xml:space="preserve">部门（单位）名称（功能分类科目名称）</w:t>
            </w:r>
          </w:p>
        </w:tc>
        <w:tc>
          <w:tcPr>
            <w:tcW w:w="2222" w:type="dxa"/>
            <w:vAlign w:val="center"/>
          </w:tcPr>
          <w:p>
            <w:pPr>
              <w:pStyle w:val="Other|1"/>
              <w:spacing w:line="240" w:lineRule="auto"/>
              <w:ind w:firstLine="0" w:firstLineChars="0"/>
              <w:jc w:val="center"/>
              <w:rPr>
                <w:vertAlign w:val="baseline"/>
              </w:rPr>
            </w:pPr>
            <w:r>
              <w:rPr>
                <w:sz w:val="17"/>
                <w:szCs w:val="17"/>
              </w:rPr>
              <w:t xml:space="preserve">合计</w:t>
            </w:r>
          </w:p>
        </w:tc>
        <w:tc>
          <w:tcPr>
            <w:tcW w:w="2161" w:type="dxa"/>
            <w:vAlign w:val="center"/>
          </w:tcPr>
          <w:p>
            <w:pPr>
              <w:pStyle w:val="Other|1"/>
              <w:spacing w:line="240" w:lineRule="auto"/>
              <w:ind w:firstLine="0" w:firstLineChars="0"/>
              <w:jc w:val="center"/>
              <w:rPr>
                <w:vertAlign w:val="baseline"/>
              </w:rPr>
            </w:pPr>
            <w:r>
              <w:rPr>
                <w:sz w:val="17"/>
                <w:szCs w:val="17"/>
              </w:rPr>
              <w:t xml:space="preserve">基本支出</w:t>
            </w:r>
          </w:p>
        </w:tc>
        <w:tc>
          <w:tcPr>
            <w:tcW w:w="2161" w:type="dxa"/>
            <w:vAlign w:val="center"/>
          </w:tcPr>
          <w:p>
            <w:pPr>
              <w:pStyle w:val="Other|1"/>
              <w:spacing w:line="240" w:lineRule="auto"/>
              <w:ind w:firstLine="0" w:firstLineChars="0"/>
              <w:jc w:val="center"/>
              <w:rPr>
                <w:vertAlign w:val="baseline"/>
              </w:rPr>
            </w:pPr>
            <w:r>
              <w:rPr>
                <w:sz w:val="17"/>
                <w:szCs w:val="17"/>
              </w:rPr>
              <w:t xml:space="preserve">项目支出</w:t>
            </w:r>
          </w:p>
        </w:tc>
        <w:tc>
          <w:tcPr>
            <w:tcW w:w="2163" w:type="dxa"/>
            <w:vAlign w:val="center"/>
          </w:tcPr>
          <w:p>
            <w:pPr>
              <w:pStyle w:val="Other|1"/>
              <w:spacing w:line="240" w:lineRule="auto"/>
              <w:ind w:firstLine="0" w:firstLineChars="0"/>
              <w:jc w:val="center"/>
              <w:rPr>
                <w:vertAlign w:val="baseline"/>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vMerge/>
          </w:tcPr>
          <w:p>
            <w:pPr>
              <w:pStyle w:val="Tablecaption|1"/>
              <w:bidi w:val="0"/>
              <w:jc w:val="both"/>
              <w:rPr>
                <w:vertAlign w:val="baseline"/>
              </w:rPr>
            </w:pPr>
          </w:p>
        </w:tc>
        <w:tc>
          <w:tcPr>
            <w:tcW w:w="2161" w:type="dxa"/>
            <w:vMerge/>
          </w:tcPr>
          <w:p>
            <w:pPr>
              <w:pStyle w:val="Tablecaption|1"/>
              <w:bidi w:val="0"/>
              <w:jc w:val="both"/>
              <w:rPr>
                <w:vertAlign w:val="baseline"/>
              </w:rPr>
            </w:pPr>
          </w:p>
        </w:tc>
        <w:tc>
          <w:tcPr>
            <w:tcW w:w="2162" w:type="dxa"/>
            <w:vMerge/>
          </w:tcPr>
          <w:p>
            <w:pPr>
              <w:pStyle w:val="Tablecaption|1"/>
              <w:bidi w:val="0"/>
              <w:jc w:val="both"/>
              <w:rPr>
                <w:vertAlign w:val="baseline"/>
              </w:rPr>
            </w:pPr>
          </w:p>
        </w:tc>
        <w:tc>
          <w:tcPr>
            <w:tcW w:w="2222"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1</w:t>
            </w:r>
          </w:p>
        </w:tc>
        <w:tc>
          <w:tcPr>
            <w:tcW w:w="2161"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2</w:t>
            </w:r>
          </w:p>
        </w:tc>
        <w:tc>
          <w:tcPr>
            <w:tcW w:w="2161"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3</w:t>
            </w:r>
          </w:p>
        </w:tc>
        <w:tc>
          <w:tcPr>
            <w:tcW w:w="2163"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4</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tcPr>
          <w:p>
            <w:pPr>
              <w:jc w:val="left"/>
              <w:rPr>
                <w:vertAlign w:val="baseline"/>
              </w:rPr>
            </w:pPr>
          </w:p>
        </w:tc>
        <w:tc>
          <w:tcPr>
            <w:tcW w:w="2161" w:type="dxa"/>
          </w:tcPr>
          <w:p>
            <w:pPr>
              <w:jc w:val="left"/>
              <w:rPr>
                <w:vertAlign w:val="baseline"/>
              </w:rPr>
            </w:pPr>
          </w:p>
        </w:tc>
        <w:tc>
          <w:tcPr>
            <w:tcW w:w="2162" w:type="dxa"/>
            <w:vAlign w:val="center"/>
          </w:tcPr>
          <w:p>
            <w:pPr>
              <w:pStyle w:val="Other|1"/>
              <w:spacing w:line="240" w:lineRule="auto"/>
              <w:ind w:firstLine="0" w:firstLineChars="0"/>
              <w:jc w:val="left"/>
              <w:rPr>
                <w:vertAlign w:val="baseline"/>
              </w:rPr>
            </w:pPr>
            <w:r>
              <w:rPr>
                <w:sz w:val="17"/>
                <w:szCs w:val="17"/>
              </w:rPr>
              <w:t xml:space="preserve">合计</w:t>
            </w:r>
          </w:p>
        </w:tc>
        <w:tc>
          <w:tcPr>
            <w:tcW w:w="2222" w:type="dxa"/>
            <w:vAlign w:val="center"/>
          </w:tcPr>
          <w:p>
            <w:pPr>
              <w:pStyle w:val="Other|1"/>
              <w:spacing w:line="240" w:lineRule="auto"/>
              <w:ind w:left="1700" w:firstLine="0" w:leftChars="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2161" w:type="dxa"/>
            <w:vAlign w:val="center"/>
          </w:tcPr>
          <w:p>
            <w:pPr>
              <w:pStyle w:val="Other|1"/>
              <w:spacing w:line="240" w:lineRule="auto"/>
              <w:ind w:firstLine="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2161" w:type="dxa"/>
            <w:vAlign w:val="center"/>
          </w:tcPr>
          <w:p>
            <w:pPr>
              <w:pStyle w:val="Other|1"/>
              <w:spacing w:line="240" w:lineRule="auto"/>
              <w:ind w:firstLine="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2163" w:type="dxa"/>
            <w:vAlign w:val="center"/>
          </w:tcPr>
          <w:p>
            <w:pPr>
              <w:pStyle w:val="Other|1"/>
              <w:spacing w:line="240" w:lineRule="auto"/>
              <w:ind w:firstLine="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5557" w:type="dxa"/>
            <w:gridSpan w:val="7"/>
            <w:tcBorders>
              <w:left w:val="nil"/>
              <w:bottom w:val="nil"/>
              <w:right w:val="nil"/>
            </w:tcBorders>
          </w:tcPr>
          <w:p>
            <w:pPr>
              <w:pStyle w:val="Tablecaption|1"/>
              <w:spacing w:line="302" w:lineRule="exact"/>
              <w:ind w:left="672"/>
              <w:jc w:val="left"/>
            </w:pPr>
            <w:r>
              <w:t xml:space="preserve">注：本报表金额单位转换时可能存在四舍五入尾数误差。本部门</w:t>
            </w:r>
            <w:r>
              <w:rPr>
                <w:rFonts w:ascii="Times New Roman" w:hAnsi="Times New Roman" w:cs="Times New Roman" w:hint="eastAsia"/>
                <w:b/>
                <w:bCs/>
                <w:lang w:eastAsia="zh-CN"/>
              </w:rPr>
              <w:t xml:space="preserve">2024</w:t>
            </w:r>
            <w:r>
              <w:rPr>
                <w:rFonts w:ascii="Times New Roman" w:hAnsi="Times New Roman" w:cs="Times New Roman"/>
                <w:b/>
                <w:u w:color="auto"/>
              </w:rPr>
              <w:t xml:space="preserve">年</w:t>
            </w:r>
            <w:r>
              <w:t xml:space="preserve">度没有国有资本经营预算支出，故本表无数据</w:t>
            </w:r>
          </w:p>
          <w:p>
            <w:pPr>
              <w:pStyle w:val="Tablecaption|1"/>
              <w:bidi w:val="0"/>
              <w:jc w:val="both"/>
              <w:rPr>
                <w:vertAlign w:val="baseline"/>
              </w:rPr>
            </w:pPr>
          </w:p>
        </w:tc>
      </w:tr>
    </w:tbl>
    <w:p>
      <w:pPr>
        <w:pStyle w:val="Tablecaption|1"/>
        <w:bidi w:val="0"/>
      </w:pPr>
    </w:p>
    <w:p>
      <w:pPr/>
      <w:r>
        <w:br w:type="page"/>
      </w:r>
    </w:p>
    <w:p>
      <w:pPr>
        <w:pStyle w:val="Heading#2|1"/>
        <w:keepNext/>
        <w:keepLines/>
        <w:spacing w:after="240"/>
        <w:jc w:val="center"/>
        <w:rPr>
          <w:rFonts w:eastAsia="宋体" w:hint="default"/>
          <w:lang w:val="en-US" w:eastAsia="zh-CN"/>
        </w:rPr>
      </w:pPr>
      <w:r>
        <w:rPr>
          <w:rFonts w:hint="eastAsia"/>
          <w:lang w:val="en-US" w:eastAsia="zh-CN"/>
        </w:rPr>
        <w:t xml:space="preserve">2024年度预算项目绩效目标公开表</w:t>
      </w:r>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1843"/>
        <w:gridCol w:w="2559"/>
        <w:gridCol w:w="3350"/>
        <w:gridCol w:w="1511"/>
        <w:gridCol w:w="6076"/>
      </w:tblGrid>
      <w:tr>
        <w:tblPrEx>
          <w:tblW w:w="0" w:type="auto"/>
          <w:tblInd w:w="0" w:type="dxa"/>
          <w:tblLayout w:type="fixed"/>
          <w:tblCellMar>
            <w:top w:w="0" w:type="dxa"/>
            <w:left w:w="10" w:type="dxa"/>
            <w:bottom w:w="0" w:type="dxa"/>
            <w:right w:w="10" w:type="dxa"/>
          </w:tblCellMar>
        </w:tblPrEx>
        <w:trPr>
          <w:trHeight w:hRule="exact" w:val="346"/>
        </w:trPr>
        <w:tc>
          <w:tcPr>
            <w:tcW w:w="9263" w:type="dxa"/>
            <w:gridSpan w:val="4"/>
            <w:shd w:val="clear" w:color="auto" w:fill="FFFFFF"/>
          </w:tcPr>
          <w:p>
            <w:pPr>
              <w:pStyle w:val="Other|1"/>
              <w:spacing w:line="240" w:lineRule="auto"/>
              <w:ind w:firstLine="0"/>
              <w:jc w:val="left"/>
              <w:rPr>
                <w:rFonts w:ascii="宋体" w:eastAsia="宋体" w:hAnsi="宋体" w:cs="宋体" w:hint="default"/>
                <w:sz w:val="17"/>
                <w:szCs w:val="17"/>
                <w:lang w:val="en-US"/>
              </w:rPr>
            </w:pPr>
            <w:r>
              <w:rPr>
                <w:rFonts w:ascii="宋体" w:eastAsia="宋体" w:hAnsi="宋体" w:cs="宋体" w:hint="eastAsia"/>
                <w:sz w:val="17"/>
                <w:szCs w:val="17"/>
              </w:rPr>
              <w:t xml:space="preserve">单位名称：</w:t>
            </w:r>
            <w:r>
              <w:rPr>
                <w:rFonts w:ascii="宋体" w:eastAsia="宋体" w:hAnsi="宋体" w:cs="宋体" w:hint="eastAsia"/>
                <w:sz w:val="17"/>
                <w:szCs w:val="17"/>
                <w:lang w:eastAsia="zh-CN"/>
              </w:rPr>
              <w:t xml:space="preserve">环江毛南族自治县大安乡人民政府</w:t>
            </w:r>
          </w:p>
        </w:tc>
        <w:tc>
          <w:tcPr>
            <w:tcW w:w="6076" w:type="dxa"/>
            <w:shd w:val="clear" w:color="auto" w:fill="FFFFFF"/>
          </w:tcPr>
          <w:p>
            <w:pPr>
              <w:pStyle w:val="Other|1"/>
              <w:spacing w:line="240" w:lineRule="auto"/>
              <w:ind w:firstLine="4760" w:firstLineChars="2800"/>
              <w:jc w:val="left"/>
              <w:rPr>
                <w:rFonts w:ascii="宋体" w:eastAsia="宋体" w:hAnsi="宋体" w:cs="宋体" w:hint="eastAsia"/>
                <w:sz w:val="17"/>
                <w:szCs w:val="17"/>
              </w:rPr>
            </w:pPr>
            <w:r>
              <w:rPr>
                <w:rFonts w:ascii="宋体" w:eastAsia="宋体" w:hAnsi="宋体" w:cs="宋体" w:hint="eastAsia"/>
                <w:sz w:val="17"/>
                <w:szCs w:val="17"/>
              </w:rPr>
              <w:t xml:space="preserve">单位：万元</w:t>
            </w:r>
          </w:p>
        </w:tc>
      </w:tr>
      <w:tr>
        <w:tblPrEx>
          <w:tblW w:w="0" w:type="auto"/>
          <w:tblInd w:w="0" w:type="dxa"/>
          <w:tblLayout w:type="fixed"/>
          <w:tblCellMar>
            <w:top w:w="0" w:type="dxa"/>
            <w:left w:w="10" w:type="dxa"/>
            <w:bottom w:w="0" w:type="dxa"/>
            <w:right w:w="10" w:type="dxa"/>
          </w:tblCellMar>
        </w:tblPrEx>
        <w:trPr>
          <w:trHeight w:hRule="exact" w:val="854"/>
        </w:trPr>
        <w:tc>
          <w:tcPr>
            <w:tcW w:w="1843"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sz w:val="17"/>
                <w:u w:color="auto"/>
              </w:rPr>
              <w:t xml:space="preserve">单位代码</w:t>
            </w:r>
          </w:p>
        </w:tc>
        <w:tc>
          <w:tcPr>
            <w:tcW w:w="2559"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4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单位名称</w:t>
            </w:r>
          </w:p>
        </w:tc>
        <w:tc>
          <w:tcPr>
            <w:tcW w:w="335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项目名称</w:t>
            </w:r>
          </w:p>
        </w:tc>
        <w:tc>
          <w:tcPr>
            <w:tcW w:w="1511"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预算金额</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年度绩效目标</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707001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环江毛南族自治县大安乡人民政府</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其他日常业务费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28.57</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目标1：严格按照财务制度，按时拨付资金，为各站所各部门日常工作提供资金保障。</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目标2：按照实际工作要求，认真规划日常工作经费的使用率、分配比例，控制成本，杜绝铺张浪费，使效率达到最高。</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目标3：各部门各站所相互监督，相互制约，根据实际报账.</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目标4：服务对象满意度达90％以上。</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707001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环江毛南族自治县大安乡人民政府</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困难群众</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4.20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目标1：持续对年内有大额医疗支出的低收入人群进行临时救助。</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目标2：确保低收入人群不因突发严重困难而返贫。</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目标3：服务对象满意度达90％以上。</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707001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环江毛南族自治县大安乡人民政府</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地灾应急演练经费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1.50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目标1：加强干部队伍建设，打造更专业、负责的办公队伍；</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目标2：大力开展地灾应急宣传活动；</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目标3：及时添置地灾员必备监测物资，保证地灾员手中标准装备齐全；</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目标4：严格落实地灾员巡检；</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目标5：服务对象满意度达90%以上。</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707001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环江毛南族自治县大安乡人民政府</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农村党员大培训经费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1.75</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目标：</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1.加强农村党员教育培训，实施桑蚕、甘蔗、三特水果等特色农业技能培训，通过培训提高农村党员在乡村振兴工作中的示范引领作用，带领更多的群众通过种养殖走上致富道路，进一步发挥党员的先锋模范作用。</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2.年内对有培训需求的党员进行全覆盖轮训3次左右。</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707001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环江毛南族自治县大安乡人民政府</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生态护林员劳务补助资金</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22.06</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目标1：根据全乡林业发展情况，全乡聘用104名生态护林员；</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目标2：组织护林员开展巡林工作，每月巡林不低于13天，确保生态林业安全可持续发展；</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目标3：服务对象满意度达90％以上。</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707001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环江毛南族自治县大安乡人民政府</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农村乡村道路“三项工程”资金</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264.00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目标1：加强道路提升对乡村振兴助力的宣传及道路提升申请流程的宣传；</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目标2：加宽路面8处，共10.074km</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目标3：确保受益总户数931户3124人，其中脱贫户103户361人；</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目标4：服务对象满意度达90％以上。</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707001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环江毛南族自治县大安乡人民政府</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新一轮退耕还林还草延长期补助</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31.02</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目标1：兑付全乡410.4亩退耕还林农户森林抚育补助；</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目标2：提高群众爱林护林的意识，鼓励群众爱护生态。</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目标3：服务对象满意度达90％以上。</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707001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环江毛南族自治县大安乡人民政府</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2024年武装、征兵及民兵预备役工作经费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1.50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目标1：适龄青年兵役登记率100％达到上级要求。</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目标2：完成每年上级下达的征兵任务。</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目标3：高标准、高质量完成80％民兵训练、点验任务1次以上。</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目标4：顺利完成上级下达的民兵整组任务。</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目标5：参训人员满意度和应征青年满意度90％以上。</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707001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环江毛南族自治县大安乡人民政府</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2024年法治宣传教育工作经费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目标1：进一步健全普法宣传教育机制，增强法治宣传教育的时效性，举行普法宣传教育3次以上。</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目标2：深化依法治理，增强全民法治观念和全体党员党章党规意识。</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目标3：提高厉行法治的积极性和主动性，形成守法光荣、违法可耻的良好法治氛围。</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目标4：服务对象满意度达90％以上。</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707001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环江毛南族自治县大安乡人民政府</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2024年维稳工作经费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目标1：加大矛盾纠纷排查调查力度，妥善化解各类矛盾纠纷和安全隐患，案件调解率达100％，调结率达90％以上。</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目标2：实行领导包案责任制，做好群众的思想工作。</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目标3：扎实开展平安单位创建工作。</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目标4：加大重点信访人员的管控工作，案件及时受理率100％，案件及时办结率90％，满意率95％。</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目标5：扎实推进开展领导大接访活动1次以上。</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目标6：服务对象满意度达90％以上。</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707001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环江毛南族自治县大安乡人民政府</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2024年退役军人服务中心建设工作经费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目标1：协调落实退役军人就业创业、优抚帮扶、权益保障、数据信息采集等有关政策措施。</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目标2：协助做好本级辖区内退役军人组织关系、行政关系、供给关系转接和档案移交工作。</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目标3：协助做好退役军人和其他优抚对象来访接待、来信办理、网上信访和电话信访，依法及时化解矛盾问题。</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目标4：建送立功喜报、悬挂光荣牌。</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目标5：春节、“八一”慰问退役军人、重点优抚对象2次以上。</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目标6：年内召开八一拥军座谈会1次。</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目标7：服务对象满意度达90％以上。</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707001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环江毛南族自治县大安乡人民政府</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2024年预防青少年违法犯罪工作经费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目标1：开展青少年法治和禁毒防艾宣传教育活动2次以上。</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目标2：预防青少年违法犯罪工作骨干业务培训1次以上。</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目标3：年度预防青少年违法犯罪工作会议1次以上。</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目标4：预防青少年违法犯罪工作活动参与率达到90％以上。</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目标5：服务青少年满意率超过90％。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707001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环江毛南族自治县大安乡人民政府</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2024年团委工作经费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目标1：加强团组织和队伍建设，凝聚青年力量。</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目标2：大力开展青年志愿服务活动、主题团日活动，2次以上。</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目标3：服务青年创业就业，抓好农村青年创业就业培训，1次以上。</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目标4：推进党建带团建工作。</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目标5：开展关爱青少年活动，1次以上。</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目标6：服务对象满意度达90％以上。</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707001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环江毛南族自治县大安乡人民政府</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2024年纪检监察工作经费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目标1：加强村级监督委以及廉情监督联络站建设，实现对小微权力的全面监督，党风廉政建设会议4次以上。</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目标2：加强纪检监察工作人员理论和业务培训，切实提高纪检监察干部监督水平，党风廉政培训2次以上。</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目标3：全面推进清廉大安建设，完成廉政文化及反腐倡廉宣传工作，营造廉政文化氛围，廉洁文化宣传2次以上。</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目标4：大力开展信访件问题调查及违纪案件查办工作，维护人民群众切身利益，信访举报案件结案率100％。</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目标5：服务对象满意度达90％以上。</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707001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环江毛南族自治县大安乡人民政府</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2024年清洁乡村工作经费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目标1：改善村屯环境卫生，垃圾桶、果皮箱内外周边干净，道路边角干净。</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目标2：增强生活垃圾转运能力，保障垃圾清运车正常使用率达90％以上。</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目标3：保证作业服务范围内的生活垃圾日产日清，确保垃圾桶的设施完好率80％以上。</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目标4：服务对象满意度达90％以上。</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707001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环江毛南族自治县大安乡人民政府</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2024年安全生产及森林防火工作经费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1.06</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目标1：加强应急预案演练，年内开展应急演练1次以上。</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目标2：进一步加大安全生产检查，年内开展安全生产检查6次以上。</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目标3：保障交通安全，年内开展交通劝导10次以上。</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目标4：进一步加大消防日常监督、直传工作，开展消防知识讲座2次以上，</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目标5：定期或不定期的消防检查2次以上。</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目标6：服务对象满意度达90％以上。</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707001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环江毛南族自治县大安乡人民政府</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2024年民族团结工作经费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目标1：深入开展中国特色社会主义和爱国教育宣传活动，筑牢群众中华民族共同体意识。</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目标2：做好民族团结创建活动，组织群众开展民族团结活动1次以上。</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目标3：组织各村召开民族团结知识培训、讲座等2次以上。</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目标4：服务对象满意度达90％以上。</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707001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环江毛南族自治县大安乡人民政府</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2024年统计工作经费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目标1：科学统计、依法依规统计，推动经济高质量发展，提供科学准确的统计信息支持。</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目标2：提高群众依法依规参与统计的意识，组织开展《统计法》宣传活动1次以上。</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目标3：提高统计员统计业务素质，开展统计员培训工作1次以上。</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目标4：服务对象满意度达90％以上。</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707001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环江毛南族自治县大安乡人民政府</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2024年妇联工作经费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目标1：加强妇女组织和妇女干部队伍建设，凝聚青少年儿童。</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目标2：大力开展巾帼志愿服务活动，1次以上。</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目标3：大力推动妇女创业就业，鼓励妇女成长成才。</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目标4：维护妇女儿童合法权益。</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目标5：推动五好文明家庭创建。</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目标6：服务对象满意度达90％以上。</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707001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环江毛南族自治县大安乡人民政府</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2024年宣传工作经费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6.00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目标1：结合主线任务和中心工作，做好社会面宣传，在全乡范围内营造浓厚的正面社会宣传氛围。</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目标2：着力打造功能性、实用性新时代文明实践站（所），常态化开展乡村两级志愿服务活动5次以上。</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目标3：购买理论学习资料，加强党员干部理论学习水平。</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目标4：沟通联系并配合好上级媒体，做好新闻宣传工作，传播大安声音。</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目标5：推动“五好人物”、“星级文明户”创建工作。</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目标6：积极组织乡本级文化文艺活动，积极组织文艺骨干参加县级文化活动2次以上。</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目标7：服务对象满意度达90％以上。</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707001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环江毛南族自治县大安乡人民政府</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2024年人大工作经费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目标1：保障人大代表闭会期间依法履行职责，更好代表作用。</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目标2：密切联系选民，听取和反映选民的意见和需求，开展交流会议2次以上。</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目标3：学习宣传国家法律法规，党的方针政策会议2次以上。</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目标4：总结交流经验，相互学习，宣传好人好事，弘扬正气。</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目标5：“人民选我当代表，我当代表为人民”为宗旨。</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目标6：服务对象满意度达90％以上。</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707001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环江毛南族自治县大安乡人民政府</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2024年党组织活动经费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0.37</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目标1：为农村基层党组织党员活动提供经费保障，提高农村基层党组织的组织生活质量，加强农村基层党组织的凝聚力战斗力；</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目标2：年内组织在职党员干部过政治生日1次以上。</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目标3：服务对象满意度达90％以上。</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707001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环江毛南族自治县大安乡人民政府</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2024年关心下一代工作委员会经费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目标1：通过关工委工作加强对中小学生的关心关爱，为未成年人营造一个良好的学习环境、生长环境，让每个未成年人都感受到社会的关爱，激发未成年人学习热情着力加强青少年思想道德建设，引导青少年树立和践行社会主义核心价值观，支持和帮助青少年成长成才，团结教育广大青少年听党话、跟党走。</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目标2.年内组织召开关工委会议2次，去学校开展开展活动4次。</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目标3：服务对象满意度达90％以上。</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707001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环江毛南族自治县大安乡人民政府</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2024年关爱党员（农村党员）经费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3.71</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目标：1.党员生活陷入困难时及时得到党组织的关怀和救助，让党员感受到组织的温暖，积极参与党内活动，激励党员永远听党话、感党恩、跟党走。</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目标2：年内慰问困难党员10人以上。</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目标3：服务对象满意度达90％以上。</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707001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环江毛南族自治县大安乡人民政府</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2024年党代会经费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1.29</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目标1：组织党代表召开年度会议，确保党员正常履行党员权利和义务，通过党代会的召开，为今后的工作提供思路和方向，推动各项工作朝着更好的目标前进。</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目标2：年内组织党代表召开会议1次。</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目标3：服务对象满意度达90％以上。</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707001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环江毛南族自治县大安乡人民政府</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2024年政协联络站工作经费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目标1：年内利用政协工作联络站开展协商活动2次以上。</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目标2：召开联络站工作会议1次以上。</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目标3：开展调研活动1次以上。</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707001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环江毛南族自治县大安乡人民政府</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2024年乡镇应急工作经费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7.50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目标1：新冠疫情防控宣传工作1次以上。</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目标2：防范中小学生溺水宣传工作1次以上。</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目标3：防汛抗旱应急抢险工作。</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目标4：满意度90％以上。</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707001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环江毛南族自治县大安乡人民政府</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2024年林长办工作经费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目标1：年内至少召开林长制工作会议1次以上。</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目标2：全年辖区内森林火灾受害控制率不超过0.8‰。</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目标3：乡林长办主任向本级林长专题汇报林长制工作1次以上。</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目标4：服务对象满意度达90％以上。</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707001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环江毛南族自治县大安乡人民政府</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2024年田长办工作经费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目标1：田长制会议超过1次</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目标2：服务对象满意度超过90％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707001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环江毛南族自治县大安乡人民政府</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2024年河长办工作经费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1、河长制会议超过1次</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2、服务对象满意度超过90％</w:t>
            </w:r>
          </w:p>
        </w:tc>
      </w:tr>
    </w:tbl>
    <w:p>
      <w:pPr>
        <w:jc w:val="left"/>
        <w:rPr>
          <w:rFonts w:hint="eastAsia"/>
        </w:rPr>
      </w:pPr>
      <w:r>
        <w:t xml:space="preserve">注：本报表金额单位转换时可能存在四舍五入尾数误差。</w:t>
      </w:r>
    </w:p>
    <w:p>
      <w:pPr>
        <w:jc w:val="left"/>
        <w:rPr>
          <w:rFonts w:hint="eastAsia"/>
          <w:lang w:eastAsia="zh-CN"/>
        </w:rPr>
        <w:sectPr>
          <w:headerReference w:type="default" r:id="rId18"/>
          <w:footerReference w:type="default" r:id="rId19"/>
          <w:pgSz w:w="16840" w:h="11900" w:orient="landscape"/>
          <w:pgMar w:top="2714" w:right="764" w:bottom="2714" w:left="735" w:header="2286" w:footer="1474" w:gutter="0"/>
          <w:pgBorders>
            <w:top w:val="none" w:sz="0" w:space="0" w:color="auto"/>
            <w:left w:val="none" w:sz="0" w:space="0" w:color="auto"/>
            <w:bottom w:val="none" w:sz="0" w:space="0" w:color="auto"/>
            <w:right w:val="none" w:sz="0" w:space="0" w:color="auto"/>
          </w:pgBorders>
          <w:pgNumType w:fmt="decimal"/>
          <w:cols w:num="1" w:space="720">
            <w:col w:w="15341" w:space="720"/>
          </w:cols>
          <w:docGrid w:linePitch="360" w:charSpace="0"/>
        </w:sectPr>
      </w:pPr>
    </w:p>
    <w:p>
      <w:pPr>
        <w:pStyle w:val="Heading#1|1"/>
        <w:keepNext/>
        <w:keepLines/>
        <w:spacing w:before="200" w:after="0"/>
        <w:jc w:val="center"/>
        <w:rPr>
          <w:sz w:val="40"/>
          <w:szCs w:val="40"/>
        </w:rPr>
      </w:pPr>
      <w:bookmarkStart w:id="32" w:name="bookmark95"/>
      <w:bookmarkStart w:id="33" w:name="bookmark94"/>
      <w:bookmarkStart w:id="34" w:name="bookmark96"/>
      <w:r>
        <w:rPr>
          <w:sz w:val="40"/>
          <w:szCs w:val="40"/>
        </w:rPr>
        <w:t xml:space="preserve">第四部</w:t>
      </w:r>
      <w:r>
        <w:rPr>
          <w:sz w:val="40"/>
          <w:szCs w:val="40"/>
        </w:rPr>
        <w:t xml:space="preserve">分名词解释</w:t>
      </w:r>
      <w:bookmarkEnd w:id="32"/>
      <w:bookmarkEnd w:id="33"/>
      <w:bookmarkEnd w:id="34"/>
    </w:p>
    <w:p>
      <w:pPr>
        <w:pStyle w:val="Bodytext|1"/>
        <w:tabs>
          <w:tab w:val="left" w:pos="1270"/>
        </w:tabs>
        <w:spacing w:line="626" w:lineRule="exact"/>
        <w:ind w:firstLine="640"/>
        <w:jc w:val="left"/>
      </w:pPr>
      <w:bookmarkStart w:id="35" w:name="bookmark97"/>
      <w:r>
        <w:t xml:space="preserve">一</w:t>
      </w:r>
      <w:bookmarkEnd w:id="35"/>
      <w:r>
        <w:t xml:space="preserve">、</w:t>
      </w:r>
      <w:r>
        <w:tab/>
      </w:r>
      <w:r>
        <w:t xml:space="preserve">财政拨款收入：指预算单位从本级财政部门取得的财政预算资金收入。</w:t>
      </w:r>
    </w:p>
    <w:p>
      <w:pPr>
        <w:pStyle w:val="Bodytext|1"/>
        <w:tabs>
          <w:tab w:val="left" w:pos="1280"/>
        </w:tabs>
        <w:spacing w:line="626" w:lineRule="exact"/>
        <w:ind w:firstLine="640"/>
        <w:jc w:val="left"/>
      </w:pPr>
      <w:bookmarkStart w:id="36" w:name="bookmark98"/>
      <w:r>
        <w:t xml:space="preserve">二</w:t>
      </w:r>
      <w:bookmarkEnd w:id="36"/>
      <w:r>
        <w:t xml:space="preserve">、</w:t>
      </w:r>
      <w:r>
        <w:tab/>
      </w:r>
      <w:r>
        <w:t xml:space="preserve">事业收入：指事业单位开展专业业务活动及辅助活动所取得的收入。</w:t>
      </w:r>
    </w:p>
    <w:p>
      <w:pPr>
        <w:pStyle w:val="Bodytext|1"/>
        <w:tabs>
          <w:tab w:val="left" w:pos="1275"/>
        </w:tabs>
        <w:spacing w:line="626" w:lineRule="exact"/>
        <w:ind w:firstLine="640"/>
        <w:jc w:val="left"/>
      </w:pPr>
      <w:bookmarkStart w:id="37" w:name="bookmark99"/>
      <w:r>
        <w:t xml:space="preserve">三</w:t>
      </w:r>
      <w:bookmarkEnd w:id="37"/>
      <w:r>
        <w:t xml:space="preserve">、</w:t>
      </w:r>
      <w:r>
        <w:tab/>
      </w:r>
      <w:r>
        <w:t xml:space="preserve">经营收入：指事业单位在专业业务活动及其辅助活动之外开展非独立核算经营活动取得的收入。</w:t>
      </w:r>
    </w:p>
    <w:p>
      <w:pPr>
        <w:pStyle w:val="Bodytext|1"/>
        <w:tabs>
          <w:tab w:val="left" w:pos="1309"/>
        </w:tabs>
        <w:spacing w:line="626" w:lineRule="exact"/>
        <w:ind w:firstLine="640"/>
        <w:jc w:val="left"/>
      </w:pPr>
      <w:bookmarkStart w:id="38" w:name="bookmark100"/>
      <w:r>
        <w:t xml:space="preserve">四</w:t>
      </w:r>
      <w:bookmarkEnd w:id="38"/>
      <w:r>
        <w:t xml:space="preserve">、</w:t>
      </w:r>
      <w:r>
        <w:tab/>
      </w:r>
      <w:r>
        <w:t xml:space="preserve">其他收入：指除上述</w:t>
      </w:r>
      <w:r>
        <w:rPr>
          <w:lang w:val="zh-CN" w:eastAsia="zh-CN" w:bidi="zh-CN"/>
        </w:rPr>
        <w:t xml:space="preserve">“财</w:t>
      </w:r>
      <w:r>
        <w:t xml:space="preserve">政拨款收入”、</w:t>
      </w:r>
      <w:r>
        <w:rPr>
          <w:lang w:val="zh-CN" w:eastAsia="zh-CN" w:bidi="zh-CN"/>
        </w:rPr>
        <w:t xml:space="preserve">“事</w:t>
      </w:r>
      <w:r>
        <w:t xml:space="preserve">业收入"、</w:t>
      </w:r>
      <w:r>
        <w:rPr>
          <w:lang w:val="zh-CN" w:eastAsia="zh-CN" w:bidi="zh-CN"/>
        </w:rPr>
        <w:t xml:space="preserve">“经营</w:t>
      </w:r>
      <w:r>
        <w:t xml:space="preserve">收入"等以外的收入。主要是非本级财政拨款、存款利息收入、事业单位固定资产出租收入等。</w:t>
      </w:r>
    </w:p>
    <w:p>
      <w:pPr>
        <w:pStyle w:val="Bodytext|1"/>
        <w:tabs>
          <w:tab w:val="left" w:pos="1275"/>
        </w:tabs>
        <w:spacing w:line="626" w:lineRule="exact"/>
        <w:ind w:firstLine="640"/>
        <w:jc w:val="left"/>
      </w:pPr>
      <w:bookmarkStart w:id="39" w:name="bookmark101"/>
      <w:r>
        <w:t xml:space="preserve">五</w:t>
      </w:r>
      <w:bookmarkEnd w:id="39"/>
      <w:r>
        <w:t xml:space="preserve">、</w:t>
      </w:r>
      <w:r>
        <w:tab/>
      </w:r>
      <w:r>
        <w:t xml:space="preserve">用事业基金弥补收支差额：指事业单位在用当年的</w:t>
      </w:r>
      <w:r>
        <w:rPr>
          <w:lang w:val="zh-CN" w:eastAsia="zh-CN" w:bidi="zh-CN"/>
        </w:rPr>
        <w:t xml:space="preserve">“财</w:t>
      </w:r>
      <w:r>
        <w:t xml:space="preserve">政拨款收入"、</w:t>
      </w:r>
      <w:r>
        <w:rPr>
          <w:lang w:val="zh-CN" w:eastAsia="zh-CN" w:bidi="zh-CN"/>
        </w:rPr>
        <w:t xml:space="preserve">“事业</w:t>
      </w:r>
      <w:r>
        <w:t xml:space="preserve">收入"、</w:t>
      </w:r>
      <w:r>
        <w:rPr>
          <w:lang w:val="zh-CN" w:eastAsia="zh-CN" w:bidi="zh-CN"/>
        </w:rPr>
        <w:t xml:space="preserve">“经营</w:t>
      </w:r>
      <w:r>
        <w:t xml:space="preserve">收入"、</w:t>
      </w:r>
      <w:r>
        <w:rPr>
          <w:lang w:val="zh-CN" w:eastAsia="zh-CN" w:bidi="zh-CN"/>
        </w:rPr>
        <w:t xml:space="preserve">“其他</w:t>
      </w:r>
      <w:r>
        <w:t xml:space="preserve">收入"不足以安排当年支出的情况下，使用以前年度积累的事业基金（事业单位当年收支相抵后按国家规定提取、用于弥补以后年度收支差额的基金）弥补本年度收支缺口的资金。</w:t>
      </w:r>
    </w:p>
    <w:p>
      <w:pPr>
        <w:pStyle w:val="Bodytext|1"/>
        <w:tabs>
          <w:tab w:val="left" w:pos="1270"/>
        </w:tabs>
        <w:spacing w:line="626" w:lineRule="exact"/>
        <w:ind w:firstLine="640"/>
        <w:jc w:val="left"/>
      </w:pPr>
      <w:bookmarkStart w:id="40" w:name="bookmark102"/>
      <w:r>
        <w:t xml:space="preserve">六</w:t>
      </w:r>
      <w:bookmarkEnd w:id="40"/>
      <w:r>
        <w:t xml:space="preserve">、</w:t>
      </w:r>
      <w:r>
        <w:tab/>
      </w:r>
      <w:r>
        <w:t xml:space="preserve">年初结转和结余：指以前年度尚未完成、结转到本年按有关规定继续使用的资金。</w:t>
      </w:r>
    </w:p>
    <w:p>
      <w:pPr>
        <w:pStyle w:val="Bodytext|1"/>
        <w:tabs>
          <w:tab w:val="left" w:pos="1275"/>
        </w:tabs>
        <w:spacing w:line="626" w:lineRule="exact"/>
        <w:ind w:firstLine="640"/>
        <w:jc w:val="left"/>
      </w:pPr>
      <w:bookmarkStart w:id="41" w:name="bookmark103"/>
      <w:r>
        <w:t xml:space="preserve">七</w:t>
      </w:r>
      <w:bookmarkEnd w:id="41"/>
      <w:r>
        <w:t xml:space="preserve">、</w:t>
      </w:r>
      <w:r>
        <w:tab/>
      </w:r>
      <w:r>
        <w:t xml:space="preserve">结余分配：指事业单位按规定提取的职工福利基金、事业基金和缴纳的所得税，以及建设单位按规定应交回的基本建设竣工项目结余资金。</w:t>
      </w:r>
    </w:p>
    <w:p>
      <w:pPr>
        <w:pStyle w:val="Bodytext|1"/>
        <w:tabs>
          <w:tab w:val="left" w:pos="632"/>
        </w:tabs>
        <w:spacing w:line="626" w:lineRule="exact"/>
        <w:ind w:firstLine="640"/>
        <w:jc w:val="left"/>
      </w:pPr>
      <w:bookmarkStart w:id="42" w:name="bookmark104"/>
      <w:r>
        <w:t xml:space="preserve">八</w:t>
      </w:r>
      <w:bookmarkEnd w:id="42"/>
      <w:r>
        <w:t xml:space="preserve">、</w:t>
      </w:r>
      <w:r>
        <w:tab/>
      </w:r>
      <w:r>
        <w:t xml:space="preserve">年末结转和结余：指本年度或以前年度预算安排、因客观条件发生变化无法按原计划实施，需要延迟到以后年度按有关规定继续使用的资金。</w:t>
      </w:r>
    </w:p>
    <w:p>
      <w:pPr>
        <w:pStyle w:val="Bodytext|1"/>
        <w:spacing w:line="628" w:lineRule="exact"/>
        <w:ind w:firstLine="640"/>
        <w:jc w:val="left"/>
      </w:pPr>
      <w:bookmarkStart w:id="43" w:name="bookmark105"/>
      <w:r>
        <w:t xml:space="preserve">九</w:t>
      </w:r>
      <w:bookmarkEnd w:id="43"/>
      <w:r>
        <w:t xml:space="preserve">、基本支出：指为保障机构正常运转、完成日常工作任务而发生的人员支出和公用支出。</w:t>
      </w:r>
    </w:p>
    <w:p>
      <w:pPr>
        <w:pStyle w:val="Bodytext|1"/>
        <w:spacing w:line="628" w:lineRule="exact"/>
        <w:ind w:firstLine="640"/>
        <w:jc w:val="left"/>
      </w:pPr>
      <w:r>
        <w:t xml:space="preserve">十、项目支出：指在基本支出之外为完成特定行政任务和事业发展目标所发生的支出。</w:t>
      </w:r>
    </w:p>
    <w:p>
      <w:pPr>
        <w:pStyle w:val="Bodytext|1"/>
        <w:spacing w:line="628" w:lineRule="exact"/>
        <w:ind w:firstLine="640"/>
        <w:jc w:val="left"/>
      </w:pPr>
      <w:r>
        <w:t xml:space="preserve">十一、经营支出：指事业单位在专业业务活动及其辅助活动之外开展非独立核算经营活动所发生的支出。</w:t>
      </w:r>
    </w:p>
    <w:p>
      <w:pPr>
        <w:pStyle w:val="Bodytext|1"/>
        <w:spacing w:line="628" w:lineRule="exact"/>
        <w:ind w:firstLine="640"/>
        <w:jc w:val="left"/>
      </w:pPr>
      <w:r>
        <w:t xml:space="preserve">十二、</w:t>
      </w:r>
      <w:r>
        <w:rPr>
          <w:lang w:val="zh-CN" w:eastAsia="zh-CN" w:bidi="zh-CN"/>
        </w:rPr>
        <w:t xml:space="preserve">“三</w:t>
      </w:r>
      <w:r>
        <w:t xml:space="preserve">公”经费：纳入财政预决算管理的</w:t>
      </w:r>
      <w:r>
        <w:rPr>
          <w:lang w:val="zh-CN" w:eastAsia="zh-CN" w:bidi="zh-CN"/>
        </w:rPr>
        <w:t xml:space="preserve">“三公</w:t>
      </w:r>
      <w:r>
        <w:t xml:space="preserve">”经费，是指市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Bodytext|1"/>
        <w:spacing w:line="628" w:lineRule="exact"/>
        <w:ind w:firstLine="640"/>
        <w:jc w:val="left"/>
      </w:pPr>
      <w:r>
        <w:t xml:space="preserve">十三、机关运行经费：为保障行政单位（含参照公务员法管理的事业单位、机关服务中心）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headerReference w:type="default" r:id="rId20"/>
      <w:footerReference w:type="default" r:id="rId21"/>
      <w:type w:val="continuous"/>
      <w:pgSz w:w="11900" w:h="16840" w:orient="portrait"/>
      <w:pgMar w:top="1302" w:right="1735" w:bottom="1568" w:left="1793" w:header="874" w:footer="1077" w:gutter="0"/>
      <w:pgBorders>
        <w:top w:val="none" w:sz="0" w:space="0" w:color="auto"/>
        <w:left w:val="none" w:sz="0" w:space="0" w:color="auto"/>
        <w:bottom w:val="none" w:sz="0" w:space="0" w:color="auto"/>
        <w:right w:val="none" w:sz="0" w:space="0" w:color="auto"/>
      </w:pgBorders>
      <w:pgNumType w:fmt="decimal"/>
      <w:cols w:num="1" w:space="720">
        <w:col w:w="8372" w:space="720"/>
      </w:cols>
      <w:docGrid w:linePitch="360"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E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812" name="文本框 2"/>
              <wp:cNvGraphicFramePr>
                <a:graphicFrameLocks noChangeAspect="0"/>
              </wp:cNvGraphicFramePr>
              <a:graphic>
                <a:graphicData uri="http://schemas.microsoft.com/office/word/2010/wordprocessingShape">
                  <wps:wsp>
                    <wps:cNvSpPr/>
                    <wps:spPr>
                      <a:xfrm>
                        <a:off x="0" y="0"/>
                        <a:ext cx="1828800" cy="182880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2</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shape id="文本框 2" o:spid="_x0000_s7065" type="#_x0000_t202" style="height:2in;margin-left:0;margin-top:0;mso-height-relative:page;mso-position-horizontal:center;mso-position-horizontal-relative:margin;mso-width-relative:page;mso-wrap-distance-bottom:0;mso-wrap-distance-left:9pt;mso-wrap-distance-right:9pt;mso-wrap-distance-top:0;mso-wrap-style:none;position:absolute;v-text-anchor:top;width:2in;z-index:251661312" coordsize="21600,21600" filled="f" stroked="f" strokeweight="0.5pt">
              <w10:bordertop type="none" width="0"/>
              <w10:borderleft type="none" width="0"/>
              <w10:borderbottom type="none" width="0"/>
              <w10:borderright type="none" width="0"/>
              <v:textbox style="layout-flow:horizontal;mso-fit-shape-to-text:t" inset="0,0,0,0">
                <w:txbxContent>
                  <w:p>
                    <w:pPr>
                      <w:pStyle w:val="Footer"/>
                    </w:pPr>
                    <w:r>
                      <w:fldChar w:fldCharType="begin"/>
                    </w:r>
                    <w:r>
                      <w:instrText xml:space="preserve"> PAGE  \* MERGEFORMAT </w:instrText>
                    </w:r>
                    <w:r>
                      <w:fldChar w:fldCharType="separate"/>
                    </w:r>
                    <w:r>
                      <w:t xml:space="preserve">2</w:t>
                    </w:r>
                    <w:r>
                      <w:fldChar w:fldCharType="end"/>
                    </w:r>
                  </w:p>
                </w:txbxContent>
              </v:textbox>
            </v:shape>
          </w:pict>
        </mc:Fallback>
      </mc:AlternateContent>
    </w: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2336" behindDoc="0" locked="0" layoutInCell="1" allowOverlap="1">
              <wp:simplePos x="0" y="0"/>
              <wp:positionH relativeFrom="margin">
                <wp:posOffset>2574925</wp:posOffset>
              </wp:positionH>
              <wp:positionV relativeFrom="paragraph">
                <wp:posOffset>0</wp:posOffset>
              </wp:positionV>
              <wp:extent cx="394970" cy="168910"/>
              <wp:effectExtent l="0" t="0" r="0" b="0"/>
              <wp:wrapNone/>
              <wp:docPr id="3820" name="文本框 4"/>
              <wp:cNvGraphicFramePr>
                <a:graphicFrameLocks noChangeAspect="0"/>
              </wp:cNvGraphicFramePr>
              <a:graphic>
                <a:graphicData uri="http://schemas.microsoft.com/office/word/2010/wordprocessingShape">
                  <wps:wsp>
                    <wps:cNvSpPr/>
                    <wps:spPr>
                      <a:xfrm>
                        <a:off x="0" y="0"/>
                        <a:ext cx="394970" cy="16891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4</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shape id="文本框 4" o:spid="_x0000_s7067" type="#_x0000_t202" style="height:13.3pt;margin-left:202.75pt;margin-top:0;mso-height-relative:page;mso-position-horizontal-relative:margin;mso-width-relative:page;mso-wrap-distance-bottom:0;mso-wrap-distance-left:9pt;mso-wrap-distance-right:9pt;mso-wrap-distance-top:0;mso-wrap-style:square;position:absolute;v-text-anchor:top;width:31.1pt;z-index:251662336" coordsize="21600,21600" filled="f" stroked="f" strokeweight="0.5pt">
              <w10:bordertop type="none" width="0"/>
              <w10:borderleft type="none" width="0"/>
              <w10:borderbottom type="none" width="0"/>
              <w10:borderright type="none" width="0"/>
              <v:textbox style="layout-flow:horizontal" inset="0,0,0,0">
                <w:txbxContent>
                  <w:p>
                    <w:pPr>
                      <w:pStyle w:val="Footer"/>
                    </w:pPr>
                    <w:r>
                      <w:fldChar w:fldCharType="begin"/>
                    </w:r>
                    <w:r>
                      <w:instrText xml:space="preserve"> PAGE  \* MERGEFORMAT </w:instrText>
                    </w:r>
                    <w:r>
                      <w:fldChar w:fldCharType="separate"/>
                    </w:r>
                    <w:r>
                      <w:t xml:space="preserve">4</w:t>
                    </w:r>
                    <w:r>
                      <w:fldChar w:fldCharType="end"/>
                    </w:r>
                  </w:p>
                </w:txbxContent>
              </v:textbox>
            </v:shape>
          </w:pict>
        </mc:Fallback>
      </mc:AlternateContent>
    </w:r>
  </w:p>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3360" behindDoc="0" locked="0" layoutInCell="1" allowOverlap="1">
              <wp:simplePos x="0" y="0"/>
              <wp:positionH relativeFrom="margin">
                <wp:posOffset>4810125</wp:posOffset>
              </wp:positionH>
              <wp:positionV relativeFrom="paragraph">
                <wp:posOffset>0</wp:posOffset>
              </wp:positionV>
              <wp:extent cx="440055" cy="206375"/>
              <wp:effectExtent l="0" t="0" r="0" b="0"/>
              <wp:wrapNone/>
              <wp:docPr id="3822" name="文本框 7"/>
              <wp:cNvGraphicFramePr>
                <a:graphicFrameLocks noChangeAspect="0"/>
              </wp:cNvGraphicFramePr>
              <a:graphic>
                <a:graphicData uri="http://schemas.microsoft.com/office/word/2010/wordprocessingShape">
                  <wps:wsp>
                    <wps:cNvSpPr/>
                    <wps:spPr>
                      <a:xfrm>
                        <a:off x="0" y="0"/>
                        <a:ext cx="440055" cy="206375"/>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15</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shape id="文本框 7" o:spid="_x0000_s7069" type="#_x0000_t202" style="height:16.25pt;margin-left:378.75pt;margin-top:0;mso-height-relative:page;mso-position-horizontal-relative:margin;mso-width-relative:page;mso-wrap-distance-bottom:0;mso-wrap-distance-left:9pt;mso-wrap-distance-right:9pt;mso-wrap-distance-top:0;mso-wrap-style:square;position:absolute;v-text-anchor:top;width:34.65pt;z-index:251663360" coordsize="21600,21600" filled="f" stroked="f" strokeweight="0.5pt">
              <w10:bordertop type="none" width="0"/>
              <w10:borderleft type="none" width="0"/>
              <w10:borderbottom type="none" width="0"/>
              <w10:borderright type="none" width="0"/>
              <v:textbox style="layout-flow:horizontal" inset="0,0,0,0">
                <w:txbxContent>
                  <w:p>
                    <w:pPr>
                      <w:pStyle w:val="Footer"/>
                    </w:pPr>
                    <w:r>
                      <w:fldChar w:fldCharType="begin"/>
                    </w:r>
                    <w:r>
                      <w:instrText xml:space="preserve"> PAGE  \* MERGEFORMAT </w:instrText>
                    </w:r>
                    <w:r>
                      <w:fldChar w:fldCharType="separate"/>
                    </w:r>
                    <w:r>
                      <w:t xml:space="preserve">15</w:t>
                    </w:r>
                    <w:r>
                      <w:fldChar w:fldCharType="end"/>
                    </w:r>
                  </w:p>
                </w:txbxContent>
              </v:textbox>
            </v:shape>
          </w:pict>
        </mc:Fallback>
      </mc:AlternateContent>
    </w: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823" name="文本框 9"/>
              <wp:cNvGraphicFramePr>
                <a:graphicFrameLocks noChangeAspect="0"/>
              </wp:cNvGraphicFramePr>
              <a:graphic>
                <a:graphicData uri="http://schemas.microsoft.com/office/word/2010/wordprocessingShape">
                  <wps:wsp>
                    <wps:cNvSpPr/>
                    <wps:spPr>
                      <a:xfrm>
                        <a:off x="0" y="0"/>
                        <a:ext cx="1828800" cy="182880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16</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shape id="文本框 9" o:spid="_x0000_s7070" type="#_x0000_t202" style="height:2in;margin-left:0;margin-top:0;mso-height-relative:page;mso-position-horizontal:center;mso-position-horizontal-relative:margin;mso-width-relative:page;mso-wrap-distance-bottom:0;mso-wrap-distance-left:9pt;mso-wrap-distance-right:9pt;mso-wrap-distance-top:0;mso-wrap-style:none;position:absolute;v-text-anchor:top;width:2in;z-index:251664384" coordsize="21600,21600" filled="f" stroked="f" strokeweight="0.5pt">
              <w10:bordertop type="none" width="0"/>
              <w10:borderleft type="none" width="0"/>
              <w10:borderbottom type="none" width="0"/>
              <w10:borderright type="none" width="0"/>
              <v:textbox style="layout-flow:horizontal;mso-fit-shape-to-text:t" inset="0,0,0,0">
                <w:txbxContent>
                  <w:p>
                    <w:pPr>
                      <w:pStyle w:val="Footer"/>
                    </w:pPr>
                    <w:r>
                      <w:fldChar w:fldCharType="begin"/>
                    </w:r>
                    <w:r>
                      <w:instrText xml:space="preserve"> PAGE  \* MERGEFORMAT </w:instrText>
                    </w:r>
                    <w:r>
                      <w:fldChar w:fldCharType="separate"/>
                    </w:r>
                    <w:r>
                      <w:t xml:space="preserve">16</w:t>
                    </w:r>
                    <w:r>
                      <w:fldChar w:fldCharType="end"/>
                    </w:r>
                  </w:p>
                </w:txbxContent>
              </v:textbox>
            </v:shape>
          </w:pict>
        </mc:Fallback>
      </mc:AlternateContent>
    </w:r>
  </w:p>
</w:ftr>
</file>

<file path=word/footer5.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824" name="文本框 11"/>
              <wp:cNvGraphicFramePr>
                <a:graphicFrameLocks noChangeAspect="0"/>
              </wp:cNvGraphicFramePr>
              <a:graphic>
                <a:graphicData uri="http://schemas.microsoft.com/office/word/2010/wordprocessingShape">
                  <wps:wsp>
                    <wps:cNvSpPr/>
                    <wps:spPr>
                      <a:xfrm>
                        <a:off x="0" y="0"/>
                        <a:ext cx="1828800" cy="182880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17</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shape id="文本框 11" o:spid="_x0000_s7071" type="#_x0000_t202" style="height:2in;margin-left:0;margin-top:0;mso-height-relative:page;mso-position-horizontal:center;mso-position-horizontal-relative:margin;mso-width-relative:page;mso-wrap-distance-bottom:0;mso-wrap-distance-left:9pt;mso-wrap-distance-right:9pt;mso-wrap-distance-top:0;mso-wrap-style:none;position:absolute;v-text-anchor:top;width:2in;z-index:251665408" coordsize="21600,21600" filled="f" stroked="f" strokeweight="0.5pt">
              <w10:bordertop type="none" width="0"/>
              <w10:borderleft type="none" width="0"/>
              <w10:borderbottom type="none" width="0"/>
              <w10:borderright type="none" width="0"/>
              <v:textbox style="layout-flow:horizontal;mso-fit-shape-to-text:t" inset="0,0,0,0">
                <w:txbxContent>
                  <w:p>
                    <w:pPr>
                      <w:pStyle w:val="Footer"/>
                    </w:pPr>
                    <w:r>
                      <w:fldChar w:fldCharType="begin"/>
                    </w:r>
                    <w:r>
                      <w:instrText xml:space="preserve"> PAGE  \* MERGEFORMAT </w:instrText>
                    </w:r>
                    <w:r>
                      <w:fldChar w:fldCharType="separate"/>
                    </w:r>
                    <w:r>
                      <w:t xml:space="preserve">17</w:t>
                    </w:r>
                    <w:r>
                      <w:fldChar w:fldCharType="end"/>
                    </w:r>
                  </w:p>
                </w:txbxContent>
              </v:textbox>
            </v:shape>
          </w:pict>
        </mc:Fallback>
      </mc:AlternateContent>
    </w: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825" name="文本框 12"/>
              <wp:cNvGraphicFramePr>
                <a:graphicFrameLocks noChangeAspect="0"/>
              </wp:cNvGraphicFramePr>
              <a:graphic>
                <a:graphicData uri="http://schemas.microsoft.com/office/word/2010/wordprocessingShape">
                  <wps:wsp>
                    <wps:cNvSpPr/>
                    <wps:spPr>
                      <a:xfrm>
                        <a:off x="0" y="0"/>
                        <a:ext cx="1828800" cy="182880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25</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shape id="文本框 12" o:spid="_x0000_s7072" type="#_x0000_t202" style="height:2in;margin-left:0;margin-top:0;mso-height-relative:page;mso-position-horizontal:center;mso-position-horizontal-relative:margin;mso-width-relative:page;mso-wrap-distance-bottom:0;mso-wrap-distance-left:9pt;mso-wrap-distance-right:9pt;mso-wrap-distance-top:0;mso-wrap-style:none;position:absolute;v-text-anchor:top;width:2in;z-index:251666432" coordsize="21600,21600" filled="f" stroked="f" strokeweight="0.5pt">
              <w10:bordertop type="none" width="0"/>
              <w10:borderleft type="none" width="0"/>
              <w10:borderbottom type="none" width="0"/>
              <w10:borderright type="none" width="0"/>
              <v:textbox style="layout-flow:horizontal;mso-fit-shape-to-text:t" inset="0,0,0,0">
                <w:txbxContent>
                  <w:p>
                    <w:pPr>
                      <w:pStyle w:val="Footer"/>
                    </w:pPr>
                    <w:r>
                      <w:fldChar w:fldCharType="begin"/>
                    </w:r>
                    <w:r>
                      <w:instrText xml:space="preserve"> PAGE  \* MERGEFORMAT </w:instrText>
                    </w:r>
                    <w:r>
                      <w:fldChar w:fldCharType="separate"/>
                    </w:r>
                    <w:r>
                      <w:t xml:space="preserve">25</w:t>
                    </w:r>
                    <w:r>
                      <w:fldChar w:fldCharType="end"/>
                    </w:r>
                  </w:p>
                </w:txbxContent>
              </v:textbox>
            </v:shape>
          </w:pict>
        </mc:Fallback>
      </mc:AlternateConten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mc:AlternateContent xmlns:mc="http://schemas.openxmlformats.org/markup-compatibility/2006">
        <mc:Choice Requires="wps">
          <w:drawing>
            <wp:anchor distT="0" distB="0" distL="0" distR="0" simplePos="0" relativeHeight="251659264"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3819" name="Shape 5"/>
              <wp:cNvGraphicFramePr>
                <a:graphicFrameLocks noChangeAspect="0"/>
              </wp:cNvGraphicFramePr>
              <a:graphic>
                <a:graphicData uri="http://schemas.microsoft.com/office/word/2010/wordprocessingShape">
                  <wps:wsp>
                    <wps:cNvSpPr/>
                    <wps:spPr>
                      <a:xfrm>
                        <a:off x="0" y="0"/>
                        <a:ext cx="581025" cy="109855"/>
                      </a:xfrm>
                      <a:prstGeom prst="rect">
                        <a:avLst/>
                      </a:prstGeom>
                      <a:noFill/>
                    </wps:spPr>
                    <wps:txbx>
                      <w:txbxContent>
                        <w:p>
                          <w:pPr>
                            <w:pStyle w:val="Headerorfooter|1"/>
                          </w:pPr>
                        </w:p>
                      </w:txbxContent>
                    </wps:txbx>
                    <wps:bodyPr rot="0" spcFirstLastPara="0" vertOverflow="overflow" horzOverflow="overflow" vert="horz" wrap="square" lIns="0" tIns="0" rIns="0" bIns="0" numCol="1" anchor="t" upright="0">
                      <a:spAutoFit/>
                    </wps:bodyPr>
                  </wps:wsp>
                </a:graphicData>
              </a:graphic>
            </wp:anchor>
          </w:drawing>
        </mc:Choice>
        <mc:Fallback>
          <w:pict>
            <v:shape id="Shape 5" o:spid="_x0000_s7066" type="#_x0000_t202" style="height:8.65pt;margin-left:717.9pt;margin-top:95.85pt;mso-height-relative:page;mso-position-horizontal-relative:page;mso-position-vertical-relative:page;mso-width-relative:page;mso-wrap-distance-bottom:0;mso-wrap-distance-left:0;mso-wrap-distance-right:0;mso-wrap-distance-top:0;mso-wrap-style:square;position:absolute;width:45.75pt;z-index:-4043308031" coordsize="21600,21600" filled="f" stroked="f">
              <v:textbox style="mso-fit-shape-to-text:t" inset="0,0,0,0">
                <w:txbxContent>
                  <w:p>
                    <w:pPr>
                      <w:pStyle w:val="Headerorfooter|1"/>
                    </w:pPr>
                  </w:p>
                </w:txbxContent>
              </v:textbox>
            </v:shape>
          </w:pict>
        </mc:Fallback>
      </mc:AlternateContent>
    </w:r>
  </w:p>
</w:hdr>
</file>

<file path=word/header2.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mc:AlternateContent xmlns:mc="http://schemas.openxmlformats.org/markup-compatibility/2006">
        <mc:Choice Requires="wps">
          <w:drawing>
            <wp:anchor distT="0" distB="0" distL="0" distR="0" simplePos="0" relativeHeight="251660288"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3821" name="Shape 5"/>
              <wp:cNvGraphicFramePr>
                <a:graphicFrameLocks noChangeAspect="0"/>
              </wp:cNvGraphicFramePr>
              <a:graphic>
                <a:graphicData uri="http://schemas.microsoft.com/office/word/2010/wordprocessingShape">
                  <wps:wsp>
                    <wps:cNvSpPr/>
                    <wps:spPr>
                      <a:xfrm>
                        <a:off x="0" y="0"/>
                        <a:ext cx="581025" cy="109855"/>
                      </a:xfrm>
                      <a:prstGeom prst="rect">
                        <a:avLst/>
                      </a:prstGeom>
                      <a:noFill/>
                    </wps:spPr>
                    <wps:txbx>
                      <w:txbxContent>
                        <w:p>
                          <w:pPr>
                            <w:pStyle w:val="Headerorfooter|1"/>
                          </w:pPr>
                        </w:p>
                      </w:txbxContent>
                    </wps:txbx>
                    <wps:bodyPr rot="0" spcFirstLastPara="0" vertOverflow="overflow" horzOverflow="overflow" vert="horz" wrap="square" lIns="0" tIns="0" rIns="0" bIns="0" numCol="1" anchor="t" upright="0">
                      <a:spAutoFit/>
                    </wps:bodyPr>
                  </wps:wsp>
                </a:graphicData>
              </a:graphic>
            </wp:anchor>
          </w:drawing>
        </mc:Choice>
        <mc:Fallback>
          <w:pict>
            <v:shape id="Shape 5" o:spid="_x0000_s7068" type="#_x0000_t202" style="height:8.65pt;margin-left:717.9pt;margin-top:95.85pt;mso-height-relative:page;mso-position-horizontal-relative:page;mso-position-vertical-relative:page;mso-width-relative:page;mso-wrap-distance-bottom:0;mso-wrap-distance-left:0;mso-wrap-distance-right:0;mso-wrap-distance-top:0;mso-wrap-style:square;position:absolute;width:45.75pt;z-index:-4043307007" coordsize="21600,21600" filled="f" stroked="f">
              <v:textbox style="mso-fit-shape-to-text:t" inset="0,0,0,0">
                <w:txbxContent>
                  <w:p>
                    <w:pPr>
                      <w:pStyle w:val="Headerorfooter|1"/>
                    </w:pPr>
                  </w:p>
                </w:txbxContent>
              </v:textbox>
            </v:shape>
          </w:pict>
        </mc:Fallback>
      </mc:AlternateContent>
    </w:r>
  </w:p>
</w:hdr>
</file>

<file path=word/header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header4.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header5.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singleLevel"/>
    <w:lvl w:ilvl="0">
      <w:start w:val="1"/>
      <w:numFmt w:val="decimal"/>
      <w:suff w:val="nothing"/>
      <w:lvlText w:val="%1．"/>
      <w:lvlJc w:val="left"/>
      <w:pPr>
        <w:ind w:left="0" w:firstLine="4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sl="http://schemas.openxmlformats.org/schemaLibrary/2006/main" xmlns:w="http://schemas.openxmlformats.org/wordprocessingml/2006/main" xmlns:w14="http://schemas.microsoft.com/office/word/2010/wordml" xmlns:w15="http://schemas.microsoft.com/office/word/2012/wordml" mc:Ignorable="w14 w15">
  <w:zoom w:percent="100"/>
  <w:bordersDoNotSurroundFooter w:val="0"/>
  <w:bordersDoNotSurroundHeader w:val="0"/>
  <w:doNotTrackMoves/>
  <w:documentProtection w:enforcement="1" w:edit="readOnly" w:salt="nnVvoXk+UC4oJPUaF5XFDQ==" w:hash="yW0GqJKEQX2w9dae3qtRxTmyTSiXpZ+jPinIAu5Dwx6GPtfZSL9xIsqyp7zkEhBev6qSrxKRedL0kQ3eKd3mMQ==" w:cryptSpinCount="100000" w:cryptAlgorithmType="typeAny" w:cryptAlgorithmClass="hash" w:cryptProviderType="rsaAES" w:cryptAlgorithmSid="14"/>
  <w:defaultTabStop w:val="420"/>
  <w:drawingGridHorizontalSpacing w:val="181"/>
  <w:drawingGridVerticalSpacing w:val="181"/>
  <w:noPunctuationKerning/>
  <w:characterSpacingControl w:val="compressPunctuation"/>
  <w:compat>
    <w:doNotExpandShiftReturn/>
    <w:doNotWrapTextWithPunct/>
    <w:doNotUseEastAsianBreakRules/>
    <w:useFELayout/>
    <w:doNotUseIndentAsNumberingTabStop/>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w:docVars>
    <w:docVar w:name="commondata" w:val="eyJoZGlkIjoiMGI3MmYwZTNiZDI5Y2Q4YzI1NGE3NmVlMWM4ODU1YTUifQ=="/>
  </w:docVars>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qFormat="1"/>
    <w:lsdException w:name="header" w:semiHidden="0" w:uiPriority="0" w:unhideWhenUsed="0" w:qFormat="1"/>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qFormat="1"/>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Variable" w:semiHidden="0" w:uiPriority="0" w:unhideWhenUsed="0"/>
    <w:lsdException w:name="Normal Table" w:qFormat="1"/>
    <w:lsdException w:name="annotation subject" w:semiHidden="0" w:uiPriority="0" w:unhideWhenUsed="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iPriority="0" w:unhideWhenUsed="0"/>
    <w:lsdException w:name="Table Grid" w:semiHidden="0" w:uiPriority="0" w:unhideWhenUsed="0" w:qFormat="1"/>
    <w:lsdException w:name="Table Theme"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autoRedefine/>
    <w:qFormat/>
    <w:pPr>
      <w:widowControl w:val="0"/>
    </w:pPr>
    <w:rPr>
      <w:rFonts w:ascii="Times New Roman" w:eastAsia="Times New Roman" w:hAnsi="Times New Roman" w:cs="Times New Roman"/>
      <w:color w:val="000000"/>
      <w:sz w:val="24"/>
      <w:szCs w:val="24"/>
      <w:lang w:val="en-US" w:eastAsia="en-US" w:bidi="en-US"/>
    </w:rPr>
  </w:style>
  <w:style w:type="character" w:default="1" w:styleId="DefaultParagraphFont">
    <w:name w:val="Default Paragraph Font"/>
    <w:autoRedefine/>
    <w:uiPriority w:val="1"/>
    <w:semiHidden/>
    <w:unhideWhenUsed/>
    <w:qFormat/>
    <w:rPr/>
  </w:style>
  <w:style w:type="table" w:default="1" w:styleId="NormalTable">
    <w:name w:val="Normal Table"/>
    <w:autoRedefine/>
    <w:uiPriority w:val="99"/>
    <w:semiHidden/>
    <w:unhideWhenUsed/>
    <w:qFormat/>
    <w:rPr/>
    <w:tblPr>
      <w:tblCellMar>
        <w:top w:w="0" w:type="dxa"/>
        <w:left w:w="108" w:type="dxa"/>
        <w:bottom w:w="0" w:type="dxa"/>
        <w:right w:w="108" w:type="dxa"/>
      </w:tblCellMar>
    </w:tblPr>
  </w:style>
  <w:style w:type="paragraph" w:styleId="CommentText">
    <w:name w:val="Comment Text"/>
    <w:basedOn w:val="Normal"/>
    <w:autoRedefine/>
    <w:qFormat/>
    <w:rPr/>
  </w:style>
  <w:style w:type="paragraph" w:styleId="Footer">
    <w:name w:val="Footer"/>
    <w:basedOn w:val="Normal"/>
    <w:autoRedefine/>
    <w:qFormat/>
    <w:pPr>
      <w:tabs>
        <w:tab w:val="center" w:pos="4153"/>
        <w:tab w:val="right" w:pos="8306"/>
      </w:tabs>
      <w:snapToGrid w:val="0"/>
    </w:pPr>
    <w:rPr>
      <w:sz w:val="18"/>
    </w:rPr>
  </w:style>
  <w:style w:type="paragraph" w:styleId="Header">
    <w:name w:val="Header"/>
    <w:basedOn w:val="Normal"/>
    <w:autoRedefine/>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styleId="TableGrid">
    <w:name w:val="Table Grid"/>
    <w:basedOn w:val="NormalTable"/>
    <w:autoRedefine/>
    <w:qFormat/>
    <w:pPr>
      <w:widowControl w:val="0"/>
      <w:jc w:val="both"/>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Comment Reference"/>
    <w:basedOn w:val="DefaultParagraphFont"/>
    <w:autoRedefine/>
    <w:qFormat/>
    <w:rPr>
      <w:sz w:val="21"/>
      <w:szCs w:val="21"/>
    </w:rPr>
  </w:style>
  <w:style w:type="character" w:customStyle="1" w:styleId="Bodytext|5_">
    <w:name w:val="Body text|5_"/>
    <w:basedOn w:val="DefaultParagraphFont"/>
    <w:link w:val="Bodytext|5"/>
    <w:autoRedefine/>
    <w:qFormat/>
    <w:rPr>
      <w:rFonts w:ascii="宋体" w:eastAsia="宋体" w:hAnsi="宋体" w:cs="宋体"/>
      <w:sz w:val="54"/>
      <w:szCs w:val="54"/>
      <w:u w:val="none"/>
      <w:shd w:val="clear" w:color="auto" w:fill="auto"/>
      <w:lang w:val="zh-TW" w:eastAsia="zh-TW" w:bidi="zh-TW"/>
    </w:rPr>
  </w:style>
  <w:style w:type="paragraph" w:customStyle="1" w:styleId="Bodytext|5">
    <w:name w:val="Body text|5"/>
    <w:basedOn w:val="Normal"/>
    <w:link w:val="Bodytext|5_"/>
    <w:autoRedefine/>
    <w:qFormat/>
    <w:pPr>
      <w:jc w:val="center"/>
    </w:pPr>
    <w:rPr>
      <w:rFonts w:ascii="宋体" w:eastAsia="宋体" w:hAnsi="宋体" w:cs="宋体"/>
      <w:sz w:val="54"/>
      <w:szCs w:val="54"/>
      <w:lang w:val="zh-TW" w:eastAsia="zh-TW" w:bidi="zh-TW"/>
    </w:rPr>
  </w:style>
  <w:style w:type="character" w:customStyle="1" w:styleId="Heading#1|1_">
    <w:name w:val="Heading #1|1_"/>
    <w:basedOn w:val="DefaultParagraphFont"/>
    <w:link w:val="Heading#1|1"/>
    <w:autoRedefine/>
    <w:qFormat/>
    <w:rPr>
      <w:rFonts w:ascii="宋体" w:eastAsia="宋体" w:hAnsi="宋体" w:cs="宋体"/>
      <w:sz w:val="44"/>
      <w:szCs w:val="44"/>
      <w:u w:val="none"/>
      <w:shd w:val="clear" w:color="auto" w:fill="auto"/>
      <w:lang w:val="zh-TW" w:eastAsia="zh-TW" w:bidi="zh-TW"/>
    </w:rPr>
  </w:style>
  <w:style w:type="paragraph" w:customStyle="1" w:styleId="Heading#1|1">
    <w:name w:val="Heading #1|1"/>
    <w:basedOn w:val="Normal"/>
    <w:link w:val="Heading#1|1_"/>
    <w:autoRedefine/>
    <w:qFormat/>
    <w:pPr>
      <w:spacing w:after="400"/>
      <w:jc w:val="center"/>
      <w:outlineLvl w:val="0"/>
    </w:pPr>
    <w:rPr>
      <w:rFonts w:ascii="宋体" w:eastAsia="宋体" w:hAnsi="宋体" w:cs="宋体"/>
      <w:sz w:val="44"/>
      <w:szCs w:val="44"/>
      <w:lang w:val="zh-TW" w:eastAsia="zh-TW" w:bidi="zh-TW"/>
    </w:rPr>
  </w:style>
  <w:style w:type="character" w:customStyle="1" w:styleId="Headerorfooter|2_">
    <w:name w:val="Header or footer|2_"/>
    <w:basedOn w:val="DefaultParagraphFont"/>
    <w:link w:val="Headerorfooter|2"/>
    <w:autoRedefine/>
    <w:qFormat/>
    <w:rPr>
      <w:sz w:val="20"/>
      <w:szCs w:val="20"/>
      <w:u w:val="none"/>
      <w:shd w:val="clear" w:color="auto" w:fill="auto"/>
      <w:lang w:val="zh-TW" w:eastAsia="zh-TW" w:bidi="zh-TW"/>
    </w:rPr>
  </w:style>
  <w:style w:type="paragraph" w:customStyle="1" w:styleId="Headerorfooter|2">
    <w:name w:val="Header or footer|2"/>
    <w:basedOn w:val="Normal"/>
    <w:link w:val="Headerorfooter|2_"/>
    <w:autoRedefine/>
    <w:qFormat/>
    <w:rPr>
      <w:sz w:val="20"/>
      <w:szCs w:val="20"/>
      <w:lang w:val="zh-TW" w:eastAsia="zh-TW" w:bidi="zh-TW"/>
    </w:rPr>
  </w:style>
  <w:style w:type="character" w:customStyle="1" w:styleId="Bodytext|2_">
    <w:name w:val="Body text|2_"/>
    <w:basedOn w:val="DefaultParagraphFont"/>
    <w:link w:val="Bodytext|2"/>
    <w:autoRedefine/>
    <w:qFormat/>
    <w:rPr>
      <w:rFonts w:ascii="宋体" w:eastAsia="宋体" w:hAnsi="宋体" w:cs="宋体"/>
      <w:sz w:val="32"/>
      <w:szCs w:val="32"/>
      <w:u w:val="none"/>
      <w:shd w:val="clear" w:color="auto" w:fill="auto"/>
      <w:lang w:val="zh-TW" w:eastAsia="zh-TW" w:bidi="zh-TW"/>
    </w:rPr>
  </w:style>
  <w:style w:type="paragraph" w:customStyle="1" w:styleId="Bodytext|2">
    <w:name w:val="Body text|2"/>
    <w:basedOn w:val="Normal"/>
    <w:link w:val="Bodytext|2_"/>
    <w:autoRedefine/>
    <w:qFormat/>
    <w:pPr>
      <w:spacing w:after="240"/>
      <w:ind w:firstLine="560"/>
    </w:pPr>
    <w:rPr>
      <w:rFonts w:ascii="宋体" w:eastAsia="宋体" w:hAnsi="宋体" w:cs="宋体"/>
      <w:sz w:val="32"/>
      <w:szCs w:val="32"/>
      <w:lang w:val="zh-TW" w:eastAsia="zh-TW" w:bidi="zh-TW"/>
    </w:rPr>
  </w:style>
  <w:style w:type="character" w:customStyle="1" w:styleId="Bodytext|1_">
    <w:name w:val="Body text|1_"/>
    <w:basedOn w:val="DefaultParagraphFont"/>
    <w:link w:val="Bodytext|1"/>
    <w:autoRedefine/>
    <w:qFormat/>
    <w:rPr>
      <w:rFonts w:ascii="宋体" w:eastAsia="宋体" w:hAnsi="宋体" w:cs="宋体"/>
      <w:sz w:val="28"/>
      <w:szCs w:val="28"/>
      <w:u w:val="none"/>
      <w:shd w:val="clear" w:color="auto" w:fill="auto"/>
      <w:lang w:val="zh-TW" w:eastAsia="zh-TW" w:bidi="zh-TW"/>
    </w:rPr>
  </w:style>
  <w:style w:type="paragraph" w:customStyle="1" w:styleId="Bodytext|1">
    <w:name w:val="Body text|1"/>
    <w:basedOn w:val="Normal"/>
    <w:link w:val="Bodytext|1_"/>
    <w:autoRedefine/>
    <w:qFormat/>
    <w:pPr>
      <w:spacing w:line="468" w:lineRule="auto"/>
      <w:ind w:firstLine="400"/>
    </w:pPr>
    <w:rPr>
      <w:rFonts w:ascii="宋体" w:eastAsia="宋体" w:hAnsi="宋体" w:cs="宋体"/>
      <w:sz w:val="28"/>
      <w:szCs w:val="28"/>
      <w:lang w:val="zh-TW" w:eastAsia="zh-TW" w:bidi="zh-TW"/>
    </w:rPr>
  </w:style>
  <w:style w:type="character" w:customStyle="1" w:styleId="Headerorfooter|1_">
    <w:name w:val="Header or footer|1_"/>
    <w:basedOn w:val="DefaultParagraphFont"/>
    <w:link w:val="Headerorfooter|1"/>
    <w:autoRedefine/>
    <w:qFormat/>
    <w:rPr>
      <w:b/>
      <w:bCs/>
      <w:sz w:val="17"/>
      <w:szCs w:val="17"/>
      <w:u w:val="none"/>
      <w:shd w:val="clear" w:color="auto" w:fill="auto"/>
      <w:lang w:val="zh-TW" w:eastAsia="zh-TW" w:bidi="zh-TW"/>
    </w:rPr>
  </w:style>
  <w:style w:type="paragraph" w:customStyle="1" w:styleId="Headerorfooter|1">
    <w:name w:val="Header or footer|1"/>
    <w:basedOn w:val="Normal"/>
    <w:link w:val="Headerorfooter|1_"/>
    <w:autoRedefine/>
    <w:qFormat/>
    <w:rPr>
      <w:b/>
      <w:bCs/>
      <w:sz w:val="17"/>
      <w:szCs w:val="17"/>
      <w:lang w:val="zh-TW" w:eastAsia="zh-TW" w:bidi="zh-TW"/>
    </w:rPr>
  </w:style>
  <w:style w:type="character" w:customStyle="1" w:styleId="Heading#2|1_">
    <w:name w:val="Heading #2|1_"/>
    <w:basedOn w:val="DefaultParagraphFont"/>
    <w:link w:val="Heading#2|1"/>
    <w:autoRedefine/>
    <w:qFormat/>
    <w:rPr>
      <w:rFonts w:ascii="宋体" w:eastAsia="宋体" w:hAnsi="宋体" w:cs="宋体"/>
      <w:sz w:val="26"/>
      <w:szCs w:val="26"/>
      <w:u w:val="none"/>
      <w:shd w:val="clear" w:color="auto" w:fill="auto"/>
      <w:lang w:val="zh-TW" w:eastAsia="zh-TW" w:bidi="zh-TW"/>
    </w:rPr>
  </w:style>
  <w:style w:type="paragraph" w:customStyle="1" w:styleId="Heading#2|1">
    <w:name w:val="Heading #2|1"/>
    <w:basedOn w:val="Normal"/>
    <w:link w:val="Heading#2|1_"/>
    <w:autoRedefine/>
    <w:qFormat/>
    <w:pPr>
      <w:spacing w:after="230"/>
      <w:jc w:val="center"/>
      <w:outlineLvl w:val="1"/>
    </w:pPr>
    <w:rPr>
      <w:rFonts w:ascii="宋体" w:eastAsia="宋体" w:hAnsi="宋体" w:cs="宋体"/>
      <w:sz w:val="26"/>
      <w:szCs w:val="26"/>
      <w:lang w:val="zh-TW" w:eastAsia="zh-TW" w:bidi="zh-TW"/>
    </w:rPr>
  </w:style>
  <w:style w:type="character" w:customStyle="1" w:styleId="Other|1_">
    <w:name w:val="Other|1_"/>
    <w:basedOn w:val="DefaultParagraphFont"/>
    <w:link w:val="Other|1"/>
    <w:autoRedefine/>
    <w:qFormat/>
    <w:rPr>
      <w:rFonts w:ascii="宋体" w:eastAsia="宋体" w:hAnsi="宋体" w:cs="宋体"/>
      <w:sz w:val="28"/>
      <w:szCs w:val="28"/>
      <w:u w:val="none"/>
      <w:shd w:val="clear" w:color="auto" w:fill="auto"/>
      <w:lang w:val="zh-TW" w:eastAsia="zh-TW" w:bidi="zh-TW"/>
    </w:rPr>
  </w:style>
  <w:style w:type="paragraph" w:customStyle="1" w:styleId="Other|1">
    <w:name w:val="Other|1"/>
    <w:basedOn w:val="Normal"/>
    <w:link w:val="Other|1_"/>
    <w:autoRedefine/>
    <w:qFormat/>
    <w:pPr>
      <w:spacing w:line="468" w:lineRule="auto"/>
      <w:ind w:firstLine="400"/>
    </w:pPr>
    <w:rPr>
      <w:rFonts w:ascii="宋体" w:eastAsia="宋体" w:hAnsi="宋体" w:cs="宋体"/>
      <w:sz w:val="28"/>
      <w:szCs w:val="28"/>
      <w:lang w:val="zh-TW" w:eastAsia="zh-TW" w:bidi="zh-TW"/>
    </w:rPr>
  </w:style>
  <w:style w:type="character" w:customStyle="1" w:styleId="Tablecaption|1_">
    <w:name w:val="Table caption|1_"/>
    <w:basedOn w:val="DefaultParagraphFont"/>
    <w:link w:val="Tablecaption|1"/>
    <w:autoRedefine/>
    <w:qFormat/>
    <w:rPr>
      <w:rFonts w:ascii="宋体" w:eastAsia="宋体" w:hAnsi="宋体" w:cs="宋体"/>
      <w:sz w:val="17"/>
      <w:szCs w:val="17"/>
      <w:u w:val="none"/>
      <w:shd w:val="clear" w:color="auto" w:fill="auto"/>
      <w:lang w:val="zh-TW" w:eastAsia="zh-TW" w:bidi="zh-TW"/>
    </w:rPr>
  </w:style>
  <w:style w:type="paragraph" w:customStyle="1" w:styleId="Tablecaption|1">
    <w:name w:val="Table caption|1"/>
    <w:basedOn w:val="Normal"/>
    <w:link w:val="Tablecaption|1_"/>
    <w:autoRedefine/>
    <w:qFormat/>
    <w:rPr>
      <w:rFonts w:ascii="宋体" w:eastAsia="宋体" w:hAnsi="宋体" w:cs="宋体"/>
      <w:sz w:val="17"/>
      <w:szCs w:val="17"/>
      <w:lang w:val="zh-TW" w:eastAsia="zh-TW" w:bidi="zh-TW"/>
    </w:rPr>
  </w:style>
  <w:style w:type="character" w:customStyle="1" w:styleId="Bodytext|4_">
    <w:name w:val="Body text|4_"/>
    <w:basedOn w:val="DefaultParagraphFont"/>
    <w:link w:val="Bodytext|4"/>
    <w:autoRedefine/>
    <w:qFormat/>
    <w:rPr>
      <w:rFonts w:ascii="宋体" w:eastAsia="宋体" w:hAnsi="宋体" w:cs="宋体"/>
      <w:sz w:val="17"/>
      <w:szCs w:val="17"/>
      <w:u w:val="none"/>
      <w:shd w:val="clear" w:color="auto" w:fill="auto"/>
      <w:lang w:val="zh-TW" w:eastAsia="zh-TW" w:bidi="zh-TW"/>
    </w:rPr>
  </w:style>
  <w:style w:type="paragraph" w:customStyle="1" w:styleId="Bodytext|4">
    <w:name w:val="Body text|4"/>
    <w:basedOn w:val="Normal"/>
    <w:link w:val="Bodytext|4_"/>
    <w:autoRedefine/>
    <w:qFormat/>
    <w:pPr>
      <w:ind w:firstLine="680"/>
    </w:pPr>
    <w:rPr>
      <w:rFonts w:ascii="宋体" w:eastAsia="宋体" w:hAnsi="宋体" w:cs="宋体"/>
      <w:sz w:val="17"/>
      <w:szCs w:val="17"/>
      <w:lang w:val="zh-TW" w:eastAsia="zh-TW" w:bidi="zh-TW"/>
    </w:rPr>
  </w:style>
  <w:style w:type="character" w:customStyle="1" w:styleId="Bodytext|3_">
    <w:name w:val="Body text|3_"/>
    <w:basedOn w:val="DefaultParagraphFont"/>
    <w:link w:val="Bodytext|3"/>
    <w:autoRedefine/>
    <w:qFormat/>
    <w:rPr>
      <w:sz w:val="30"/>
      <w:szCs w:val="30"/>
      <w:u w:val="none"/>
      <w:shd w:val="clear" w:color="auto" w:fill="auto"/>
      <w:lang w:val="zh-TW" w:eastAsia="zh-TW" w:bidi="zh-TW"/>
    </w:rPr>
  </w:style>
  <w:style w:type="paragraph" w:customStyle="1" w:styleId="Bodytext|3">
    <w:name w:val="Body text|3"/>
    <w:basedOn w:val="Normal"/>
    <w:link w:val="Bodytext|3_"/>
    <w:autoRedefine/>
    <w:qFormat/>
    <w:pPr>
      <w:spacing w:after="140" w:line="336" w:lineRule="auto"/>
      <w:ind w:firstLine="370"/>
    </w:pPr>
    <w:rPr>
      <w:sz w:val="30"/>
      <w:szCs w:val="30"/>
      <w:lang w:val="zh-TW" w:eastAsia="zh-TW" w:bidi="zh-TW"/>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charts/chart5.xml" Type="http://schemas.openxmlformats.org/officeDocument/2006/relationships/chart"/><Relationship Id="rId11" Target="charts/chart6.xml" Type="http://schemas.openxmlformats.org/officeDocument/2006/relationships/chart"/><Relationship Id="rId12" Target="header1.xml" Type="http://schemas.openxmlformats.org/officeDocument/2006/relationships/header"/><Relationship Id="rId13" Target="footer2.xml" Type="http://schemas.openxmlformats.org/officeDocument/2006/relationships/footer"/><Relationship Id="rId14" Target="header2.xml" Type="http://schemas.openxmlformats.org/officeDocument/2006/relationships/header"/><Relationship Id="rId15" Target="footer3.xml" Type="http://schemas.openxmlformats.org/officeDocument/2006/relationships/footer"/><Relationship Id="rId16" Target="header3.xml" Type="http://schemas.openxmlformats.org/officeDocument/2006/relationships/header"/><Relationship Id="rId17" Target="footer4.xml" Type="http://schemas.openxmlformats.org/officeDocument/2006/relationships/footer"/><Relationship Id="rId18" Target="header4.xml" Type="http://schemas.openxmlformats.org/officeDocument/2006/relationships/header"/><Relationship Id="rId19" Target="footer5.xml" Type="http://schemas.openxmlformats.org/officeDocument/2006/relationships/footer"/><Relationship Id="rId2" Target="../customXml/item2.xml" Type="http://schemas.openxmlformats.org/officeDocument/2006/relationships/customXml"/><Relationship Id="rId20" Target="header5.xml" Type="http://schemas.openxmlformats.org/officeDocument/2006/relationships/header"/><Relationship Id="rId21" Target="footer6.xml" Type="http://schemas.openxmlformats.org/officeDocument/2006/relationships/footer"/><Relationship Id="rId22" Target="theme/theme1.xml" Type="http://schemas.openxmlformats.org/officeDocument/2006/relationships/theme"/><Relationship Id="rId23" Target="styles.xml" Type="http://schemas.openxmlformats.org/officeDocument/2006/relationships/styles"/><Relationship Id="rId24" Target="webSettings.xml" Type="http://schemas.openxmlformats.org/officeDocument/2006/relationships/webSettings"/><Relationship Id="rId25" Target="numbering.xml" Type="http://schemas.openxmlformats.org/officeDocument/2006/relationships/numbering"/><Relationship Id="rId26" Target="fontTable.xml" Type="http://schemas.openxmlformats.org/officeDocument/2006/relationships/fontTable"/><Relationship Id="rId27" Target="settings.xml" Type="http://schemas.openxmlformats.org/officeDocument/2006/relationships/settings"/><Relationship Id="rId3" Target="../customXml/item3.xml" Type="http://schemas.openxmlformats.org/officeDocument/2006/relationships/customXml"/><Relationship Id="rId4" Target="../customXml/item4.xml" Type="http://schemas.openxmlformats.org/officeDocument/2006/relationships/customXml"/><Relationship Id="rId5" Target="footer1.xml" Type="http://schemas.openxmlformats.org/officeDocument/2006/relationships/footer"/><Relationship Id="rId6" Target="charts/chart1.xml" Type="http://schemas.openxmlformats.org/officeDocument/2006/relationships/chart"/><Relationship Id="rId7" Target="charts/chart2.xml" Type="http://schemas.openxmlformats.org/officeDocument/2006/relationships/chart"/><Relationship Id="rId8" Target="charts/chart3.xml" Type="http://schemas.openxmlformats.org/officeDocument/2006/relationships/chart"/><Relationship Id="rId9" Target="charts/chart4.xml" Type="http://schemas.openxmlformats.org/officeDocument/2006/relationships/chart"/></Relationships>
</file>

<file path=word/charts/_rels/chart1.xml.rels><?xml version="1.0" encoding="UTF-8" standalone="yes"?><Relationships xmlns="http://schemas.openxmlformats.org/package/2006/relationships"><Relationship Id="rId1" Target="../embeddings/Microsoft_Office_Excel_Worksheet1.xlsx" Type="http://schemas.openxmlformats.org/officeDocument/2006/relationships/package"/></Relationships>
</file>

<file path=word/charts/_rels/chart2.xml.rels><?xml version="1.0" encoding="UTF-8" standalone="yes"?><Relationships xmlns="http://schemas.openxmlformats.org/package/2006/relationships"><Relationship Id="rId1" Target="../embeddings/Microsoft_Office_Excel_Worksheet2.xlsx" Type="http://schemas.openxmlformats.org/officeDocument/2006/relationships/package"/></Relationships>
</file>

<file path=word/charts/_rels/chart3.xml.rels><?xml version="1.0" encoding="UTF-8" standalone="yes"?><Relationships xmlns="http://schemas.openxmlformats.org/package/2006/relationships"><Relationship Id="rId1" Target="../embeddings/Microsoft_Office_Excel_Worksheet3.xlsx" Type="http://schemas.openxmlformats.org/officeDocument/2006/relationships/package"/></Relationships>
</file>

<file path=word/charts/_rels/chart4.xml.rels><?xml version="1.0" encoding="UTF-8" standalone="yes"?><Relationships xmlns="http://schemas.openxmlformats.org/package/2006/relationships"><Relationship Id="rId1" Target="../embeddings/Microsoft_Office_Excel_Worksheet4.xlsx" Type="http://schemas.openxmlformats.org/officeDocument/2006/relationships/package"/></Relationships>
</file>

<file path=word/charts/_rels/chart5.xml.rels><?xml version="1.0" encoding="UTF-8" standalone="yes"?><Relationships xmlns="http://schemas.openxmlformats.org/package/2006/relationships"><Relationship Id="rId1" Target="../embeddings/Microsoft_Office_Excel_Worksheet5.xlsx" Type="http://schemas.openxmlformats.org/officeDocument/2006/relationships/package"/></Relationships>
</file>

<file path=word/charts/_rels/chart6.xml.rels><?xml version="1.0" encoding="UTF-8" standalone="yes"?><Relationships xmlns="http://schemas.openxmlformats.org/package/2006/relationships"><Relationship Id="rId1" Target="../embeddings/Microsoft_Office_Excel_Worksheet6.xlsx" Type="http://schemas.openxmlformats.org/officeDocument/2006/relationships/package"/></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部门收入总体情况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一般公共预算拨款</c:v>
                </c:pt>
              </c:strCache>
            </c:strRef>
          </c:cat>
          <c:val>
            <c:numRef>
              <c:f>Sheet1!$B$2</c:f>
              <c:numCache>
                <c:ptCount val="1"/>
                <c:pt idx="0">
                  <c:v>976.52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部门支出总体情况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Lbls>
            <c:delete val="1"/>
          </c:dLbls>
          <c:cat>
            <c:strRef>
              <c:f>Sheet1!$A$2:$A$4</c:f>
              <c:strCache>
                <c:ptCount val="3"/>
                <c:pt idx="0">
                  <c:v>一般公共服务支出</c:v>
                </c:pt>
                <c:pt idx="1">
                  <c:v>社会保障和就业支出</c:v>
                </c:pt>
                <c:pt idx="2">
                  <c:v>住房保障支出</c:v>
                </c:pt>
              </c:strCache>
            </c:strRef>
          </c:cat>
          <c:val>
            <c:numRef>
              <c:f>Sheet1!$B$2:$B$4</c:f>
              <c:numCache>
                <c:ptCount val="3"/>
                <c:pt idx="0">
                  <c:v>569.97</c:v>
                </c:pt>
                <c:pt idx="1">
                  <c:v>44.11</c:v>
                </c:pt>
                <c:pt idx="2">
                  <c:v>37.91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财政拨款收支总体情况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c:f>
              <c:strCache>
                <c:ptCount val="1"/>
                <c:pt idx="0">
                  <c:v>收入</c:v>
                </c:pt>
              </c:strCache>
            </c:strRef>
          </c:cat>
          <c:val>
            <c:numRef>
              <c:f>Sheet1!$B$2</c:f>
              <c:numCache>
                <c:formatCode>General</c:formatCode>
                <c:ptCount val="1"/>
                <c:pt idx="0">
                  <c:v>644.53</c:v>
                </c:pt>
              </c:numCache>
            </c:numRef>
          </c:val>
        </c:ser>
        <c:ser>
          <c:idx val="1"/>
          <c:order val="1"/>
          <c:tx>
            <c:strRef>
              <c:f>Sheet1!$C$1</c:f>
              <c:strCache>
                <c:ptCount val="1"/>
                <c:pt idx="0">
                  <c:v>当年</c:v>
                </c:pt>
              </c:strCache>
            </c:strRef>
          </c:tx>
          <c:spPr>
            <a:solidFill>
              <a:schemeClr val="accent2"/>
            </a:solidFill>
            <a:ln>
              <a:noFill/>
            </a:ln>
            <a:effectLst/>
          </c:spPr>
          <c:invertIfNegative val="0"/>
          <c:dLbls>
            <c:delete val="1"/>
          </c:dLbls>
          <c:cat>
            <c:strRef>
              <c:f>Sheet1!$A$2</c:f>
              <c:strCache>
                <c:ptCount val="1"/>
                <c:pt idx="0">
                  <c:v>收入</c:v>
                </c:pt>
              </c:strCache>
            </c:strRef>
          </c:cat>
          <c:val>
            <c:numRef>
              <c:f>Sheet1!$C$2</c:f>
              <c:numCache>
                <c:formatCode>General</c:formatCode>
                <c:ptCount val="1"/>
                <c:pt idx="0">
                  <c:v>976.52</c:v>
                </c:pt>
              </c:numCache>
            </c:numRef>
          </c:val>
        </c:ser>
        <c:ser>
          <c:idx val="2"/>
          <c:order val="2"/>
          <c:tx>
            <c:strRef>
              <c:f>Sheet1!$D$1</c:f>
              <c:strCache>
                <c:ptCount val="1"/>
                <c:pt idx="0">
                  <c:v>MOF_DIV_CODE</c:v>
                </c:pt>
              </c:strCache>
            </c:strRef>
          </c:tx>
          <c:cat>
            <c:strRef>
              <c:f>Sheet1!$A$2</c:f>
              <c:strCache>
                <c:ptCount val="1"/>
                <c:pt idx="0">
                  <c:v>收入</c:v>
                </c:pt>
              </c:strCache>
            </c:strRef>
          </c:cat>
          <c:val>
            <c:numRef>
              <c:f>Sheet1!$D$2</c:f>
              <c:numCache>
                <c:ptCount val="1"/>
                <c:pt idx="0">
                  <c:v>4.51226E8</c:v>
                </c:pt>
              </c:numCache>
            </c:numRef>
          </c:val>
        </c:ser>
        <c:ser>
          <c:idx val="3"/>
          <c:order val="3"/>
          <c:tx>
            <c:strRef>
              <c:f>Sheet1!$E$1</c:f>
              <c:strCache>
                <c:ptCount val="1"/>
                <c:pt idx="0">
                  <c:v>AGENCY_CODE</c:v>
                </c:pt>
              </c:strCache>
            </c:strRef>
          </c:tx>
          <c:cat>
            <c:strRef>
              <c:f>Sheet1!$A$2</c:f>
              <c:strCache>
                <c:ptCount val="1"/>
                <c:pt idx="0">
                  <c:v>收入</c:v>
                </c:pt>
              </c:strCache>
            </c:strRef>
          </c:cat>
          <c:val>
            <c:numRef>
              <c:f>Sheet1!$E$2</c:f>
              <c:numCache>
                <c:ptCount val="1"/>
                <c:pt idx="0">
                  <c:v>707001.0</c:v>
                </c:pt>
              </c:numCache>
            </c:numRef>
          </c:val>
        </c:ser>
        <c:dLbls>
          <c:showLegendKey val="0"/>
          <c:showVal val="0"/>
          <c:showCatName val="0"/>
          <c:showSerName val="0"/>
          <c:showPercent val="0"/>
          <c:showBubbleSize val="0"/>
        </c:dLbls>
        <c:gapWidth val="219"/>
        <c:overlap val="-27"/>
        <c:axId val="811850650"/>
        <c:axId val="698020238"/>
      </c:barChart>
      <c:catAx>
        <c:axId val="81185065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8020238"/>
        <c:crosses val="autoZero"/>
        <c:auto val="1"/>
        <c:lblAlgn val="ctr"/>
        <c:lblOffset val="100"/>
        <c:noMultiLvlLbl val="0"/>
      </c:catAx>
      <c:valAx>
        <c:axId val="69802023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185065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rtlCol="false"/>
          <a:lstStyle/>
          <a:p>
            <a:pPr algn="l">
              <a:defRPr/>
            </a:pPr>
            <a:r>
              <a:rPr lang="en-US"/>
              <a:t>一般公共预算支出情况</a:t>
            </a:r>
            <a:endParaRPr lang="en-US" sz="1100"/>
          </a:p>
        </c:rich>
      </c:tx>
      <c:layout/>
      <c:overlay val="fals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bar"/>
        <c:grouping val="clustered"/>
        <c:varyColors val="0"/>
        <c:ser>
          <c:idx val="0"/>
          <c:order val="0"/>
          <c:tx>
            <c:strRef>
              <c:f>Sheet1!$B$1</c:f>
              <c:strCache>
                <c:ptCount val="1"/>
                <c:pt idx="0">
                  <c:v>基本支出</c:v>
                </c:pt>
              </c:strCache>
            </c:strRef>
          </c:tx>
          <c:spPr>
            <a:solidFill>
              <a:schemeClr val="accent1"/>
            </a:solidFill>
            <a:ln>
              <a:noFill/>
            </a:ln>
            <a:effectLst/>
          </c:spPr>
          <c:invertIfNegative val="0"/>
          <c:dLbls>
            <c:delete val="1"/>
          </c:dLbls>
          <c:cat>
            <c:strRef>
              <c:f>Sheet1!$A$2</c:f>
              <c:strCache>
                <c:ptCount val="1"/>
                <c:pt idx="0">
                  <c:v>上年</c:v>
                </c:pt>
              </c:strCache>
            </c:strRef>
          </c:cat>
          <c:val>
            <c:numRef>
              <c:f>Sheet1!$B$2</c:f>
              <c:numCache>
                <c:formatCode>General</c:formatCode>
                <c:ptCount val="1"/>
                <c:pt idx="0">
                  <c:v>581.98</c:v>
                </c:pt>
              </c:numCache>
            </c:numRef>
          </c:val>
        </c:ser>
        <c:ser>
          <c:idx val="1"/>
          <c:order val="1"/>
          <c:tx>
            <c:strRef>
              <c:f>Sheet1!$C$1</c:f>
              <c:strCache>
                <c:ptCount val="1"/>
                <c:pt idx="0">
                  <c:v>结转下年支出</c:v>
                </c:pt>
              </c:strCache>
            </c:strRef>
          </c:tx>
          <c:cat>
            <c:strRef>
              <c:f>Sheet1!$A$2</c:f>
              <c:strCache>
                <c:ptCount val="1"/>
                <c:pt idx="0">
                  <c:v>上年</c:v>
                </c:pt>
              </c:strCache>
            </c:strRef>
          </c:cat>
          <c:val>
            <c:numRef>
              <c:f>Sheet1!$C$2</c:f>
              <c:numCache>
                <c:ptCount val="1"/>
                <c:pt idx="0">
                  <c:v>0.0</c:v>
                </c:pt>
              </c:numCache>
            </c:numRef>
          </c:val>
        </c:ser>
        <c:ser>
          <c:idx val="2"/>
          <c:order val="2"/>
          <c:tx>
            <c:strRef>
              <c:f>Sheet1!$D$1</c:f>
              <c:strCache>
                <c:ptCount val="1"/>
                <c:pt idx="0">
                  <c:v>项目支出</c:v>
                </c:pt>
              </c:strCache>
            </c:strRef>
          </c:tx>
          <c:cat>
            <c:strRef>
              <c:f>Sheet1!$A$2</c:f>
              <c:strCache>
                <c:ptCount val="1"/>
                <c:pt idx="0">
                  <c:v>上年</c:v>
                </c:pt>
              </c:strCache>
            </c:strRef>
          </c:cat>
          <c:val>
            <c:numRef>
              <c:f>Sheet1!$D$2</c:f>
              <c:numCache>
                <c:ptCount val="1"/>
                <c:pt idx="0">
                  <c:v>70.0</c:v>
                </c:pt>
              </c:numCache>
            </c:numRef>
          </c:val>
        </c:ser>
        <c:ser>
          <c:idx val="3"/>
          <c:order val="3"/>
          <c:tx>
            <c:strRef>
              <c:f>Sheet1!$E$1</c:f>
              <c:strCache>
                <c:ptCount val="1"/>
                <c:pt idx="0">
                  <c:v>公用经费</c:v>
                </c:pt>
              </c:strCache>
            </c:strRef>
          </c:tx>
          <c:cat>
            <c:strRef>
              <c:f>Sheet1!$A$2</c:f>
              <c:strCache>
                <c:ptCount val="1"/>
                <c:pt idx="0">
                  <c:v>上年</c:v>
                </c:pt>
              </c:strCache>
            </c:strRef>
          </c:cat>
          <c:val>
            <c:numRef>
              <c:f>Sheet1!$E$2</c:f>
              <c:numCache>
                <c:ptCount val="1"/>
                <c:pt idx="0">
                  <c:v>46.94</c:v>
                </c:pt>
              </c:numCache>
            </c:numRef>
          </c:val>
        </c:ser>
        <c:ser>
          <c:idx val="4"/>
          <c:order val="4"/>
          <c:tx>
            <c:strRef>
              <c:f>Sheet1!$F$1</c:f>
              <c:strCache>
                <c:ptCount val="1"/>
                <c:pt idx="0">
                  <c:v>人员经费</c:v>
                </c:pt>
              </c:strCache>
            </c:strRef>
          </c:tx>
          <c:cat>
            <c:strRef>
              <c:f>Sheet1!$A$2</c:f>
              <c:strCache>
                <c:ptCount val="1"/>
                <c:pt idx="0">
                  <c:v>上年</c:v>
                </c:pt>
              </c:strCache>
            </c:strRef>
          </c:cat>
          <c:val>
            <c:numRef>
              <c:f>Sheet1!$F$2</c:f>
              <c:numCache>
                <c:ptCount val="1"/>
                <c:pt idx="0">
                  <c:v>535.05</c:v>
                </c:pt>
              </c:numCache>
            </c:numRef>
          </c:val>
        </c:ser>
        <c:dLbls>
          <c:showLegendKey val="0"/>
          <c:showVal val="0"/>
          <c:showCatName val="0"/>
          <c:showSerName val="0"/>
          <c:showPercent val="0"/>
          <c:showBubbleSize val="0"/>
        </c:dLbls>
        <c:gapWidth val="182"/>
        <c:overlap val="0"/>
        <c:axId val="691519273"/>
        <c:axId val="850134922"/>
      </c:barChart>
      <c:catAx>
        <c:axId val="691519273"/>
        <c:scaling>
          <c:orientation val="minMax"/>
        </c:scaling>
        <c:delete val="1"/>
        <c:axPos val="l"/>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0134922"/>
        <c:crosses val="autoZero"/>
        <c:auto val="1"/>
        <c:lblAlgn val="ctr"/>
        <c:lblOffset val="100"/>
        <c:noMultiLvlLbl val="0"/>
      </c:catAx>
      <c:valAx>
        <c:axId val="85013492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151927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rtlCol="false"/>
          <a:lstStyle/>
          <a:p>
            <a:pPr algn="l">
              <a:defRPr/>
            </a:pPr>
            <a:r>
              <a:rPr lang="en-US"/>
              <a:t>一般公共预算基本支出情况</a:t>
            </a:r>
            <a:endParaRPr lang="en-US" sz="1100"/>
          </a:p>
        </c:rich>
      </c:tx>
      <c:layout/>
      <c:overlay val="fals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Lbls>
            <c:delete val="1"/>
          </c:dLbls>
          <c:cat>
            <c:strRef>
              <c:f>Sheet1!$A$2:$A$3</c:f>
              <c:strCache>
                <c:ptCount val="2"/>
                <c:pt idx="0">
                  <c:v>人员经费</c:v>
                </c:pt>
                <c:pt idx="1">
                  <c:v>公用经费</c:v>
                </c:pt>
              </c:strCache>
            </c:strRef>
          </c:cat>
          <c:val>
            <c:numRef>
              <c:f>Sheet1!$B$2:$B$3</c:f>
              <c:numCache>
                <c:ptCount val="2"/>
                <c:pt idx="0">
                  <c:v>535.05</c:v>
                </c:pt>
                <c:pt idx="1">
                  <c:v>46.94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一般公共预算“三公”经费安排情况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Sheet1!$A$2:$A$4</c:f>
              <c:strCache>
                <c:ptCount val="3"/>
                <c:pt idx="0">
                  <c:v>因公出国（境）经费预算</c:v>
                </c:pt>
                <c:pt idx="1">
                  <c:v>公务接待费预算</c:v>
                </c:pt>
                <c:pt idx="2">
                  <c:v>公务用车购置及运行费预算</c:v>
                </c:pt>
              </c:strCache>
            </c:strRef>
          </c:cat>
          <c:val>
            <c:numRef>
              <c:f>Sheet1!$B$2:$B$4</c:f>
              <c:numCache>
                <c:formatCode>General</c:formatCode>
                <c:ptCount val="3"/>
                <c:pt idx="0">
                  <c:v>0.0</c:v>
                </c:pt>
                <c:pt idx="1">
                  <c:v>5.7</c:v>
                </c:pt>
                <c:pt idx="2">
                  <c:v>6.9</c:v>
                </c:pt>
              </c:numCache>
            </c:numRef>
          </c:val>
        </c:ser>
        <c:ser>
          <c:idx val="1"/>
          <c:order val="1"/>
          <c:tx>
            <c:strRef>
              <c:f>Sheet1!$C$1</c:f>
              <c:strCache>
                <c:ptCount val="1"/>
                <c:pt idx="0">
                  <c:v>当年</c:v>
                </c:pt>
              </c:strCache>
            </c:strRef>
          </c:tx>
          <c:invertIfNegative val="0"/>
          <c:dLbls>
            <c:delete val="1"/>
          </c:dLbls>
          <c:cat>
            <c:strRef>
              <c:f>Sheet1!$A$2:$A$4</c:f>
              <c:strCache>
                <c:ptCount val="3"/>
                <c:pt idx="0">
                  <c:v>因公出国（境）经费预算</c:v>
                </c:pt>
                <c:pt idx="1">
                  <c:v>公务接待费预算</c:v>
                </c:pt>
                <c:pt idx="2">
                  <c:v>公务用车购置及运行费预算</c:v>
                </c:pt>
              </c:strCache>
            </c:strRef>
          </c:cat>
          <c:val>
            <c:numRef>
              <c:f>Sheet1!$C$2:$C$4</c:f>
              <c:numCache>
                <c:formatCode>General</c:formatCode>
                <c:ptCount val="3"/>
                <c:pt idx="0">
                  <c:v>0.0</c:v>
                </c:pt>
                <c:pt idx="1">
                  <c:v>5.2</c:v>
                </c:pt>
                <c:pt idx="2">
                  <c:v>6.9</c:v>
                </c:pt>
              </c:numCache>
            </c:numRef>
          </c:val>
        </c:ser>
        <c:dLbls>
          <c:showLegendKey val="0"/>
          <c:showVal val="0"/>
          <c:showCatName val="0"/>
          <c:showSerName val="0"/>
          <c:showPercent val="0"/>
          <c:showBubbleSize val="0"/>
        </c:dLbls>
        <c:gapWidth val="182"/>
        <c:overlap val="0"/>
        <c:axId val="587647791"/>
        <c:axId val="468612210"/>
      </c:barChart>
      <c:catAx>
        <c:axId val="58764779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8612210"/>
        <c:crosses val="autoZero"/>
        <c:auto val="1"/>
        <c:lblAlgn val="ctr"/>
        <c:lblOffset val="100"/>
        <c:noMultiLvlLbl val="0"/>
      </c:catAx>
      <c:valAx>
        <c:axId val="46861221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764779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cp:coreProperties xmlns:cp="http://schemas.openxmlformats.org/package/2006/metadata/core-properties" xmlns:dc="http://purl.org/dc/elements/1.1/" xmlns:dcterms="http://purl.org/dc/terms/" xmlns:xsi="http://www.w3.org/2001/XMLSchema-instance">
  <dcterms:created xsi:type="dcterms:W3CDTF">2023-02-07T06:11:00Z</dcterms:created>
  <dc:creator>蔡冬冬</dc:creator>
  <cp:lastModifiedBy>黄凯璇</cp:lastModifiedBy>
  <dcterms:modified xsi:type="dcterms:W3CDTF">2024-02-28T09:06:10Z</dcterms:modified>
  <cp:revision>3</cp:revision>
</cp:coreProperties>
</file>

<file path=customXml/item2.xml><?xml version="1.0" encoding="utf-8"?>
<Properties xmlns="http://schemas.openxmlformats.org/officeDocument/2006/extended-properties" xmlns:vt="http://schemas.openxmlformats.org/officeDocument/2006/docPropsVTypes">
  <Template>Normal.dotm</Template>
  <Pages>35</Pages>
  <Words>8576</Words>
  <Characters>11046</Characters>
  <Lines>105</Lines>
  <Paragraphs>29</Paragraphs>
  <TotalTime>19</TotalTime>
  <ScaleCrop>false</ScaleCrop>
  <LinksUpToDate>false</LinksUpToDate>
  <CharactersWithSpaces>11333</CharactersWithSpaces>
  <Application>WPS Office_12.1.0.16388_F1E327BC-269C-435d-A152-05C5408002CA</Application>
  <DocSecurity>0</DocSecurity>
</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DC93C90D53BE4108B92996B0242E3918_13</vt:lpwstr>
  </property>
</Properties>
</file>

<file path=customXml/item4.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vt="http://schemas.openxmlformats.org/officeDocument/2006/docPropsVTypes" xmlns="http://schemas.openxmlformats.org/officeDocument/2006/extended-properties">
  <Template>Normal.dotm</Template>
  <TotalTime>19</TotalTime>
  <Pages>35</Pages>
  <Words>8576</Words>
  <Characters>11046</Characters>
  <Application>WPS Office_12.1.0.16388_F1E327BC-269C-435d-A152-05C5408002CA</Application>
  <DocSecurity>0</DocSecurity>
  <Lines>105</Lines>
  <Paragraphs>29</Paragraphs>
  <CharactersWithSpaces>11333</CharactersWithSpaces>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2023-02-07T06:11:00Z</dcterms:created>
  <dc:creator>蔡冬冬</dc:creator>
  <cp:lastModifiedBy>黄凯璇</cp:lastModifiedBy>
  <dcterms:modified xsi:type="dcterms:W3CDTF">2024-03-01T08:01:06Z</dcterms:modified>
  <cp:revision>3</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2052-12.1.0.16388</vt:lpstr>
  </property>
  <property fmtid="{D5CDD505-2E9C-101B-9397-08002B2CF9AE}" pid="3" name="ICV">
    <vt:lpstr>DC93C90D53BE4108B92996B0242E3918_13</vt:lpstr>
  </property>
</Properties>
</file>