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环江毛南族自治县下南乡国土规建环保安监站</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1"/>
      <w:bookmarkStart w:id="1" w:name="bookmark0"/>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环江毛南族自治县下南乡国土规建环保安监站</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环江毛南族自治县下南乡国土规建环保安监站</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环江毛南族自治县下南乡国土规建环保安监站</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2"/>
      <w:bookmarkStart w:id="4" w:name="bookmark13"/>
      <w:bookmarkStart w:id="5" w:name="bookmark14"/>
      <w:r>
        <w:rPr>
          <w:b/>
          <w:bCs/>
          <w:sz w:val="40"/>
          <w:szCs w:val="40"/>
        </w:rPr>
        <w:t xml:space="preserve">第一部分</w:t>
      </w:r>
      <w:r>
        <w:rPr>
          <w:rFonts w:hint="eastAsia"/>
          <w:b/>
          <w:bCs/>
          <w:sz w:val="40"/>
          <w:szCs w:val="40"/>
          <w:lang w:eastAsia="zh-CN"/>
        </w:rPr>
        <w:t xml:space="preserve">：</w:t>
      </w:r>
      <w:r>
        <w:rPr>
          <w:b/>
          <w:sz w:val="40"/>
          <w:u w:color="auto"/>
        </w:rPr>
        <w:t xml:space="preserve">环江毛南族自治县下南乡国土规建环保安监站</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宣传并贯彻执行有关自然资源、村镇建设、农村宅基地管理、生态环境保护、环境卫生、应急管理等领域的方针、政策和法律法规；协助有关自然资源、村镇建设、农村宅基地管理、生态环境保护、环境卫生、应急管理、消防等领域的管理工作和相关信访、纠纷、事故的调查处理工作；受委托履行行政监督检查和行政处罚等</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本部门的上级主管部门是环江毛南族自治县下南乡人民政府，是财政全额拨款的事业单位，人员编制共8名，领导职数：主任1名。本部门无内设机构。</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69"/>
      <w:bookmarkStart w:id="8" w:name="bookmark70"/>
      <w:bookmarkStart w:id="9" w:name="bookmark68"/>
      <w:bookmarkStart w:id="10" w:name="bookmark28"/>
      <w:bookmarkStart w:id="11" w:name="bookmark26"/>
      <w:bookmarkStart w:id="12" w:name="bookmark27"/>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环江毛南族自治县下南乡国土规建环保安监站</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180.20</w:t>
      </w:r>
      <w:r>
        <w:rPr>
          <w:rFonts w:hint="eastAsia"/>
          <w:b w:val="0"/>
          <w:bCs w:val="0"/>
          <w:sz w:val="28"/>
          <w:szCs w:val="28"/>
        </w:rPr>
        <w:t xml:space="preserve">万元，总支出</w:t>
      </w:r>
      <w:r>
        <w:rPr>
          <w:rFonts w:hint="eastAsia"/>
          <w:sz w:val="28"/>
          <w:szCs w:val="28"/>
          <w:lang w:val="en-US" w:eastAsia="zh-CN"/>
        </w:rPr>
        <w:t xml:space="preserve">180.20</w:t>
      </w:r>
      <w:r>
        <w:rPr>
          <w:rFonts w:hint="eastAsia"/>
          <w:b w:val="0"/>
          <w:bCs w:val="0"/>
          <w:sz w:val="28"/>
          <w:szCs w:val="28"/>
        </w:rPr>
        <w:t xml:space="preserve">万元。总收入较2023年度预算数</w:t>
      </w:r>
      <w:r>
        <w:rPr>
          <w:rFonts w:hint="eastAsia"/>
          <w:sz w:val="28"/>
          <w:szCs w:val="28"/>
          <w:lang w:val="en-US" w:eastAsia="zh-CN"/>
        </w:rPr>
        <w:t xml:space="preserve">75.20</w:t>
      </w:r>
      <w:r>
        <w:rPr>
          <w:rFonts w:hint="eastAsia"/>
          <w:b w:val="0"/>
          <w:bCs w:val="0"/>
          <w:sz w:val="28"/>
          <w:szCs w:val="28"/>
        </w:rPr>
        <w:t xml:space="preserve">万元，</w:t>
      </w:r>
      <w:r>
        <w:rPr>
          <w:rFonts w:hint="eastAsia"/>
          <w:sz w:val="28"/>
          <w:szCs w:val="28"/>
        </w:rPr>
        <w:t xml:space="preserve">增加105.00</w:t>
      </w:r>
      <w:r>
        <w:rPr>
          <w:rFonts w:hint="eastAsia"/>
          <w:b w:val="0"/>
          <w:bCs w:val="0"/>
          <w:sz w:val="28"/>
          <w:szCs w:val="28"/>
        </w:rPr>
        <w:t xml:space="preserve">万元，</w:t>
      </w:r>
      <w:r>
        <w:rPr>
          <w:rFonts w:hint="eastAsia"/>
          <w:sz w:val="28"/>
          <w:szCs w:val="28"/>
        </w:rPr>
        <w:t xml:space="preserve">增长139.63%</w:t>
      </w:r>
      <w:r>
        <w:rPr>
          <w:rFonts w:hint="eastAsia"/>
          <w:b w:val="0"/>
          <w:bCs w:val="0"/>
          <w:sz w:val="28"/>
          <w:szCs w:val="28"/>
        </w:rPr>
        <w:t xml:space="preserve">，主要原因是</w:t>
      </w:r>
      <w:r>
        <w:rPr>
          <w:rFonts w:hint="eastAsia"/>
          <w:highlight w:val="none"/>
          <w:lang w:val="en-US" w:eastAsia="zh-CN"/>
        </w:rPr>
        <w:t xml:space="preserve">之前在706001的事业编在2024年预算时全部调入706009，人员增多，故增长</w:t>
      </w:r>
      <w:r>
        <w:rPr>
          <w:rFonts w:hint="eastAsia"/>
          <w:b w:val="0"/>
          <w:bCs w:val="0"/>
          <w:sz w:val="28"/>
          <w:szCs w:val="28"/>
        </w:rPr>
        <w:t xml:space="preserve">。总支出较2023年度预算数</w:t>
      </w:r>
      <w:r>
        <w:rPr>
          <w:rFonts w:hint="eastAsia"/>
          <w:sz w:val="28"/>
          <w:szCs w:val="28"/>
          <w:lang w:val="en-US" w:eastAsia="zh-CN"/>
        </w:rPr>
        <w:t xml:space="preserve">75.20</w:t>
      </w:r>
      <w:r>
        <w:rPr>
          <w:rFonts w:hint="eastAsia"/>
          <w:b w:val="0"/>
          <w:bCs w:val="0"/>
          <w:sz w:val="28"/>
          <w:szCs w:val="28"/>
        </w:rPr>
        <w:t xml:space="preserve">万元，</w:t>
      </w:r>
      <w:r>
        <w:rPr>
          <w:rFonts w:hint="eastAsia"/>
          <w:sz w:val="28"/>
          <w:szCs w:val="28"/>
        </w:rPr>
        <w:t xml:space="preserve">增加105.00</w:t>
      </w:r>
      <w:r>
        <w:rPr>
          <w:rFonts w:hint="eastAsia"/>
          <w:b w:val="0"/>
          <w:bCs w:val="0"/>
          <w:sz w:val="28"/>
          <w:szCs w:val="28"/>
        </w:rPr>
        <w:t xml:space="preserve">万元，</w:t>
      </w:r>
      <w:r>
        <w:rPr>
          <w:rFonts w:hint="eastAsia"/>
          <w:sz w:val="28"/>
          <w:szCs w:val="28"/>
        </w:rPr>
        <w:t xml:space="preserve">增长139.63%</w:t>
      </w:r>
      <w:r>
        <w:rPr>
          <w:rFonts w:hint="eastAsia"/>
          <w:b w:val="0"/>
          <w:bCs w:val="0"/>
          <w:sz w:val="28"/>
          <w:szCs w:val="28"/>
        </w:rPr>
        <w:t xml:space="preserve">，主要原因是</w:t>
      </w:r>
      <w:r>
        <w:rPr>
          <w:rFonts w:hint="eastAsia"/>
          <w:highlight w:val="none"/>
          <w:lang w:val="en-US" w:eastAsia="zh-CN"/>
        </w:rPr>
        <w:t xml:space="preserve">之前在706001的事业编在2024年预算时全部调入706009，人员增多，故增长</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bookmarkStart w:id="14" w:name="_GoBack"/>
      <w:bookmarkEnd w:id="14"/>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3063"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180.20</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75.20</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增加105.00</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增长139.63%</w:t>
      </w:r>
      <w:r>
        <w:rPr>
          <w:rFonts w:ascii="宋体" w:eastAsia="宋体" w:hAnsi="宋体" w:cs="宋体" w:hint="eastAsia"/>
          <w:sz w:val="28"/>
          <w:szCs w:val="28"/>
          <w:u w:color="auto"/>
        </w:rPr>
        <w:t xml:space="preserve">，主要原因是</w:t>
      </w:r>
      <w:r>
        <w:rPr>
          <w:rFonts w:hint="eastAsia"/>
          <w:highlight w:val="none"/>
          <w:lang w:val="en-US" w:eastAsia="zh-CN"/>
        </w:rPr>
        <w:t xml:space="preserve">之前在706001的事业编在2024年预算时全部调入706009，人员增多，故增长</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3064"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hint="eastAsia"/>
          <w:sz w:val="30"/>
          <w:szCs w:val="30"/>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180.20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75.20</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增加105.00</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增长139.63%</w:t>
      </w:r>
      <w:r>
        <w:rPr>
          <w:rFonts w:ascii="宋体" w:eastAsia="宋体" w:hAnsi="宋体" w:cs="宋体" w:hint="eastAsia"/>
          <w:sz w:val="28"/>
          <w:szCs w:val="28"/>
          <w:lang w:eastAsia="zh-CN"/>
        </w:rPr>
        <w:t xml:space="preserve">，主要原因是</w:t>
      </w:r>
      <w:r>
        <w:rPr>
          <w:rFonts w:hint="eastAsia"/>
          <w:highlight w:val="none"/>
          <w:lang w:val="en-US" w:eastAsia="zh-CN"/>
        </w:rPr>
        <w:t xml:space="preserve">之前在706001的事业编在2024年预算时全部调入706009，人员增多，故增长</w:t>
      </w:r>
      <w:r>
        <w:rPr>
          <w:rFonts w:ascii="Times New Roman" w:hAnsi="Times New Roman" w:cs="Times New Roman" w:hint="eastAsia"/>
          <w:sz w:val="30"/>
          <w:szCs w:val="30"/>
          <w:lang w:eastAsia="zh-CN"/>
        </w:rPr>
        <w:t xml:space="preserve">。主要包括：</w:t>
      </w:r>
      <w:r>
        <w:rPr>
          <w:rFonts w:hint="eastAsia"/>
          <w:highlight w:val="none"/>
          <w:lang w:val="en-US" w:eastAsia="zh-CN"/>
        </w:rPr>
        <w:t xml:space="preserve">人员工资和基础性绩效</w:t>
      </w:r>
      <w:r>
        <w:rPr>
          <w:rFonts w:ascii="Times New Roman" w:hAnsi="Times New Roman" w:cs="Times New Roman" w:hint="eastAsia"/>
          <w:sz w:val="30"/>
          <w:szCs w:val="30"/>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pPr>
      <w:r>
        <w:t xml:space="preserve">（一）按支出功能分类科目划分，共分为</w:t>
      </w:r>
      <w:r>
        <w:rPr>
          <w:rFonts w:hint="eastAsia"/>
          <w:lang w:val="en-US" w:eastAsia="zh-CN"/>
        </w:rPr>
        <w:t xml:space="preserve">5</w:t>
      </w:r>
      <w: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1</w:t>
      </w:r>
      <w:r>
        <w:rPr>
          <w:u w:color="auto"/>
        </w:rPr>
        <w:t xml:space="preserve">)</w:t>
      </w:r>
      <w:r>
        <w:rPr>
          <w:u w:color="auto"/>
        </w:rPr>
        <w:t xml:space="preserve">城乡社区支出</w:t>
      </w:r>
      <w:r>
        <w:rPr>
          <w:rFonts w:hint="eastAsia"/>
          <w:lang w:val="en-US" w:eastAsia="zh-CN"/>
        </w:rPr>
        <w:t xml:space="preserve">138.89</w:t>
      </w:r>
      <w:r>
        <w:rPr>
          <w:rFonts w:hint="eastAsia"/>
        </w:rPr>
        <w:t xml:space="preserve">万元，占支出总预算</w:t>
      </w:r>
      <w:r>
        <w:rPr>
          <w:rFonts w:hint="eastAsia"/>
          <w:lang w:val="en-US" w:eastAsia="zh-CN"/>
        </w:rPr>
        <w:t xml:space="preserve">77.08%</w:t>
      </w:r>
      <w:r>
        <w:rPr>
          <w:rFonts w:hint="eastAsia"/>
        </w:rPr>
        <w:t xml:space="preserve">,比上年</w:t>
      </w:r>
      <w:r>
        <w:rPr>
          <w:rFonts w:hint="eastAsia"/>
          <w:lang w:val="en-US" w:eastAsia="zh-CN"/>
        </w:rPr>
        <w:t xml:space="preserve">增长110.63</w:t>
      </w:r>
      <w:r>
        <w:rPr>
          <w:rFonts w:hint="eastAsia"/>
        </w:rPr>
        <w:t xml:space="preserve">万元，</w:t>
      </w:r>
      <w:r>
        <w:rPr>
          <w:rFonts w:hint="eastAsia"/>
          <w:lang w:val="en-US" w:eastAsia="zh-CN"/>
        </w:rPr>
        <w:t xml:space="preserve">增长391.47%</w:t>
      </w:r>
      <w:r>
        <w:rPr>
          <w:rFonts w:hint="eastAsia"/>
        </w:rPr>
        <w:t xml:space="preserve">,</w:t>
      </w:r>
      <w:r>
        <w:rPr>
          <w:rFonts w:hint="eastAsia"/>
          <w:highlight w:val="none"/>
        </w:rPr>
        <w:t xml:space="preserve">主要原因是：</w:t>
      </w:r>
      <w:r>
        <w:rPr>
          <w:rFonts w:hint="eastAsia"/>
          <w:highlight w:val="none"/>
          <w:lang w:val="en-US" w:eastAsia="zh-CN"/>
        </w:rPr>
        <w:t xml:space="preserve">之前在706001的事业编在2024年预算时全部调入706009，人员增多，故增长</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2</w:t>
      </w:r>
      <w:r>
        <w:rPr>
          <w:u w:color="auto"/>
        </w:rPr>
        <w:t xml:space="preserve">)</w:t>
      </w:r>
      <w:r>
        <w:rPr>
          <w:u w:color="auto"/>
        </w:rPr>
        <w:t xml:space="preserve">社会保障和就业支出</w:t>
      </w:r>
      <w:r>
        <w:rPr>
          <w:rFonts w:hint="eastAsia"/>
          <w:lang w:val="en-US" w:eastAsia="zh-CN"/>
        </w:rPr>
        <w:t xml:space="preserve">21.08</w:t>
      </w:r>
      <w:r>
        <w:rPr>
          <w:rFonts w:hint="eastAsia"/>
        </w:rPr>
        <w:t xml:space="preserve">万元，占支出总预算</w:t>
      </w:r>
      <w:r>
        <w:rPr>
          <w:rFonts w:hint="eastAsia"/>
          <w:lang w:val="en-US" w:eastAsia="zh-CN"/>
        </w:rPr>
        <w:t xml:space="preserve">11.70%</w:t>
      </w:r>
      <w:r>
        <w:rPr>
          <w:rFonts w:hint="eastAsia"/>
        </w:rPr>
        <w:t xml:space="preserve">,比上年</w:t>
      </w:r>
      <w:r>
        <w:rPr>
          <w:rFonts w:hint="eastAsia"/>
          <w:lang w:val="en-US" w:eastAsia="zh-CN"/>
        </w:rPr>
        <w:t xml:space="preserve">增长11.37</w:t>
      </w:r>
      <w:r>
        <w:rPr>
          <w:rFonts w:hint="eastAsia"/>
        </w:rPr>
        <w:t xml:space="preserve">万元，</w:t>
      </w:r>
      <w:r>
        <w:rPr>
          <w:rFonts w:hint="eastAsia"/>
          <w:lang w:val="en-US" w:eastAsia="zh-CN"/>
        </w:rPr>
        <w:t xml:space="preserve">增长117.10%</w:t>
      </w:r>
      <w:r>
        <w:rPr>
          <w:rFonts w:hint="eastAsia"/>
        </w:rPr>
        <w:t xml:space="preserve">,</w:t>
      </w:r>
      <w:r>
        <w:rPr>
          <w:rFonts w:hint="eastAsia"/>
          <w:highlight w:val="none"/>
        </w:rPr>
        <w:t xml:space="preserve">主要原因是：</w:t>
      </w:r>
      <w:r>
        <w:rPr>
          <w:rFonts w:hint="eastAsia"/>
          <w:highlight w:val="none"/>
          <w:lang w:val="en-US" w:eastAsia="zh-CN"/>
        </w:rPr>
        <w:t xml:space="preserve">之前在706001的事业编在2024年预算时全部调入706009，人员增多，故增长</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3</w:t>
      </w:r>
      <w:r>
        <w:rPr>
          <w:u w:color="auto"/>
        </w:rPr>
        <w:t xml:space="preserve">)</w:t>
      </w:r>
      <w:r>
        <w:rPr>
          <w:u w:color="auto"/>
        </w:rPr>
        <w:t xml:space="preserve">农林水支出</w:t>
      </w:r>
      <w:r>
        <w:rPr>
          <w:rFonts w:hint="eastAsia"/>
          <w:lang w:val="en-US" w:eastAsia="zh-CN"/>
        </w:rPr>
        <w:t xml:space="preserve">0.00</w:t>
      </w:r>
      <w:r>
        <w:rPr>
          <w:rFonts w:hint="eastAsia"/>
        </w:rPr>
        <w:t xml:space="preserve">万元，占支出总预算</w:t>
      </w:r>
      <w:r>
        <w:rPr>
          <w:rFonts w:hint="eastAsia"/>
          <w:lang w:val="en-US" w:eastAsia="zh-CN"/>
        </w:rPr>
        <w:t xml:space="preserve">0.00%</w:t>
      </w:r>
      <w:r>
        <w:rPr>
          <w:rFonts w:hint="eastAsia"/>
        </w:rPr>
        <w:t xml:space="preserve">,比上年</w:t>
      </w:r>
      <w:r>
        <w:rPr>
          <w:rFonts w:hint="eastAsia"/>
          <w:lang w:val="en-US" w:eastAsia="zh-CN"/>
        </w:rPr>
        <w:t xml:space="preserve">减少28.73</w:t>
      </w:r>
      <w:r>
        <w:rPr>
          <w:rFonts w:hint="eastAsia"/>
        </w:rPr>
        <w:t xml:space="preserve">万元，</w:t>
      </w:r>
      <w:r>
        <w:rPr>
          <w:rFonts w:hint="eastAsia"/>
          <w:lang w:val="en-US" w:eastAsia="zh-CN"/>
        </w:rPr>
        <w:t xml:space="preserve">减少100.00%</w:t>
      </w:r>
      <w:r>
        <w:rPr>
          <w:rFonts w:hint="eastAsia"/>
        </w:rPr>
        <w:t xml:space="preserve">,</w:t>
      </w:r>
      <w:r>
        <w:rPr>
          <w:rFonts w:hint="eastAsia"/>
          <w:highlight w:val="none"/>
        </w:rPr>
        <w:t xml:space="preserve">主要原因是：</w:t>
      </w:r>
      <w:r>
        <w:rPr>
          <w:rFonts w:hint="eastAsia"/>
          <w:highlight w:val="none"/>
          <w:lang w:val="en-US" w:eastAsia="zh-CN"/>
        </w:rPr>
        <w:t xml:space="preserve">本年没有该方面开支</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4</w:t>
      </w:r>
      <w:r>
        <w:rPr>
          <w:u w:color="auto"/>
        </w:rPr>
        <w:t xml:space="preserve">)</w:t>
      </w:r>
      <w:r>
        <w:rPr>
          <w:u w:color="auto"/>
        </w:rPr>
        <w:t xml:space="preserve">一般公共服务支出</w:t>
      </w:r>
      <w:r>
        <w:rPr>
          <w:rFonts w:hint="eastAsia"/>
          <w:lang w:val="en-US" w:eastAsia="zh-CN"/>
        </w:rPr>
        <w:t xml:space="preserve">1.66</w:t>
      </w:r>
      <w:r>
        <w:rPr>
          <w:rFonts w:hint="eastAsia"/>
        </w:rPr>
        <w:t xml:space="preserve">万元，占支出总预算</w:t>
      </w:r>
      <w:r>
        <w:rPr>
          <w:rFonts w:hint="eastAsia"/>
          <w:lang w:val="en-US" w:eastAsia="zh-CN"/>
        </w:rPr>
        <w:t xml:space="preserve">0.92%</w:t>
      </w:r>
      <w:r>
        <w:rPr>
          <w:rFonts w:hint="eastAsia"/>
        </w:rPr>
        <w:t xml:space="preserve">,比上年</w:t>
      </w:r>
      <w:r>
        <w:rPr>
          <w:rFonts w:hint="eastAsia"/>
          <w:lang w:val="en-US" w:eastAsia="zh-CN"/>
        </w:rPr>
        <w:t xml:space="preserve">增长0.45</w:t>
      </w:r>
      <w:r>
        <w:rPr>
          <w:rFonts w:hint="eastAsia"/>
        </w:rPr>
        <w:t xml:space="preserve">万元，</w:t>
      </w:r>
      <w:r>
        <w:rPr>
          <w:rFonts w:hint="eastAsia"/>
          <w:lang w:val="en-US" w:eastAsia="zh-CN"/>
        </w:rPr>
        <w:t xml:space="preserve">增长37.19%</w:t>
      </w:r>
      <w:r>
        <w:rPr>
          <w:rFonts w:hint="eastAsia"/>
        </w:rPr>
        <w:t xml:space="preserve">,</w:t>
      </w:r>
      <w:r>
        <w:rPr>
          <w:rFonts w:hint="eastAsia"/>
          <w:highlight w:val="none"/>
        </w:rPr>
        <w:t xml:space="preserve">主要原因是：</w:t>
      </w:r>
      <w:r>
        <w:rPr>
          <w:rFonts w:hint="eastAsia"/>
          <w:highlight w:val="none"/>
          <w:lang w:val="en-US" w:eastAsia="zh-CN"/>
        </w:rPr>
        <w:t xml:space="preserve">本年度用于一般公共服务支出较上一年度有所增加</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rPr>
      </w:pPr>
      <w:r>
        <w:rPr>
          <w:rFonts w:hint="eastAsia"/>
        </w:rPr>
        <w:t xml:space="preserve">(</w:t>
      </w:r>
      <w:r>
        <w:rPr>
          <w:u w:color="auto"/>
        </w:rPr>
        <w:t xml:space="preserve">5</w:t>
      </w:r>
      <w:r>
        <w:rPr>
          <w:u w:color="auto"/>
        </w:rPr>
        <w:t xml:space="preserve">)</w:t>
      </w:r>
      <w:r>
        <w:rPr>
          <w:u w:color="auto"/>
        </w:rPr>
        <w:t xml:space="preserve">住房保障支出</w:t>
      </w:r>
      <w:r>
        <w:rPr>
          <w:rFonts w:hint="eastAsia"/>
          <w:lang w:val="en-US" w:eastAsia="zh-CN"/>
        </w:rPr>
        <w:t xml:space="preserve">18.57</w:t>
      </w:r>
      <w:r>
        <w:rPr>
          <w:rFonts w:hint="eastAsia"/>
        </w:rPr>
        <w:t xml:space="preserve">万元，占支出总预算</w:t>
      </w:r>
      <w:r>
        <w:rPr>
          <w:rFonts w:hint="eastAsia"/>
          <w:lang w:val="en-US" w:eastAsia="zh-CN"/>
        </w:rPr>
        <w:t xml:space="preserve">10.31%</w:t>
      </w:r>
      <w:r>
        <w:rPr>
          <w:rFonts w:hint="eastAsia"/>
        </w:rPr>
        <w:t xml:space="preserve">,比上年</w:t>
      </w:r>
      <w:r>
        <w:rPr>
          <w:rFonts w:hint="eastAsia"/>
          <w:lang w:val="en-US" w:eastAsia="zh-CN"/>
        </w:rPr>
        <w:t xml:space="preserve">增长11.28</w:t>
      </w:r>
      <w:r>
        <w:rPr>
          <w:rFonts w:hint="eastAsia"/>
        </w:rPr>
        <w:t xml:space="preserve">万元，</w:t>
      </w:r>
      <w:r>
        <w:rPr>
          <w:rFonts w:hint="eastAsia"/>
          <w:lang w:val="en-US" w:eastAsia="zh-CN"/>
        </w:rPr>
        <w:t xml:space="preserve">增长154.73%</w:t>
      </w:r>
      <w:r>
        <w:rPr>
          <w:rFonts w:hint="eastAsia"/>
        </w:rPr>
        <w:t xml:space="preserve">,</w:t>
      </w:r>
      <w:r>
        <w:rPr>
          <w:rFonts w:hint="eastAsia"/>
          <w:highlight w:val="none"/>
        </w:rPr>
        <w:t xml:space="preserve">主要原因是：</w:t>
      </w:r>
      <w:r>
        <w:rPr>
          <w:rFonts w:hint="eastAsia"/>
          <w:highlight w:val="none"/>
          <w:lang w:val="en-US" w:eastAsia="zh-CN"/>
        </w:rPr>
        <w:t xml:space="preserve">之前在706001的事业编在2024年预算时全部调入706009，人员增多，故增长</w:t>
      </w:r>
      <w:r>
        <w:rPr>
          <w:rFonts w:hint="eastAsia"/>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pPr>
      <w: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pPr>
      <w: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基本支出预算</w:t>
      </w:r>
      <w:r>
        <w:rPr>
          <w:rFonts w:hint="eastAsia"/>
          <w:lang w:val="en-US" w:eastAsia="zh-CN"/>
        </w:rPr>
        <w:t xml:space="preserve">180.20</w:t>
      </w:r>
      <w:r>
        <w:rPr>
          <w:rFonts w:hint="eastAsia"/>
        </w:rPr>
        <w:t xml:space="preserve">万元，占支出预算</w:t>
      </w:r>
      <w:r>
        <w:rPr>
          <w:u w:color="auto"/>
        </w:rPr>
        <w:t xml:space="preserve">100.00%</w:t>
      </w:r>
      <w:r>
        <w:rPr>
          <w:u w:color="auto"/>
        </w:rPr>
        <w:t xml:space="preserve">,比上年</w:t>
      </w:r>
      <w:r>
        <w:rPr>
          <w:u w:color="auto"/>
        </w:rPr>
        <w:t xml:space="preserve">增长105.00</w:t>
      </w:r>
      <w:r>
        <w:rPr>
          <w:u w:color="auto"/>
        </w:rPr>
        <w:t xml:space="preserve">万元，</w:t>
      </w:r>
      <w:r>
        <w:rPr>
          <w:u w:color="auto"/>
        </w:rPr>
        <w:t xml:space="preserve">增长139.63%</w:t>
      </w:r>
      <w:r>
        <w:t xml:space="preserve">。</w:t>
      </w:r>
      <w:r>
        <w:rPr>
          <w:rFonts w:hint="eastAsia"/>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174.70</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96.95%</w:t>
      </w:r>
      <w:r>
        <w:rPr>
          <w:rFonts w:ascii="宋体" w:eastAsia="宋体" w:hAnsi="宋体" w:cs="宋体" w:hint="eastAsia"/>
          <w:sz w:val="28"/>
          <w:szCs w:val="28"/>
        </w:rPr>
        <w:t xml:space="preserve">,比上年</w:t>
      </w:r>
      <w:r>
        <w:rPr>
          <w:rFonts w:ascii="宋体" w:eastAsia="宋体" w:hAnsi="宋体" w:cs="宋体"/>
          <w:sz w:val="28"/>
          <w:u w:color="auto"/>
        </w:rPr>
        <w:t xml:space="preserve">增长102.39</w:t>
      </w:r>
      <w:r>
        <w:rPr>
          <w:rFonts w:ascii="宋体" w:eastAsia="宋体" w:hAnsi="宋体" w:cs="宋体"/>
          <w:sz w:val="28"/>
          <w:u w:color="auto"/>
        </w:rPr>
        <w:t xml:space="preserve">万元，</w:t>
      </w:r>
      <w:r>
        <w:rPr>
          <w:rFonts w:ascii="宋体" w:eastAsia="宋体" w:hAnsi="宋体" w:cs="宋体"/>
          <w:sz w:val="28"/>
          <w:u w:color="auto"/>
        </w:rPr>
        <w:t xml:space="preserve">增长141.60%</w:t>
      </w:r>
      <w:r>
        <w:rPr>
          <w:rFonts w:ascii="宋体" w:eastAsia="宋体" w:hAnsi="宋体" w:cs="宋体"/>
          <w:sz w:val="28"/>
          <w:u w:color="auto"/>
        </w:rPr>
        <w:t xml:space="preserve">,主要原因是：之前在706001的事业编在2024年预算时全部调入706009，人员增多，故增长</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5.50</w:t>
      </w:r>
      <w:r>
        <w:rPr>
          <w:rFonts w:ascii="宋体" w:eastAsia="宋体" w:hAnsi="宋体" w:cs="宋体" w:hint="eastAsia"/>
          <w:sz w:val="28"/>
          <w:szCs w:val="28"/>
        </w:rPr>
        <w:t xml:space="preserve">万</w:t>
      </w:r>
      <w:r>
        <w:rPr>
          <w:rFonts w:ascii="宋体" w:eastAsia="宋体" w:hAnsi="宋体" w:cs="宋体"/>
          <w:sz w:val="28"/>
          <w:szCs w:val="28"/>
        </w:rPr>
        <w:t xml:space="preserve">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3.05%</w:t>
      </w:r>
      <w:r>
        <w:rPr>
          <w:rFonts w:ascii="宋体" w:eastAsia="宋体" w:hAnsi="宋体" w:cs="宋体" w:hint="eastAsia"/>
          <w:sz w:val="28"/>
          <w:szCs w:val="28"/>
        </w:rPr>
        <w:t xml:space="preserve">,比上年</w:t>
      </w:r>
      <w:r>
        <w:rPr>
          <w:rFonts w:ascii="宋体" w:eastAsia="宋体" w:hAnsi="宋体" w:cs="宋体"/>
          <w:sz w:val="28"/>
          <w:u w:color="auto"/>
        </w:rPr>
        <w:t xml:space="preserve">增长2.61</w:t>
      </w:r>
      <w:r>
        <w:rPr>
          <w:rFonts w:ascii="宋体" w:eastAsia="宋体" w:hAnsi="宋体" w:cs="宋体"/>
          <w:sz w:val="28"/>
          <w:u w:color="auto"/>
        </w:rPr>
        <w:t xml:space="preserve">万元，</w:t>
      </w:r>
      <w:r>
        <w:rPr>
          <w:rFonts w:ascii="宋体" w:eastAsia="宋体" w:hAnsi="宋体" w:cs="宋体"/>
          <w:sz w:val="28"/>
          <w:u w:color="auto"/>
        </w:rPr>
        <w:t xml:space="preserve">增长90.31%</w:t>
      </w:r>
      <w:r>
        <w:rPr>
          <w:rFonts w:ascii="宋体" w:eastAsia="宋体" w:hAnsi="宋体" w:cs="宋体"/>
          <w:sz w:val="28"/>
          <w:u w:color="auto"/>
        </w:rPr>
        <w:t xml:space="preserve">,主要原因是：本年度用于商品和服务支出较上一年度有所增加</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eastAsia"/>
          <w:lang w:val="en-US" w:eastAsia="zh-CN"/>
        </w:rPr>
      </w:pPr>
      <w:r>
        <w:rPr>
          <w:rFonts w:hint="eastAsia"/>
        </w:rPr>
        <w:t xml:space="preserve">项目支出预算</w:t>
      </w:r>
      <w:r>
        <w:rPr>
          <w:rFonts w:hint="eastAsia"/>
          <w:lang w:val="en-US" w:eastAsia="zh-CN"/>
        </w:rPr>
        <w:t xml:space="preserve">0.00</w:t>
      </w:r>
      <w:r>
        <w:rPr>
          <w:rFonts w:hint="eastAsia"/>
        </w:rPr>
        <w:t xml:space="preserve">万元，占支出预算</w:t>
      </w:r>
      <w:r>
        <w:rPr>
          <w:u w:color="auto"/>
        </w:rPr>
        <w:t xml:space="preserve">0.00%</w:t>
      </w:r>
      <w:r>
        <w:rPr>
          <w:rFonts w:hint="eastAsia"/>
        </w:rPr>
        <w:t xml:space="preserve">,比上年</w:t>
      </w:r>
      <w:r>
        <w:rPr>
          <w:u w:color="auto"/>
        </w:rPr>
        <w:t xml:space="preserve">增长0.00</w:t>
      </w:r>
      <w:r>
        <w:rPr>
          <w:rFonts w:hint="eastAsia"/>
        </w:rPr>
        <w:t xml:space="preserve">万元，</w:t>
      </w:r>
      <w:r>
        <w:rPr>
          <w:u w:color="auto"/>
        </w:rPr>
        <w:t xml:space="preserve">增长0%</w:t>
      </w:r>
      <w: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3065"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180.20</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180.20</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75.20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增加105.00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增长139.63%</w:t>
      </w:r>
      <w:r>
        <w:rPr>
          <w:rFonts w:ascii="宋体" w:eastAsia="宋体" w:hAnsi="宋体" w:cs="宋体" w:hint="eastAsia"/>
          <w:sz w:val="28"/>
          <w:szCs w:val="28"/>
        </w:rPr>
        <w:t xml:space="preserve">，主要原因是</w:t>
      </w:r>
      <w:r>
        <w:rPr>
          <w:rFonts w:hint="eastAsia"/>
          <w:highlight w:val="none"/>
          <w:lang w:val="en-US" w:eastAsia="zh-CN"/>
        </w:rPr>
        <w:t xml:space="preserve">之前在706001的事业编在2024年预算时全部调入706009，人员增多，故增长</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75.20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增加105.00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增长139.63%</w:t>
      </w:r>
      <w:r>
        <w:rPr>
          <w:rFonts w:ascii="宋体" w:eastAsia="宋体" w:hAnsi="宋体" w:cs="宋体" w:hint="eastAsia"/>
          <w:sz w:val="28"/>
          <w:szCs w:val="28"/>
        </w:rPr>
        <w:t xml:space="preserve">，主要原因是</w:t>
      </w:r>
      <w:r>
        <w:rPr>
          <w:rFonts w:hint="eastAsia"/>
          <w:highlight w:val="none"/>
          <w:lang w:val="en-US" w:eastAsia="zh-CN"/>
        </w:rPr>
        <w:t xml:space="preserve">之前在706001的事业编在2024年预算时全部调入706009，人员增多，故增长</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3066"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180.20</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75.20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增加105.00</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增长139.63%</w:t>
      </w:r>
      <w:r>
        <w:rPr>
          <w:rFonts w:ascii="宋体" w:eastAsia="宋体" w:hAnsi="宋体" w:cs="宋体" w:hint="eastAsia"/>
          <w:sz w:val="28"/>
          <w:szCs w:val="28"/>
        </w:rPr>
        <w:t xml:space="preserve">，主要原因是</w:t>
      </w:r>
      <w:r>
        <w:rPr>
          <w:rFonts w:hint="eastAsia"/>
          <w:highlight w:val="none"/>
          <w:lang w:val="en-US" w:eastAsia="zh-CN"/>
        </w:rPr>
        <w:t xml:space="preserve">之前在706001的事业编在2024年预算时全部调入706009，人员增多，故增长</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1.66</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0.92%</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1.21</w:t>
      </w:r>
      <w:r>
        <w:rPr>
          <w:rFonts w:ascii="宋体" w:eastAsia="宋体" w:hAnsi="宋体" w:cs="宋体" w:hint="eastAsia"/>
          <w:sz w:val="28"/>
          <w:szCs w:val="28"/>
        </w:rPr>
        <w:t xml:space="preserve">万元，</w:t>
      </w:r>
      <w:r>
        <w:rPr>
          <w:rFonts w:ascii="宋体" w:eastAsia="宋体" w:hAnsi="宋体" w:cs="宋体"/>
          <w:sz w:val="28"/>
          <w:u w:color="auto"/>
        </w:rPr>
        <w:t xml:space="preserve">增长0.45</w:t>
      </w:r>
      <w:r>
        <w:rPr>
          <w:rFonts w:ascii="宋体" w:eastAsia="宋体" w:hAnsi="宋体" w:cs="宋体" w:hint="eastAsia"/>
          <w:sz w:val="28"/>
          <w:szCs w:val="28"/>
        </w:rPr>
        <w:t xml:space="preserve">万元，</w:t>
      </w:r>
      <w:r>
        <w:rPr>
          <w:rFonts w:ascii="宋体" w:eastAsia="宋体" w:hAnsi="宋体" w:cs="宋体"/>
          <w:sz w:val="28"/>
          <w:u w:color="auto"/>
        </w:rPr>
        <w:t xml:space="preserve">增长37.19%</w:t>
      </w:r>
      <w:r>
        <w:rPr>
          <w:rFonts w:ascii="宋体" w:eastAsia="宋体" w:hAnsi="宋体" w:cs="宋体" w:hint="eastAsia"/>
          <w:sz w:val="28"/>
          <w:szCs w:val="28"/>
        </w:rPr>
        <w:t xml:space="preserve">，主要原因是：</w:t>
      </w:r>
      <w:r>
        <w:rPr>
          <w:rFonts w:hint="eastAsia"/>
          <w:highlight w:val="none"/>
        </w:rPr>
        <w:t xml:space="preserve">本年度用于一般公共服务支出较上一年度有所增加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18.57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10.31%</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7.29</w:t>
      </w:r>
      <w:r>
        <w:rPr>
          <w:rFonts w:ascii="宋体" w:eastAsia="宋体" w:hAnsi="宋体" w:cs="宋体" w:hint="eastAsia"/>
          <w:sz w:val="28"/>
          <w:szCs w:val="28"/>
        </w:rPr>
        <w:t xml:space="preserve">万元，</w:t>
      </w:r>
      <w:r>
        <w:rPr>
          <w:rFonts w:ascii="宋体" w:eastAsia="宋体" w:hAnsi="宋体" w:cs="宋体"/>
          <w:sz w:val="28"/>
          <w:u w:color="auto"/>
        </w:rPr>
        <w:t xml:space="preserve">增长11.28</w:t>
      </w:r>
      <w:r>
        <w:rPr>
          <w:rFonts w:ascii="宋体" w:eastAsia="宋体" w:hAnsi="宋体" w:cs="宋体" w:hint="eastAsia"/>
          <w:sz w:val="28"/>
          <w:szCs w:val="28"/>
        </w:rPr>
        <w:t xml:space="preserve">万元，</w:t>
      </w:r>
      <w:r>
        <w:rPr>
          <w:rFonts w:ascii="宋体" w:eastAsia="宋体" w:hAnsi="宋体" w:cs="宋体"/>
          <w:sz w:val="28"/>
          <w:u w:color="auto"/>
        </w:rPr>
        <w:t xml:space="preserve">增长154.73%</w:t>
      </w:r>
      <w:r>
        <w:rPr>
          <w:rFonts w:ascii="宋体" w:eastAsia="宋体" w:hAnsi="宋体" w:cs="宋体" w:hint="eastAsia"/>
          <w:sz w:val="28"/>
          <w:szCs w:val="28"/>
        </w:rPr>
        <w:t xml:space="preserve">，主要原因是：</w:t>
      </w:r>
      <w:r>
        <w:rPr>
          <w:rFonts w:hint="eastAsia"/>
          <w:highlight w:val="none"/>
        </w:rPr>
        <w:t xml:space="preserve">之前在706001的事业编在2024年预算时全部调入706009，人员增多，故增长</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0.00</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0.00%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28.73</w:t>
      </w:r>
      <w:r>
        <w:rPr>
          <w:rFonts w:ascii="宋体" w:eastAsia="宋体" w:hAnsi="宋体" w:cs="宋体" w:hint="eastAsia"/>
          <w:sz w:val="28"/>
          <w:szCs w:val="28"/>
        </w:rPr>
        <w:t xml:space="preserve">万元，</w:t>
      </w:r>
      <w:r>
        <w:rPr>
          <w:rFonts w:ascii="宋体" w:eastAsia="宋体" w:hAnsi="宋体" w:cs="宋体"/>
          <w:sz w:val="28"/>
          <w:u w:color="auto"/>
        </w:rPr>
        <w:t xml:space="preserve">减少28.73</w:t>
      </w:r>
      <w:r>
        <w:rPr>
          <w:rFonts w:ascii="宋体" w:eastAsia="宋体" w:hAnsi="宋体" w:cs="宋体" w:hint="eastAsia"/>
          <w:sz w:val="28"/>
          <w:szCs w:val="28"/>
        </w:rPr>
        <w:t xml:space="preserve">万元，</w:t>
      </w:r>
      <w:r>
        <w:rPr>
          <w:rFonts w:ascii="宋体" w:eastAsia="宋体" w:hAnsi="宋体" w:cs="宋体"/>
          <w:sz w:val="28"/>
          <w:u w:color="auto"/>
        </w:rPr>
        <w:t xml:space="preserve">减少100.00%</w:t>
      </w:r>
      <w:r>
        <w:rPr>
          <w:rFonts w:ascii="宋体" w:eastAsia="宋体" w:hAnsi="宋体" w:cs="宋体" w:hint="eastAsia"/>
          <w:sz w:val="28"/>
          <w:szCs w:val="28"/>
        </w:rPr>
        <w:t xml:space="preserve">，主要原因是：</w:t>
      </w:r>
      <w:r>
        <w:rPr>
          <w:rFonts w:hint="eastAsia"/>
          <w:highlight w:val="none"/>
        </w:rPr>
        <w:t xml:space="preserve">本年没有这方面开支</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城乡社区支出</w:t>
      </w:r>
      <w:r>
        <w:rPr>
          <w:rFonts w:ascii="宋体" w:eastAsia="宋体" w:hAnsi="宋体" w:cs="宋体" w:hint="eastAsia"/>
          <w:sz w:val="28"/>
          <w:szCs w:val="28"/>
        </w:rPr>
        <w:t xml:space="preserve">（类）支出</w:t>
      </w:r>
      <w:r>
        <w:rPr>
          <w:rFonts w:ascii="宋体" w:eastAsia="宋体" w:hAnsi="宋体" w:cs="宋体"/>
          <w:sz w:val="28"/>
          <w:u w:color="auto"/>
        </w:rPr>
        <w:t xml:space="preserve">138.89</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77.08%</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28.26</w:t>
      </w:r>
      <w:r>
        <w:rPr>
          <w:rFonts w:ascii="宋体" w:eastAsia="宋体" w:hAnsi="宋体" w:cs="宋体" w:hint="eastAsia"/>
          <w:sz w:val="28"/>
          <w:szCs w:val="28"/>
        </w:rPr>
        <w:t xml:space="preserve">万元，</w:t>
      </w:r>
      <w:r>
        <w:rPr>
          <w:rFonts w:ascii="宋体" w:eastAsia="宋体" w:hAnsi="宋体" w:cs="宋体"/>
          <w:sz w:val="28"/>
          <w:u w:color="auto"/>
        </w:rPr>
        <w:t xml:space="preserve">增长110.63</w:t>
      </w:r>
      <w:r>
        <w:rPr>
          <w:rFonts w:ascii="宋体" w:eastAsia="宋体" w:hAnsi="宋体" w:cs="宋体" w:hint="eastAsia"/>
          <w:sz w:val="28"/>
          <w:szCs w:val="28"/>
        </w:rPr>
        <w:t xml:space="preserve">万元，</w:t>
      </w:r>
      <w:r>
        <w:rPr>
          <w:rFonts w:ascii="宋体" w:eastAsia="宋体" w:hAnsi="宋体" w:cs="宋体"/>
          <w:sz w:val="28"/>
          <w:u w:color="auto"/>
        </w:rPr>
        <w:t xml:space="preserve">增长391.47%</w:t>
      </w:r>
      <w:r>
        <w:rPr>
          <w:rFonts w:ascii="宋体" w:eastAsia="宋体" w:hAnsi="宋体" w:cs="宋体" w:hint="eastAsia"/>
          <w:sz w:val="28"/>
          <w:szCs w:val="28"/>
        </w:rPr>
        <w:t xml:space="preserve">，主要原因是：</w:t>
      </w:r>
      <w:r>
        <w:rPr>
          <w:rFonts w:hint="eastAsia"/>
          <w:highlight w:val="none"/>
        </w:rPr>
        <w:t xml:space="preserve">之前在706001的事业编在2024年预算时全部调入706009，人员增多，故增长</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21.08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11.70%</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9.71</w:t>
      </w:r>
      <w:r>
        <w:rPr>
          <w:rFonts w:ascii="宋体" w:eastAsia="宋体" w:hAnsi="宋体" w:cs="宋体" w:hint="eastAsia"/>
          <w:sz w:val="28"/>
          <w:szCs w:val="28"/>
        </w:rPr>
        <w:t xml:space="preserve">万元，</w:t>
      </w:r>
      <w:r>
        <w:rPr>
          <w:rFonts w:ascii="宋体" w:eastAsia="宋体" w:hAnsi="宋体" w:cs="宋体"/>
          <w:sz w:val="28"/>
          <w:u w:color="auto"/>
        </w:rPr>
        <w:t xml:space="preserve">增长11.37</w:t>
      </w:r>
      <w:r>
        <w:rPr>
          <w:rFonts w:ascii="宋体" w:eastAsia="宋体" w:hAnsi="宋体" w:cs="宋体" w:hint="eastAsia"/>
          <w:sz w:val="28"/>
          <w:szCs w:val="28"/>
        </w:rPr>
        <w:t xml:space="preserve">万元，</w:t>
      </w:r>
      <w:r>
        <w:rPr>
          <w:rFonts w:ascii="宋体" w:eastAsia="宋体" w:hAnsi="宋体" w:cs="宋体"/>
          <w:sz w:val="28"/>
          <w:u w:color="auto"/>
        </w:rPr>
        <w:t xml:space="preserve">增长117.10%</w:t>
      </w:r>
      <w:r>
        <w:rPr>
          <w:rFonts w:ascii="宋体" w:eastAsia="宋体" w:hAnsi="宋体" w:cs="宋体" w:hint="eastAsia"/>
          <w:sz w:val="28"/>
          <w:szCs w:val="28"/>
        </w:rPr>
        <w:t xml:space="preserve">，主要原因是：</w:t>
      </w:r>
      <w:r>
        <w:rPr>
          <w:rFonts w:hint="eastAsia"/>
          <w:highlight w:val="none"/>
        </w:rPr>
        <w:t xml:space="preserve">之前在706001的事业编在2024年预算时全部调入706009，人员增多，故增长</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3067"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180.20</w:t>
      </w:r>
      <w:r>
        <w:rPr>
          <w:rFonts w:hint="eastAsia"/>
        </w:rPr>
        <w:t xml:space="preserve">万元，较2023年度预算数</w:t>
      </w:r>
      <w:r>
        <w:rPr>
          <w:rFonts w:hint="eastAsia"/>
          <w:lang w:val="en-US" w:eastAsia="zh-CN"/>
        </w:rPr>
        <w:t xml:space="preserve">75.20</w:t>
      </w:r>
      <w:r>
        <w:rPr>
          <w:rFonts w:hint="eastAsia"/>
        </w:rPr>
        <w:t xml:space="preserve">万元</w:t>
      </w:r>
      <w:r>
        <w:rPr>
          <w:rFonts w:hint="eastAsia"/>
          <w:lang w:val="en-US" w:eastAsia="zh-CN"/>
        </w:rPr>
        <w:t xml:space="preserve">,</w:t>
      </w:r>
      <w:r>
        <w:rPr>
          <w:u w:color="auto"/>
        </w:rPr>
        <w:t xml:space="preserve">增加105.00</w:t>
      </w:r>
      <w:r>
        <w:rPr>
          <w:rFonts w:hint="eastAsia"/>
        </w:rPr>
        <w:t xml:space="preserve">万元，</w:t>
      </w:r>
      <w:r>
        <w:rPr>
          <w:rFonts w:hint="eastAsia"/>
          <w:lang w:val="en-US" w:eastAsia="zh-CN"/>
        </w:rPr>
        <w:t xml:space="preserve">增长139.63%</w:t>
      </w:r>
      <w:r>
        <w:rPr>
          <w:rFonts w:hint="eastAsia"/>
        </w:rPr>
        <w:t xml:space="preserve">，主要原因是</w:t>
      </w:r>
      <w:r>
        <w:rPr>
          <w:rFonts w:hint="eastAsia"/>
          <w:highlight w:val="none"/>
          <w:lang w:val="en-US" w:eastAsia="zh-CN"/>
        </w:rPr>
        <w:t xml:space="preserve">之前在706001的事业编在2024年预算时全部调入706009，人员增多，故增长</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174.70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96.95%</w:t>
      </w:r>
      <w:r>
        <w:rPr>
          <w:rFonts w:hint="eastAsia"/>
        </w:rPr>
        <w:t xml:space="preserve">，较2023年度预算数</w:t>
      </w:r>
      <w:r>
        <w:rPr>
          <w:rFonts w:hint="eastAsia"/>
          <w:lang w:val="en-US" w:eastAsia="zh-CN"/>
        </w:rPr>
        <w:t xml:space="preserve">72.31</w:t>
      </w:r>
      <w:r>
        <w:rPr>
          <w:rFonts w:hint="eastAsia"/>
        </w:rPr>
        <w:t xml:space="preserve">万元，</w:t>
      </w:r>
      <w:r>
        <w:rPr>
          <w:rFonts w:hint="eastAsia"/>
          <w:lang w:val="en-US" w:eastAsia="zh-CN"/>
        </w:rPr>
        <w:t xml:space="preserve">增长102.39</w:t>
      </w:r>
      <w:r>
        <w:rPr>
          <w:rFonts w:hint="eastAsia"/>
        </w:rPr>
        <w:t xml:space="preserve">万元，</w:t>
      </w:r>
      <w:r>
        <w:rPr>
          <w:rFonts w:hint="eastAsia"/>
          <w:lang w:val="en-US" w:eastAsia="zh-CN"/>
        </w:rPr>
        <w:t xml:space="preserve">增长141.60%</w:t>
      </w:r>
      <w:r>
        <w:rPr>
          <w:rFonts w:hint="eastAsia"/>
        </w:rPr>
        <w:t xml:space="preserve">，主要原因是：</w:t>
      </w:r>
      <w:r>
        <w:rPr>
          <w:rFonts w:hint="eastAsia"/>
          <w:highlight w:val="none"/>
        </w:rPr>
        <w:t xml:space="preserve">之前在706001的事业编在2024年预算时全部调入706009，人员增多，故增长</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5.50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3.05%</w:t>
      </w:r>
      <w:r>
        <w:rPr>
          <w:rFonts w:hint="eastAsia"/>
        </w:rPr>
        <w:t xml:space="preserve">，较2023年度预算数</w:t>
      </w:r>
      <w:r>
        <w:rPr>
          <w:rFonts w:hint="eastAsia"/>
          <w:lang w:val="en-US" w:eastAsia="zh-CN"/>
        </w:rPr>
        <w:t xml:space="preserve">2.89</w:t>
      </w:r>
      <w:r>
        <w:rPr>
          <w:rFonts w:hint="eastAsia"/>
        </w:rPr>
        <w:t xml:space="preserve">万元，</w:t>
      </w:r>
      <w:r>
        <w:rPr>
          <w:rFonts w:hint="eastAsia"/>
          <w:lang w:val="en-US" w:eastAsia="zh-CN"/>
        </w:rPr>
        <w:t xml:space="preserve">增长2.61</w:t>
      </w:r>
      <w:r>
        <w:rPr>
          <w:rFonts w:hint="eastAsia"/>
        </w:rPr>
        <w:t xml:space="preserve">万元，</w:t>
      </w:r>
      <w:r>
        <w:rPr>
          <w:rFonts w:hint="eastAsia"/>
          <w:lang w:val="en-US" w:eastAsia="zh-CN"/>
        </w:rPr>
        <w:t xml:space="preserve">增长90.31%</w:t>
      </w:r>
      <w:r>
        <w:rPr>
          <w:rFonts w:hint="eastAsia"/>
        </w:rPr>
        <w:t xml:space="preserve">，主要原因是：</w:t>
      </w:r>
      <w:r>
        <w:rPr>
          <w:rFonts w:hint="eastAsia"/>
          <w:highlight w:val="none"/>
        </w:rPr>
        <w:t xml:space="preserve">本年度用于商品和服务支出支出较上一年度有所增加</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3068"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正常变化</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正常变化</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正常变化</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highlight w:val="none"/>
          <w:lang w:val="en-US" w:eastAsia="zh-CN"/>
        </w:rPr>
        <w:t xml:space="preserve">正常变化</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b w:val="0"/>
          <w:bCs w:val="0"/>
          <w:sz w:val="28"/>
          <w:szCs w:val="28"/>
          <w:lang w:eastAsia="zh-CN"/>
        </w:rPr>
        <w:t xml:space="preserve">2024</w:t>
      </w:r>
      <w:r>
        <w:rPr>
          <w:rFonts w:hint="eastAsia"/>
        </w:rPr>
        <w:t xml:space="preserve">年政府性基金预算支出共</w:t>
      </w:r>
      <w:r>
        <w:rPr>
          <w:rFonts w:hint="eastAsia"/>
          <w:b w:val="0"/>
          <w:bCs w:val="0"/>
          <w:sz w:val="28"/>
          <w:szCs w:val="28"/>
          <w:lang w:eastAsia="zh-CN"/>
        </w:rPr>
        <w:t xml:space="preserve">0.00</w:t>
      </w:r>
      <w:r>
        <w:rPr>
          <w:rFonts w:hint="eastAsia"/>
        </w:rPr>
        <w:t xml:space="preserve">万元，较2023年度预算数</w:t>
      </w:r>
      <w:r>
        <w:rPr>
          <w:rFonts w:hint="eastAsia"/>
          <w:b w:val="0"/>
          <w:bCs w:val="0"/>
          <w:sz w:val="28"/>
          <w:szCs w:val="28"/>
          <w:lang w:eastAsia="zh-CN"/>
        </w:rPr>
        <w:t xml:space="preserve">0.00</w:t>
      </w:r>
      <w:r>
        <w:rPr>
          <w:rFonts w:hint="eastAsia"/>
        </w:rPr>
        <w:t xml:space="preserve">万元，</w:t>
      </w:r>
      <w:r>
        <w:rPr>
          <w:rFonts w:hint="eastAsia"/>
          <w:b w:val="0"/>
          <w:bCs w:val="0"/>
          <w:sz w:val="28"/>
          <w:szCs w:val="28"/>
          <w:lang w:eastAsia="zh-CN"/>
        </w:rPr>
        <w:t xml:space="preserve">增加0.00</w:t>
      </w:r>
      <w:r>
        <w:rPr>
          <w:rFonts w:hint="eastAsia"/>
        </w:rPr>
        <w:t xml:space="preserve">万元，</w:t>
      </w:r>
      <w:r>
        <w:rPr>
          <w:rFonts w:hint="eastAsia"/>
          <w:b w:val="0"/>
          <w:bCs w:val="0"/>
          <w:sz w:val="28"/>
          <w:szCs w:val="28"/>
          <w:lang w:eastAsia="zh-CN"/>
        </w:rPr>
        <w:t xml:space="preserve">增长0%</w:t>
      </w:r>
      <w:r>
        <w:rPr>
          <w:rFonts w:hint="eastAsia"/>
        </w:rPr>
        <w:t xml:space="preserve">，主要原因是</w:t>
      </w:r>
      <w:r>
        <w:rPr>
          <w:rFonts w:hint="eastAsia"/>
          <w:highlight w:val="none"/>
          <w:lang w:val="en-US" w:eastAsia="zh-CN"/>
        </w:rPr>
        <w:t xml:space="preserve">正常变化</w:t>
      </w:r>
      <w:r>
        <w:rPr>
          <w:rFonts w:hint="eastAsia"/>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lang w:eastAsia="zh-CN"/>
        </w:rPr>
      </w:pPr>
      <w:r>
        <w:rPr>
          <w:rFonts w:hint="eastAsia"/>
        </w:rPr>
        <w:t xml:space="preserve">我部门</w:t>
      </w:r>
      <w:r>
        <w:rPr>
          <w:rFonts w:hint="eastAsia"/>
          <w:lang w:eastAsia="zh-CN"/>
        </w:rPr>
        <w:t xml:space="preserve">2024</w:t>
      </w:r>
      <w:r>
        <w:rPr>
          <w:rFonts w:hint="eastAsia"/>
        </w:rPr>
        <w:t xml:space="preserve">年国有资本经营预算支出共</w:t>
      </w:r>
      <w:r>
        <w:rPr>
          <w:rFonts w:hint="eastAsia"/>
          <w:lang w:eastAsia="zh-CN"/>
        </w:rPr>
        <w:t xml:space="preserve">0.00</w:t>
      </w:r>
      <w:r>
        <w:rPr>
          <w:rFonts w:hint="eastAsia"/>
        </w:rPr>
        <w:t xml:space="preserve">万元，较2023年度预算数</w:t>
      </w:r>
      <w:r>
        <w:rPr>
          <w:rFonts w:hint="eastAsia"/>
          <w:lang w:eastAsia="zh-CN"/>
        </w:rPr>
        <w:t xml:space="preserve">0.00</w:t>
      </w:r>
      <w:r>
        <w:rPr>
          <w:rFonts w:hint="eastAsia"/>
        </w:rPr>
        <w:t xml:space="preserve">万元，</w:t>
      </w:r>
      <w:r>
        <w:rPr>
          <w:rFonts w:hint="eastAsia"/>
          <w:lang w:eastAsia="zh-CN"/>
        </w:rPr>
        <w:t xml:space="preserve">增加0.00</w:t>
      </w:r>
      <w:r>
        <w:rPr>
          <w:rFonts w:hint="eastAsia"/>
        </w:rPr>
        <w:t xml:space="preserve">万元，</w:t>
      </w:r>
      <w:r>
        <w:rPr>
          <w:rFonts w:hint="eastAsia"/>
          <w:lang w:eastAsia="zh-CN"/>
        </w:rPr>
        <w:t xml:space="preserve">增长0%</w:t>
      </w:r>
      <w:r>
        <w:rPr>
          <w:rFonts w:hint="eastAsia"/>
        </w:rPr>
        <w:t xml:space="preserve">，主要原因是</w:t>
      </w:r>
      <w:r>
        <w:rPr>
          <w:rFonts w:hint="eastAsia"/>
          <w:lang w:val="en-US" w:eastAsia="zh-CN"/>
        </w:rPr>
        <w:t xml:space="preserve">正常变化</w:t>
      </w:r>
      <w:r>
        <w:rPr>
          <w:rFonts w:hint="eastAsia"/>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eastAsia="zh-CN"/>
        </w:rPr>
        <w:t xml:space="preserve">年本部门机关运行经费预算</w:t>
      </w:r>
      <w:r>
        <w:rPr>
          <w:rFonts w:ascii="宋体" w:eastAsia="宋体" w:hAnsi="宋体" w:cs="宋体" w:hint="eastAsia"/>
          <w:sz w:val="28"/>
          <w:szCs w:val="28"/>
          <w:lang w:val="en-US" w:eastAsia="zh-CN"/>
        </w:rPr>
        <w:t xml:space="preserve">5.50</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2.89</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增加2.61</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增长90.31%</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本年度用于机关运行经费预算较上一年度有所增加</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主要用于：0</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highlight w:val="none"/>
          <w:lang w:val="en-US" w:eastAsia="zh-CN"/>
        </w:rPr>
        <w:t xml:space="preserve">0</w:t>
      </w:r>
      <w:r>
        <w:rPr>
          <w:rFonts w:ascii="宋体" w:eastAsia="宋体" w:hAnsi="宋体" w:cs="宋体" w:hint="eastAsia"/>
          <w:sz w:val="28"/>
          <w:szCs w:val="28"/>
          <w:lang w:eastAsia="zh-CN"/>
        </w:rPr>
        <w:t xml:space="preserve">个，预算资金</w:t>
      </w:r>
      <w:r>
        <w:rPr>
          <w:rFonts w:hint="eastAsia"/>
          <w:highlight w:val="none"/>
          <w:lang w:val="en-US" w:eastAsia="zh-CN"/>
        </w:rPr>
        <w:t xml:space="preserve">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highlight w:val="none"/>
          <w:lang w:val="en-US" w:eastAsia="zh-CN"/>
        </w:rPr>
      </w:pPr>
      <w:r>
        <w:rPr>
          <w:rFonts w:hint="eastAsia"/>
          <w:highlight w:val="none"/>
          <w:lang w:val="en-US" w:eastAsia="zh-CN"/>
        </w:rPr>
        <w:t xml:space="preserve">我部门2024年无重点项目预算相关情况</w:t>
      </w:r>
    </w:p>
    <w:p>
      <w:pPr>
        <w:pStyle w:val="Bodytext|1"/>
        <w:spacing w:line="624" w:lineRule="exact"/>
        <w:ind w:firstLine="600"/>
        <w:jc w:val="left"/>
        <w:rPr>
          <w:rFonts w:hint="eastAsia"/>
          <w:highlight w:val="none"/>
          <w:lang w:val="en-US" w:eastAsia="zh-CN"/>
        </w:rPr>
      </w:pPr>
    </w:p>
    <w:p>
      <w:pPr>
        <w:pStyle w:val="Bodytext|1"/>
        <w:spacing w:line="624" w:lineRule="exact"/>
        <w:jc w:val="left"/>
        <w:rPr>
          <w:rFonts w:hint="default"/>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环江毛南族自治县下南乡国土规建环保安监站</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1"/>
      <w:bookmarkStart w:id="19" w:name="bookmark30"/>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环江毛南族自治县下南乡国土规建环保安监站</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180.20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1.66</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180.20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21.08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138.89</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18.57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180.20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180.20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180.20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180.20</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1161"/>
        <w:gridCol w:w="1031"/>
        <w:gridCol w:w="844"/>
        <w:gridCol w:w="856"/>
        <w:gridCol w:w="1035"/>
        <w:gridCol w:w="1011"/>
        <w:gridCol w:w="859"/>
        <w:gridCol w:w="944"/>
        <w:gridCol w:w="150"/>
        <w:gridCol w:w="872"/>
        <w:gridCol w:w="1054"/>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环江毛南族自治县下南乡国土规建环保安监站</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tcPr>
          <w:p>
            <w:pPr>
              <w:tabs>
                <w:tab w:val="left" w:pos="859"/>
              </w:tabs>
              <w:jc w:val="both"/>
              <w:rPr>
                <w:rFonts w:eastAsia="宋体" w:hint="eastAsia"/>
                <w:vertAlign w:val="baseline"/>
                <w:lang w:val="en-US" w:eastAsia="zh-CN"/>
              </w:rPr>
            </w:pPr>
            <w:r>
              <w:rPr>
                <w:sz w:val="17"/>
                <w:szCs w:val="17"/>
              </w:rPr>
              <w:t xml:space="preserve">部门（单位）代码</w:t>
            </w:r>
          </w:p>
        </w:tc>
        <w:tc>
          <w:tcPr>
            <w:tcW w:w="1279" w:type="dxa"/>
            <w:vMerge w:val="restart"/>
          </w:tcPr>
          <w:p>
            <w:pPr>
              <w:tabs>
                <w:tab w:val="left" w:pos="859"/>
              </w:tabs>
              <w:jc w:val="both"/>
              <w:rPr>
                <w:rFonts w:eastAsia="宋体" w:hint="eastAsia"/>
                <w:vertAlign w:val="baseline"/>
                <w:lang w:val="en-US" w:eastAsia="zh-CN"/>
              </w:rPr>
            </w:pPr>
            <w:r>
              <w:rPr>
                <w:sz w:val="17"/>
                <w:szCs w:val="17"/>
              </w:rPr>
              <w:t xml:space="preserve">部门（单位）名称</w:t>
            </w:r>
          </w:p>
        </w:tc>
        <w:tc>
          <w:tcPr>
            <w:tcW w:w="990" w:type="dxa"/>
            <w:vMerge w:val="restart"/>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4871" w:type="dxa"/>
            <w:gridSpan w:val="5"/>
          </w:tcPr>
          <w:p>
            <w:pPr>
              <w:tabs>
                <w:tab w:val="left" w:pos="859"/>
              </w:tabs>
              <w:jc w:val="both"/>
              <w:rPr>
                <w:rFonts w:eastAsia="宋体" w:hint="eastAsia"/>
                <w:vertAlign w:val="baseline"/>
                <w:lang w:val="en-US" w:eastAsia="zh-CN"/>
              </w:rPr>
            </w:pPr>
            <w:r>
              <w:rPr>
                <w:sz w:val="17"/>
                <w:szCs w:val="17"/>
              </w:rPr>
              <w:t xml:space="preserve">本年收入</w:t>
            </w:r>
          </w:p>
        </w:tc>
        <w:tc>
          <w:tcPr>
            <w:tcW w:w="6781" w:type="dxa"/>
            <w:gridSpan w:val="8"/>
          </w:tcPr>
          <w:p>
            <w:pPr>
              <w:tabs>
                <w:tab w:val="left" w:pos="859"/>
              </w:tabs>
              <w:jc w:val="both"/>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both"/>
              <w:rPr>
                <w:rFonts w:eastAsia="宋体" w:hint="eastAsia"/>
                <w:vertAlign w:val="baseline"/>
                <w:lang w:val="en-US" w:eastAsia="zh-CN"/>
              </w:rPr>
            </w:pPr>
          </w:p>
        </w:tc>
        <w:tc>
          <w:tcPr>
            <w:tcW w:w="1279" w:type="dxa"/>
            <w:vMerge/>
          </w:tcPr>
          <w:p>
            <w:pPr>
              <w:tabs>
                <w:tab w:val="left" w:pos="859"/>
              </w:tabs>
              <w:jc w:val="both"/>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left"/>
              <w:rPr>
                <w:rFonts w:eastAsia="宋体" w:hint="eastAsia"/>
                <w:vertAlign w:val="baseline"/>
                <w:lang w:val="en-US" w:eastAsia="zh-CN"/>
              </w:rPr>
            </w:pP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116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3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44"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firstLine="0" w:firstLineChars="0"/>
              <w:jc w:val="left"/>
              <w:rPr>
                <w:rFonts w:eastAsia="宋体" w:hint="eastAsia"/>
                <w:vertAlign w:val="baseline"/>
                <w:lang w:val="en-US" w:eastAsia="zh-CN"/>
              </w:rPr>
            </w:pPr>
            <w:r>
              <w:rPr>
                <w:sz w:val="17"/>
                <w:szCs w:val="17"/>
              </w:rPr>
              <w:t xml:space="preserve">收入</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sz w:val="17"/>
                <w:szCs w:val="17"/>
              </w:rPr>
              <w:t xml:space="preserve">单位资金</w:t>
            </w:r>
          </w:p>
        </w:tc>
        <w:tc>
          <w:tcPr>
            <w:tcW w:w="1035" w:type="dxa"/>
            <w:vAlign w:val="center"/>
          </w:tcPr>
          <w:p>
            <w:pPr>
              <w:pStyle w:val="Other|1"/>
              <w:spacing w:line="240" w:lineRule="auto"/>
              <w:ind w:firstLine="300" w:firstLineChars="0"/>
              <w:jc w:val="left"/>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left"/>
              <w:rPr>
                <w:rFonts w:eastAsia="宋体" w:hint="eastAsia"/>
                <w:vertAlign w:val="baseline"/>
                <w:lang w:val="en-US" w:eastAsia="zh-CN"/>
              </w:rPr>
            </w:pPr>
            <w:r>
              <w:rPr>
                <w:sz w:val="17"/>
                <w:szCs w:val="17"/>
              </w:rPr>
              <w:t xml:space="preserve">国有资本经营预算</w:t>
            </w:r>
          </w:p>
        </w:tc>
        <w:tc>
          <w:tcPr>
            <w:tcW w:w="872" w:type="dxa"/>
          </w:tcPr>
          <w:p>
            <w:pPr>
              <w:pStyle w:val="Other|1"/>
              <w:spacing w:line="312" w:lineRule="exact"/>
              <w:ind w:firstLine="0"/>
              <w:jc w:val="left"/>
              <w:rPr>
                <w:sz w:val="17"/>
                <w:szCs w:val="17"/>
              </w:rPr>
            </w:pPr>
            <w:r>
              <w:rPr>
                <w:sz w:val="17"/>
                <w:szCs w:val="17"/>
              </w:rPr>
              <w:t xml:space="preserve">财政专户管理资金</w:t>
            </w:r>
          </w:p>
          <w:p>
            <w:pPr>
              <w:pStyle w:val="Other|1"/>
              <w:spacing w:line="312" w:lineRule="exact"/>
              <w:ind w:right="280" w:firstLine="0" w:rightChars="0" w:firstLineChars="0"/>
              <w:jc w:val="left"/>
              <w:rPr>
                <w:rFonts w:eastAsia="宋体" w:hint="eastAsia"/>
                <w:vertAlign w:val="baseline"/>
                <w:lang w:val="en-US" w:eastAsia="zh-CN"/>
              </w:rPr>
            </w:pPr>
            <w:r>
              <w:rPr>
                <w:sz w:val="17"/>
                <w:szCs w:val="17"/>
              </w:rPr>
              <w:t xml:space="preserve">收入</w:t>
            </w:r>
          </w:p>
        </w:tc>
        <w:tc>
          <w:tcPr>
            <w:tcW w:w="1054" w:type="dxa"/>
            <w:vAlign w:val="center"/>
          </w:tcPr>
          <w:p>
            <w:pPr>
              <w:pStyle w:val="Other|1"/>
              <w:spacing w:line="240" w:lineRule="auto"/>
              <w:ind w:firstLine="140" w:firstLineChars="0"/>
              <w:jc w:val="left"/>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1161"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103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844"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856"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1035" w:type="dxa"/>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firstLine="42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firstLine="44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872" w:type="dxa"/>
            <w:vAlign w:val="center"/>
          </w:tcPr>
          <w:p>
            <w:pPr>
              <w:pStyle w:val="Other|1"/>
              <w:spacing w:line="240" w:lineRule="auto"/>
              <w:ind w:right="38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1054" w:type="dxa"/>
            <w:vAlign w:val="center"/>
          </w:tcPr>
          <w:p>
            <w:pPr>
              <w:pStyle w:val="Other|1"/>
              <w:spacing w:line="240" w:lineRule="auto"/>
              <w:ind w:right="420" w:firstLine="0" w:rightChars="0" w:firstLineChars="0"/>
              <w:jc w:val="left"/>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p>
        </w:tc>
        <w:tc>
          <w:tcPr>
            <w:tcW w:w="1279" w:type="dxa"/>
          </w:tcPr>
          <w:p>
            <w:pPr>
              <w:pStyle w:val="Other|1"/>
              <w:spacing w:line="326" w:lineRule="exact"/>
              <w:ind w:firstLine="0" w:firstLineChars="0"/>
              <w:jc w:val="left"/>
              <w:rPr>
                <w:rFonts w:eastAsia="宋体" w:hint="eastAsia"/>
                <w:vertAlign w:val="baseline"/>
                <w:lang w:val="en-US" w:eastAsia="zh-CN"/>
              </w:rPr>
            </w:pPr>
            <w:r>
              <w:rPr>
                <w:rFonts w:hint="eastAsia"/>
                <w:sz w:val="17"/>
                <w:szCs w:val="17"/>
                <w:lang w:val="en-US" w:eastAsia="zh-CN"/>
              </w:rPr>
              <w:t xml:space="preserve">合计</w:t>
            </w: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180.20</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180.20</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180.20</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706009</w:t>
            </w:r>
          </w:p>
        </w:tc>
        <w:tc>
          <w:tcPr>
            <w:tcW w:w="1279" w:type="dxa"/>
          </w:tcPr>
          <w:p>
            <w:pPr>
              <w:pStyle w:val="Other|1"/>
              <w:spacing w:line="326" w:lineRule="exact"/>
              <w:ind w:firstLine="0" w:firstLineChars="0"/>
              <w:jc w:val="left"/>
              <w:rPr>
                <w:rFonts w:eastAsia="宋体" w:hint="eastAsia"/>
                <w:vertAlign w:val="baseline"/>
                <w:lang w:val="en-US" w:eastAsia="zh-CN"/>
              </w:rPr>
            </w:pPr>
          </w:p>
        </w:tc>
        <w:tc>
          <w:tcPr>
            <w:tcW w:w="990"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180.20</w:t>
            </w:r>
          </w:p>
        </w:tc>
        <w:tc>
          <w:tcPr>
            <w:tcW w:w="926" w:type="dxa"/>
            <w:vAlign w:val="center"/>
          </w:tcPr>
          <w:p>
            <w:pPr>
              <w:pStyle w:val="Other|1"/>
              <w:spacing w:line="240" w:lineRule="auto"/>
              <w:ind w:firstLine="300" w:firstLineChars="0"/>
              <w:jc w:val="left"/>
              <w:rPr>
                <w:rFonts w:eastAsia="宋体" w:hint="eastAsia"/>
                <w:vertAlign w:val="baseline"/>
                <w:lang w:val="en-US" w:eastAsia="zh-CN"/>
              </w:rPr>
            </w:pPr>
            <w:r>
              <w:rPr>
                <w:rFonts w:hint="eastAsia"/>
                <w:sz w:val="17"/>
                <w:szCs w:val="17"/>
                <w:lang w:val="en-US" w:eastAsia="zh-CN"/>
              </w:rPr>
              <w:t xml:space="preserve">180.20</w:t>
            </w:r>
          </w:p>
        </w:tc>
        <w:tc>
          <w:tcPr>
            <w:tcW w:w="909" w:type="dxa"/>
            <w:vAlign w:val="center"/>
          </w:tcPr>
          <w:p>
            <w:pPr>
              <w:pStyle w:val="Other|1"/>
              <w:spacing w:line="240" w:lineRule="auto"/>
              <w:ind w:firstLine="2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180.20</w:t>
            </w:r>
          </w:p>
        </w:tc>
        <w:tc>
          <w:tcPr>
            <w:tcW w:w="1161" w:type="dxa"/>
            <w:vAlign w:val="center"/>
          </w:tcPr>
          <w:p>
            <w:pPr>
              <w:pStyle w:val="Other|1"/>
              <w:spacing w:line="240" w:lineRule="auto"/>
              <w:ind w:firstLine="520" w:firstLineChars="0"/>
              <w:jc w:val="left"/>
              <w:rPr>
                <w:rFonts w:eastAsia="宋体" w:hint="eastAsia"/>
                <w:vertAlign w:val="baseline"/>
                <w:lang w:val="en-US" w:eastAsia="zh-CN"/>
              </w:rPr>
            </w:pPr>
            <w:r>
              <w:rPr>
                <w:rFonts w:hint="eastAsia"/>
                <w:sz w:val="17"/>
                <w:szCs w:val="17"/>
                <w:lang w:val="en-US" w:eastAsia="zh-CN"/>
              </w:rPr>
              <w:t xml:space="preserve">0.00</w:t>
            </w:r>
          </w:p>
        </w:tc>
        <w:tc>
          <w:tcPr>
            <w:tcW w:w="103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44"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35" w:type="dxa"/>
            <w:vAlign w:val="center"/>
          </w:tcPr>
          <w:p>
            <w:pPr>
              <w:pStyle w:val="Other|1"/>
              <w:spacing w:line="240" w:lineRule="auto"/>
              <w:ind w:firstLine="52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11" w:type="dxa"/>
            <w:vAlign w:val="center"/>
          </w:tcPr>
          <w:p>
            <w:pPr>
              <w:pStyle w:val="Other|1"/>
              <w:spacing w:line="240" w:lineRule="auto"/>
              <w:ind w:firstLine="4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59"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94" w:type="dxa"/>
            <w:gridSpan w:val="2"/>
            <w:vAlign w:val="center"/>
          </w:tcPr>
          <w:p>
            <w:pPr>
              <w:pStyle w:val="Other|1"/>
              <w:spacing w:line="240" w:lineRule="auto"/>
              <w:ind w:firstLine="58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872"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1054" w:type="dxa"/>
            <w:vAlign w:val="center"/>
          </w:tcPr>
          <w:p>
            <w:pPr>
              <w:pStyle w:val="Other|1"/>
              <w:spacing w:line="240" w:lineRule="auto"/>
              <w:ind w:firstLine="540" w:firstLineChars="0"/>
              <w:jc w:val="left"/>
              <w:rPr>
                <w:rFonts w:eastAsia="宋体" w:hint="eastAsia"/>
                <w:vertAlign w:val="baseline"/>
                <w:lang w:val="en-US" w:eastAsia="zh-CN"/>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环江毛南族自治县下南乡国土规建环保安监站</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180.20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706009</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180.20</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180.20</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1.66</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1.66</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21.08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2129999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其他城乡社区支出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138.89</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138.89</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18.57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18.57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5"/>
      <w:bookmarkStart w:id="24" w:name="bookmark46"/>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环江毛南族自治县下南乡国土规建环保安监站</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180.20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1.66</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180.20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21.08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138.89</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18.57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180.20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180.20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180.20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180.20</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环江毛南族自治县下南乡国土规建环保安监站</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706009</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180.20</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180.20</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174.70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5.50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1.66</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1.66</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1.66</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21.08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21.08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21.08</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2129999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其他城乡社区支出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138.89</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138.89</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135.05</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3.84</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18.57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18.57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18.57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8"/>
      <w:bookmarkStart w:id="27" w:name="bookmark56"/>
      <w:bookmarkStart w:id="28" w:name="bookmark57"/>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环江毛南族自治县下南乡国土规建环保安监站</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180.20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174.70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174.70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174.70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50.79</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50.79</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15.45</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15.45</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32.12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32.12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27.33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27.33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21.08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21.08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8.43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8.43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0.92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18.57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18.57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5.50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30206</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电费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0.84</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0.84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30211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差旅费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1.66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7"/>
      <w:bookmarkStart w:id="30" w:name="bookmark65"/>
      <w:bookmarkStart w:id="31"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环江毛南族自治县下南乡国土规建环保安监站</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706009</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环江毛南族自治县下南乡国土规建环保安监站</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2129999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其他城乡社区支出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环江毛南族自治县下南乡国土规建环保安监站</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环江毛南族自治县下南乡国土规建环保安监站</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5"/>
      <w:bookmarkStart w:id="33" w:name="bookmark94"/>
      <w:bookmarkStart w:id="34" w:name="bookmark96"/>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62"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5889"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3070"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5891"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3072"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5893"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3"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5894"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4"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5895"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3075"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589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069"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890"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3071"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589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100"/>
  <w:bordersDoNotSurroundFooter w:val="0"/>
  <w:bordersDoNotSurroundHeader w:val="0"/>
  <w:doNotTrackMoves/>
  <w:documentProtection w:enforcement="1" w:edit="readOnly" w:salt="hwZBT9Tof4zCiSf+9yEc4g==" w:hash="j/gDxRXMtNAxjBA8afng33Vrjt8/+3B27qe8tDTQSJRdLZbmqgNOhhaSVlW9X1bgESc1xfgC0i/9UCVc6Y0tO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MGI3MmYwZTNiZDI5Y2Q4YzI1NGE3NmVlMWM4ODU1YTU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180.2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城乡社区支出</c:v>
                </c:pt>
                <c:pt idx="3">
                  <c:v>住房保障支出</c:v>
                </c:pt>
              </c:strCache>
            </c:strRef>
          </c:cat>
          <c:val>
            <c:numRef>
              <c:f>Sheet1!$B$2:$B$5</c:f>
              <c:numCache>
                <c:ptCount val="4"/>
                <c:pt idx="0">
                  <c:v>1.66</c:v>
                </c:pt>
                <c:pt idx="1">
                  <c:v>21.08</c:v>
                </c:pt>
                <c:pt idx="2">
                  <c:v>138.89</c:v>
                </c:pt>
                <c:pt idx="3">
                  <c:v>18.57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Sheet1!$A$2:$A$3</c:f>
              <c:strCache>
                <c:ptCount val="2"/>
                <c:pt idx="0">
                  <c:v>收入</c:v>
                </c:pt>
                <c:pt idx="1">
                  <c:v>支出</c:v>
                </c:pt>
              </c:strCache>
            </c:strRef>
          </c:cat>
          <c:val>
            <c:numRef>
              <c:f>Sheet1!$B$2:$B$3</c:f>
              <c:numCache>
                <c:formatCode>General</c:formatCode>
                <c:ptCount val="2"/>
                <c:pt idx="0">
                  <c:v>75.2</c:v>
                </c:pt>
                <c:pt idx="1">
                  <c:v>75.2</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Sheet1!$A$2:$A$3</c:f>
              <c:strCache>
                <c:ptCount val="2"/>
                <c:pt idx="0">
                  <c:v>收入</c:v>
                </c:pt>
                <c:pt idx="1">
                  <c:v>支出</c:v>
                </c:pt>
              </c:strCache>
            </c:strRef>
          </c:cat>
          <c:val>
            <c:numRef>
              <c:f>Sheet1!$C$2:$C$3</c:f>
              <c:numCache>
                <c:formatCode>General</c:formatCode>
                <c:ptCount val="2"/>
                <c:pt idx="0">
                  <c:v>180.2</c:v>
                </c:pt>
                <c:pt idx="1">
                  <c:v>180.2</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上年</c:v>
                </c:pt>
              </c:strCache>
            </c:strRef>
          </c:cat>
          <c:val>
            <c:numRef>
              <c:f>Sheet1!$B$2</c:f>
              <c:numCache>
                <c:formatCode>General</c:formatCode>
                <c:ptCount val="1"/>
                <c:pt idx="0">
                  <c:v>180.2</c:v>
                </c:pt>
              </c:numCache>
            </c:numRef>
          </c:val>
        </c:ser>
        <c:ser>
          <c:idx val="1"/>
          <c:order val="1"/>
          <c:tx>
            <c:strRef>
              <c:f>Sheet1!$C$1</c:f>
              <c:strCache>
                <c:ptCount val="1"/>
                <c:pt idx="0">
                  <c:v>结转下年支出</c:v>
                </c:pt>
              </c:strCache>
            </c:strRef>
          </c:tx>
          <c:cat>
            <c:strRef>
              <c:f>Sheet1!$A$2</c:f>
              <c:strCache>
                <c:ptCount val="1"/>
                <c:pt idx="0">
                  <c:v>上年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上年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上年</c:v>
                </c:pt>
              </c:strCache>
            </c:strRef>
          </c:cat>
          <c:val>
            <c:numRef>
              <c:f>Sheet1!$E$2</c:f>
              <c:numCache>
                <c:ptCount val="1"/>
                <c:pt idx="0">
                  <c:v>5.5</c:v>
                </c:pt>
              </c:numCache>
            </c:numRef>
          </c:val>
        </c:ser>
        <c:ser>
          <c:idx val="4"/>
          <c:order val="4"/>
          <c:tx>
            <c:strRef>
              <c:f>Sheet1!$F$1</c:f>
              <c:strCache>
                <c:ptCount val="1"/>
                <c:pt idx="0">
                  <c:v>人员经费</c:v>
                </c:pt>
              </c:strCache>
            </c:strRef>
          </c:tx>
          <c:cat>
            <c:strRef>
              <c:f>Sheet1!$A$2</c:f>
              <c:strCache>
                <c:ptCount val="1"/>
                <c:pt idx="0">
                  <c:v>上年</c:v>
                </c:pt>
              </c:strCache>
            </c:strRef>
          </c:cat>
          <c:val>
            <c:numRef>
              <c:f>Sheet1!$F$2</c:f>
              <c:numCache>
                <c:ptCount val="1"/>
                <c:pt idx="0">
                  <c:v>174.7</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zh-CN"/>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174.7</c:v>
                </c:pt>
                <c:pt idx="1">
                  <c:v>5.5</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公务接待费预算</c:v>
                </c:pt>
                <c:pt idx="1">
                  <c:v>因公出国（境）经费预算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2024-02-28T09:06:10Z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19</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DC93C90D53BE4108B92996B0242E3918_13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19</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黄凯璇</cp:lastModifiedBy>
  <dcterms:modified xsi:type="dcterms:W3CDTF">2024-03-01T05:38:52Z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DC93C90D53BE4108B92996B0242E3918_13</vt:lpstr>
  </property>
</Properties>
</file>