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lang w:eastAsia="zh-CN"/>
        </w:rPr>
      </w:pPr>
    </w:p>
    <w:p>
      <w:pPr>
        <w:pStyle w:val="5"/>
        <w:jc w:val="center"/>
        <w:rPr>
          <w:rFonts w:hint="eastAsia"/>
          <w:lang w:eastAsia="zh-CN"/>
        </w:rPr>
      </w:pPr>
    </w:p>
    <w:p>
      <w:pPr>
        <w:pStyle w:val="5"/>
        <w:jc w:val="center"/>
        <w:rPr>
          <w:rFonts w:hint="eastAsia"/>
          <w:lang w:eastAsia="zh-CN"/>
        </w:rPr>
      </w:pPr>
      <w:r>
        <w:rPr>
          <w:rFonts w:hint="eastAsia"/>
          <w:lang w:eastAsia="zh-CN"/>
        </w:rPr>
        <w:t>环江毛南族自治县川山镇扶贫站</w:t>
      </w:r>
    </w:p>
    <w:p>
      <w:pPr>
        <w:pStyle w:val="5"/>
        <w:jc w:val="center"/>
        <w:rPr>
          <w:rFonts w:hint="eastAsia"/>
          <w:lang w:eastAsia="zh-CN"/>
        </w:rPr>
      </w:pPr>
      <w:bookmarkStart w:id="43" w:name="_GoBack"/>
      <w:bookmarkEnd w:id="43"/>
    </w:p>
    <w:p>
      <w:pPr>
        <w:pStyle w:val="5"/>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6"/>
        <w:keepNext/>
        <w:keepLines/>
        <w:spacing w:after="240"/>
        <w:jc w:val="center"/>
      </w:pPr>
      <w:bookmarkStart w:id="0" w:name="bookmark1"/>
      <w:bookmarkStart w:id="1" w:name="bookmark0"/>
      <w:bookmarkStart w:id="2" w:name="bookmark2"/>
      <w:r>
        <w:t>目录</w:t>
      </w:r>
      <w:bookmarkEnd w:id="0"/>
      <w:bookmarkEnd w:id="1"/>
      <w:bookmarkEnd w:id="2"/>
    </w:p>
    <w:p>
      <w:pPr>
        <w:pStyle w:val="7"/>
        <w:ind w:left="0" w:leftChars="0" w:firstLine="320" w:firstLineChars="100"/>
        <w:jc w:val="left"/>
      </w:pPr>
      <w:r>
        <w:t>第一部分</w:t>
      </w:r>
      <w:r>
        <w:rPr>
          <w:rFonts w:hint="eastAsia"/>
          <w:lang w:eastAsia="zh-CN"/>
        </w:rPr>
        <w:t>：</w:t>
      </w:r>
      <w:r>
        <w:rPr>
          <w:u w:color="auto"/>
        </w:rPr>
        <w:t>环江毛南族自治县川山镇扶贫站单位</w:t>
      </w:r>
      <w:r>
        <w:t>概况</w:t>
      </w:r>
    </w:p>
    <w:p>
      <w:pPr>
        <w:pStyle w:val="7"/>
        <w:jc w:val="left"/>
      </w:pPr>
      <w:r>
        <w:rPr>
          <w:lang w:val="en-US" w:eastAsia="zh-CN" w:bidi="en-US"/>
        </w:rPr>
        <w:t>—</w:t>
      </w:r>
      <w:r>
        <w:t>、主要职责</w:t>
      </w:r>
    </w:p>
    <w:p>
      <w:pPr>
        <w:pStyle w:val="7"/>
        <w:jc w:val="left"/>
        <w:rPr>
          <w:rFonts w:hint="eastAsia"/>
        </w:rPr>
      </w:pPr>
      <w:r>
        <w:rPr>
          <w:rFonts w:hint="eastAsia"/>
          <w:lang w:val="en-US" w:eastAsia="zh-CN"/>
        </w:rPr>
        <w:t>二、</w:t>
      </w:r>
      <w:r>
        <w:rPr>
          <w:rFonts w:hint="eastAsia"/>
        </w:rPr>
        <w:t>机构设置情况</w:t>
      </w:r>
    </w:p>
    <w:p>
      <w:pPr>
        <w:pStyle w:val="7"/>
        <w:ind w:left="0" w:leftChars="0" w:firstLine="320" w:firstLineChars="100"/>
        <w:jc w:val="left"/>
      </w:pPr>
      <w:r>
        <w:t>第二部分</w:t>
      </w:r>
      <w:r>
        <w:rPr>
          <w:rFonts w:hint="eastAsia"/>
          <w:lang w:eastAsia="zh-CN"/>
        </w:rPr>
        <w:t>：</w:t>
      </w:r>
      <w:r>
        <w:rPr>
          <w:u w:color="auto"/>
        </w:rPr>
        <w:t>环江毛南族自治县川山镇扶贫站2024</w:t>
      </w:r>
      <w:r>
        <w:t>部门预算情况说明</w:t>
      </w:r>
    </w:p>
    <w:p>
      <w:pPr>
        <w:pStyle w:val="7"/>
        <w:numPr>
          <w:ilvl w:val="0"/>
          <w:numId w:val="0"/>
        </w:numPr>
        <w:ind w:firstLine="640" w:firstLineChars="200"/>
        <w:jc w:val="left"/>
        <w:rPr>
          <w:rFonts w:hint="eastAsia"/>
        </w:rPr>
      </w:pPr>
      <w:r>
        <w:rPr>
          <w:rFonts w:hint="eastAsia"/>
        </w:rPr>
        <w:t>一、部门收支总体情况说明</w:t>
      </w:r>
    </w:p>
    <w:p>
      <w:pPr>
        <w:pStyle w:val="7"/>
        <w:numPr>
          <w:ilvl w:val="0"/>
          <w:numId w:val="0"/>
        </w:numPr>
        <w:ind w:firstLine="640" w:firstLineChars="200"/>
        <w:jc w:val="left"/>
        <w:rPr>
          <w:rFonts w:hint="eastAsia"/>
        </w:rPr>
      </w:pPr>
      <w:r>
        <w:rPr>
          <w:rFonts w:hint="eastAsia"/>
        </w:rPr>
        <w:t>二、部门收入总体情况说明</w:t>
      </w:r>
    </w:p>
    <w:p>
      <w:pPr>
        <w:pStyle w:val="7"/>
        <w:numPr>
          <w:ilvl w:val="0"/>
          <w:numId w:val="0"/>
        </w:numPr>
        <w:ind w:firstLine="640" w:firstLineChars="200"/>
        <w:jc w:val="left"/>
        <w:rPr>
          <w:rFonts w:hint="eastAsia"/>
        </w:rPr>
      </w:pPr>
      <w:r>
        <w:rPr>
          <w:rFonts w:hint="eastAsia"/>
        </w:rPr>
        <w:t>三、部门支出总体情况说明</w:t>
      </w:r>
    </w:p>
    <w:p>
      <w:pPr>
        <w:pStyle w:val="7"/>
        <w:numPr>
          <w:ilvl w:val="0"/>
          <w:numId w:val="0"/>
        </w:numPr>
        <w:ind w:firstLine="640" w:firstLineChars="200"/>
        <w:jc w:val="left"/>
        <w:rPr>
          <w:rFonts w:hint="eastAsia"/>
        </w:rPr>
      </w:pPr>
      <w:r>
        <w:rPr>
          <w:rFonts w:hint="eastAsia"/>
        </w:rPr>
        <w:t>四、财政拨款收支总体情况说明</w:t>
      </w:r>
    </w:p>
    <w:p>
      <w:pPr>
        <w:pStyle w:val="7"/>
        <w:numPr>
          <w:ilvl w:val="0"/>
          <w:numId w:val="0"/>
        </w:numPr>
        <w:ind w:firstLine="640" w:firstLineChars="200"/>
        <w:jc w:val="left"/>
        <w:rPr>
          <w:rFonts w:hint="eastAsia"/>
        </w:rPr>
      </w:pPr>
      <w:r>
        <w:rPr>
          <w:rFonts w:hint="eastAsia"/>
        </w:rPr>
        <w:t>五、一般公共预算支出情况说明</w:t>
      </w:r>
    </w:p>
    <w:p>
      <w:pPr>
        <w:pStyle w:val="7"/>
        <w:numPr>
          <w:ilvl w:val="0"/>
          <w:numId w:val="0"/>
        </w:numPr>
        <w:ind w:firstLine="640" w:firstLineChars="200"/>
        <w:jc w:val="left"/>
        <w:rPr>
          <w:rFonts w:hint="eastAsia"/>
        </w:rPr>
      </w:pPr>
      <w:r>
        <w:rPr>
          <w:rFonts w:hint="eastAsia"/>
        </w:rPr>
        <w:t>六、一般公共预算基本支出情况说明</w:t>
      </w:r>
    </w:p>
    <w:p>
      <w:pPr>
        <w:pStyle w:val="7"/>
        <w:numPr>
          <w:ilvl w:val="0"/>
          <w:numId w:val="0"/>
        </w:numPr>
        <w:ind w:firstLine="640" w:firstLineChars="200"/>
        <w:jc w:val="left"/>
        <w:rPr>
          <w:rFonts w:hint="eastAsia"/>
        </w:rPr>
      </w:pPr>
      <w:r>
        <w:rPr>
          <w:rFonts w:hint="eastAsia"/>
        </w:rPr>
        <w:t>七、一般公共预算“三公”经费支出情况说明</w:t>
      </w:r>
    </w:p>
    <w:p>
      <w:pPr>
        <w:pStyle w:val="7"/>
        <w:numPr>
          <w:ilvl w:val="0"/>
          <w:numId w:val="0"/>
        </w:numPr>
        <w:ind w:firstLine="640" w:firstLineChars="200"/>
        <w:jc w:val="left"/>
        <w:rPr>
          <w:rFonts w:hint="eastAsia"/>
        </w:rPr>
      </w:pPr>
      <w:r>
        <w:rPr>
          <w:rFonts w:hint="eastAsia"/>
        </w:rPr>
        <w:t>八、政府性基金预算支出情况说明</w:t>
      </w:r>
    </w:p>
    <w:p>
      <w:pPr>
        <w:pStyle w:val="7"/>
        <w:numPr>
          <w:ilvl w:val="0"/>
          <w:numId w:val="0"/>
        </w:numPr>
        <w:ind w:firstLine="640" w:firstLineChars="200"/>
        <w:jc w:val="left"/>
        <w:rPr>
          <w:rFonts w:hint="eastAsia"/>
        </w:rPr>
      </w:pPr>
      <w:r>
        <w:rPr>
          <w:rFonts w:hint="eastAsia"/>
        </w:rPr>
        <w:t>九、国有资本经营预算支出情况说明</w:t>
      </w:r>
    </w:p>
    <w:p>
      <w:pPr>
        <w:pStyle w:val="7"/>
        <w:numPr>
          <w:ilvl w:val="0"/>
          <w:numId w:val="0"/>
        </w:numPr>
        <w:ind w:firstLine="640" w:firstLineChars="200"/>
        <w:jc w:val="left"/>
      </w:pPr>
      <w:r>
        <w:rPr>
          <w:rFonts w:hint="eastAsia"/>
        </w:rPr>
        <w:t>十、其他重要事项情况说明</w:t>
      </w:r>
    </w:p>
    <w:p>
      <w:pPr>
        <w:pStyle w:val="7"/>
        <w:ind w:left="0" w:leftChars="0" w:firstLine="320" w:firstLineChars="100"/>
        <w:jc w:val="left"/>
      </w:pPr>
      <w:r>
        <w:t>第三部分</w:t>
      </w:r>
      <w:r>
        <w:rPr>
          <w:rFonts w:hint="eastAsia"/>
          <w:lang w:eastAsia="zh-CN"/>
        </w:rPr>
        <w:t>：</w:t>
      </w:r>
      <w:r>
        <w:rPr>
          <w:u w:color="auto"/>
        </w:rPr>
        <w:t>环江毛南族自治县川山镇扶贫站2024</w:t>
      </w:r>
      <w:r>
        <w:rPr>
          <w:rFonts w:ascii="Times New Roman" w:hAnsi="Times New Roman" w:cs="Times New Roman"/>
          <w:u w:color="auto"/>
        </w:rPr>
        <w:t>年</w:t>
      </w:r>
      <w:r>
        <w:t>部门预算</w:t>
      </w:r>
      <w:r>
        <w:rPr>
          <w:rFonts w:hint="eastAsia"/>
          <w:lang w:val="en-US" w:eastAsia="zh-CN"/>
        </w:rPr>
        <w:t>相关报</w:t>
      </w:r>
      <w:r>
        <w:t>表</w:t>
      </w:r>
    </w:p>
    <w:p>
      <w:pPr>
        <w:pStyle w:val="7"/>
        <w:jc w:val="left"/>
        <w:rPr>
          <w:rFonts w:hint="eastAsia"/>
        </w:rPr>
      </w:pPr>
      <w:r>
        <w:rPr>
          <w:rFonts w:hint="eastAsia"/>
        </w:rPr>
        <w:t>一、部门收支总体情况表</w:t>
      </w:r>
    </w:p>
    <w:p>
      <w:pPr>
        <w:pStyle w:val="7"/>
        <w:jc w:val="left"/>
        <w:rPr>
          <w:rFonts w:hint="eastAsia"/>
        </w:rPr>
      </w:pPr>
      <w:r>
        <w:rPr>
          <w:rFonts w:hint="eastAsia"/>
        </w:rPr>
        <w:t>二、部门收入总体情况表</w:t>
      </w:r>
    </w:p>
    <w:p>
      <w:pPr>
        <w:pStyle w:val="7"/>
        <w:jc w:val="left"/>
        <w:rPr>
          <w:rFonts w:hint="eastAsia"/>
        </w:rPr>
      </w:pPr>
      <w:r>
        <w:rPr>
          <w:rFonts w:hint="eastAsia"/>
        </w:rPr>
        <w:t>三、部门支出总体情况表</w:t>
      </w:r>
    </w:p>
    <w:p>
      <w:pPr>
        <w:pStyle w:val="7"/>
        <w:jc w:val="left"/>
        <w:rPr>
          <w:rFonts w:hint="eastAsia"/>
        </w:rPr>
      </w:pPr>
      <w:r>
        <w:rPr>
          <w:rFonts w:hint="eastAsia"/>
        </w:rPr>
        <w:t>四、财政拨款收支总体情况表</w:t>
      </w:r>
    </w:p>
    <w:p>
      <w:pPr>
        <w:pStyle w:val="7"/>
        <w:jc w:val="left"/>
        <w:rPr>
          <w:rFonts w:hint="eastAsia"/>
        </w:rPr>
      </w:pPr>
      <w:r>
        <w:rPr>
          <w:rFonts w:hint="eastAsia"/>
        </w:rPr>
        <w:t>五、一般公共预算支出情况表</w:t>
      </w:r>
    </w:p>
    <w:p>
      <w:pPr>
        <w:pStyle w:val="7"/>
        <w:jc w:val="left"/>
        <w:rPr>
          <w:rFonts w:hint="eastAsia"/>
        </w:rPr>
      </w:pPr>
      <w:r>
        <w:rPr>
          <w:rFonts w:hint="eastAsia"/>
        </w:rPr>
        <w:t>六、一般公共预算基本支出情况表</w:t>
      </w:r>
    </w:p>
    <w:p>
      <w:pPr>
        <w:pStyle w:val="7"/>
        <w:jc w:val="left"/>
        <w:rPr>
          <w:rFonts w:hint="eastAsia"/>
        </w:rPr>
      </w:pPr>
      <w:r>
        <w:rPr>
          <w:rFonts w:hint="eastAsia"/>
        </w:rPr>
        <w:t>七、一般公开预算“三公”经费支出情况表</w:t>
      </w:r>
    </w:p>
    <w:p>
      <w:pPr>
        <w:pStyle w:val="7"/>
        <w:jc w:val="left"/>
        <w:rPr>
          <w:rFonts w:hint="eastAsia"/>
        </w:rPr>
      </w:pPr>
      <w:r>
        <w:rPr>
          <w:rFonts w:hint="eastAsia"/>
        </w:rPr>
        <w:t>八、政府性基金预算支出情况表</w:t>
      </w:r>
    </w:p>
    <w:p>
      <w:pPr>
        <w:pStyle w:val="7"/>
        <w:jc w:val="left"/>
        <w:rPr>
          <w:rFonts w:hint="eastAsia"/>
        </w:rPr>
      </w:pPr>
      <w:r>
        <w:rPr>
          <w:rFonts w:hint="eastAsia"/>
        </w:rPr>
        <w:t>九、国有资本经营预算支出情况表</w:t>
      </w:r>
    </w:p>
    <w:p>
      <w:pPr>
        <w:pStyle w:val="7"/>
        <w:jc w:val="left"/>
        <w:rPr>
          <w:rFonts w:hint="eastAsia" w:eastAsia="宋体"/>
          <w:lang w:eastAsia="zh-CN"/>
        </w:rPr>
      </w:pPr>
      <w:r>
        <w:rPr>
          <w:rFonts w:hint="eastAsia"/>
        </w:rPr>
        <w:t>十、2024年度预算项目绩效目标公开表</w:t>
      </w:r>
    </w:p>
    <w:p>
      <w:pPr>
        <w:pStyle w:val="7"/>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6"/>
        <w:keepNext/>
        <w:keepLines/>
        <w:spacing w:after="560"/>
        <w:jc w:val="both"/>
      </w:pPr>
      <w:bookmarkStart w:id="3" w:name="bookmark14"/>
      <w:bookmarkStart w:id="4" w:name="bookmark13"/>
      <w:bookmarkStart w:id="5" w:name="bookmark12"/>
    </w:p>
    <w:p>
      <w:pPr>
        <w:pStyle w:val="6"/>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环江毛南族自治县川山镇扶贫站</w:t>
      </w:r>
      <w:r>
        <w:rPr>
          <w:b/>
          <w:bCs/>
          <w:sz w:val="40"/>
          <w:szCs w:val="40"/>
        </w:rPr>
        <w:t>概况</w:t>
      </w:r>
      <w:bookmarkEnd w:id="3"/>
      <w:bookmarkEnd w:id="4"/>
      <w:bookmarkEnd w:id="5"/>
    </w:p>
    <w:p>
      <w:pPr>
        <w:pStyle w:val="7"/>
        <w:spacing w:after="0" w:line="619" w:lineRule="exact"/>
        <w:ind w:firstLine="620"/>
        <w:jc w:val="left"/>
        <w:rPr>
          <w:b/>
          <w:bCs/>
        </w:rPr>
      </w:pPr>
      <w:r>
        <w:rPr>
          <w:rFonts w:hint="eastAsia"/>
          <w:b/>
          <w:bCs/>
          <w:lang w:val="en-US" w:eastAsia="zh-CN"/>
        </w:rPr>
        <w:t>一、</w:t>
      </w:r>
      <w:r>
        <w:rPr>
          <w:b/>
          <w:bCs/>
        </w:rPr>
        <w:t>主要职责</w:t>
      </w:r>
    </w:p>
    <w:p>
      <w:pPr>
        <w:pStyle w:val="8"/>
        <w:spacing w:line="623" w:lineRule="exact"/>
        <w:ind w:left="0" w:leftChars="0" w:firstLine="560" w:firstLineChars="200"/>
        <w:jc w:val="left"/>
        <w:rPr>
          <w:rFonts w:hint="default"/>
          <w:highlight w:val="yellow"/>
          <w:lang w:val="en-US" w:eastAsia="zh-CN"/>
        </w:rPr>
      </w:pPr>
      <w:r>
        <w:rPr>
          <w:rFonts w:hint="eastAsia"/>
          <w:highlight w:val="none"/>
          <w:lang w:val="en-US" w:eastAsia="zh-CN"/>
        </w:rPr>
        <w:t>贯彻执行党和国家扶贫开发的方针、政策，做好新阶段扶贫开发工作，承担扶贫开发基础性的事务和扶贫项目管理的技术性、服务性工作；落实乡村振兴战略，促进农业农村发展；承担乡村规划建设、产业发展等工作，承办乡镇党委、政府和上级相关行政机关依法委托的业务等。　</w:t>
      </w:r>
    </w:p>
    <w:p>
      <w:pPr>
        <w:pStyle w:val="7"/>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本部门的上级主管部门是环江毛南族自治县川山镇人民政府，是财政全额拨款的事业单位，本部门无内设机构。</w:t>
      </w:r>
    </w:p>
    <w:p>
      <w:pPr>
        <w:pStyle w:val="8"/>
        <w:spacing w:line="623" w:lineRule="exact"/>
        <w:ind w:firstLine="1018" w:firstLineChars="0"/>
        <w:jc w:val="left"/>
        <w:rPr>
          <w:rFonts w:hint="eastAsia"/>
          <w:highlight w:val="none"/>
          <w:lang w:val="en-US" w:eastAsia="zh-CN"/>
        </w:rPr>
      </w:pPr>
    </w:p>
    <w:p>
      <w:pPr>
        <w:pStyle w:val="8"/>
        <w:spacing w:line="623" w:lineRule="exact"/>
        <w:ind w:firstLine="1018" w:firstLineChars="0"/>
        <w:jc w:val="left"/>
        <w:rPr>
          <w:rFonts w:hint="eastAsia"/>
          <w:highlight w:val="none"/>
          <w:lang w:val="en-US" w:eastAsia="zh-CN"/>
        </w:rPr>
      </w:pPr>
    </w:p>
    <w:p>
      <w:r>
        <w:br w:type="page"/>
      </w:r>
    </w:p>
    <w:p>
      <w:pPr>
        <w:pStyle w:val="6"/>
        <w:keepNext/>
        <w:keepLines/>
        <w:spacing w:before="120" w:after="0" w:line="629" w:lineRule="exact"/>
        <w:jc w:val="center"/>
        <w:rPr>
          <w:b/>
          <w:bCs/>
          <w:sz w:val="40"/>
          <w:szCs w:val="40"/>
        </w:rPr>
      </w:pPr>
      <w:bookmarkStart w:id="7" w:name="bookmark70"/>
      <w:bookmarkStart w:id="8" w:name="bookmark68"/>
      <w:bookmarkStart w:id="9" w:name="bookmark69"/>
      <w:bookmarkStart w:id="10" w:name="bookmark26"/>
      <w:bookmarkStart w:id="11" w:name="bookmark27"/>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环江毛南族自治县川山镇扶贫站</w:t>
      </w:r>
      <w:r>
        <w:rPr>
          <w:b/>
          <w:sz w:val="40"/>
          <w:u w:color="auto"/>
        </w:rPr>
        <w:t>2024年部门预算情况说明</w:t>
      </w:r>
    </w:p>
    <w:p>
      <w:pPr>
        <w:pStyle w:val="7"/>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75.93</w:t>
      </w:r>
      <w:r>
        <w:rPr>
          <w:rFonts w:hint="eastAsia"/>
          <w:b w:val="0"/>
          <w:bCs w:val="0"/>
          <w:sz w:val="28"/>
          <w:szCs w:val="28"/>
        </w:rPr>
        <w:t>万元，总支出</w:t>
      </w:r>
      <w:r>
        <w:rPr>
          <w:rFonts w:hint="eastAsia"/>
          <w:sz w:val="28"/>
          <w:szCs w:val="28"/>
          <w:lang w:val="en-US" w:eastAsia="zh-CN"/>
        </w:rPr>
        <w:t>75.93</w:t>
      </w:r>
      <w:r>
        <w:rPr>
          <w:rFonts w:hint="eastAsia"/>
          <w:b w:val="0"/>
          <w:bCs w:val="0"/>
          <w:sz w:val="28"/>
          <w:szCs w:val="28"/>
        </w:rPr>
        <w:t>万元。总收入较2023年度预算数</w:t>
      </w:r>
      <w:r>
        <w:rPr>
          <w:rFonts w:hint="eastAsia"/>
          <w:sz w:val="28"/>
          <w:szCs w:val="28"/>
          <w:lang w:val="en-US" w:eastAsia="zh-CN"/>
        </w:rPr>
        <w:t>80.66</w:t>
      </w:r>
      <w:r>
        <w:rPr>
          <w:rFonts w:hint="eastAsia"/>
          <w:b w:val="0"/>
          <w:bCs w:val="0"/>
          <w:sz w:val="28"/>
          <w:szCs w:val="28"/>
        </w:rPr>
        <w:t>万元，</w:t>
      </w:r>
      <w:r>
        <w:rPr>
          <w:rFonts w:hint="eastAsia"/>
          <w:sz w:val="28"/>
          <w:szCs w:val="28"/>
        </w:rPr>
        <w:t>减少4.73</w:t>
      </w:r>
      <w:r>
        <w:rPr>
          <w:rFonts w:hint="eastAsia"/>
          <w:b w:val="0"/>
          <w:bCs w:val="0"/>
          <w:sz w:val="28"/>
          <w:szCs w:val="28"/>
        </w:rPr>
        <w:t>万元，</w:t>
      </w:r>
      <w:r>
        <w:rPr>
          <w:rFonts w:hint="eastAsia"/>
          <w:sz w:val="28"/>
          <w:szCs w:val="28"/>
        </w:rPr>
        <w:t>下降5.86%</w:t>
      </w:r>
      <w:r>
        <w:rPr>
          <w:rFonts w:hint="eastAsia"/>
          <w:b w:val="0"/>
          <w:bCs w:val="0"/>
          <w:sz w:val="28"/>
          <w:szCs w:val="28"/>
        </w:rPr>
        <w:t>，主要原因是</w:t>
      </w:r>
      <w:r>
        <w:rPr>
          <w:rFonts w:hint="eastAsia"/>
          <w:highlight w:val="none"/>
          <w:lang w:val="en-US" w:eastAsia="zh-CN"/>
        </w:rPr>
        <w:t>空</w:t>
      </w:r>
      <w:r>
        <w:rPr>
          <w:rFonts w:hint="eastAsia"/>
          <w:b w:val="0"/>
          <w:bCs w:val="0"/>
          <w:sz w:val="28"/>
          <w:szCs w:val="28"/>
        </w:rPr>
        <w:t>。总支出较2023年度预算数</w:t>
      </w:r>
      <w:r>
        <w:rPr>
          <w:rFonts w:hint="eastAsia"/>
          <w:sz w:val="28"/>
          <w:szCs w:val="28"/>
          <w:lang w:val="en-US" w:eastAsia="zh-CN"/>
        </w:rPr>
        <w:t>80.66</w:t>
      </w:r>
      <w:r>
        <w:rPr>
          <w:rFonts w:hint="eastAsia"/>
          <w:b w:val="0"/>
          <w:bCs w:val="0"/>
          <w:sz w:val="28"/>
          <w:szCs w:val="28"/>
        </w:rPr>
        <w:t>万元，</w:t>
      </w:r>
      <w:r>
        <w:rPr>
          <w:rFonts w:hint="eastAsia"/>
          <w:sz w:val="28"/>
          <w:szCs w:val="28"/>
        </w:rPr>
        <w:t>减少4.73</w:t>
      </w:r>
      <w:r>
        <w:rPr>
          <w:rFonts w:hint="eastAsia"/>
          <w:b w:val="0"/>
          <w:bCs w:val="0"/>
          <w:sz w:val="28"/>
          <w:szCs w:val="28"/>
        </w:rPr>
        <w:t>万元，</w:t>
      </w:r>
      <w:r>
        <w:rPr>
          <w:rFonts w:hint="eastAsia"/>
          <w:sz w:val="28"/>
          <w:szCs w:val="28"/>
        </w:rPr>
        <w:t>下降5.86%</w:t>
      </w:r>
      <w:r>
        <w:rPr>
          <w:rFonts w:hint="eastAsia"/>
          <w:b w:val="0"/>
          <w:bCs w:val="0"/>
          <w:sz w:val="28"/>
          <w:szCs w:val="28"/>
        </w:rPr>
        <w:t>，主要原因是</w:t>
      </w:r>
      <w:r>
        <w:rPr>
          <w:rFonts w:hint="eastAsia"/>
          <w:b w:val="0"/>
          <w:bCs w:val="0"/>
          <w:sz w:val="28"/>
          <w:szCs w:val="28"/>
          <w:lang w:eastAsia="zh-CN"/>
        </w:rPr>
        <w:t>：</w:t>
      </w:r>
      <w:r>
        <w:rPr>
          <w:rFonts w:hint="eastAsia"/>
          <w:highlight w:val="none"/>
          <w:lang w:val="en-US" w:eastAsia="zh-CN"/>
        </w:rPr>
        <w:t>人员变动，有1人调出</w:t>
      </w:r>
      <w:r>
        <w:rPr>
          <w:rFonts w:hint="eastAsia"/>
          <w:b w:val="0"/>
          <w:bCs w:val="0"/>
          <w:sz w:val="28"/>
          <w:szCs w:val="28"/>
        </w:rPr>
        <w:t>。</w:t>
      </w:r>
    </w:p>
    <w:p>
      <w:pPr>
        <w:pStyle w:val="7"/>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612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75.93</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80.66</w:t>
      </w:r>
      <w:r>
        <w:rPr>
          <w:rFonts w:hint="eastAsia" w:ascii="宋体" w:hAnsi="宋体" w:eastAsia="宋体" w:cs="宋体"/>
          <w:sz w:val="28"/>
          <w:szCs w:val="28"/>
          <w:u w:color="auto"/>
        </w:rPr>
        <w:t>万元，</w:t>
      </w:r>
      <w:r>
        <w:rPr>
          <w:rFonts w:hint="eastAsia" w:ascii="宋体" w:hAnsi="宋体" w:eastAsia="宋体" w:cs="宋体"/>
          <w:sz w:val="28"/>
          <w:szCs w:val="28"/>
        </w:rPr>
        <w:t>减少4.73</w:t>
      </w:r>
      <w:r>
        <w:rPr>
          <w:rFonts w:hint="eastAsia" w:ascii="宋体" w:hAnsi="宋体" w:eastAsia="宋体" w:cs="宋体"/>
          <w:sz w:val="28"/>
          <w:szCs w:val="28"/>
          <w:u w:color="auto"/>
        </w:rPr>
        <w:t>万元，</w:t>
      </w:r>
      <w:r>
        <w:rPr>
          <w:rFonts w:hint="eastAsia" w:ascii="宋体" w:hAnsi="宋体" w:eastAsia="宋体" w:cs="宋体"/>
          <w:sz w:val="28"/>
          <w:szCs w:val="28"/>
        </w:rPr>
        <w:t>下降5.86%</w:t>
      </w:r>
      <w:r>
        <w:rPr>
          <w:rFonts w:hint="eastAsia" w:ascii="宋体" w:hAnsi="宋体" w:eastAsia="宋体" w:cs="宋体"/>
          <w:sz w:val="28"/>
          <w:szCs w:val="28"/>
          <w:u w:color="auto"/>
        </w:rPr>
        <w:t>，</w:t>
      </w:r>
      <w:r>
        <w:rPr>
          <w:rFonts w:hint="eastAsia"/>
          <w:b w:val="0"/>
          <w:bCs w:val="0"/>
          <w:sz w:val="28"/>
          <w:szCs w:val="28"/>
        </w:rPr>
        <w:t>主要原因是</w:t>
      </w:r>
      <w:r>
        <w:rPr>
          <w:rFonts w:hint="eastAsia"/>
          <w:b w:val="0"/>
          <w:bCs w:val="0"/>
          <w:sz w:val="28"/>
          <w:szCs w:val="28"/>
          <w:lang w:eastAsia="zh-CN"/>
        </w:rPr>
        <w:t>：</w:t>
      </w:r>
      <w:r>
        <w:rPr>
          <w:rFonts w:hint="eastAsia"/>
          <w:highlight w:val="none"/>
          <w:lang w:val="en-US" w:eastAsia="zh-CN"/>
        </w:rPr>
        <w:t>人员变动，有1人调出</w:t>
      </w:r>
      <w:r>
        <w:rPr>
          <w:rFonts w:hint="eastAsia" w:ascii="宋体" w:hAnsi="宋体" w:eastAsia="宋体" w:cs="宋体"/>
          <w:sz w:val="28"/>
          <w:szCs w:val="28"/>
          <w:u w:color="auto"/>
        </w:rPr>
        <w:t>。</w:t>
      </w:r>
    </w:p>
    <w:p>
      <w:pPr>
        <w:pStyle w:val="7"/>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612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75.93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80.66</w:t>
      </w:r>
      <w:r>
        <w:rPr>
          <w:rFonts w:hint="eastAsia" w:ascii="宋体" w:hAnsi="宋体" w:eastAsia="宋体" w:cs="宋体"/>
          <w:sz w:val="28"/>
          <w:szCs w:val="28"/>
          <w:lang w:eastAsia="zh-CN"/>
        </w:rPr>
        <w:t>万元，</w:t>
      </w:r>
      <w:r>
        <w:rPr>
          <w:rFonts w:hint="eastAsia" w:ascii="宋体" w:hAnsi="宋体" w:eastAsia="宋体" w:cs="宋体"/>
          <w:sz w:val="28"/>
          <w:szCs w:val="28"/>
        </w:rPr>
        <w:t>减少4.73</w:t>
      </w:r>
      <w:r>
        <w:rPr>
          <w:rFonts w:hint="eastAsia" w:ascii="宋体" w:hAnsi="宋体" w:eastAsia="宋体" w:cs="宋体"/>
          <w:sz w:val="28"/>
          <w:szCs w:val="28"/>
          <w:lang w:eastAsia="zh-CN"/>
        </w:rPr>
        <w:t>万元，</w:t>
      </w:r>
      <w:r>
        <w:rPr>
          <w:rFonts w:hint="eastAsia" w:ascii="宋体" w:hAnsi="宋体" w:eastAsia="宋体" w:cs="宋体"/>
          <w:sz w:val="28"/>
          <w:szCs w:val="28"/>
        </w:rPr>
        <w:t>下降5.86%</w:t>
      </w:r>
      <w:r>
        <w:rPr>
          <w:rFonts w:hint="eastAsia" w:ascii="Times New Roman" w:hAnsi="Times New Roman" w:cs="Times New Roman"/>
          <w:sz w:val="30"/>
          <w:szCs w:val="30"/>
          <w:lang w:eastAsia="zh-CN"/>
        </w:rPr>
        <w:t>。</w:t>
      </w:r>
    </w:p>
    <w:p>
      <w:pPr>
        <w:pStyle w:val="8"/>
        <w:spacing w:after="140" w:line="240" w:lineRule="auto"/>
        <w:ind w:firstLine="0"/>
        <w:jc w:val="left"/>
      </w:pPr>
      <w:r>
        <w:t>（一）按支出功能分类科目划分，共分为</w:t>
      </w:r>
      <w:r>
        <w:rPr>
          <w:rFonts w:hint="eastAsia"/>
          <w:lang w:val="en-US" w:eastAsia="zh-CN"/>
        </w:rPr>
        <w:t>4</w:t>
      </w:r>
      <w:r>
        <w:t>类，其中:</w:t>
      </w:r>
    </w:p>
    <w:p>
      <w:pPr>
        <w:pStyle w:val="8"/>
        <w:spacing w:line="623" w:lineRule="exact"/>
        <w:ind w:left="0" w:leftChars="0" w:firstLine="560" w:firstLineChars="200"/>
        <w:jc w:val="left"/>
        <w:rPr>
          <w:rFonts w:hint="eastAsia"/>
        </w:rPr>
      </w:pPr>
      <w:r>
        <w:rPr>
          <w:rFonts w:hint="eastAsia"/>
        </w:rPr>
        <w:t>(</w:t>
      </w:r>
      <w:r>
        <w:rPr>
          <w:u w:color="auto"/>
        </w:rPr>
        <w:t>1)农林水支出</w:t>
      </w:r>
      <w:r>
        <w:rPr>
          <w:rFonts w:hint="eastAsia"/>
          <w:lang w:val="en-US" w:eastAsia="zh-CN"/>
        </w:rPr>
        <w:t>59.08</w:t>
      </w:r>
      <w:r>
        <w:rPr>
          <w:rFonts w:hint="eastAsia"/>
        </w:rPr>
        <w:t>万元，占支出总预算</w:t>
      </w:r>
      <w:r>
        <w:rPr>
          <w:rFonts w:hint="eastAsia"/>
          <w:lang w:val="en-US" w:eastAsia="zh-CN"/>
        </w:rPr>
        <w:t>77.81%</w:t>
      </w:r>
      <w:r>
        <w:rPr>
          <w:rFonts w:hint="eastAsia"/>
        </w:rPr>
        <w:t>,比上年</w:t>
      </w:r>
      <w:r>
        <w:rPr>
          <w:rFonts w:hint="eastAsia"/>
          <w:lang w:val="en-US" w:eastAsia="zh-CN"/>
        </w:rPr>
        <w:t>减少2.69</w:t>
      </w:r>
      <w:r>
        <w:rPr>
          <w:rFonts w:hint="eastAsia"/>
        </w:rPr>
        <w:t>万元，</w:t>
      </w:r>
      <w:r>
        <w:rPr>
          <w:rFonts w:hint="eastAsia"/>
          <w:lang w:val="en-US" w:eastAsia="zh-CN"/>
        </w:rPr>
        <w:t>减少4.35%。</w:t>
      </w:r>
    </w:p>
    <w:p>
      <w:pPr>
        <w:pStyle w:val="8"/>
        <w:spacing w:line="623" w:lineRule="exact"/>
        <w:ind w:left="0" w:leftChars="0" w:firstLine="560" w:firstLineChars="200"/>
        <w:jc w:val="left"/>
        <w:rPr>
          <w:rFonts w:hint="eastAsia"/>
        </w:rPr>
      </w:pPr>
      <w:r>
        <w:rPr>
          <w:rFonts w:hint="eastAsia"/>
        </w:rPr>
        <w:t>(</w:t>
      </w:r>
      <w:r>
        <w:rPr>
          <w:u w:color="auto"/>
        </w:rPr>
        <w:t>2)社会保障和就业支出</w:t>
      </w:r>
      <w:r>
        <w:rPr>
          <w:rFonts w:hint="eastAsia"/>
          <w:lang w:val="en-US" w:eastAsia="zh-CN"/>
        </w:rPr>
        <w:t>8.69</w:t>
      </w:r>
      <w:r>
        <w:rPr>
          <w:rFonts w:hint="eastAsia"/>
        </w:rPr>
        <w:t>万元，占支出总预算</w:t>
      </w:r>
      <w:r>
        <w:rPr>
          <w:rFonts w:hint="eastAsia"/>
          <w:lang w:val="en-US" w:eastAsia="zh-CN"/>
        </w:rPr>
        <w:t>11.44%</w:t>
      </w:r>
      <w:r>
        <w:rPr>
          <w:rFonts w:hint="eastAsia"/>
        </w:rPr>
        <w:t>,比上年</w:t>
      </w:r>
      <w:r>
        <w:rPr>
          <w:rFonts w:hint="eastAsia"/>
          <w:lang w:val="en-US" w:eastAsia="zh-CN"/>
        </w:rPr>
        <w:t>减少1.39</w:t>
      </w:r>
      <w:r>
        <w:rPr>
          <w:rFonts w:hint="eastAsia"/>
        </w:rPr>
        <w:t>万元，</w:t>
      </w:r>
      <w:r>
        <w:rPr>
          <w:rFonts w:hint="eastAsia"/>
          <w:lang w:val="en-US" w:eastAsia="zh-CN"/>
        </w:rPr>
        <w:t>减少13.79%。</w:t>
      </w:r>
    </w:p>
    <w:p>
      <w:pPr>
        <w:pStyle w:val="8"/>
        <w:spacing w:line="623" w:lineRule="exact"/>
        <w:ind w:left="0" w:leftChars="0" w:firstLine="560" w:firstLineChars="200"/>
        <w:jc w:val="left"/>
        <w:rPr>
          <w:rFonts w:hint="eastAsia"/>
        </w:rPr>
      </w:pPr>
      <w:r>
        <w:rPr>
          <w:rFonts w:hint="eastAsia"/>
        </w:rPr>
        <w:t>(</w:t>
      </w:r>
      <w:r>
        <w:rPr>
          <w:u w:color="auto"/>
        </w:rPr>
        <w:t>3)住房保障支出</w:t>
      </w:r>
      <w:r>
        <w:rPr>
          <w:rFonts w:hint="eastAsia"/>
          <w:lang w:val="en-US" w:eastAsia="zh-CN"/>
        </w:rPr>
        <w:t>7.38</w:t>
      </w:r>
      <w:r>
        <w:rPr>
          <w:rFonts w:hint="eastAsia"/>
        </w:rPr>
        <w:t>万元，占支出总预算</w:t>
      </w:r>
      <w:r>
        <w:rPr>
          <w:rFonts w:hint="eastAsia"/>
          <w:lang w:val="en-US" w:eastAsia="zh-CN"/>
        </w:rPr>
        <w:t>9.72%</w:t>
      </w:r>
      <w:r>
        <w:rPr>
          <w:rFonts w:hint="eastAsia"/>
        </w:rPr>
        <w:t>,比上年</w:t>
      </w:r>
      <w:r>
        <w:rPr>
          <w:rFonts w:hint="eastAsia"/>
          <w:lang w:val="en-US" w:eastAsia="zh-CN"/>
        </w:rPr>
        <w:t>减少0.18</w:t>
      </w:r>
      <w:r>
        <w:rPr>
          <w:rFonts w:hint="eastAsia"/>
        </w:rPr>
        <w:t>万元，</w:t>
      </w:r>
      <w:r>
        <w:rPr>
          <w:rFonts w:hint="eastAsia"/>
          <w:lang w:val="en-US" w:eastAsia="zh-CN"/>
        </w:rPr>
        <w:t>减少2.38%</w:t>
      </w:r>
      <w:r>
        <w:rPr>
          <w:rFonts w:hint="eastAsia"/>
          <w:highlight w:val="none"/>
        </w:rPr>
        <w:t>。</w:t>
      </w:r>
    </w:p>
    <w:p>
      <w:pPr>
        <w:pStyle w:val="8"/>
        <w:spacing w:line="623" w:lineRule="exact"/>
        <w:ind w:left="0" w:leftChars="0" w:firstLine="560" w:firstLineChars="200"/>
        <w:jc w:val="left"/>
        <w:rPr>
          <w:rFonts w:hint="eastAsia"/>
        </w:rPr>
      </w:pPr>
      <w:r>
        <w:rPr>
          <w:rFonts w:hint="eastAsia"/>
        </w:rPr>
        <w:t>(</w:t>
      </w:r>
      <w:r>
        <w:rPr>
          <w:u w:color="auto"/>
        </w:rPr>
        <w:t>4)一般公共服务支出</w:t>
      </w:r>
      <w:r>
        <w:rPr>
          <w:rFonts w:hint="eastAsia"/>
          <w:lang w:val="en-US" w:eastAsia="zh-CN"/>
        </w:rPr>
        <w:t>0.78</w:t>
      </w:r>
      <w:r>
        <w:rPr>
          <w:rFonts w:hint="eastAsia"/>
        </w:rPr>
        <w:t>万元，占支出总预算</w:t>
      </w:r>
      <w:r>
        <w:rPr>
          <w:rFonts w:hint="eastAsia"/>
          <w:lang w:val="en-US" w:eastAsia="zh-CN"/>
        </w:rPr>
        <w:t>1.03%</w:t>
      </w:r>
      <w:r>
        <w:rPr>
          <w:rFonts w:hint="eastAsia"/>
        </w:rPr>
        <w:t>,比上年</w:t>
      </w:r>
      <w:r>
        <w:rPr>
          <w:rFonts w:hint="eastAsia"/>
          <w:lang w:val="en-US" w:eastAsia="zh-CN"/>
        </w:rPr>
        <w:t>减少0.48</w:t>
      </w:r>
      <w:r>
        <w:rPr>
          <w:rFonts w:hint="eastAsia"/>
        </w:rPr>
        <w:t>万元，</w:t>
      </w:r>
      <w:r>
        <w:rPr>
          <w:rFonts w:hint="eastAsia"/>
          <w:lang w:val="en-US" w:eastAsia="zh-CN"/>
        </w:rPr>
        <w:t>减少38.10%</w:t>
      </w:r>
      <w:r>
        <w:rPr>
          <w:rFonts w:hint="eastAsia"/>
          <w:highlight w:val="none"/>
        </w:rPr>
        <w:t>。</w:t>
      </w:r>
    </w:p>
    <w:p>
      <w:pPr>
        <w:pStyle w:val="8"/>
        <w:spacing w:line="635" w:lineRule="exact"/>
        <w:ind w:firstLine="740"/>
        <w:jc w:val="left"/>
      </w:pPr>
      <w:r>
        <w:t>(二)按支出结构分类划分，分为基本支出预算和项目支出预算。</w:t>
      </w:r>
    </w:p>
    <w:p>
      <w:pPr>
        <w:pStyle w:val="8"/>
        <w:spacing w:line="635" w:lineRule="exact"/>
        <w:ind w:firstLine="600"/>
        <w:jc w:val="left"/>
      </w:pPr>
      <w:r>
        <w:rPr>
          <w:rFonts w:ascii="Times New Roman" w:hAnsi="Times New Roman" w:eastAsia="Times New Roman" w:cs="Times New Roman"/>
          <w:sz w:val="30"/>
          <w:szCs w:val="30"/>
        </w:rPr>
        <w:t>1</w:t>
      </w:r>
      <w:r>
        <w:t>.基本支出预算。</w:t>
      </w:r>
    </w:p>
    <w:p>
      <w:pPr>
        <w:pStyle w:val="8"/>
        <w:spacing w:line="619" w:lineRule="exact"/>
        <w:ind w:firstLine="600"/>
        <w:jc w:val="left"/>
        <w:rPr>
          <w:rFonts w:hint="eastAsia"/>
          <w:lang w:val="en-US" w:eastAsia="zh-CN"/>
        </w:rPr>
      </w:pPr>
      <w:r>
        <w:rPr>
          <w:rFonts w:hint="eastAsia"/>
        </w:rPr>
        <w:t>基本支出预算</w:t>
      </w:r>
      <w:r>
        <w:rPr>
          <w:rFonts w:hint="eastAsia"/>
          <w:lang w:val="en-US" w:eastAsia="zh-CN"/>
        </w:rPr>
        <w:t>75.93</w:t>
      </w:r>
      <w:r>
        <w:rPr>
          <w:rFonts w:hint="eastAsia"/>
        </w:rPr>
        <w:t>万元，占支出预算</w:t>
      </w:r>
      <w:r>
        <w:rPr>
          <w:u w:color="auto"/>
        </w:rPr>
        <w:t>100.00%,比上年减少4.73万元，减少5.86%</w:t>
      </w:r>
      <w:r>
        <w:t>。</w:t>
      </w:r>
      <w:r>
        <w:rPr>
          <w:rFonts w:hint="eastAsia"/>
          <w:lang w:val="en-US" w:eastAsia="zh-CN"/>
        </w:rPr>
        <w:t>其中：</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1.98</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2.61%</w:t>
      </w:r>
      <w:r>
        <w:rPr>
          <w:rFonts w:hint="eastAsia"/>
        </w:rPr>
        <w:t>,</w:t>
      </w:r>
      <w:r>
        <w:t>比上年</w:t>
      </w:r>
      <w:r>
        <w:rPr>
          <w:rFonts w:hint="eastAsia"/>
        </w:rPr>
        <w:t>减少0.48</w:t>
      </w:r>
      <w:r>
        <w:t>万元，</w:t>
      </w:r>
      <w:r>
        <w:rPr>
          <w:rFonts w:hint="eastAsia"/>
        </w:rPr>
        <w:t>减少19.51%</w:t>
      </w:r>
      <w:r>
        <w:rPr>
          <w:rFonts w:hint="eastAsia"/>
          <w:highlight w:val="none"/>
          <w:lang w:val="en-US" w:eastAsia="zh-CN"/>
        </w:rPr>
        <w:t>。</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73.95</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97.39%</w:t>
      </w:r>
      <w:r>
        <w:rPr>
          <w:rFonts w:hint="eastAsia"/>
        </w:rPr>
        <w:t>,</w:t>
      </w:r>
      <w:r>
        <w:t>比上年</w:t>
      </w:r>
      <w:r>
        <w:rPr>
          <w:rFonts w:hint="eastAsia"/>
        </w:rPr>
        <w:t>减少4.24</w:t>
      </w:r>
      <w:r>
        <w:t>万元，</w:t>
      </w:r>
      <w:r>
        <w:rPr>
          <w:rFonts w:hint="eastAsia"/>
        </w:rPr>
        <w:t>减少5.42%</w:t>
      </w:r>
      <w:r>
        <w:rPr>
          <w:rFonts w:hint="eastAsia"/>
          <w:highlight w:val="none"/>
          <w:lang w:val="en-US" w:eastAsia="zh-CN"/>
        </w:rPr>
        <w:t>。</w:t>
      </w:r>
    </w:p>
    <w:p>
      <w:pPr>
        <w:pStyle w:val="9"/>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0.00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0.00%</w:t>
      </w:r>
      <w:r>
        <w:rPr>
          <w:rFonts w:hint="eastAsia"/>
        </w:rPr>
        <w:t>,</w:t>
      </w:r>
      <w:r>
        <w:t>比上年</w:t>
      </w:r>
      <w:r>
        <w:rPr>
          <w:rFonts w:hint="eastAsia"/>
        </w:rPr>
        <w:t>减少0.01</w:t>
      </w:r>
      <w:r>
        <w:t>万元，</w:t>
      </w:r>
      <w:r>
        <w:rPr>
          <w:rFonts w:hint="eastAsia"/>
        </w:rPr>
        <w:t>减少100.00%</w:t>
      </w:r>
      <w:r>
        <w:rPr>
          <w:rFonts w:hint="eastAsia"/>
          <w:highlight w:val="none"/>
          <w:lang w:val="en-US" w:eastAsia="zh-CN"/>
        </w:rPr>
        <w:t>。</w:t>
      </w:r>
    </w:p>
    <w:p>
      <w:pPr>
        <w:pStyle w:val="8"/>
        <w:numPr>
          <w:ilvl w:val="0"/>
          <w:numId w:val="1"/>
        </w:numPr>
        <w:spacing w:line="614" w:lineRule="exact"/>
        <w:ind w:firstLine="600"/>
        <w:jc w:val="left"/>
      </w:pPr>
      <w:r>
        <w:t>项目支出预算。</w:t>
      </w:r>
    </w:p>
    <w:p>
      <w:pPr>
        <w:pStyle w:val="8"/>
        <w:spacing w:line="619" w:lineRule="exact"/>
        <w:ind w:firstLine="600"/>
        <w:jc w:val="left"/>
        <w:rPr>
          <w:rFonts w:hint="eastAsia"/>
          <w:u w:color="auto"/>
          <w:lang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rPr>
          <w:rFonts w:hint="eastAsia"/>
          <w:u w:color="auto"/>
          <w:lang w:eastAsia="zh-CN"/>
        </w:rPr>
        <w:t>。</w:t>
      </w: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8"/>
        <w:spacing w:line="619" w:lineRule="exact"/>
        <w:ind w:firstLine="600"/>
        <w:jc w:val="left"/>
        <w:rPr>
          <w:rFonts w:hint="eastAsia"/>
          <w:u w:color="auto"/>
          <w:lang w:eastAsia="zh-CN"/>
        </w:rPr>
      </w:pPr>
    </w:p>
    <w:p>
      <w:pPr>
        <w:pStyle w:val="7"/>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13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75.93</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75.93</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80.66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减少4.73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下降5.86%</w:t>
      </w:r>
      <w:r>
        <w:rPr>
          <w:rFonts w:hint="eastAsia" w:ascii="宋体" w:hAnsi="宋体" w:eastAsia="宋体" w:cs="宋体"/>
          <w:sz w:val="28"/>
          <w:szCs w:val="28"/>
        </w:rPr>
        <w:t>，主要原因是</w:t>
      </w:r>
      <w:r>
        <w:rPr>
          <w:rFonts w:hint="eastAsia"/>
          <w:highlight w:val="none"/>
          <w:lang w:val="en-US" w:eastAsia="zh-CN"/>
        </w:rPr>
        <w:t>空</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80.66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减少4.73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下降5.86%</w:t>
      </w:r>
      <w:r>
        <w:rPr>
          <w:rFonts w:hint="eastAsia" w:cs="宋体"/>
          <w:sz w:val="28"/>
          <w:szCs w:val="28"/>
          <w:lang w:val="en-US" w:eastAsia="zh-CN" w:bidi="en-US"/>
        </w:rPr>
        <w:t>。</w:t>
      </w: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ind w:firstLine="560" w:firstLineChars="200"/>
        <w:jc w:val="left"/>
        <w:rPr>
          <w:rFonts w:hint="eastAsia"/>
          <w:sz w:val="28"/>
          <w:szCs w:val="28"/>
        </w:rPr>
      </w:pPr>
    </w:p>
    <w:p>
      <w:pPr>
        <w:pStyle w:val="7"/>
        <w:numPr>
          <w:ilvl w:val="0"/>
          <w:numId w:val="0"/>
        </w:numPr>
        <w:tabs>
          <w:tab w:val="left" w:pos="1238"/>
        </w:tabs>
        <w:spacing w:after="0" w:line="625" w:lineRule="exact"/>
        <w:jc w:val="left"/>
        <w:rPr>
          <w:rFonts w:hint="eastAsia"/>
          <w:sz w:val="28"/>
          <w:szCs w:val="28"/>
        </w:rPr>
      </w:pPr>
    </w:p>
    <w:p>
      <w:pPr>
        <w:pStyle w:val="7"/>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8"/>
        <w:spacing w:line="240" w:lineRule="auto"/>
        <w:ind w:firstLine="0"/>
        <w:jc w:val="left"/>
        <w:rPr>
          <w:lang w:eastAsia="zh-CN"/>
        </w:rPr>
      </w:pPr>
      <w:r>
        <w:rPr>
          <w:lang w:eastAsia="zh-CN"/>
        </w:rPr>
        <w:drawing>
          <wp:inline distT="0" distB="0" distL="114300" distR="114300">
            <wp:extent cx="5080000" cy="3810000"/>
            <wp:effectExtent l="4445" t="4445" r="5715" b="10795"/>
            <wp:docPr id="613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75.93</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80.66</w:t>
      </w:r>
      <w:r>
        <w:rPr>
          <w:rFonts w:hint="eastAsia" w:ascii="宋体" w:hAnsi="宋体" w:eastAsia="宋体" w:cs="宋体"/>
          <w:sz w:val="28"/>
          <w:szCs w:val="28"/>
        </w:rPr>
        <w:t>万元，</w:t>
      </w:r>
      <w:r>
        <w:rPr>
          <w:rFonts w:hint="eastAsia" w:ascii="宋体" w:hAnsi="宋体" w:eastAsia="宋体" w:cs="宋体"/>
          <w:sz w:val="28"/>
          <w:szCs w:val="28"/>
          <w:lang w:val="en-US" w:eastAsia="zh-CN"/>
        </w:rPr>
        <w:t>减少4.73</w:t>
      </w:r>
      <w:r>
        <w:rPr>
          <w:rFonts w:hint="eastAsia" w:ascii="宋体" w:hAnsi="宋体" w:eastAsia="宋体" w:cs="宋体"/>
          <w:sz w:val="28"/>
          <w:szCs w:val="28"/>
        </w:rPr>
        <w:t>万元，</w:t>
      </w:r>
      <w:r>
        <w:rPr>
          <w:rFonts w:hint="eastAsia" w:ascii="宋体" w:hAnsi="宋体" w:eastAsia="宋体" w:cs="宋体"/>
          <w:sz w:val="28"/>
          <w:szCs w:val="28"/>
          <w:lang w:val="en-US" w:eastAsia="zh-CN"/>
        </w:rPr>
        <w:t>下降5.86%</w:t>
      </w:r>
      <w:r>
        <w:rPr>
          <w:rFonts w:hint="eastAsia" w:ascii="宋体" w:hAnsi="宋体" w:eastAsia="宋体" w:cs="宋体"/>
          <w:sz w:val="28"/>
          <w:szCs w:val="28"/>
        </w:rPr>
        <w:t>，</w:t>
      </w:r>
      <w:r>
        <w:rPr>
          <w:rFonts w:hint="eastAsia"/>
          <w:b w:val="0"/>
          <w:bCs w:val="0"/>
          <w:sz w:val="28"/>
          <w:szCs w:val="28"/>
        </w:rPr>
        <w:t>主要原因是</w:t>
      </w:r>
      <w:r>
        <w:rPr>
          <w:rFonts w:hint="eastAsia"/>
          <w:b w:val="0"/>
          <w:bCs w:val="0"/>
          <w:sz w:val="28"/>
          <w:szCs w:val="28"/>
          <w:lang w:eastAsia="zh-CN"/>
        </w:rPr>
        <w:t>：</w:t>
      </w:r>
      <w:r>
        <w:rPr>
          <w:rFonts w:hint="eastAsia"/>
          <w:highlight w:val="none"/>
          <w:lang w:val="en-US" w:eastAsia="zh-CN"/>
        </w:rPr>
        <w:t>人员变动，有1人调出</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0.78</w:t>
      </w:r>
      <w:r>
        <w:rPr>
          <w:rFonts w:hint="eastAsia" w:ascii="宋体" w:hAnsi="宋体" w:eastAsia="宋体" w:cs="宋体"/>
          <w:sz w:val="28"/>
          <w:szCs w:val="28"/>
        </w:rPr>
        <w:t>万元，占支出总预算的</w:t>
      </w:r>
      <w:r>
        <w:rPr>
          <w:rFonts w:ascii="宋体" w:hAnsi="宋体" w:eastAsia="宋体" w:cs="宋体"/>
          <w:sz w:val="28"/>
          <w:u w:color="auto"/>
        </w:rPr>
        <w:t>1.03%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1.26</w:t>
      </w:r>
      <w:r>
        <w:rPr>
          <w:rFonts w:hint="eastAsia" w:ascii="宋体" w:hAnsi="宋体" w:eastAsia="宋体" w:cs="宋体"/>
          <w:sz w:val="28"/>
          <w:szCs w:val="28"/>
        </w:rPr>
        <w:t>万元，</w:t>
      </w:r>
      <w:r>
        <w:rPr>
          <w:rFonts w:ascii="宋体" w:hAnsi="宋体" w:eastAsia="宋体" w:cs="宋体"/>
          <w:sz w:val="28"/>
          <w:u w:color="auto"/>
        </w:rPr>
        <w:t>减少0.48</w:t>
      </w:r>
      <w:r>
        <w:rPr>
          <w:rFonts w:hint="eastAsia" w:ascii="宋体" w:hAnsi="宋体" w:eastAsia="宋体" w:cs="宋体"/>
          <w:sz w:val="28"/>
          <w:szCs w:val="28"/>
        </w:rPr>
        <w:t>万元，</w:t>
      </w:r>
      <w:r>
        <w:rPr>
          <w:rFonts w:ascii="宋体" w:hAnsi="宋体" w:eastAsia="宋体" w:cs="宋体"/>
          <w:sz w:val="28"/>
          <w:u w:color="auto"/>
        </w:rPr>
        <w:t>减少38.10%</w:t>
      </w:r>
      <w:r>
        <w:rPr>
          <w:rFonts w:hint="eastAsia" w:ascii="宋体" w:hAnsi="宋体" w:eastAsia="宋体" w:cs="宋体"/>
          <w:sz w:val="28"/>
          <w:szCs w:val="28"/>
        </w:rPr>
        <w:t>。</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7.38</w:t>
      </w:r>
      <w:r>
        <w:rPr>
          <w:rFonts w:hint="eastAsia" w:ascii="宋体" w:hAnsi="宋体" w:eastAsia="宋体" w:cs="宋体"/>
          <w:sz w:val="28"/>
          <w:szCs w:val="28"/>
        </w:rPr>
        <w:t>万元，占支出总预算的</w:t>
      </w:r>
      <w:r>
        <w:rPr>
          <w:rFonts w:ascii="宋体" w:hAnsi="宋体" w:eastAsia="宋体" w:cs="宋体"/>
          <w:sz w:val="28"/>
          <w:u w:color="auto"/>
        </w:rPr>
        <w:t>9.72%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7.56</w:t>
      </w:r>
      <w:r>
        <w:rPr>
          <w:rFonts w:hint="eastAsia" w:ascii="宋体" w:hAnsi="宋体" w:eastAsia="宋体" w:cs="宋体"/>
          <w:sz w:val="28"/>
          <w:szCs w:val="28"/>
        </w:rPr>
        <w:t>万元，</w:t>
      </w:r>
      <w:r>
        <w:rPr>
          <w:rFonts w:ascii="宋体" w:hAnsi="宋体" w:eastAsia="宋体" w:cs="宋体"/>
          <w:sz w:val="28"/>
          <w:u w:color="auto"/>
        </w:rPr>
        <w:t>减少0.18</w:t>
      </w:r>
      <w:r>
        <w:rPr>
          <w:rFonts w:hint="eastAsia" w:ascii="宋体" w:hAnsi="宋体" w:eastAsia="宋体" w:cs="宋体"/>
          <w:sz w:val="28"/>
          <w:szCs w:val="28"/>
        </w:rPr>
        <w:t>万元，</w:t>
      </w:r>
      <w:r>
        <w:rPr>
          <w:rFonts w:ascii="宋体" w:hAnsi="宋体" w:eastAsia="宋体" w:cs="宋体"/>
          <w:sz w:val="28"/>
          <w:u w:color="auto"/>
        </w:rPr>
        <w:t>减少2.38%</w:t>
      </w:r>
      <w:r>
        <w:rPr>
          <w:rFonts w:hint="eastAsia" w:ascii="宋体" w:hAnsi="宋体" w:eastAsia="宋体" w:cs="宋体"/>
          <w:sz w:val="28"/>
          <w:szCs w:val="28"/>
        </w:rPr>
        <w:t>。</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59.08</w:t>
      </w:r>
      <w:r>
        <w:rPr>
          <w:rFonts w:hint="eastAsia" w:ascii="宋体" w:hAnsi="宋体" w:eastAsia="宋体" w:cs="宋体"/>
          <w:sz w:val="28"/>
          <w:szCs w:val="28"/>
        </w:rPr>
        <w:t>万元，占支出总预算的</w:t>
      </w:r>
      <w:r>
        <w:rPr>
          <w:rFonts w:ascii="宋体" w:hAnsi="宋体" w:eastAsia="宋体" w:cs="宋体"/>
          <w:sz w:val="28"/>
          <w:u w:color="auto"/>
        </w:rPr>
        <w:t>77.81%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61.77</w:t>
      </w:r>
      <w:r>
        <w:rPr>
          <w:rFonts w:hint="eastAsia" w:ascii="宋体" w:hAnsi="宋体" w:eastAsia="宋体" w:cs="宋体"/>
          <w:sz w:val="28"/>
          <w:szCs w:val="28"/>
        </w:rPr>
        <w:t>万元，</w:t>
      </w:r>
      <w:r>
        <w:rPr>
          <w:rFonts w:ascii="宋体" w:hAnsi="宋体" w:eastAsia="宋体" w:cs="宋体"/>
          <w:sz w:val="28"/>
          <w:u w:color="auto"/>
        </w:rPr>
        <w:t>减少2.69</w:t>
      </w:r>
      <w:r>
        <w:rPr>
          <w:rFonts w:hint="eastAsia" w:ascii="宋体" w:hAnsi="宋体" w:eastAsia="宋体" w:cs="宋体"/>
          <w:sz w:val="28"/>
          <w:szCs w:val="28"/>
        </w:rPr>
        <w:t>万元，</w:t>
      </w:r>
      <w:r>
        <w:rPr>
          <w:rFonts w:ascii="宋体" w:hAnsi="宋体" w:eastAsia="宋体" w:cs="宋体"/>
          <w:sz w:val="28"/>
          <w:u w:color="auto"/>
        </w:rPr>
        <w:t>减少4.35%</w:t>
      </w:r>
      <w:r>
        <w:rPr>
          <w:rFonts w:hint="eastAsia" w:ascii="宋体" w:hAnsi="宋体" w:eastAsia="宋体" w:cs="宋体"/>
          <w:sz w:val="28"/>
          <w:szCs w:val="28"/>
        </w:rPr>
        <w:t>，</w:t>
      </w:r>
      <w:r>
        <w:rPr>
          <w:rFonts w:hint="eastAsia"/>
          <w:highlight w:val="none"/>
          <w:lang w:val="en-US" w:eastAsia="zh-CN"/>
        </w:rPr>
        <w:t>。</w:t>
      </w:r>
    </w:p>
    <w:p>
      <w:pPr>
        <w:pStyle w:val="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8.69</w:t>
      </w:r>
      <w:r>
        <w:rPr>
          <w:rFonts w:hint="eastAsia" w:ascii="宋体" w:hAnsi="宋体" w:eastAsia="宋体" w:cs="宋体"/>
          <w:sz w:val="28"/>
          <w:szCs w:val="28"/>
        </w:rPr>
        <w:t>万元，占支出总预算的</w:t>
      </w:r>
      <w:r>
        <w:rPr>
          <w:rFonts w:ascii="宋体" w:hAnsi="宋体" w:eastAsia="宋体" w:cs="宋体"/>
          <w:sz w:val="28"/>
          <w:u w:color="auto"/>
        </w:rPr>
        <w:t>11.44%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10.08</w:t>
      </w:r>
      <w:r>
        <w:rPr>
          <w:rFonts w:hint="eastAsia" w:ascii="宋体" w:hAnsi="宋体" w:eastAsia="宋体" w:cs="宋体"/>
          <w:sz w:val="28"/>
          <w:szCs w:val="28"/>
        </w:rPr>
        <w:t>万元，</w:t>
      </w:r>
      <w:r>
        <w:rPr>
          <w:rFonts w:ascii="宋体" w:hAnsi="宋体" w:eastAsia="宋体" w:cs="宋体"/>
          <w:sz w:val="28"/>
          <w:u w:color="auto"/>
        </w:rPr>
        <w:t>减少1.39</w:t>
      </w:r>
      <w:r>
        <w:rPr>
          <w:rFonts w:hint="eastAsia" w:ascii="宋体" w:hAnsi="宋体" w:eastAsia="宋体" w:cs="宋体"/>
          <w:sz w:val="28"/>
          <w:szCs w:val="28"/>
        </w:rPr>
        <w:t>万元，</w:t>
      </w:r>
      <w:r>
        <w:rPr>
          <w:rFonts w:ascii="宋体" w:hAnsi="宋体" w:eastAsia="宋体" w:cs="宋体"/>
          <w:sz w:val="28"/>
          <w:u w:color="auto"/>
        </w:rPr>
        <w:t>减少13.79%</w:t>
      </w:r>
      <w:r>
        <w:rPr>
          <w:rFonts w:hint="eastAsia" w:ascii="宋体" w:hAnsi="宋体" w:eastAsia="宋体" w:cs="宋体"/>
          <w:sz w:val="28"/>
          <w:szCs w:val="28"/>
        </w:rPr>
        <w:t>，主要原因是：</w:t>
      </w:r>
      <w:r>
        <w:rPr>
          <w:rFonts w:hint="eastAsia"/>
          <w:highlight w:val="none"/>
        </w:rPr>
        <w:t>空</w:t>
      </w:r>
      <w:r>
        <w:rPr>
          <w:rFonts w:hint="eastAsia" w:ascii="宋体" w:hAnsi="宋体" w:eastAsia="宋体" w:cs="宋体"/>
          <w:sz w:val="28"/>
          <w:szCs w:val="28"/>
        </w:rPr>
        <w:t>。</w:t>
      </w:r>
    </w:p>
    <w:p>
      <w:pPr>
        <w:pStyle w:val="7"/>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7"/>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613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75.93</w:t>
      </w:r>
      <w:r>
        <w:rPr>
          <w:rFonts w:hint="eastAsia"/>
        </w:rPr>
        <w:t>万元，较2023年度预算数</w:t>
      </w:r>
      <w:r>
        <w:rPr>
          <w:rFonts w:hint="eastAsia"/>
          <w:lang w:val="en-US" w:eastAsia="zh-CN"/>
        </w:rPr>
        <w:t>80.66</w:t>
      </w:r>
      <w:r>
        <w:rPr>
          <w:rFonts w:hint="eastAsia"/>
        </w:rPr>
        <w:t>万元</w:t>
      </w:r>
      <w:r>
        <w:rPr>
          <w:rFonts w:hint="eastAsia"/>
          <w:lang w:val="en-US" w:eastAsia="zh-CN"/>
        </w:rPr>
        <w:t>,</w:t>
      </w:r>
      <w:r>
        <w:rPr>
          <w:u w:color="auto"/>
        </w:rPr>
        <w:t>减少4.73</w:t>
      </w:r>
      <w:r>
        <w:rPr>
          <w:rFonts w:hint="eastAsia"/>
        </w:rPr>
        <w:t>万元，</w:t>
      </w:r>
      <w:r>
        <w:rPr>
          <w:rFonts w:hint="eastAsia"/>
          <w:lang w:val="en-US" w:eastAsia="zh-CN"/>
        </w:rPr>
        <w:t>下降5.86%</w:t>
      </w:r>
      <w:r>
        <w:rPr>
          <w:rFonts w:hint="eastAsia"/>
        </w:rPr>
        <w:t>，</w:t>
      </w:r>
      <w:r>
        <w:rPr>
          <w:rFonts w:hint="eastAsia"/>
          <w:b w:val="0"/>
          <w:bCs w:val="0"/>
          <w:sz w:val="28"/>
          <w:szCs w:val="28"/>
        </w:rPr>
        <w:t>主要原因是</w:t>
      </w:r>
      <w:r>
        <w:rPr>
          <w:rFonts w:hint="eastAsia"/>
          <w:b w:val="0"/>
          <w:bCs w:val="0"/>
          <w:sz w:val="28"/>
          <w:szCs w:val="28"/>
          <w:lang w:eastAsia="zh-CN"/>
        </w:rPr>
        <w:t>：</w:t>
      </w:r>
      <w:r>
        <w:rPr>
          <w:rFonts w:hint="eastAsia"/>
          <w:highlight w:val="none"/>
          <w:lang w:val="en-US" w:eastAsia="zh-CN"/>
        </w:rPr>
        <w:t>人员变动，有1人调出</w:t>
      </w:r>
      <w:r>
        <w:rPr>
          <w:rFonts w:hint="eastAsia"/>
        </w:rPr>
        <w:t>。具体情况为：</w:t>
      </w:r>
    </w:p>
    <w:p>
      <w:pPr>
        <w:pStyle w:val="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1.98</w:t>
      </w:r>
      <w:r>
        <w:t>万元</w:t>
      </w:r>
      <w:r>
        <w:rPr>
          <w:rFonts w:hint="eastAsia"/>
          <w:lang w:eastAsia="zh-CN"/>
        </w:rPr>
        <w:t>，</w:t>
      </w:r>
      <w:r>
        <w:rPr>
          <w:rFonts w:hint="eastAsia"/>
        </w:rPr>
        <w:t>占基本支出预算的</w:t>
      </w:r>
      <w:r>
        <w:rPr>
          <w:rFonts w:hint="eastAsia"/>
          <w:lang w:val="en-US" w:eastAsia="zh-CN"/>
        </w:rPr>
        <w:t>2.61%</w:t>
      </w:r>
      <w:r>
        <w:rPr>
          <w:rFonts w:hint="eastAsia"/>
        </w:rPr>
        <w:t>，较2023年度预算数</w:t>
      </w:r>
      <w:r>
        <w:rPr>
          <w:rFonts w:hint="eastAsia"/>
          <w:lang w:val="en-US" w:eastAsia="zh-CN"/>
        </w:rPr>
        <w:t>2.46</w:t>
      </w:r>
      <w:r>
        <w:rPr>
          <w:rFonts w:hint="eastAsia"/>
        </w:rPr>
        <w:t>万元，</w:t>
      </w:r>
      <w:r>
        <w:rPr>
          <w:rFonts w:hint="eastAsia"/>
          <w:lang w:val="en-US" w:eastAsia="zh-CN"/>
        </w:rPr>
        <w:t>减少0.48</w:t>
      </w:r>
      <w:r>
        <w:rPr>
          <w:rFonts w:hint="eastAsia"/>
        </w:rPr>
        <w:t>万元，</w:t>
      </w:r>
      <w:r>
        <w:rPr>
          <w:rFonts w:hint="eastAsia"/>
          <w:lang w:val="en-US" w:eastAsia="zh-CN"/>
        </w:rPr>
        <w:t>减少19.51%</w:t>
      </w:r>
      <w:r>
        <w:rPr>
          <w:rFonts w:hint="eastAsia"/>
        </w:rPr>
        <w:t>，</w:t>
      </w:r>
      <w:r>
        <w:rPr>
          <w:rFonts w:hint="eastAsia"/>
          <w:highlight w:val="none"/>
          <w:lang w:val="en-US" w:eastAsia="zh-CN"/>
        </w:rPr>
        <w:t>。</w:t>
      </w:r>
    </w:p>
    <w:p>
      <w:pPr>
        <w:pStyle w:val="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73.95</w:t>
      </w:r>
      <w:r>
        <w:t>万元</w:t>
      </w:r>
      <w:r>
        <w:rPr>
          <w:rFonts w:hint="eastAsia"/>
          <w:lang w:eastAsia="zh-CN"/>
        </w:rPr>
        <w:t>，</w:t>
      </w:r>
      <w:r>
        <w:rPr>
          <w:rFonts w:hint="eastAsia"/>
        </w:rPr>
        <w:t>占基本支出预算的</w:t>
      </w:r>
      <w:r>
        <w:rPr>
          <w:rFonts w:hint="eastAsia"/>
          <w:lang w:val="en-US" w:eastAsia="zh-CN"/>
        </w:rPr>
        <w:t>97.39%</w:t>
      </w:r>
      <w:r>
        <w:rPr>
          <w:rFonts w:hint="eastAsia"/>
        </w:rPr>
        <w:t>，较2023年度预算数</w:t>
      </w:r>
      <w:r>
        <w:rPr>
          <w:rFonts w:hint="eastAsia"/>
          <w:lang w:val="en-US" w:eastAsia="zh-CN"/>
        </w:rPr>
        <w:t>78.19</w:t>
      </w:r>
      <w:r>
        <w:rPr>
          <w:rFonts w:hint="eastAsia"/>
        </w:rPr>
        <w:t>万元，</w:t>
      </w:r>
      <w:r>
        <w:rPr>
          <w:rFonts w:hint="eastAsia"/>
          <w:lang w:val="en-US" w:eastAsia="zh-CN"/>
        </w:rPr>
        <w:t>减少4.24</w:t>
      </w:r>
      <w:r>
        <w:rPr>
          <w:rFonts w:hint="eastAsia"/>
        </w:rPr>
        <w:t>万元，</w:t>
      </w:r>
      <w:r>
        <w:rPr>
          <w:rFonts w:hint="eastAsia"/>
          <w:lang w:val="en-US" w:eastAsia="zh-CN"/>
        </w:rPr>
        <w:t>减少5.42%</w:t>
      </w:r>
      <w:r>
        <w:rPr>
          <w:rFonts w:hint="eastAsia"/>
        </w:rPr>
        <w:t>，</w:t>
      </w:r>
      <w:r>
        <w:rPr>
          <w:rFonts w:hint="eastAsia"/>
          <w:highlight w:val="none"/>
          <w:lang w:val="en-US" w:eastAsia="zh-CN"/>
        </w:rPr>
        <w:t>。</w:t>
      </w:r>
    </w:p>
    <w:p>
      <w:pPr>
        <w:pStyle w:val="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0.00</w:t>
      </w:r>
      <w:r>
        <w:t>万元</w:t>
      </w:r>
      <w:r>
        <w:rPr>
          <w:rFonts w:hint="eastAsia"/>
          <w:lang w:eastAsia="zh-CN"/>
        </w:rPr>
        <w:t>，</w:t>
      </w:r>
      <w:r>
        <w:rPr>
          <w:rFonts w:hint="eastAsia"/>
        </w:rPr>
        <w:t>占基本支出预算的</w:t>
      </w:r>
      <w:r>
        <w:rPr>
          <w:rFonts w:hint="eastAsia"/>
          <w:lang w:val="en-US" w:eastAsia="zh-CN"/>
        </w:rPr>
        <w:t>0.00%</w:t>
      </w:r>
      <w:r>
        <w:rPr>
          <w:rFonts w:hint="eastAsia"/>
        </w:rPr>
        <w:t>，较2023年度预算数</w:t>
      </w:r>
      <w:r>
        <w:rPr>
          <w:rFonts w:hint="eastAsia"/>
          <w:lang w:val="en-US" w:eastAsia="zh-CN"/>
        </w:rPr>
        <w:t>0.01</w:t>
      </w:r>
      <w:r>
        <w:rPr>
          <w:rFonts w:hint="eastAsia"/>
        </w:rPr>
        <w:t>万元，</w:t>
      </w:r>
      <w:r>
        <w:rPr>
          <w:rFonts w:hint="eastAsia"/>
          <w:lang w:val="en-US" w:eastAsia="zh-CN"/>
        </w:rPr>
        <w:t>减少0.01</w:t>
      </w:r>
      <w:r>
        <w:rPr>
          <w:rFonts w:hint="eastAsia"/>
        </w:rPr>
        <w:t>万元，</w:t>
      </w:r>
      <w:r>
        <w:rPr>
          <w:rFonts w:hint="eastAsia"/>
          <w:lang w:val="en-US" w:eastAsia="zh-CN"/>
        </w:rPr>
        <w:t>减少100.00%</w:t>
      </w:r>
      <w:r>
        <w:rPr>
          <w:rFonts w:hint="eastAsia"/>
        </w:rPr>
        <w:t>，主要原因是：</w:t>
      </w:r>
      <w:r>
        <w:rPr>
          <w:rFonts w:hint="eastAsia"/>
          <w:highlight w:val="none"/>
        </w:rPr>
        <w:t>有1人调出</w:t>
      </w:r>
      <w:r>
        <w:rPr>
          <w:rFonts w:hint="eastAsia"/>
          <w:highlight w:val="none"/>
          <w:lang w:val="en-US" w:eastAsia="zh-CN"/>
        </w:rPr>
        <w:t>。</w:t>
      </w:r>
    </w:p>
    <w:p>
      <w:pPr>
        <w:pStyle w:val="7"/>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7"/>
        <w:numPr>
          <w:ilvl w:val="0"/>
          <w:numId w:val="0"/>
        </w:numPr>
        <w:spacing w:after="0"/>
        <w:jc w:val="left"/>
        <w:rPr>
          <w:rFonts w:hint="eastAsia"/>
          <w:b/>
          <w:bCs/>
        </w:rPr>
      </w:pPr>
    </w:p>
    <w:p>
      <w:pPr>
        <w:pStyle w:val="7"/>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13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0.20</w:t>
      </w:r>
      <w:r>
        <w:rPr>
          <w:rFonts w:hint="eastAsia"/>
          <w:b w:val="0"/>
          <w:bCs w:val="0"/>
          <w:sz w:val="28"/>
          <w:szCs w:val="28"/>
        </w:rPr>
        <w:t>万元，</w:t>
      </w:r>
      <w:r>
        <w:rPr>
          <w:rFonts w:hint="eastAsia"/>
          <w:b w:val="0"/>
          <w:bCs w:val="0"/>
          <w:sz w:val="28"/>
          <w:szCs w:val="28"/>
          <w:lang w:val="en-US" w:eastAsia="zh-CN"/>
        </w:rPr>
        <w:t>减少0.20</w:t>
      </w:r>
      <w:r>
        <w:rPr>
          <w:rFonts w:hint="eastAsia"/>
          <w:b w:val="0"/>
          <w:bCs w:val="0"/>
          <w:sz w:val="28"/>
          <w:szCs w:val="28"/>
        </w:rPr>
        <w:t>万元，</w:t>
      </w:r>
      <w:r>
        <w:rPr>
          <w:rFonts w:hint="eastAsia"/>
          <w:b w:val="0"/>
          <w:bCs w:val="0"/>
          <w:sz w:val="28"/>
          <w:szCs w:val="28"/>
          <w:lang w:val="en-US" w:eastAsia="zh-CN"/>
        </w:rPr>
        <w:t>减少100.00%</w:t>
      </w:r>
      <w:r>
        <w:rPr>
          <w:rFonts w:hint="eastAsia"/>
          <w:b w:val="0"/>
          <w:bCs w:val="0"/>
          <w:sz w:val="28"/>
          <w:szCs w:val="28"/>
        </w:rPr>
        <w:t>，具体如下：</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w:t>
      </w:r>
    </w:p>
    <w:p>
      <w:pPr>
        <w:pStyle w:val="7"/>
        <w:tabs>
          <w:tab w:val="left" w:pos="1253"/>
        </w:tabs>
        <w:spacing w:after="0" w:line="629" w:lineRule="exact"/>
        <w:ind w:firstLine="600"/>
        <w:jc w:val="left"/>
        <w:rPr>
          <w:rFonts w:hint="default" w:eastAsia="宋体"/>
          <w:b w:val="0"/>
          <w:bCs w:val="0"/>
          <w:sz w:val="28"/>
          <w:szCs w:val="28"/>
          <w:lang w:val="en-US"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0.20</w:t>
      </w:r>
      <w:r>
        <w:rPr>
          <w:rFonts w:hint="eastAsia"/>
          <w:b w:val="0"/>
          <w:bCs w:val="0"/>
          <w:sz w:val="28"/>
          <w:szCs w:val="28"/>
        </w:rPr>
        <w:t>万元，</w:t>
      </w:r>
      <w:r>
        <w:rPr>
          <w:sz w:val="28"/>
          <w:u w:color="auto"/>
        </w:rPr>
        <w:t>减少0.20</w:t>
      </w:r>
      <w:r>
        <w:rPr>
          <w:rFonts w:hint="eastAsia"/>
          <w:b w:val="0"/>
          <w:bCs w:val="0"/>
          <w:sz w:val="28"/>
          <w:szCs w:val="28"/>
        </w:rPr>
        <w:t>万元，</w:t>
      </w:r>
      <w:r>
        <w:rPr>
          <w:sz w:val="28"/>
          <w:u w:color="auto"/>
        </w:rPr>
        <w:t>减少100.00%</w:t>
      </w:r>
      <w:r>
        <w:rPr>
          <w:rFonts w:hint="eastAsia"/>
          <w:sz w:val="28"/>
          <w:u w:color="auto"/>
          <w:lang w:eastAsia="zh-CN"/>
        </w:rPr>
        <w:t>，</w:t>
      </w:r>
      <w:r>
        <w:rPr>
          <w:rFonts w:hint="eastAsia"/>
          <w:sz w:val="28"/>
          <w:u w:color="auto"/>
          <w:lang w:val="en-US" w:eastAsia="zh-CN"/>
        </w:rPr>
        <w:t>主要原因：已在其他日常业务费中预留，故在此减少。</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7"/>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w:t>
      </w:r>
    </w:p>
    <w:p>
      <w:pPr>
        <w:pStyle w:val="7"/>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本部门无公务用车</w:t>
      </w:r>
      <w:r>
        <w:rPr>
          <w:rFonts w:hint="eastAsia"/>
          <w:b w:val="0"/>
          <w:bCs w:val="0"/>
          <w:sz w:val="28"/>
          <w:szCs w:val="28"/>
        </w:rPr>
        <w:t>。</w:t>
      </w:r>
    </w:p>
    <w:p>
      <w:pPr>
        <w:pStyle w:val="7"/>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r>
        <w:rPr>
          <w:rFonts w:hint="eastAsia"/>
        </w:rPr>
        <w:t>。</w:t>
      </w:r>
    </w:p>
    <w:p>
      <w:pPr>
        <w:pStyle w:val="7"/>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我部门2024年部门预算无政府性基金预算</w:t>
      </w:r>
      <w:r>
        <w:rPr>
          <w:rFonts w:hint="eastAsia"/>
        </w:rPr>
        <w:t>。</w:t>
      </w:r>
    </w:p>
    <w:p>
      <w:pPr>
        <w:pStyle w:val="7"/>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1.98</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2.46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减少0.48</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下降19.51%</w:t>
      </w:r>
      <w:r>
        <w:rPr>
          <w:rFonts w:hint="eastAsia" w:ascii="宋体" w:hAnsi="宋体" w:eastAsia="宋体" w:cs="宋体"/>
          <w:sz w:val="28"/>
          <w:szCs w:val="28"/>
          <w:lang w:eastAsia="zh-CN"/>
        </w:rPr>
        <w:t>，</w:t>
      </w:r>
      <w:r>
        <w:rPr>
          <w:rFonts w:hint="eastAsia"/>
          <w:highlight w:val="none"/>
          <w:lang w:val="en-US" w:eastAsia="zh-CN"/>
        </w:rPr>
        <w:t>主要用于本级为保证日常运转发生的基本支出，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8"/>
        <w:spacing w:line="624" w:lineRule="exact"/>
        <w:ind w:firstLine="600"/>
        <w:jc w:val="left"/>
        <w:rPr>
          <w:rFonts w:hint="eastAsia" w:asciiTheme="minorEastAsia" w:hAnsiTheme="minorEastAsia" w:eastAsiaTheme="minorEastAsia" w:cstheme="minorEastAsia"/>
          <w:color w:val="auto"/>
          <w:sz w:val="28"/>
          <w:szCs w:val="28"/>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r>
        <w:rPr>
          <w:rFonts w:hint="eastAsia" w:asciiTheme="minorEastAsia" w:hAnsiTheme="minorEastAsia" w:eastAsiaTheme="minorEastAsia" w:cstheme="minorEastAsia"/>
          <w:i w:val="0"/>
          <w:iCs w:val="0"/>
          <w:caps w:val="0"/>
          <w:color w:val="auto"/>
          <w:spacing w:val="0"/>
          <w:sz w:val="28"/>
          <w:szCs w:val="28"/>
          <w:shd w:val="clear" w:fill="FFFFFF"/>
        </w:rPr>
        <w:t>我部门202</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auto"/>
          <w:spacing w:val="0"/>
          <w:sz w:val="28"/>
          <w:szCs w:val="28"/>
          <w:shd w:val="clear" w:fill="FFFFFF"/>
        </w:rPr>
        <w:t>年无重点项目预算相关情况。</w:t>
      </w:r>
    </w:p>
    <w:bookmarkEnd w:id="10"/>
    <w:bookmarkEnd w:id="11"/>
    <w:bookmarkEnd w:id="12"/>
    <w:p>
      <w:pPr>
        <w:pStyle w:val="6"/>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环江毛南族自治县川山镇扶贫站</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0"/>
        <w:keepNext/>
        <w:keepLines/>
        <w:spacing w:after="240"/>
        <w:jc w:val="center"/>
      </w:pPr>
      <w:bookmarkStart w:id="16" w:name="bookmark29"/>
      <w:bookmarkStart w:id="17" w:name="bookmark31"/>
      <w:bookmarkStart w:id="18" w:name="bookmark30"/>
      <w:r>
        <w:t>收支总体情况表</w:t>
      </w:r>
      <w:bookmarkEnd w:id="16"/>
      <w:bookmarkEnd w:id="17"/>
      <w:bookmarkEnd w:id="18"/>
    </w:p>
    <w:tbl>
      <w:tblPr>
        <w:tblStyle w:val="2"/>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1"/>
              <w:spacing w:line="240" w:lineRule="auto"/>
              <w:ind w:firstLine="0"/>
              <w:jc w:val="left"/>
              <w:rPr>
                <w:sz w:val="17"/>
                <w:szCs w:val="17"/>
              </w:rPr>
            </w:pPr>
            <w:r>
              <w:rPr>
                <w:sz w:val="17"/>
                <w:szCs w:val="17"/>
              </w:rPr>
              <w:t>单位名称：</w:t>
            </w:r>
            <w:r>
              <w:rPr>
                <w:rFonts w:hint="eastAsia"/>
                <w:sz w:val="17"/>
                <w:szCs w:val="17"/>
                <w:lang w:eastAsia="zh-CN"/>
              </w:rPr>
              <w:t>环江毛南族自治县川山镇扶贫站</w:t>
            </w:r>
          </w:p>
        </w:tc>
        <w:tc>
          <w:tcPr>
            <w:tcW w:w="3571" w:type="dxa"/>
            <w:tcBorders>
              <w:bottom w:val="single" w:color="auto" w:sz="4" w:space="0"/>
            </w:tcBorders>
            <w:shd w:val="clear" w:color="auto" w:fill="FFFFFF"/>
          </w:tcPr>
          <w:p>
            <w:pPr>
              <w:pStyle w:val="11"/>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75.93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0.78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75.93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8.69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59.08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7.38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75.93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75.93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75.93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240" w:lineRule="auto"/>
              <w:ind w:firstLine="0"/>
              <w:jc w:val="left"/>
              <w:rPr>
                <w:rFonts w:hint="default" w:eastAsia="宋体"/>
                <w:sz w:val="17"/>
                <w:szCs w:val="17"/>
                <w:lang w:val="en-US" w:eastAsia="zh-CN"/>
              </w:rPr>
            </w:pPr>
            <w:r>
              <w:rPr>
                <w:rFonts w:hint="eastAsia"/>
                <w:sz w:val="17"/>
                <w:szCs w:val="17"/>
                <w:lang w:val="en-US" w:eastAsia="zh-CN"/>
              </w:rPr>
              <w:t>75.93</w:t>
            </w:r>
          </w:p>
        </w:tc>
      </w:tr>
    </w:tbl>
    <w:p>
      <w:pPr>
        <w:pStyle w:val="12"/>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2"/>
              <w:jc w:val="both"/>
              <w:rPr>
                <w:rFonts w:hint="eastAsia"/>
                <w:lang w:val="en-US" w:eastAsia="zh-CN"/>
              </w:rPr>
            </w:pPr>
            <w:r>
              <w:rPr>
                <w:sz w:val="17"/>
                <w:szCs w:val="17"/>
              </w:rPr>
              <w:t>单位名称：</w:t>
            </w:r>
            <w:r>
              <w:rPr>
                <w:rFonts w:hint="eastAsia"/>
                <w:sz w:val="17"/>
                <w:szCs w:val="17"/>
                <w:lang w:eastAsia="zh-CN"/>
              </w:rPr>
              <w:t>环江毛南族自治县川山镇扶贫站</w:t>
            </w:r>
            <w:r>
              <w:rPr>
                <w:rFonts w:hint="eastAsia"/>
                <w:lang w:val="en-US" w:eastAsia="zh-CN"/>
              </w:rPr>
              <w:t xml:space="preserve">                                                                                  </w:t>
            </w:r>
          </w:p>
        </w:tc>
        <w:tc>
          <w:tcPr>
            <w:tcW w:w="2076" w:type="dxa"/>
            <w:gridSpan w:val="3"/>
            <w:tcBorders>
              <w:top w:val="nil"/>
              <w:left w:val="nil"/>
              <w:right w:val="nil"/>
            </w:tcBorders>
          </w:tcPr>
          <w:p>
            <w:pPr>
              <w:pStyle w:val="12"/>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1"/>
              <w:spacing w:line="240" w:lineRule="auto"/>
              <w:ind w:firstLine="300" w:firstLineChars="0"/>
              <w:jc w:val="left"/>
              <w:rPr>
                <w:rFonts w:hint="eastAsia" w:eastAsia="宋体"/>
                <w:vertAlign w:val="baseline"/>
                <w:lang w:val="en-US" w:eastAsia="zh-CN"/>
              </w:rPr>
            </w:pP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1"/>
              <w:spacing w:line="312" w:lineRule="exact"/>
              <w:ind w:firstLine="0"/>
              <w:jc w:val="left"/>
              <w:rPr>
                <w:sz w:val="17"/>
                <w:szCs w:val="17"/>
              </w:rPr>
            </w:pPr>
            <w:r>
              <w:rPr>
                <w:sz w:val="17"/>
                <w:szCs w:val="17"/>
              </w:rPr>
              <w:t>财政专户管理资金</w:t>
            </w:r>
          </w:p>
          <w:p>
            <w:pPr>
              <w:pStyle w:val="11"/>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1"/>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1"/>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1"/>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1"/>
              <w:spacing w:line="312" w:lineRule="exact"/>
              <w:ind w:firstLine="0"/>
              <w:jc w:val="left"/>
              <w:rPr>
                <w:sz w:val="17"/>
                <w:szCs w:val="17"/>
              </w:rPr>
            </w:pPr>
            <w:r>
              <w:rPr>
                <w:sz w:val="17"/>
                <w:szCs w:val="17"/>
              </w:rPr>
              <w:t>财政专户管理资金</w:t>
            </w:r>
          </w:p>
          <w:p>
            <w:pPr>
              <w:pStyle w:val="11"/>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1"/>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1"/>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1"/>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1"/>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1"/>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1"/>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1"/>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75.93</w:t>
            </w: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75.93</w:t>
            </w:r>
          </w:p>
        </w:tc>
        <w:tc>
          <w:tcPr>
            <w:tcW w:w="909" w:type="dxa"/>
            <w:vAlign w:val="center"/>
          </w:tcPr>
          <w:p>
            <w:pPr>
              <w:pStyle w:val="11"/>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75.93</w:t>
            </w:r>
          </w:p>
        </w:tc>
        <w:tc>
          <w:tcPr>
            <w:tcW w:w="1161" w:type="dxa"/>
            <w:vAlign w:val="center"/>
          </w:tcPr>
          <w:p>
            <w:pPr>
              <w:pStyle w:val="11"/>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1"/>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1"/>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1"/>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1"/>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705006</w:t>
            </w:r>
          </w:p>
        </w:tc>
        <w:tc>
          <w:tcPr>
            <w:tcW w:w="1279" w:type="dxa"/>
          </w:tcPr>
          <w:p>
            <w:pPr>
              <w:pStyle w:val="11"/>
              <w:spacing w:line="326" w:lineRule="exact"/>
              <w:ind w:firstLine="0" w:firstLineChars="0"/>
              <w:jc w:val="left"/>
              <w:rPr>
                <w:rFonts w:hint="eastAsia" w:eastAsia="宋体"/>
                <w:vertAlign w:val="baseline"/>
                <w:lang w:val="en-US" w:eastAsia="zh-CN"/>
              </w:rPr>
            </w:pPr>
          </w:p>
        </w:tc>
        <w:tc>
          <w:tcPr>
            <w:tcW w:w="990"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75.93</w:t>
            </w:r>
          </w:p>
        </w:tc>
        <w:tc>
          <w:tcPr>
            <w:tcW w:w="926" w:type="dxa"/>
            <w:vAlign w:val="center"/>
          </w:tcPr>
          <w:p>
            <w:pPr>
              <w:pStyle w:val="11"/>
              <w:spacing w:line="240" w:lineRule="auto"/>
              <w:ind w:firstLine="300" w:firstLineChars="0"/>
              <w:jc w:val="left"/>
              <w:rPr>
                <w:rFonts w:hint="eastAsia" w:eastAsia="宋体"/>
                <w:vertAlign w:val="baseline"/>
                <w:lang w:val="en-US" w:eastAsia="zh-CN"/>
              </w:rPr>
            </w:pPr>
            <w:r>
              <w:rPr>
                <w:rFonts w:hint="eastAsia"/>
                <w:sz w:val="17"/>
                <w:szCs w:val="17"/>
                <w:lang w:val="en-US" w:eastAsia="zh-CN"/>
              </w:rPr>
              <w:t>75.93</w:t>
            </w:r>
          </w:p>
        </w:tc>
        <w:tc>
          <w:tcPr>
            <w:tcW w:w="909" w:type="dxa"/>
            <w:vAlign w:val="center"/>
          </w:tcPr>
          <w:p>
            <w:pPr>
              <w:pStyle w:val="11"/>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75.93</w:t>
            </w:r>
          </w:p>
        </w:tc>
        <w:tc>
          <w:tcPr>
            <w:tcW w:w="1161" w:type="dxa"/>
            <w:vAlign w:val="center"/>
          </w:tcPr>
          <w:p>
            <w:pPr>
              <w:pStyle w:val="11"/>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1"/>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1"/>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1"/>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1"/>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1"/>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1"/>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1"/>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2"/>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10"/>
        <w:keepNext/>
        <w:keepLines/>
        <w:spacing w:after="240"/>
        <w:jc w:val="center"/>
      </w:pPr>
      <w:bookmarkStart w:id="19" w:name="bookmark43"/>
      <w:bookmarkStart w:id="20" w:name="bookmark42"/>
      <w:bookmarkStart w:id="21" w:name="bookmark41"/>
      <w:r>
        <w:t>支出总体情况表</w:t>
      </w:r>
      <w:bookmarkEnd w:id="19"/>
      <w:bookmarkEnd w:id="20"/>
      <w:bookmarkEnd w:id="21"/>
    </w:p>
    <w:tbl>
      <w:tblPr>
        <w:tblStyle w:val="2"/>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1"/>
              <w:spacing w:line="240" w:lineRule="auto"/>
              <w:ind w:firstLine="0"/>
              <w:jc w:val="left"/>
              <w:rPr>
                <w:sz w:val="17"/>
                <w:szCs w:val="17"/>
              </w:rPr>
            </w:pPr>
            <w:r>
              <w:rPr>
                <w:sz w:val="17"/>
                <w:szCs w:val="17"/>
              </w:rPr>
              <w:t>单位名称：</w:t>
            </w:r>
            <w:r>
              <w:rPr>
                <w:rFonts w:hint="eastAsia"/>
                <w:sz w:val="17"/>
                <w:szCs w:val="17"/>
                <w:lang w:eastAsia="zh-CN"/>
              </w:rPr>
              <w:t>环江毛南族自治县川山镇扶贫站</w:t>
            </w:r>
          </w:p>
        </w:tc>
        <w:tc>
          <w:tcPr>
            <w:tcW w:w="2371" w:type="dxa"/>
            <w:shd w:val="clear" w:color="auto" w:fill="FFFFFF"/>
          </w:tcPr>
          <w:p>
            <w:pPr>
              <w:pStyle w:val="11"/>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1"/>
              <w:spacing w:after="120" w:line="240" w:lineRule="auto"/>
              <w:ind w:firstLine="0"/>
              <w:jc w:val="left"/>
              <w:rPr>
                <w:sz w:val="17"/>
                <w:szCs w:val="17"/>
              </w:rPr>
            </w:pPr>
            <w:r>
              <w:rPr>
                <w:sz w:val="17"/>
                <w:szCs w:val="17"/>
              </w:rPr>
              <w:t>部门（单位）名称</w:t>
            </w:r>
          </w:p>
          <w:p>
            <w:pPr>
              <w:pStyle w:val="11"/>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75.93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75.93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705006</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75.93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75.93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59.08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59.08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1"/>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7.38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7.38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2"/>
        <w:ind w:left="672"/>
        <w:jc w:val="left"/>
      </w:pPr>
      <w:r>
        <w:t>注：本报表金额单位转换时可能存在四舍五入尾数误差。</w:t>
      </w:r>
      <w:r>
        <w:br w:type="page"/>
      </w:r>
    </w:p>
    <w:p>
      <w:pPr>
        <w:pStyle w:val="10"/>
        <w:keepNext/>
        <w:keepLines/>
        <w:spacing w:after="240"/>
        <w:jc w:val="center"/>
      </w:pPr>
      <w:bookmarkStart w:id="22" w:name="bookmark44"/>
      <w:bookmarkStart w:id="23" w:name="bookmark46"/>
      <w:bookmarkStart w:id="24" w:name="bookmark45"/>
      <w:r>
        <w:t>财政拨款收支总体情况表</w:t>
      </w:r>
      <w:bookmarkEnd w:id="22"/>
      <w:bookmarkEnd w:id="23"/>
      <w:bookmarkEnd w:id="24"/>
    </w:p>
    <w:tbl>
      <w:tblPr>
        <w:tblStyle w:val="2"/>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1"/>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环江毛南族自治县川山镇扶贫站</w:t>
            </w:r>
            <w:r>
              <w:rPr>
                <w:rFonts w:hint="eastAsia"/>
                <w:sz w:val="17"/>
                <w:szCs w:val="17"/>
                <w:lang w:val="en-US" w:eastAsia="zh-CN"/>
              </w:rPr>
              <w:t xml:space="preserve">                         </w:t>
            </w:r>
          </w:p>
        </w:tc>
        <w:tc>
          <w:tcPr>
            <w:tcW w:w="3845" w:type="dxa"/>
            <w:shd w:val="clear" w:color="auto" w:fill="FFFFFF"/>
          </w:tcPr>
          <w:p>
            <w:pPr>
              <w:pStyle w:val="11"/>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1"/>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1"/>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1"/>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1"/>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1"/>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1"/>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1"/>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1"/>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75.93</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0.78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75.93</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8.69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59.08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7.38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75.93</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75.93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75.93</w:t>
            </w:r>
          </w:p>
        </w:tc>
        <w:tc>
          <w:tcPr>
            <w:tcW w:w="3826"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200"/>
              <w:jc w:val="right"/>
              <w:rPr>
                <w:rFonts w:hint="default"/>
                <w:sz w:val="17"/>
                <w:szCs w:val="17"/>
                <w:lang w:val="en-US" w:eastAsia="zh-CN"/>
              </w:rPr>
            </w:pPr>
            <w:r>
              <w:rPr>
                <w:rFonts w:hint="eastAsia"/>
                <w:sz w:val="17"/>
                <w:szCs w:val="17"/>
                <w:lang w:val="en-US" w:eastAsia="zh-CN"/>
              </w:rPr>
              <w:t>75.93</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环江毛南族自治县川山镇扶贫站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1"/>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1"/>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1"/>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1"/>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1"/>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1"/>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1"/>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p>
        </w:tc>
        <w:tc>
          <w:tcPr>
            <w:tcW w:w="1676"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705006</w:t>
            </w:r>
          </w:p>
        </w:tc>
        <w:tc>
          <w:tcPr>
            <w:tcW w:w="1662" w:type="dxa"/>
            <w:vAlign w:val="center"/>
          </w:tcPr>
          <w:p>
            <w:pPr>
              <w:pStyle w:val="11"/>
              <w:spacing w:line="240" w:lineRule="auto"/>
              <w:ind w:firstLine="0" w:firstLineChars="0"/>
              <w:jc w:val="center"/>
              <w:rPr>
                <w:rFonts w:hint="eastAsia"/>
                <w:vertAlign w:val="baseline"/>
                <w:lang w:eastAsia="zh-CN"/>
              </w:rPr>
            </w:pP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75.93</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75.93</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73.95</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1.98</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0.78</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0.78</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0.78</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8.69</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8.69</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8.69</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59.08</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59.08</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57.88</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1.20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1"/>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1"/>
              <w:spacing w:line="240" w:lineRule="auto"/>
              <w:ind w:firstLine="0" w:firstLineChars="0"/>
              <w:jc w:val="center"/>
              <w:rPr>
                <w:rFonts w:hint="eastAsia"/>
                <w:vertAlign w:val="baseline"/>
                <w:lang w:eastAsia="zh-CN"/>
              </w:rPr>
            </w:pPr>
          </w:p>
        </w:tc>
        <w:tc>
          <w:tcPr>
            <w:tcW w:w="1662" w:type="dxa"/>
            <w:vAlign w:val="center"/>
          </w:tcPr>
          <w:p>
            <w:pPr>
              <w:pStyle w:val="11"/>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1"/>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7.38</w:t>
            </w:r>
          </w:p>
        </w:tc>
        <w:tc>
          <w:tcPr>
            <w:tcW w:w="1879" w:type="dxa"/>
            <w:vAlign w:val="center"/>
          </w:tcPr>
          <w:p>
            <w:pPr>
              <w:pStyle w:val="11"/>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7.38</w:t>
            </w:r>
          </w:p>
        </w:tc>
        <w:tc>
          <w:tcPr>
            <w:tcW w:w="1729" w:type="dxa"/>
            <w:vAlign w:val="center"/>
          </w:tcPr>
          <w:p>
            <w:pPr>
              <w:pStyle w:val="11"/>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7.38</w:t>
            </w:r>
          </w:p>
        </w:tc>
        <w:tc>
          <w:tcPr>
            <w:tcW w:w="1790" w:type="dxa"/>
            <w:gridSpan w:val="2"/>
            <w:vAlign w:val="center"/>
          </w:tcPr>
          <w:p>
            <w:pPr>
              <w:pStyle w:val="11"/>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1"/>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1"/>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0"/>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环江毛南族自治县川山镇扶贫站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1"/>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1"/>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1"/>
              <w:spacing w:line="240" w:lineRule="auto"/>
              <w:ind w:firstLine="0" w:firstLineChars="0"/>
              <w:jc w:val="center"/>
              <w:rPr>
                <w:vertAlign w:val="baseline"/>
                <w:lang w:eastAsia="zh-CN"/>
              </w:rPr>
            </w:pPr>
            <w:r>
              <w:rPr>
                <w:sz w:val="17"/>
                <w:szCs w:val="17"/>
              </w:rPr>
              <w:t>合计</w:t>
            </w:r>
          </w:p>
        </w:tc>
        <w:tc>
          <w:tcPr>
            <w:tcW w:w="3112" w:type="dxa"/>
            <w:vAlign w:val="center"/>
          </w:tcPr>
          <w:p>
            <w:pPr>
              <w:pStyle w:val="11"/>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1"/>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75.93</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73.95</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73.95</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73.95</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25.69</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25.69</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5.39</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5.39</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11.62</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11.62</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11.31</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11.31</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8.69</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8.69</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3.48</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0.38</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7.38</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0.78</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11"/>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0.40</w:t>
            </w:r>
          </w:p>
        </w:tc>
        <w:tc>
          <w:tcPr>
            <w:tcW w:w="3112"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1"/>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0"/>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一般公共预算“三公”经费预算表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2"/>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环江毛南族自治县川山镇扶贫站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2"/>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2"/>
              <w:bidi w:val="0"/>
              <w:jc w:val="center"/>
              <w:rPr>
                <w:rFonts w:hint="eastAsia"/>
                <w:vertAlign w:val="baseline"/>
                <w:lang w:val="en-US" w:eastAsia="zh-CN"/>
              </w:rPr>
            </w:pPr>
            <w:r>
              <w:rPr>
                <w:sz w:val="17"/>
                <w:szCs w:val="17"/>
              </w:rPr>
              <w:t>门（单位）代码</w:t>
            </w:r>
          </w:p>
        </w:tc>
        <w:tc>
          <w:tcPr>
            <w:tcW w:w="1918" w:type="dxa"/>
            <w:vMerge w:val="restart"/>
          </w:tcPr>
          <w:p>
            <w:pPr>
              <w:pStyle w:val="12"/>
              <w:bidi w:val="0"/>
              <w:jc w:val="center"/>
              <w:rPr>
                <w:rFonts w:hint="eastAsia"/>
                <w:vertAlign w:val="baseline"/>
                <w:lang w:val="en-US" w:eastAsia="zh-CN"/>
              </w:rPr>
            </w:pPr>
            <w:r>
              <w:rPr>
                <w:sz w:val="17"/>
                <w:szCs w:val="17"/>
              </w:rPr>
              <w:t>部门（单位）名称</w:t>
            </w:r>
          </w:p>
        </w:tc>
        <w:tc>
          <w:tcPr>
            <w:tcW w:w="11343" w:type="dxa"/>
            <w:gridSpan w:val="7"/>
          </w:tcPr>
          <w:p>
            <w:pPr>
              <w:pStyle w:val="12"/>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2"/>
              <w:bidi w:val="0"/>
              <w:jc w:val="center"/>
              <w:rPr>
                <w:rFonts w:hint="eastAsia"/>
                <w:vertAlign w:val="baseline"/>
                <w:lang w:val="en-US" w:eastAsia="zh-CN"/>
              </w:rPr>
            </w:pPr>
          </w:p>
        </w:tc>
        <w:tc>
          <w:tcPr>
            <w:tcW w:w="1918" w:type="dxa"/>
            <w:vMerge w:val="continue"/>
          </w:tcPr>
          <w:p>
            <w:pPr>
              <w:pStyle w:val="12"/>
              <w:bidi w:val="0"/>
              <w:jc w:val="center"/>
              <w:rPr>
                <w:rFonts w:hint="eastAsia"/>
                <w:vertAlign w:val="baseline"/>
                <w:lang w:val="en-US" w:eastAsia="zh-CN"/>
              </w:rPr>
            </w:pPr>
          </w:p>
        </w:tc>
        <w:tc>
          <w:tcPr>
            <w:tcW w:w="1884" w:type="dxa"/>
            <w:vMerge w:val="restart"/>
          </w:tcPr>
          <w:p>
            <w:pPr>
              <w:pStyle w:val="12"/>
              <w:bidi w:val="0"/>
              <w:jc w:val="center"/>
              <w:rPr>
                <w:rFonts w:hint="eastAsia"/>
                <w:vertAlign w:val="baseline"/>
                <w:lang w:val="en-US" w:eastAsia="zh-CN"/>
              </w:rPr>
            </w:pPr>
            <w:r>
              <w:rPr>
                <w:sz w:val="17"/>
                <w:szCs w:val="17"/>
              </w:rPr>
              <w:t>合计</w:t>
            </w:r>
          </w:p>
        </w:tc>
        <w:tc>
          <w:tcPr>
            <w:tcW w:w="1895" w:type="dxa"/>
            <w:vMerge w:val="restart"/>
          </w:tcPr>
          <w:p>
            <w:pPr>
              <w:pStyle w:val="12"/>
              <w:bidi w:val="0"/>
              <w:jc w:val="center"/>
              <w:rPr>
                <w:rFonts w:hint="eastAsia"/>
                <w:vertAlign w:val="baseline"/>
                <w:lang w:val="en-US" w:eastAsia="zh-CN"/>
              </w:rPr>
            </w:pPr>
            <w:r>
              <w:rPr>
                <w:sz w:val="17"/>
                <w:szCs w:val="17"/>
              </w:rPr>
              <w:t>因公出国（境）费</w:t>
            </w:r>
          </w:p>
        </w:tc>
        <w:tc>
          <w:tcPr>
            <w:tcW w:w="5675" w:type="dxa"/>
            <w:gridSpan w:val="4"/>
          </w:tcPr>
          <w:p>
            <w:pPr>
              <w:pStyle w:val="12"/>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2"/>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2"/>
              <w:bidi w:val="0"/>
              <w:jc w:val="center"/>
              <w:rPr>
                <w:rFonts w:hint="eastAsia"/>
                <w:vertAlign w:val="baseline"/>
                <w:lang w:val="en-US" w:eastAsia="zh-CN"/>
              </w:rPr>
            </w:pPr>
          </w:p>
        </w:tc>
        <w:tc>
          <w:tcPr>
            <w:tcW w:w="1918" w:type="dxa"/>
            <w:vMerge w:val="continue"/>
          </w:tcPr>
          <w:p>
            <w:pPr>
              <w:pStyle w:val="12"/>
              <w:bidi w:val="0"/>
              <w:jc w:val="center"/>
              <w:rPr>
                <w:rFonts w:hint="eastAsia"/>
                <w:vertAlign w:val="baseline"/>
                <w:lang w:val="en-US" w:eastAsia="zh-CN"/>
              </w:rPr>
            </w:pPr>
          </w:p>
        </w:tc>
        <w:tc>
          <w:tcPr>
            <w:tcW w:w="1884" w:type="dxa"/>
            <w:vMerge w:val="continue"/>
          </w:tcPr>
          <w:p>
            <w:pPr>
              <w:pStyle w:val="12"/>
              <w:bidi w:val="0"/>
              <w:jc w:val="center"/>
              <w:rPr>
                <w:rFonts w:hint="eastAsia"/>
                <w:vertAlign w:val="baseline"/>
                <w:lang w:val="en-US" w:eastAsia="zh-CN"/>
              </w:rPr>
            </w:pPr>
          </w:p>
        </w:tc>
        <w:tc>
          <w:tcPr>
            <w:tcW w:w="1895" w:type="dxa"/>
            <w:vMerge w:val="continue"/>
          </w:tcPr>
          <w:p>
            <w:pPr>
              <w:pStyle w:val="12"/>
              <w:bidi w:val="0"/>
              <w:jc w:val="center"/>
              <w:rPr>
                <w:rFonts w:hint="eastAsia"/>
                <w:vertAlign w:val="baseline"/>
                <w:lang w:val="en-US" w:eastAsia="zh-CN"/>
              </w:rPr>
            </w:pPr>
          </w:p>
        </w:tc>
        <w:tc>
          <w:tcPr>
            <w:tcW w:w="1888" w:type="dxa"/>
            <w:vAlign w:val="center"/>
          </w:tcPr>
          <w:p>
            <w:pPr>
              <w:pStyle w:val="11"/>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1"/>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1"/>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2"/>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1"/>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1"/>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705006</w:t>
            </w:r>
          </w:p>
        </w:tc>
        <w:tc>
          <w:tcPr>
            <w:tcW w:w="1918" w:type="dxa"/>
            <w:vAlign w:val="center"/>
          </w:tcPr>
          <w:p>
            <w:pPr>
              <w:pStyle w:val="11"/>
              <w:spacing w:line="240" w:lineRule="auto"/>
              <w:ind w:firstLine="0" w:firstLineChars="0"/>
              <w:jc w:val="left"/>
              <w:rPr>
                <w:rFonts w:hint="eastAsia"/>
                <w:vertAlign w:val="baseline"/>
                <w:lang w:val="en-US" w:eastAsia="zh-CN"/>
              </w:rPr>
            </w:pPr>
          </w:p>
        </w:tc>
        <w:tc>
          <w:tcPr>
            <w:tcW w:w="1884"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1"/>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2"/>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2"/>
        <w:bidi w:val="0"/>
        <w:rPr>
          <w:rFonts w:hint="eastAsia"/>
          <w:lang w:val="en-US" w:eastAsia="zh-CN"/>
        </w:rPr>
      </w:pPr>
    </w:p>
    <w:p>
      <w:pPr>
        <w:pStyle w:val="10"/>
        <w:keepNext/>
        <w:keepLines/>
        <w:spacing w:after="240"/>
        <w:jc w:val="center"/>
      </w:pPr>
    </w:p>
    <w:p>
      <w:pPr>
        <w:pStyle w:val="10"/>
        <w:keepNext/>
        <w:keepLines/>
        <w:spacing w:after="240"/>
        <w:jc w:val="center"/>
      </w:pPr>
    </w:p>
    <w:p>
      <w:pPr>
        <w:pStyle w:val="10"/>
        <w:keepNext/>
        <w:keepLines/>
        <w:spacing w:after="240"/>
        <w:jc w:val="center"/>
      </w:pPr>
    </w:p>
    <w:p>
      <w:pPr>
        <w:pStyle w:val="10"/>
        <w:keepNext/>
        <w:keepLines/>
        <w:spacing w:after="240"/>
        <w:jc w:val="center"/>
      </w:pPr>
    </w:p>
    <w:p>
      <w:pPr>
        <w:pStyle w:val="10"/>
        <w:keepNext/>
        <w:keepLines/>
        <w:spacing w:after="240"/>
        <w:jc w:val="center"/>
      </w:pPr>
    </w:p>
    <w:p>
      <w:pPr>
        <w:pStyle w:val="12"/>
        <w:bidi w:val="0"/>
      </w:pPr>
    </w:p>
    <w:p>
      <w:pPr>
        <w:pStyle w:val="10"/>
        <w:keepNext/>
        <w:keepLines/>
        <w:spacing w:after="240"/>
        <w:jc w:val="center"/>
      </w:pPr>
      <w:r>
        <w:t>政府性基金预算支出情况表</w:t>
      </w:r>
      <w:bookmarkEnd w:id="28"/>
      <w:bookmarkEnd w:id="29"/>
      <w:bookmarkEnd w:id="3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2"/>
              <w:tabs>
                <w:tab w:val="left" w:pos="14213"/>
              </w:tabs>
              <w:ind w:left="101"/>
              <w:jc w:val="left"/>
            </w:pPr>
            <w:r>
              <w:t>单位名称：</w:t>
            </w:r>
            <w:r>
              <w:rPr>
                <w:rFonts w:hint="eastAsia"/>
                <w:lang w:eastAsia="zh-CN"/>
              </w:rPr>
              <w:t>环江毛南族自治县川山镇扶贫站</w:t>
            </w:r>
            <w:r>
              <w:tab/>
            </w:r>
            <w:r>
              <w:t>单位：万元</w:t>
            </w:r>
          </w:p>
        </w:tc>
        <w:tc>
          <w:tcPr>
            <w:tcW w:w="2163" w:type="dxa"/>
            <w:tcBorders>
              <w:top w:val="nil"/>
              <w:left w:val="nil"/>
              <w:right w:val="nil"/>
            </w:tcBorders>
          </w:tcPr>
          <w:p>
            <w:pPr>
              <w:pStyle w:val="12"/>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2"/>
              <w:bidi w:val="0"/>
              <w:jc w:val="center"/>
              <w:rPr>
                <w:vertAlign w:val="baseline"/>
              </w:rPr>
            </w:pPr>
            <w:r>
              <w:rPr>
                <w:sz w:val="17"/>
                <w:szCs w:val="17"/>
              </w:rPr>
              <w:t>科目编码</w:t>
            </w:r>
          </w:p>
        </w:tc>
        <w:tc>
          <w:tcPr>
            <w:tcW w:w="2161" w:type="dxa"/>
          </w:tcPr>
          <w:p>
            <w:pPr>
              <w:pStyle w:val="12"/>
              <w:bidi w:val="0"/>
              <w:jc w:val="center"/>
              <w:rPr>
                <w:vertAlign w:val="baseline"/>
              </w:rPr>
            </w:pPr>
            <w:r>
              <w:rPr>
                <w:sz w:val="17"/>
                <w:szCs w:val="17"/>
              </w:rPr>
              <w:t>部门（单位）代码</w:t>
            </w:r>
          </w:p>
        </w:tc>
        <w:tc>
          <w:tcPr>
            <w:tcW w:w="2162" w:type="dxa"/>
          </w:tcPr>
          <w:p>
            <w:pPr>
              <w:pStyle w:val="12"/>
              <w:bidi w:val="0"/>
              <w:jc w:val="center"/>
              <w:rPr>
                <w:vertAlign w:val="baseline"/>
              </w:rPr>
            </w:pPr>
            <w:r>
              <w:rPr>
                <w:sz w:val="17"/>
                <w:szCs w:val="17"/>
              </w:rPr>
              <w:t>部门（单位）名称（功能分类科目名称）</w:t>
            </w:r>
          </w:p>
        </w:tc>
        <w:tc>
          <w:tcPr>
            <w:tcW w:w="2222" w:type="dxa"/>
            <w:vAlign w:val="center"/>
          </w:tcPr>
          <w:p>
            <w:pPr>
              <w:pStyle w:val="11"/>
              <w:spacing w:line="240" w:lineRule="auto"/>
              <w:ind w:firstLine="0" w:firstLineChars="0"/>
              <w:jc w:val="center"/>
              <w:rPr>
                <w:vertAlign w:val="baseline"/>
              </w:rPr>
            </w:pPr>
            <w:r>
              <w:rPr>
                <w:sz w:val="17"/>
                <w:szCs w:val="17"/>
              </w:rPr>
              <w:t>合计</w:t>
            </w:r>
          </w:p>
        </w:tc>
        <w:tc>
          <w:tcPr>
            <w:tcW w:w="2161" w:type="dxa"/>
            <w:vAlign w:val="center"/>
          </w:tcPr>
          <w:p>
            <w:pPr>
              <w:pStyle w:val="11"/>
              <w:spacing w:line="240" w:lineRule="auto"/>
              <w:ind w:firstLine="0" w:firstLineChars="0"/>
              <w:jc w:val="center"/>
              <w:rPr>
                <w:vertAlign w:val="baseline"/>
              </w:rPr>
            </w:pPr>
            <w:r>
              <w:rPr>
                <w:sz w:val="17"/>
                <w:szCs w:val="17"/>
              </w:rPr>
              <w:t>基本支出</w:t>
            </w:r>
          </w:p>
        </w:tc>
        <w:tc>
          <w:tcPr>
            <w:tcW w:w="2161" w:type="dxa"/>
            <w:vAlign w:val="center"/>
          </w:tcPr>
          <w:p>
            <w:pPr>
              <w:pStyle w:val="11"/>
              <w:spacing w:line="240" w:lineRule="auto"/>
              <w:ind w:firstLine="0" w:firstLineChars="0"/>
              <w:jc w:val="center"/>
              <w:rPr>
                <w:vertAlign w:val="baseline"/>
              </w:rPr>
            </w:pPr>
            <w:r>
              <w:rPr>
                <w:sz w:val="17"/>
                <w:szCs w:val="17"/>
              </w:rPr>
              <w:t>项目支出</w:t>
            </w:r>
          </w:p>
        </w:tc>
        <w:tc>
          <w:tcPr>
            <w:tcW w:w="2163" w:type="dxa"/>
            <w:vAlign w:val="center"/>
          </w:tcPr>
          <w:p>
            <w:pPr>
              <w:pStyle w:val="11"/>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2"/>
              <w:bidi w:val="0"/>
              <w:jc w:val="both"/>
              <w:rPr>
                <w:vertAlign w:val="baseline"/>
              </w:rPr>
            </w:pPr>
            <w:r>
              <w:t>注：本报表金额单位转换时可能存在四舍五入尾数误差</w:t>
            </w:r>
          </w:p>
        </w:tc>
      </w:tr>
    </w:tbl>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pPr>
    </w:p>
    <w:p>
      <w:pPr>
        <w:pStyle w:val="12"/>
        <w:bidi w:val="0"/>
        <w:jc w:val="center"/>
        <w:rPr>
          <w:sz w:val="28"/>
          <w:szCs w:val="28"/>
        </w:rPr>
      </w:pPr>
      <w:r>
        <w:rPr>
          <w:sz w:val="28"/>
          <w:szCs w:val="28"/>
        </w:rPr>
        <w:t>国有资本经营预算支出情况表</w:t>
      </w:r>
    </w:p>
    <w:p>
      <w:pPr>
        <w:pStyle w:val="12"/>
        <w:bidi w:val="0"/>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2"/>
              <w:tabs>
                <w:tab w:val="left" w:pos="14213"/>
              </w:tabs>
              <w:ind w:left="101"/>
              <w:jc w:val="left"/>
            </w:pPr>
            <w:r>
              <w:t>单位名称：</w:t>
            </w:r>
            <w:r>
              <w:rPr>
                <w:rFonts w:hint="eastAsia"/>
                <w:lang w:eastAsia="zh-CN"/>
              </w:rPr>
              <w:t>环江毛南族自治县川山镇扶贫站</w:t>
            </w:r>
            <w:r>
              <w:tab/>
            </w:r>
            <w:r>
              <w:t>单位：万元</w:t>
            </w:r>
          </w:p>
        </w:tc>
        <w:tc>
          <w:tcPr>
            <w:tcW w:w="2163" w:type="dxa"/>
            <w:tcBorders>
              <w:top w:val="nil"/>
              <w:left w:val="nil"/>
              <w:right w:val="nil"/>
            </w:tcBorders>
          </w:tcPr>
          <w:p>
            <w:pPr>
              <w:pStyle w:val="12"/>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2"/>
              <w:bidi w:val="0"/>
              <w:jc w:val="center"/>
              <w:rPr>
                <w:vertAlign w:val="baseline"/>
              </w:rPr>
            </w:pPr>
            <w:r>
              <w:rPr>
                <w:sz w:val="17"/>
                <w:szCs w:val="17"/>
              </w:rPr>
              <w:t>科目编码</w:t>
            </w:r>
          </w:p>
        </w:tc>
        <w:tc>
          <w:tcPr>
            <w:tcW w:w="2161" w:type="dxa"/>
            <w:vMerge w:val="restart"/>
          </w:tcPr>
          <w:p>
            <w:pPr>
              <w:pStyle w:val="12"/>
              <w:bidi w:val="0"/>
              <w:jc w:val="center"/>
              <w:rPr>
                <w:vertAlign w:val="baseline"/>
              </w:rPr>
            </w:pPr>
            <w:r>
              <w:rPr>
                <w:sz w:val="17"/>
                <w:szCs w:val="17"/>
              </w:rPr>
              <w:t>部门（单位）代码</w:t>
            </w:r>
          </w:p>
        </w:tc>
        <w:tc>
          <w:tcPr>
            <w:tcW w:w="2162" w:type="dxa"/>
            <w:vMerge w:val="restart"/>
          </w:tcPr>
          <w:p>
            <w:pPr>
              <w:pStyle w:val="12"/>
              <w:bidi w:val="0"/>
              <w:jc w:val="center"/>
              <w:rPr>
                <w:vertAlign w:val="baseline"/>
              </w:rPr>
            </w:pPr>
            <w:r>
              <w:rPr>
                <w:sz w:val="17"/>
                <w:szCs w:val="17"/>
              </w:rPr>
              <w:t>部门（单位）名称（功能分类科目名称）</w:t>
            </w:r>
          </w:p>
        </w:tc>
        <w:tc>
          <w:tcPr>
            <w:tcW w:w="2222" w:type="dxa"/>
            <w:vAlign w:val="center"/>
          </w:tcPr>
          <w:p>
            <w:pPr>
              <w:pStyle w:val="11"/>
              <w:spacing w:line="240" w:lineRule="auto"/>
              <w:ind w:firstLine="0" w:firstLineChars="0"/>
              <w:jc w:val="center"/>
              <w:rPr>
                <w:vertAlign w:val="baseline"/>
              </w:rPr>
            </w:pPr>
            <w:r>
              <w:rPr>
                <w:sz w:val="17"/>
                <w:szCs w:val="17"/>
              </w:rPr>
              <w:t>合计</w:t>
            </w:r>
          </w:p>
        </w:tc>
        <w:tc>
          <w:tcPr>
            <w:tcW w:w="2161" w:type="dxa"/>
            <w:vAlign w:val="center"/>
          </w:tcPr>
          <w:p>
            <w:pPr>
              <w:pStyle w:val="11"/>
              <w:spacing w:line="240" w:lineRule="auto"/>
              <w:ind w:firstLine="0" w:firstLineChars="0"/>
              <w:jc w:val="center"/>
              <w:rPr>
                <w:vertAlign w:val="baseline"/>
              </w:rPr>
            </w:pPr>
            <w:r>
              <w:rPr>
                <w:sz w:val="17"/>
                <w:szCs w:val="17"/>
              </w:rPr>
              <w:t>基本支出</w:t>
            </w:r>
          </w:p>
        </w:tc>
        <w:tc>
          <w:tcPr>
            <w:tcW w:w="2161" w:type="dxa"/>
            <w:vAlign w:val="center"/>
          </w:tcPr>
          <w:p>
            <w:pPr>
              <w:pStyle w:val="11"/>
              <w:spacing w:line="240" w:lineRule="auto"/>
              <w:ind w:firstLine="0" w:firstLineChars="0"/>
              <w:jc w:val="center"/>
              <w:rPr>
                <w:vertAlign w:val="baseline"/>
              </w:rPr>
            </w:pPr>
            <w:r>
              <w:rPr>
                <w:sz w:val="17"/>
                <w:szCs w:val="17"/>
              </w:rPr>
              <w:t>项目支出</w:t>
            </w:r>
          </w:p>
        </w:tc>
        <w:tc>
          <w:tcPr>
            <w:tcW w:w="2163" w:type="dxa"/>
            <w:vAlign w:val="center"/>
          </w:tcPr>
          <w:p>
            <w:pPr>
              <w:pStyle w:val="11"/>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2"/>
              <w:bidi w:val="0"/>
              <w:jc w:val="both"/>
              <w:rPr>
                <w:vertAlign w:val="baseline"/>
              </w:rPr>
            </w:pPr>
          </w:p>
        </w:tc>
        <w:tc>
          <w:tcPr>
            <w:tcW w:w="2161" w:type="dxa"/>
            <w:vMerge w:val="continue"/>
          </w:tcPr>
          <w:p>
            <w:pPr>
              <w:pStyle w:val="12"/>
              <w:bidi w:val="0"/>
              <w:jc w:val="both"/>
              <w:rPr>
                <w:vertAlign w:val="baseline"/>
              </w:rPr>
            </w:pPr>
          </w:p>
        </w:tc>
        <w:tc>
          <w:tcPr>
            <w:tcW w:w="2162" w:type="dxa"/>
            <w:vMerge w:val="continue"/>
          </w:tcPr>
          <w:p>
            <w:pPr>
              <w:pStyle w:val="12"/>
              <w:bidi w:val="0"/>
              <w:jc w:val="both"/>
              <w:rPr>
                <w:vertAlign w:val="baseline"/>
              </w:rPr>
            </w:pPr>
          </w:p>
        </w:tc>
        <w:tc>
          <w:tcPr>
            <w:tcW w:w="2222"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1"/>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1"/>
              <w:spacing w:line="240" w:lineRule="auto"/>
              <w:ind w:firstLine="0" w:firstLineChars="0"/>
              <w:jc w:val="left"/>
              <w:rPr>
                <w:vertAlign w:val="baseline"/>
              </w:rPr>
            </w:pPr>
            <w:r>
              <w:rPr>
                <w:sz w:val="17"/>
                <w:szCs w:val="17"/>
              </w:rPr>
              <w:t>合计</w:t>
            </w:r>
          </w:p>
        </w:tc>
        <w:tc>
          <w:tcPr>
            <w:tcW w:w="2222" w:type="dxa"/>
            <w:vAlign w:val="center"/>
          </w:tcPr>
          <w:p>
            <w:pPr>
              <w:pStyle w:val="11"/>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1"/>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2"/>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2"/>
              <w:bidi w:val="0"/>
              <w:jc w:val="both"/>
              <w:rPr>
                <w:vertAlign w:val="baseline"/>
              </w:rPr>
            </w:pPr>
          </w:p>
        </w:tc>
      </w:tr>
    </w:tbl>
    <w:p>
      <w:pPr>
        <w:pStyle w:val="12"/>
        <w:bidi w:val="0"/>
      </w:pPr>
    </w:p>
    <w:p>
      <w:r>
        <w:br w:type="page"/>
      </w:r>
    </w:p>
    <w:p>
      <w:pPr>
        <w:pStyle w:val="10"/>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2"/>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1"/>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环江毛南族自治县川山镇扶贫站</w:t>
            </w:r>
            <w:r>
              <w:rPr>
                <w:rFonts w:hint="eastAsia" w:cs="宋体"/>
                <w:sz w:val="17"/>
                <w:szCs w:val="17"/>
                <w:lang w:val="en-US" w:eastAsia="zh-CN"/>
              </w:rPr>
              <w:t xml:space="preserve">            </w:t>
            </w:r>
          </w:p>
        </w:tc>
        <w:tc>
          <w:tcPr>
            <w:tcW w:w="6076" w:type="dxa"/>
            <w:shd w:val="clear" w:color="auto" w:fill="FFFFFF"/>
          </w:tcPr>
          <w:p>
            <w:pPr>
              <w:pStyle w:val="11"/>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6"/>
        <w:keepNext/>
        <w:keepLines/>
        <w:spacing w:before="200" w:after="0"/>
        <w:jc w:val="center"/>
        <w:rPr>
          <w:sz w:val="40"/>
          <w:szCs w:val="40"/>
        </w:rPr>
      </w:pPr>
      <w:bookmarkStart w:id="31" w:name="bookmark95"/>
      <w:bookmarkStart w:id="32" w:name="bookmark96"/>
      <w:bookmarkStart w:id="33" w:name="bookmark94"/>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8"/>
        <w:spacing w:line="628" w:lineRule="exact"/>
        <w:ind w:firstLine="640"/>
        <w:jc w:val="left"/>
      </w:pPr>
      <w:r>
        <w:t>十、项目支出：指在基本支出之外为完成特定行政任务和事业发展目标所发生的支出。</w:t>
      </w:r>
    </w:p>
    <w:p>
      <w:pPr>
        <w:pStyle w:val="8"/>
        <w:spacing w:line="628" w:lineRule="exact"/>
        <w:ind w:firstLine="640"/>
        <w:jc w:val="left"/>
      </w:pPr>
      <w:r>
        <w:t>十一、经营支出：指事业单位在专业业务活动及其辅助活动之外开展非独立核算经营活动所发生的支出。</w:t>
      </w:r>
    </w:p>
    <w:p>
      <w:pPr>
        <w:pStyle w:val="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13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3"/>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BKbiGc6gEAAOUDAAAOAAAAAAAAAAEAIAAAACoBAABkcnMvZTJvRG9jLnhtbFBLBQYAAAAA&#10;BgAGAFkBAACGBQAAAAA=&#10;">
              <v:fill on="f" focussize="0,0"/>
              <v:stroke on="f"/>
              <v:imagedata o:title=""/>
              <o:lock v:ext="edit" aspectratio="f"/>
              <v:textbox inset="0mm,0mm,0mm,0mm" style="mso-fit-shape-to-text:t;">
                <w:txbxContent>
                  <w:p>
                    <w:pPr>
                      <w:pStyle w:val="13"/>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13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3"/>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KGb+prpAQAA5QMAAA4AAAAAAAAAAQAgAAAAKgEAAGRycy9lMm9Eb2MueG1sUEsFBgAAAAAG&#10;AAYAWQEAAIUFAAAAAA==&#10;">
              <v:fill on="f" focussize="0,0"/>
              <v:stroke on="f"/>
              <v:imagedata o:title=""/>
              <o:lock v:ext="edit" aspectratio="f"/>
              <v:textbox inset="0mm,0mm,0mm,0mm" style="mso-fit-shape-to-text:t;">
                <w:txbxContent>
                  <w:p>
                    <w:pPr>
                      <w:pStyle w:val="13"/>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DdmMjI3ZmNlY2QyNGRmZWNkMjU2YmJhNjVjZGQifQ=="/>
  </w:docVars>
  <w:rsids>
    <w:rsidRoot w:val="1FF9521B"/>
    <w:rsid w:val="013C5224"/>
    <w:rsid w:val="1FF9521B"/>
    <w:rsid w:val="6A5D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5"/>
    <w:basedOn w:val="1"/>
    <w:qFormat/>
    <w:uiPriority w:val="0"/>
    <w:pPr>
      <w:jc w:val="center"/>
    </w:pPr>
    <w:rPr>
      <w:rFonts w:ascii="宋体" w:hAnsi="宋体" w:eastAsia="宋体" w:cs="宋体"/>
      <w:sz w:val="54"/>
      <w:szCs w:val="54"/>
      <w:lang w:val="zh-TW" w:eastAsia="zh-TW" w:bidi="zh-TW"/>
    </w:rPr>
  </w:style>
  <w:style w:type="paragraph" w:customStyle="1" w:styleId="6">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7">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8">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9">
    <w:name w:val="Body text|3"/>
    <w:basedOn w:val="1"/>
    <w:qFormat/>
    <w:uiPriority w:val="0"/>
    <w:pPr>
      <w:spacing w:after="140" w:line="336" w:lineRule="auto"/>
      <w:ind w:firstLine="370"/>
    </w:pPr>
    <w:rPr>
      <w:sz w:val="30"/>
      <w:szCs w:val="30"/>
      <w:lang w:val="zh-TW" w:eastAsia="zh-TW" w:bidi="zh-TW"/>
    </w:rPr>
  </w:style>
  <w:style w:type="paragraph" w:customStyle="1" w:styleId="10">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1">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2">
    <w:name w:val="Table caption|1"/>
    <w:basedOn w:val="1"/>
    <w:qFormat/>
    <w:uiPriority w:val="0"/>
    <w:rPr>
      <w:rFonts w:ascii="宋体" w:hAnsi="宋体" w:eastAsia="宋体" w:cs="宋体"/>
      <w:sz w:val="17"/>
      <w:szCs w:val="17"/>
      <w:lang w:val="zh-TW" w:eastAsia="zh-TW" w:bidi="zh-TW"/>
    </w:rPr>
  </w:style>
  <w:style w:type="paragraph" w:customStyle="1" w:styleId="13">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75.93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0.78</c:v>
                </c:pt>
                <c:pt idx="1">
                  <c:v>8.69</c:v>
                </c:pt>
                <c:pt idx="2">
                  <c:v>59.08</c:v>
                </c:pt>
                <c:pt idx="3">
                  <c:v>7.38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80.66</c:v>
                </c:pt>
                <c:pt idx="1">
                  <c:v>80.66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75.93</c:v>
                </c:pt>
                <c:pt idx="1">
                  <c:v>75.93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75.93</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1.98</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73.95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73.95</c:v>
                </c:pt>
                <c:pt idx="1">
                  <c:v>1.98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0.2</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2024-02-27T13:15:00Z</dcterms:created>
  <dc:creator>金金金</dc:creator>
  <cp:lastModifiedBy>July</cp:lastModifiedBy>
  <dcterms:modified xsi:type="dcterms:W3CDTF">2024-02-29T09:56:57Z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ACB0BD88283142C09EA3238573663006_11</vt:lpwstr>
  </property>
</Properties>
</file>