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center"/>
        <w:rPr>
          <w:rFonts w:hint="eastAsia"/>
          <w:lang w:eastAsia="zh-CN"/>
        </w:rPr>
      </w:pPr>
      <w:r>
        <w:rPr>
          <w:rFonts w:hint="eastAsia"/>
          <w:lang w:eastAsia="zh-CN"/>
        </w:rPr>
        <w:t>环江毛南族自治县川山镇人民政府</w:t>
      </w:r>
    </w:p>
    <w:p>
      <w:pPr>
        <w:pStyle w:val="5"/>
        <w:jc w:val="center"/>
        <w:sectPr>
          <w:pgSz w:w="11900" w:h="16840"/>
          <w:pgMar w:top="4713" w:right="1913" w:bottom="4713" w:left="2020" w:header="4285" w:footer="4285" w:gutter="0"/>
          <w:pgBorders>
            <w:top w:val="none" w:sz="0" w:space="0"/>
            <w:left w:val="none" w:sz="0" w:space="0"/>
            <w:bottom w:val="none" w:sz="0" w:space="0"/>
            <w:right w:val="none" w:sz="0" w:space="0"/>
          </w:pgBorders>
          <w:pgNumType w:start="1"/>
          <w:cols w:space="720" w:num="1"/>
          <w:docGrid w:linePitch="360" w:charSpace="0"/>
        </w:sectPr>
      </w:pPr>
      <w:r>
        <w:rPr>
          <w:rFonts w:hint="eastAsia"/>
          <w:lang w:eastAsia="zh-CN"/>
        </w:rPr>
        <w:t>2024</w:t>
      </w:r>
      <w:r>
        <w:rPr>
          <w:rFonts w:ascii="Times New Roman" w:hAnsi="Times New Roman" w:eastAsia="Times New Roman" w:cs="Times New Roman"/>
          <w:sz w:val="56"/>
          <w:u w:color="auto"/>
        </w:rPr>
        <w:t>年</w:t>
      </w:r>
      <w:r>
        <w:t>度部门预算</w:t>
      </w:r>
    </w:p>
    <w:p>
      <w:pPr>
        <w:pStyle w:val="6"/>
        <w:keepNext/>
        <w:keepLines/>
        <w:spacing w:after="240"/>
        <w:jc w:val="center"/>
      </w:pPr>
      <w:bookmarkStart w:id="0" w:name="bookmark0"/>
      <w:bookmarkStart w:id="1" w:name="bookmark1"/>
      <w:bookmarkStart w:id="2" w:name="bookmark2"/>
      <w:r>
        <w:t>目录</w:t>
      </w:r>
      <w:bookmarkEnd w:id="0"/>
      <w:bookmarkEnd w:id="1"/>
      <w:bookmarkEnd w:id="2"/>
    </w:p>
    <w:p>
      <w:pPr>
        <w:pStyle w:val="7"/>
        <w:ind w:left="0" w:leftChars="0" w:firstLine="320" w:firstLineChars="100"/>
        <w:jc w:val="left"/>
      </w:pPr>
      <w:r>
        <w:t>第一部分</w:t>
      </w:r>
      <w:r>
        <w:rPr>
          <w:rFonts w:hint="eastAsia"/>
          <w:lang w:eastAsia="zh-CN"/>
        </w:rPr>
        <w:t>：</w:t>
      </w:r>
      <w:r>
        <w:rPr>
          <w:u w:color="auto"/>
        </w:rPr>
        <w:t>环江毛南族自治县川山镇人民政府单位</w:t>
      </w:r>
      <w:r>
        <w:t>概况</w:t>
      </w:r>
    </w:p>
    <w:p>
      <w:pPr>
        <w:pStyle w:val="7"/>
        <w:jc w:val="left"/>
      </w:pPr>
      <w:r>
        <w:rPr>
          <w:lang w:val="en-US" w:eastAsia="zh-CN" w:bidi="en-US"/>
        </w:rPr>
        <w:t>—</w:t>
      </w:r>
      <w:r>
        <w:t>、主要职责</w:t>
      </w:r>
    </w:p>
    <w:p>
      <w:pPr>
        <w:pStyle w:val="7"/>
        <w:jc w:val="left"/>
        <w:rPr>
          <w:rFonts w:hint="eastAsia"/>
        </w:rPr>
      </w:pPr>
      <w:r>
        <w:rPr>
          <w:rFonts w:hint="eastAsia"/>
          <w:lang w:val="en-US" w:eastAsia="zh-CN"/>
        </w:rPr>
        <w:t>二、</w:t>
      </w:r>
      <w:r>
        <w:rPr>
          <w:rFonts w:hint="eastAsia"/>
        </w:rPr>
        <w:t>机构设置情况</w:t>
      </w:r>
    </w:p>
    <w:p>
      <w:pPr>
        <w:pStyle w:val="7"/>
        <w:ind w:left="0" w:leftChars="0" w:firstLine="320" w:firstLineChars="100"/>
        <w:jc w:val="left"/>
      </w:pPr>
      <w:r>
        <w:t>第二部分</w:t>
      </w:r>
      <w:r>
        <w:rPr>
          <w:rFonts w:hint="eastAsia"/>
          <w:lang w:eastAsia="zh-CN"/>
        </w:rPr>
        <w:t>：</w:t>
      </w:r>
      <w:r>
        <w:rPr>
          <w:u w:color="auto"/>
        </w:rPr>
        <w:t>环江毛南族自治县川山镇人民政府2024</w:t>
      </w:r>
      <w:r>
        <w:t>部门预算情况说明</w:t>
      </w:r>
    </w:p>
    <w:p>
      <w:pPr>
        <w:pStyle w:val="7"/>
        <w:numPr>
          <w:ilvl w:val="0"/>
          <w:numId w:val="0"/>
        </w:numPr>
        <w:ind w:firstLine="640" w:firstLineChars="200"/>
        <w:jc w:val="left"/>
        <w:rPr>
          <w:rFonts w:hint="eastAsia"/>
        </w:rPr>
      </w:pPr>
      <w:r>
        <w:rPr>
          <w:rFonts w:hint="eastAsia"/>
        </w:rPr>
        <w:t>一、部门收支总体情况说明</w:t>
      </w:r>
    </w:p>
    <w:p>
      <w:pPr>
        <w:pStyle w:val="7"/>
        <w:numPr>
          <w:ilvl w:val="0"/>
          <w:numId w:val="0"/>
        </w:numPr>
        <w:ind w:firstLine="640" w:firstLineChars="200"/>
        <w:jc w:val="left"/>
        <w:rPr>
          <w:rFonts w:hint="eastAsia"/>
        </w:rPr>
      </w:pPr>
      <w:r>
        <w:rPr>
          <w:rFonts w:hint="eastAsia"/>
        </w:rPr>
        <w:t>二、部门收入总体情况说明</w:t>
      </w:r>
    </w:p>
    <w:p>
      <w:pPr>
        <w:pStyle w:val="7"/>
        <w:numPr>
          <w:ilvl w:val="0"/>
          <w:numId w:val="0"/>
        </w:numPr>
        <w:ind w:firstLine="640" w:firstLineChars="200"/>
        <w:jc w:val="left"/>
        <w:rPr>
          <w:rFonts w:hint="eastAsia"/>
        </w:rPr>
      </w:pPr>
      <w:r>
        <w:rPr>
          <w:rFonts w:hint="eastAsia"/>
        </w:rPr>
        <w:t>三、部门支出总体情况说明</w:t>
      </w:r>
    </w:p>
    <w:p>
      <w:pPr>
        <w:pStyle w:val="7"/>
        <w:numPr>
          <w:ilvl w:val="0"/>
          <w:numId w:val="0"/>
        </w:numPr>
        <w:ind w:firstLine="640" w:firstLineChars="200"/>
        <w:jc w:val="left"/>
        <w:rPr>
          <w:rFonts w:hint="eastAsia"/>
        </w:rPr>
      </w:pPr>
      <w:r>
        <w:rPr>
          <w:rFonts w:hint="eastAsia"/>
        </w:rPr>
        <w:t>四、财政拨款收支总体情况说明</w:t>
      </w:r>
    </w:p>
    <w:p>
      <w:pPr>
        <w:pStyle w:val="7"/>
        <w:numPr>
          <w:ilvl w:val="0"/>
          <w:numId w:val="0"/>
        </w:numPr>
        <w:ind w:firstLine="640" w:firstLineChars="200"/>
        <w:jc w:val="left"/>
        <w:rPr>
          <w:rFonts w:hint="eastAsia"/>
        </w:rPr>
      </w:pPr>
      <w:r>
        <w:rPr>
          <w:rFonts w:hint="eastAsia"/>
        </w:rPr>
        <w:t>五、一般公共预算支出情况说明</w:t>
      </w:r>
    </w:p>
    <w:p>
      <w:pPr>
        <w:pStyle w:val="7"/>
        <w:numPr>
          <w:ilvl w:val="0"/>
          <w:numId w:val="0"/>
        </w:numPr>
        <w:ind w:firstLine="640" w:firstLineChars="200"/>
        <w:jc w:val="left"/>
        <w:rPr>
          <w:rFonts w:hint="eastAsia"/>
        </w:rPr>
      </w:pPr>
      <w:r>
        <w:rPr>
          <w:rFonts w:hint="eastAsia"/>
        </w:rPr>
        <w:t>六、一般公共预算基本支出情况说明</w:t>
      </w:r>
    </w:p>
    <w:p>
      <w:pPr>
        <w:pStyle w:val="7"/>
        <w:numPr>
          <w:ilvl w:val="0"/>
          <w:numId w:val="0"/>
        </w:numPr>
        <w:ind w:firstLine="640" w:firstLineChars="200"/>
        <w:jc w:val="left"/>
        <w:rPr>
          <w:rFonts w:hint="eastAsia"/>
        </w:rPr>
      </w:pPr>
      <w:r>
        <w:rPr>
          <w:rFonts w:hint="eastAsia"/>
        </w:rPr>
        <w:t>七、一般公共预算“三公”经费支出情况说明</w:t>
      </w:r>
    </w:p>
    <w:p>
      <w:pPr>
        <w:pStyle w:val="7"/>
        <w:numPr>
          <w:ilvl w:val="0"/>
          <w:numId w:val="0"/>
        </w:numPr>
        <w:ind w:firstLine="640" w:firstLineChars="200"/>
        <w:jc w:val="left"/>
        <w:rPr>
          <w:rFonts w:hint="eastAsia"/>
        </w:rPr>
      </w:pPr>
      <w:r>
        <w:rPr>
          <w:rFonts w:hint="eastAsia"/>
        </w:rPr>
        <w:t>八、政府性基金预算支出情况说明</w:t>
      </w:r>
    </w:p>
    <w:p>
      <w:pPr>
        <w:pStyle w:val="7"/>
        <w:numPr>
          <w:ilvl w:val="0"/>
          <w:numId w:val="0"/>
        </w:numPr>
        <w:ind w:firstLine="640" w:firstLineChars="200"/>
        <w:jc w:val="left"/>
        <w:rPr>
          <w:rFonts w:hint="eastAsia"/>
        </w:rPr>
      </w:pPr>
      <w:r>
        <w:rPr>
          <w:rFonts w:hint="eastAsia"/>
        </w:rPr>
        <w:t>九、国有资本经营预算支出情况说明</w:t>
      </w:r>
    </w:p>
    <w:p>
      <w:pPr>
        <w:pStyle w:val="7"/>
        <w:numPr>
          <w:ilvl w:val="0"/>
          <w:numId w:val="0"/>
        </w:numPr>
        <w:ind w:firstLine="640" w:firstLineChars="200"/>
        <w:jc w:val="left"/>
      </w:pPr>
      <w:r>
        <w:rPr>
          <w:rFonts w:hint="eastAsia"/>
        </w:rPr>
        <w:t>十、其他重要事项情况说明</w:t>
      </w:r>
    </w:p>
    <w:p>
      <w:pPr>
        <w:pStyle w:val="7"/>
        <w:ind w:left="0" w:leftChars="0" w:firstLine="320" w:firstLineChars="100"/>
        <w:jc w:val="left"/>
      </w:pPr>
      <w:r>
        <w:t>第三部分</w:t>
      </w:r>
      <w:r>
        <w:rPr>
          <w:rFonts w:hint="eastAsia"/>
          <w:lang w:eastAsia="zh-CN"/>
        </w:rPr>
        <w:t>：</w:t>
      </w:r>
      <w:r>
        <w:rPr>
          <w:u w:color="auto"/>
        </w:rPr>
        <w:t>环江毛南族自治县川山镇人民政府2024</w:t>
      </w:r>
      <w:r>
        <w:rPr>
          <w:rFonts w:ascii="Times New Roman" w:hAnsi="Times New Roman" w:cs="Times New Roman"/>
          <w:u w:color="auto"/>
        </w:rPr>
        <w:t>年</w:t>
      </w:r>
      <w:r>
        <w:t>部门预算</w:t>
      </w:r>
      <w:r>
        <w:rPr>
          <w:rFonts w:hint="eastAsia"/>
          <w:lang w:val="en-US" w:eastAsia="zh-CN"/>
        </w:rPr>
        <w:t>相关报</w:t>
      </w:r>
      <w:r>
        <w:t>表</w:t>
      </w:r>
    </w:p>
    <w:p>
      <w:pPr>
        <w:pStyle w:val="7"/>
        <w:jc w:val="left"/>
        <w:rPr>
          <w:rFonts w:hint="eastAsia"/>
        </w:rPr>
      </w:pPr>
      <w:r>
        <w:rPr>
          <w:rFonts w:hint="eastAsia"/>
        </w:rPr>
        <w:t>一、部门收支总体情况表</w:t>
      </w:r>
    </w:p>
    <w:p>
      <w:pPr>
        <w:pStyle w:val="7"/>
        <w:jc w:val="left"/>
        <w:rPr>
          <w:rFonts w:hint="eastAsia"/>
        </w:rPr>
      </w:pPr>
      <w:r>
        <w:rPr>
          <w:rFonts w:hint="eastAsia"/>
        </w:rPr>
        <w:t>二、部门收入总体情况表</w:t>
      </w:r>
    </w:p>
    <w:p>
      <w:pPr>
        <w:pStyle w:val="7"/>
        <w:jc w:val="left"/>
        <w:rPr>
          <w:rFonts w:hint="eastAsia"/>
        </w:rPr>
      </w:pPr>
      <w:r>
        <w:rPr>
          <w:rFonts w:hint="eastAsia"/>
        </w:rPr>
        <w:t>三、部门支出总体情况表</w:t>
      </w:r>
    </w:p>
    <w:p>
      <w:pPr>
        <w:pStyle w:val="7"/>
        <w:jc w:val="left"/>
        <w:rPr>
          <w:rFonts w:hint="eastAsia"/>
        </w:rPr>
      </w:pPr>
      <w:r>
        <w:rPr>
          <w:rFonts w:hint="eastAsia"/>
        </w:rPr>
        <w:t>四、财政拨款收支总体情况表</w:t>
      </w:r>
    </w:p>
    <w:p>
      <w:pPr>
        <w:pStyle w:val="7"/>
        <w:jc w:val="left"/>
        <w:rPr>
          <w:rFonts w:hint="eastAsia"/>
        </w:rPr>
      </w:pPr>
      <w:r>
        <w:rPr>
          <w:rFonts w:hint="eastAsia"/>
        </w:rPr>
        <w:t>五、一般公共预算支出情况表</w:t>
      </w:r>
    </w:p>
    <w:p>
      <w:pPr>
        <w:pStyle w:val="7"/>
        <w:jc w:val="left"/>
        <w:rPr>
          <w:rFonts w:hint="eastAsia"/>
        </w:rPr>
      </w:pPr>
      <w:r>
        <w:rPr>
          <w:rFonts w:hint="eastAsia"/>
        </w:rPr>
        <w:t>六、一般公共预算基本支出情况表</w:t>
      </w:r>
    </w:p>
    <w:p>
      <w:pPr>
        <w:pStyle w:val="7"/>
        <w:jc w:val="left"/>
        <w:rPr>
          <w:rFonts w:hint="eastAsia"/>
        </w:rPr>
      </w:pPr>
      <w:r>
        <w:rPr>
          <w:rFonts w:hint="eastAsia"/>
        </w:rPr>
        <w:t>七、一般公开预算“三公”经费支出情况表</w:t>
      </w:r>
    </w:p>
    <w:p>
      <w:pPr>
        <w:pStyle w:val="7"/>
        <w:jc w:val="left"/>
        <w:rPr>
          <w:rFonts w:hint="eastAsia"/>
        </w:rPr>
      </w:pPr>
      <w:r>
        <w:rPr>
          <w:rFonts w:hint="eastAsia"/>
        </w:rPr>
        <w:t>八、政府性基金预算支出情况表</w:t>
      </w:r>
    </w:p>
    <w:p>
      <w:pPr>
        <w:pStyle w:val="7"/>
        <w:jc w:val="left"/>
        <w:rPr>
          <w:rFonts w:hint="eastAsia"/>
        </w:rPr>
      </w:pPr>
      <w:r>
        <w:rPr>
          <w:rFonts w:hint="eastAsia"/>
        </w:rPr>
        <w:t>九、国有资本经营预算支出情况表</w:t>
      </w:r>
    </w:p>
    <w:p>
      <w:pPr>
        <w:pStyle w:val="7"/>
        <w:jc w:val="left"/>
        <w:rPr>
          <w:rFonts w:hint="eastAsia" w:eastAsia="宋体"/>
          <w:lang w:eastAsia="zh-CN"/>
        </w:rPr>
      </w:pPr>
      <w:r>
        <w:rPr>
          <w:rFonts w:hint="eastAsia"/>
        </w:rPr>
        <w:t>十、2024年度预算项目绩效目标公开表</w:t>
      </w:r>
    </w:p>
    <w:p>
      <w:pPr>
        <w:pStyle w:val="7"/>
        <w:ind w:left="0" w:leftChars="0" w:firstLine="320" w:firstLineChars="100"/>
        <w:jc w:val="left"/>
        <w:rPr>
          <w:rFonts w:hint="eastAsia" w:eastAsia="宋体"/>
          <w:lang w:eastAsia="zh-CN"/>
        </w:rPr>
        <w:sectPr>
          <w:footerReference r:id="rId3" w:type="default"/>
          <w:pgSz w:w="11900" w:h="16840"/>
          <w:pgMar w:top="1508" w:right="1674" w:bottom="1508" w:left="1851" w:header="1080" w:footer="3" w:gutter="0"/>
          <w:pgBorders>
            <w:top w:val="none" w:sz="0" w:space="0"/>
            <w:left w:val="none" w:sz="0" w:space="0"/>
            <w:bottom w:val="none" w:sz="0" w:space="0"/>
            <w:right w:val="none" w:sz="0" w:space="0"/>
          </w:pgBorders>
          <w:cols w:space="720" w:num="1"/>
          <w:docGrid w:linePitch="360" w:charSpace="0"/>
        </w:sectPr>
      </w:pPr>
      <w:r>
        <w:t>第四部分</w:t>
      </w:r>
      <w:r>
        <w:rPr>
          <w:rFonts w:hint="eastAsia"/>
          <w:lang w:eastAsia="zh-CN"/>
        </w:rPr>
        <w:t>：</w:t>
      </w:r>
      <w:r>
        <w:t>名词</w:t>
      </w:r>
      <w:r>
        <w:rPr>
          <w:rFonts w:hint="eastAsia"/>
          <w:lang w:val="en-US" w:eastAsia="zh-CN"/>
        </w:rPr>
        <w:t>解释</w:t>
      </w:r>
    </w:p>
    <w:p>
      <w:pPr>
        <w:pStyle w:val="6"/>
        <w:keepNext/>
        <w:keepLines/>
        <w:spacing w:after="560"/>
        <w:jc w:val="both"/>
      </w:pPr>
      <w:bookmarkStart w:id="3" w:name="bookmark12"/>
      <w:bookmarkStart w:id="4" w:name="bookmark14"/>
      <w:bookmarkStart w:id="5" w:name="bookmark13"/>
    </w:p>
    <w:p>
      <w:pPr>
        <w:pStyle w:val="6"/>
        <w:keepNext/>
        <w:keepLines/>
        <w:spacing w:after="560"/>
        <w:jc w:val="center"/>
        <w:rPr>
          <w:b/>
          <w:bCs/>
          <w:sz w:val="40"/>
          <w:szCs w:val="40"/>
        </w:rPr>
      </w:pPr>
      <w:r>
        <w:rPr>
          <w:b/>
          <w:bCs/>
          <w:sz w:val="40"/>
          <w:szCs w:val="40"/>
        </w:rPr>
        <w:t>第一部分</w:t>
      </w:r>
      <w:r>
        <w:rPr>
          <w:rFonts w:hint="eastAsia"/>
          <w:b/>
          <w:bCs/>
          <w:sz w:val="40"/>
          <w:szCs w:val="40"/>
          <w:lang w:eastAsia="zh-CN"/>
        </w:rPr>
        <w:t>：</w:t>
      </w:r>
      <w:r>
        <w:rPr>
          <w:b/>
          <w:sz w:val="40"/>
          <w:u w:color="auto"/>
        </w:rPr>
        <w:t>环江毛南族自治县川山镇人民政府</w:t>
      </w:r>
      <w:r>
        <w:rPr>
          <w:b/>
          <w:bCs/>
          <w:sz w:val="40"/>
          <w:szCs w:val="40"/>
        </w:rPr>
        <w:t>概况</w:t>
      </w:r>
      <w:bookmarkEnd w:id="3"/>
      <w:bookmarkEnd w:id="4"/>
      <w:bookmarkEnd w:id="5"/>
    </w:p>
    <w:p>
      <w:pPr>
        <w:pStyle w:val="7"/>
        <w:spacing w:after="0" w:line="619" w:lineRule="exact"/>
        <w:ind w:firstLine="620"/>
        <w:jc w:val="left"/>
        <w:rPr>
          <w:b/>
          <w:bCs/>
        </w:rPr>
      </w:pPr>
      <w:r>
        <w:rPr>
          <w:rFonts w:hint="eastAsia"/>
          <w:b/>
          <w:bCs/>
          <w:lang w:val="en-US" w:eastAsia="zh-CN"/>
        </w:rPr>
        <w:t>一、</w:t>
      </w:r>
      <w:r>
        <w:rPr>
          <w:b/>
          <w:bCs/>
        </w:rPr>
        <w:t>主要职责</w:t>
      </w:r>
    </w:p>
    <w:p>
      <w:pPr>
        <w:pStyle w:val="8"/>
        <w:spacing w:line="623" w:lineRule="exact"/>
        <w:ind w:left="0" w:leftChars="0" w:firstLine="560" w:firstLineChars="200"/>
        <w:jc w:val="left"/>
        <w:rPr>
          <w:rFonts w:hint="default"/>
          <w:highlight w:val="yellow"/>
          <w:lang w:val="en-US" w:eastAsia="zh-CN"/>
        </w:rPr>
      </w:pPr>
      <w:r>
        <w:rPr>
          <w:rFonts w:hint="eastAsia"/>
          <w:highlight w:val="none"/>
          <w:lang w:val="en-US" w:eastAsia="zh-CN"/>
        </w:rPr>
        <w:t>根据中国共产党环江毛南族自治县委员会文件（环发〔2011〕30号中国共产党环江毛南族自治县委员会、环江毛南族自治县人民政府关于印发《环江毛南族自治县川山镇党政机关、事业单位职能配置、内设机构和人员编制规定》的通知）规定，本部门主要职责是：</w:t>
      </w:r>
    </w:p>
    <w:p>
      <w:pPr>
        <w:pStyle w:val="8"/>
        <w:spacing w:line="623" w:lineRule="exact"/>
        <w:ind w:left="0" w:leftChars="0" w:firstLine="560" w:firstLineChars="200"/>
        <w:jc w:val="left"/>
        <w:rPr>
          <w:rFonts w:hint="default"/>
          <w:highlight w:val="yellow"/>
          <w:lang w:val="en-US" w:eastAsia="zh-CN"/>
        </w:rPr>
      </w:pPr>
      <w:r>
        <w:rPr>
          <w:rFonts w:hint="eastAsia"/>
          <w:highlight w:val="none"/>
          <w:lang w:val="en-US" w:eastAsia="zh-CN"/>
        </w:rPr>
        <w:t>（一）宣传和贯彻执行党的路线、方针、政策，领导和制定本地经济和社会发展规划，并组织、协调、督促个部门的工作实施，加强对行政和经济组织的领导，引导全镇群众走勤劳致富奔小康道路。</w:t>
      </w:r>
    </w:p>
    <w:p>
      <w:pPr>
        <w:pStyle w:val="8"/>
        <w:spacing w:line="623" w:lineRule="exact"/>
        <w:ind w:left="0" w:leftChars="0" w:firstLine="560" w:firstLineChars="200"/>
        <w:jc w:val="left"/>
        <w:rPr>
          <w:rFonts w:hint="default"/>
          <w:highlight w:val="yellow"/>
          <w:lang w:val="en-US" w:eastAsia="zh-CN"/>
        </w:rPr>
      </w:pPr>
      <w:r>
        <w:rPr>
          <w:rFonts w:hint="eastAsia"/>
          <w:highlight w:val="none"/>
          <w:lang w:val="en-US" w:eastAsia="zh-CN"/>
        </w:rPr>
        <w:t>（二）组织全镇所属党员、干部、群众学习习近平新时代中国特色社会主义重要思想，学习党的路线、方针、政策；学习科学、文化、业务知识，尤其是科技兴农知识，不断提高广大党员、干部和群众的整体素质。认真做好思想政治工作，抓好党组织自身建设，增强党组织的凝聚力、吸引力和战斗力，充分发挥党员的先锋模范作用，团结党内外的干部和群众，完成所但负的工作任务。</w:t>
      </w:r>
    </w:p>
    <w:p>
      <w:pPr>
        <w:pStyle w:val="8"/>
        <w:spacing w:line="623" w:lineRule="exact"/>
        <w:ind w:left="0" w:leftChars="0" w:firstLine="560" w:firstLineChars="200"/>
        <w:jc w:val="left"/>
        <w:rPr>
          <w:rFonts w:hint="default"/>
          <w:highlight w:val="yellow"/>
          <w:lang w:val="en-US" w:eastAsia="zh-CN"/>
        </w:rPr>
      </w:pPr>
      <w:r>
        <w:rPr>
          <w:rFonts w:hint="eastAsia"/>
          <w:highlight w:val="none"/>
          <w:lang w:val="en-US" w:eastAsia="zh-CN"/>
        </w:rPr>
        <w:t>（三）负责全镇精神文明建设和社会治安综合治理，教育党员干部和其他工作人员严格遵守党纪国法。</w:t>
      </w:r>
    </w:p>
    <w:p>
      <w:pPr>
        <w:pStyle w:val="8"/>
        <w:spacing w:line="623" w:lineRule="exact"/>
        <w:ind w:left="0" w:leftChars="0" w:firstLine="560" w:firstLineChars="200"/>
        <w:jc w:val="left"/>
        <w:rPr>
          <w:rFonts w:hint="default"/>
          <w:highlight w:val="yellow"/>
          <w:lang w:val="en-US" w:eastAsia="zh-CN"/>
        </w:rPr>
      </w:pPr>
      <w:r>
        <w:rPr>
          <w:rFonts w:hint="eastAsia"/>
          <w:highlight w:val="none"/>
          <w:lang w:val="en-US" w:eastAsia="zh-CN"/>
        </w:rPr>
        <w:t>（四）按照从严治党的要求，搞好党风廉政建设。做好党员教育、管理和发展工作。</w:t>
      </w:r>
    </w:p>
    <w:p>
      <w:pPr>
        <w:pStyle w:val="8"/>
        <w:spacing w:line="623" w:lineRule="exact"/>
        <w:ind w:left="0" w:leftChars="0" w:firstLine="560" w:firstLineChars="200"/>
        <w:jc w:val="left"/>
        <w:rPr>
          <w:rFonts w:hint="default"/>
          <w:highlight w:val="yellow"/>
          <w:lang w:val="en-US" w:eastAsia="zh-CN"/>
        </w:rPr>
      </w:pPr>
      <w:r>
        <w:rPr>
          <w:rFonts w:hint="eastAsia"/>
          <w:highlight w:val="none"/>
          <w:lang w:val="en-US" w:eastAsia="zh-CN"/>
        </w:rPr>
        <w:t>（五）负责搞好镇、村级干部（后备干部）的教育、培养、选拔、考核和监督管理。</w:t>
      </w:r>
    </w:p>
    <w:p>
      <w:pPr>
        <w:pStyle w:val="8"/>
        <w:spacing w:line="623" w:lineRule="exact"/>
        <w:ind w:left="0" w:leftChars="0" w:firstLine="560" w:firstLineChars="200"/>
        <w:jc w:val="left"/>
        <w:rPr>
          <w:rFonts w:hint="default"/>
          <w:highlight w:val="yellow"/>
          <w:lang w:val="en-US" w:eastAsia="zh-CN"/>
        </w:rPr>
      </w:pPr>
      <w:r>
        <w:rPr>
          <w:rFonts w:hint="eastAsia"/>
          <w:highlight w:val="none"/>
          <w:lang w:val="en-US" w:eastAsia="zh-CN"/>
        </w:rPr>
        <w:t>（六）领导本镇团委、妇联、民兵和各级党组织、各经济组织依照党的路线、方针、政策和国家法律、法规及各自的章程开展工作。</w:t>
      </w:r>
    </w:p>
    <w:p>
      <w:pPr>
        <w:pStyle w:val="8"/>
        <w:spacing w:line="623" w:lineRule="exact"/>
        <w:ind w:left="0" w:leftChars="0" w:firstLine="560" w:firstLineChars="200"/>
        <w:jc w:val="left"/>
        <w:rPr>
          <w:rFonts w:hint="default"/>
          <w:highlight w:val="yellow"/>
          <w:lang w:val="en-US" w:eastAsia="zh-CN"/>
        </w:rPr>
      </w:pPr>
      <w:r>
        <w:rPr>
          <w:rFonts w:hint="eastAsia"/>
          <w:highlight w:val="none"/>
          <w:lang w:val="en-US" w:eastAsia="zh-CN"/>
        </w:rPr>
        <w:t>（七）领导和监督、检查所属职能部门和村委工作。</w:t>
      </w:r>
    </w:p>
    <w:p>
      <w:pPr>
        <w:pStyle w:val="8"/>
        <w:spacing w:line="623" w:lineRule="exact"/>
        <w:ind w:left="0" w:leftChars="0" w:firstLine="560" w:firstLineChars="200"/>
        <w:jc w:val="left"/>
        <w:rPr>
          <w:rFonts w:hint="default"/>
          <w:highlight w:val="yellow"/>
          <w:lang w:val="en-US" w:eastAsia="zh-CN"/>
        </w:rPr>
      </w:pPr>
      <w:r>
        <w:rPr>
          <w:rFonts w:hint="eastAsia"/>
          <w:highlight w:val="none"/>
          <w:lang w:val="en-US" w:eastAsia="zh-CN"/>
        </w:rPr>
        <w:t>（八）管理辖区的经济、教育、科技、文化、卫生、体育事业和财政、民政、公安、司法、计划生育等行政工作。</w:t>
      </w:r>
    </w:p>
    <w:p>
      <w:pPr>
        <w:pStyle w:val="8"/>
        <w:spacing w:line="623" w:lineRule="exact"/>
        <w:ind w:left="0" w:leftChars="0" w:firstLine="560" w:firstLineChars="200"/>
        <w:jc w:val="left"/>
        <w:rPr>
          <w:rFonts w:hint="default"/>
          <w:highlight w:val="yellow"/>
          <w:lang w:val="en-US" w:eastAsia="zh-CN"/>
        </w:rPr>
      </w:pPr>
      <w:r>
        <w:rPr>
          <w:rFonts w:hint="eastAsia"/>
          <w:highlight w:val="none"/>
          <w:lang w:val="en-US" w:eastAsia="zh-CN"/>
        </w:rPr>
        <w:t>（九）维护国有财产和劳动群众集体所有财产，保护公民私人所有合法财产，保障公民和合法权利；保障各种经济组织的合法权益。</w:t>
      </w:r>
    </w:p>
    <w:p>
      <w:pPr>
        <w:pStyle w:val="8"/>
        <w:spacing w:line="623" w:lineRule="exact"/>
        <w:ind w:left="0" w:leftChars="0" w:firstLine="560" w:firstLineChars="200"/>
        <w:jc w:val="left"/>
        <w:rPr>
          <w:rFonts w:hint="eastAsia"/>
          <w:highlight w:val="none"/>
          <w:lang w:val="en-US" w:eastAsia="zh-CN"/>
        </w:rPr>
      </w:pPr>
      <w:r>
        <w:rPr>
          <w:rFonts w:hint="eastAsia"/>
          <w:highlight w:val="none"/>
          <w:lang w:val="en-US" w:eastAsia="zh-CN"/>
        </w:rPr>
        <w:t>（十)完成上级交给的其他工作任务。</w:t>
      </w:r>
    </w:p>
    <w:p>
      <w:pPr>
        <w:pStyle w:val="8"/>
        <w:spacing w:line="623" w:lineRule="exact"/>
        <w:ind w:left="0" w:leftChars="0" w:firstLine="560" w:firstLineChars="200"/>
        <w:jc w:val="left"/>
        <w:rPr>
          <w:rFonts w:hint="default"/>
          <w:highlight w:val="none"/>
          <w:lang w:val="en-US" w:eastAsia="zh-CN"/>
        </w:rPr>
      </w:pPr>
    </w:p>
    <w:p>
      <w:pPr>
        <w:pStyle w:val="7"/>
        <w:numPr>
          <w:ilvl w:val="0"/>
          <w:numId w:val="1"/>
        </w:numPr>
        <w:tabs>
          <w:tab w:val="left" w:pos="1369"/>
        </w:tabs>
        <w:spacing w:after="0" w:line="623" w:lineRule="exact"/>
        <w:ind w:firstLine="620"/>
        <w:jc w:val="left"/>
        <w:rPr>
          <w:rFonts w:hint="eastAsia"/>
          <w:b/>
          <w:bCs/>
        </w:rPr>
      </w:pPr>
      <w:r>
        <w:rPr>
          <w:rFonts w:hint="eastAsia"/>
          <w:b/>
          <w:bCs/>
        </w:rPr>
        <w:t>机构设置情况</w:t>
      </w:r>
    </w:p>
    <w:p>
      <w:pPr>
        <w:pStyle w:val="7"/>
        <w:numPr>
          <w:numId w:val="0"/>
        </w:numPr>
        <w:tabs>
          <w:tab w:val="left" w:pos="1369"/>
        </w:tabs>
        <w:spacing w:after="0" w:line="623" w:lineRule="exact"/>
        <w:jc w:val="left"/>
        <w:rPr>
          <w:rFonts w:hint="eastAsia"/>
          <w:b/>
          <w:bCs/>
        </w:rPr>
      </w:pPr>
    </w:p>
    <w:p>
      <w:pPr>
        <w:pStyle w:val="8"/>
        <w:spacing w:line="623" w:lineRule="exact"/>
        <w:ind w:left="0" w:leftChars="0" w:firstLine="560" w:firstLineChars="200"/>
        <w:jc w:val="left"/>
        <w:rPr>
          <w:rFonts w:hint="default"/>
          <w:highlight w:val="yellow"/>
          <w:lang w:val="en-US" w:eastAsia="zh-CN"/>
        </w:rPr>
      </w:pPr>
      <w:r>
        <w:rPr>
          <w:rFonts w:hint="eastAsia"/>
          <w:highlight w:val="none"/>
          <w:lang w:val="en-US" w:eastAsia="zh-CN"/>
        </w:rPr>
        <w:t>本部门由1个党政机关单位（包含人大党委政府）、1个参公管理单位、6个财政拨款事业单位及隶属村委（17个行政村）组成。</w:t>
      </w:r>
    </w:p>
    <w:p>
      <w:pPr>
        <w:pStyle w:val="8"/>
        <w:spacing w:line="623" w:lineRule="exact"/>
        <w:ind w:firstLine="1018" w:firstLineChars="0"/>
        <w:jc w:val="left"/>
        <w:rPr>
          <w:rFonts w:hint="eastAsia"/>
          <w:highlight w:val="none"/>
          <w:lang w:val="en-US" w:eastAsia="zh-CN"/>
        </w:rPr>
      </w:pPr>
    </w:p>
    <w:p>
      <w:pPr>
        <w:pStyle w:val="8"/>
        <w:spacing w:line="623" w:lineRule="exact"/>
        <w:ind w:firstLine="1018" w:firstLineChars="0"/>
        <w:jc w:val="left"/>
        <w:rPr>
          <w:rFonts w:hint="eastAsia"/>
          <w:highlight w:val="none"/>
          <w:lang w:val="en-US" w:eastAsia="zh-CN"/>
        </w:rPr>
      </w:pPr>
    </w:p>
    <w:p>
      <w:r>
        <w:br w:type="page"/>
      </w:r>
    </w:p>
    <w:p>
      <w:pPr>
        <w:pStyle w:val="6"/>
        <w:keepNext/>
        <w:keepLines/>
        <w:spacing w:before="120" w:after="0" w:line="629" w:lineRule="exact"/>
        <w:jc w:val="center"/>
        <w:rPr>
          <w:b/>
          <w:bCs/>
          <w:sz w:val="40"/>
          <w:szCs w:val="40"/>
        </w:rPr>
      </w:pPr>
      <w:bookmarkStart w:id="6" w:name="bookmark70"/>
      <w:bookmarkStart w:id="7" w:name="bookmark68"/>
      <w:bookmarkStart w:id="8" w:name="bookmark69"/>
      <w:bookmarkStart w:id="9" w:name="bookmark28"/>
      <w:bookmarkStart w:id="10" w:name="bookmark27"/>
      <w:bookmarkStart w:id="11" w:name="bookmark26"/>
      <w:r>
        <w:rPr>
          <w:b/>
          <w:bCs/>
          <w:sz w:val="40"/>
          <w:szCs w:val="40"/>
        </w:rPr>
        <w:t>第</w:t>
      </w:r>
      <w:r>
        <w:rPr>
          <w:rFonts w:hint="eastAsia"/>
          <w:b/>
          <w:bCs/>
          <w:sz w:val="40"/>
          <w:szCs w:val="40"/>
          <w:lang w:val="en-US" w:eastAsia="zh-CN"/>
        </w:rPr>
        <w:t>二</w:t>
      </w:r>
      <w:r>
        <w:rPr>
          <w:b/>
          <w:bCs/>
          <w:sz w:val="40"/>
          <w:szCs w:val="40"/>
        </w:rPr>
        <w:t>部分</w:t>
      </w:r>
      <w:r>
        <w:rPr>
          <w:rFonts w:hint="eastAsia"/>
          <w:b/>
          <w:bCs/>
          <w:sz w:val="40"/>
          <w:szCs w:val="40"/>
          <w:lang w:eastAsia="zh-CN"/>
        </w:rPr>
        <w:t>：</w:t>
      </w:r>
      <w:bookmarkEnd w:id="6"/>
      <w:bookmarkEnd w:id="7"/>
      <w:bookmarkEnd w:id="8"/>
      <w:r>
        <w:rPr>
          <w:rFonts w:hint="eastAsia"/>
          <w:b/>
          <w:bCs/>
          <w:sz w:val="40"/>
          <w:szCs w:val="40"/>
          <w:lang w:eastAsia="zh-CN"/>
        </w:rPr>
        <w:t>环江毛南族自治县川山镇人民政府</w:t>
      </w:r>
      <w:r>
        <w:rPr>
          <w:b/>
          <w:sz w:val="40"/>
          <w:u w:color="auto"/>
        </w:rPr>
        <w:t>2024年部门预算情况说明</w:t>
      </w:r>
    </w:p>
    <w:p>
      <w:pPr>
        <w:pStyle w:val="7"/>
        <w:tabs>
          <w:tab w:val="left" w:pos="1235"/>
        </w:tabs>
        <w:spacing w:after="0" w:line="624" w:lineRule="exact"/>
        <w:ind w:firstLine="580"/>
        <w:jc w:val="left"/>
        <w:rPr>
          <w:b/>
          <w:bCs/>
        </w:rPr>
      </w:pPr>
      <w:bookmarkStart w:id="12" w:name="bookmark71"/>
      <w:r>
        <w:rPr>
          <w:b/>
          <w:bCs/>
        </w:rPr>
        <w:t>一</w:t>
      </w:r>
      <w:bookmarkEnd w:id="12"/>
      <w:r>
        <w:rPr>
          <w:b/>
          <w:bCs/>
        </w:rPr>
        <w:t>、</w:t>
      </w:r>
      <w:r>
        <w:rPr>
          <w:b/>
          <w:bCs/>
        </w:rPr>
        <w:tab/>
      </w:r>
      <w:r>
        <w:rPr>
          <w:b/>
          <w:bCs/>
        </w:rPr>
        <w:t>部门预算收支总体情况说明</w:t>
      </w:r>
    </w:p>
    <w:p>
      <w:pPr>
        <w:pStyle w:val="8"/>
        <w:spacing w:line="623" w:lineRule="exact"/>
        <w:ind w:left="0" w:leftChars="0" w:firstLine="560" w:firstLineChars="200"/>
        <w:jc w:val="left"/>
        <w:rPr>
          <w:rFonts w:hint="eastAsia" w:ascii="Times New Roman" w:hAnsi="Times New Roman" w:eastAsia="宋体" w:cs="Times New Roman"/>
          <w:b/>
          <w:bCs/>
          <w:sz w:val="28"/>
          <w:szCs w:val="28"/>
          <w:lang w:val="en-US" w:eastAsia="zh-CN"/>
        </w:rPr>
      </w:pPr>
      <w:r>
        <w:rPr>
          <w:rFonts w:hint="eastAsia"/>
          <w:b w:val="0"/>
          <w:bCs w:val="0"/>
          <w:sz w:val="28"/>
          <w:szCs w:val="28"/>
        </w:rPr>
        <w:t>我部门总收入</w:t>
      </w:r>
      <w:r>
        <w:rPr>
          <w:rFonts w:hint="eastAsia"/>
          <w:sz w:val="28"/>
          <w:szCs w:val="28"/>
          <w:lang w:val="en-US" w:eastAsia="zh-CN"/>
        </w:rPr>
        <w:t>1502.98</w:t>
      </w:r>
      <w:r>
        <w:rPr>
          <w:rFonts w:hint="eastAsia"/>
          <w:b w:val="0"/>
          <w:bCs w:val="0"/>
          <w:sz w:val="28"/>
          <w:szCs w:val="28"/>
        </w:rPr>
        <w:t>万元，总支出</w:t>
      </w:r>
      <w:r>
        <w:rPr>
          <w:rFonts w:hint="eastAsia"/>
          <w:sz w:val="28"/>
          <w:szCs w:val="28"/>
          <w:lang w:val="en-US" w:eastAsia="zh-CN"/>
        </w:rPr>
        <w:t>1502.98</w:t>
      </w:r>
      <w:r>
        <w:rPr>
          <w:rFonts w:hint="eastAsia"/>
          <w:b w:val="0"/>
          <w:bCs w:val="0"/>
          <w:sz w:val="28"/>
          <w:szCs w:val="28"/>
        </w:rPr>
        <w:t>万元。总收入较2023年度预算数</w:t>
      </w:r>
      <w:r>
        <w:rPr>
          <w:rFonts w:hint="eastAsia"/>
          <w:sz w:val="28"/>
          <w:szCs w:val="28"/>
          <w:lang w:val="en-US" w:eastAsia="zh-CN"/>
        </w:rPr>
        <w:t>1254.82</w:t>
      </w:r>
      <w:r>
        <w:rPr>
          <w:rFonts w:hint="eastAsia"/>
          <w:b w:val="0"/>
          <w:bCs w:val="0"/>
          <w:sz w:val="28"/>
          <w:szCs w:val="28"/>
        </w:rPr>
        <w:t>万元，</w:t>
      </w:r>
      <w:r>
        <w:rPr>
          <w:rFonts w:hint="eastAsia"/>
          <w:sz w:val="28"/>
          <w:szCs w:val="28"/>
        </w:rPr>
        <w:t>增加248.16</w:t>
      </w:r>
      <w:r>
        <w:rPr>
          <w:rFonts w:hint="eastAsia"/>
          <w:b w:val="0"/>
          <w:bCs w:val="0"/>
          <w:sz w:val="28"/>
          <w:szCs w:val="28"/>
        </w:rPr>
        <w:t>万元，</w:t>
      </w:r>
      <w:r>
        <w:rPr>
          <w:rFonts w:hint="eastAsia"/>
          <w:sz w:val="28"/>
          <w:szCs w:val="28"/>
        </w:rPr>
        <w:t>增长19.78%</w:t>
      </w:r>
      <w:r>
        <w:rPr>
          <w:rFonts w:hint="eastAsia"/>
          <w:b w:val="0"/>
          <w:bCs w:val="0"/>
          <w:sz w:val="28"/>
          <w:szCs w:val="28"/>
        </w:rPr>
        <w:t>。总支出较2023年度预算数</w:t>
      </w:r>
      <w:r>
        <w:rPr>
          <w:rFonts w:hint="eastAsia"/>
          <w:sz w:val="28"/>
          <w:szCs w:val="28"/>
          <w:lang w:val="en-US" w:eastAsia="zh-CN"/>
        </w:rPr>
        <w:t>1254.82</w:t>
      </w:r>
      <w:r>
        <w:rPr>
          <w:rFonts w:hint="eastAsia"/>
          <w:b w:val="0"/>
          <w:bCs w:val="0"/>
          <w:sz w:val="28"/>
          <w:szCs w:val="28"/>
        </w:rPr>
        <w:t>万元，</w:t>
      </w:r>
      <w:r>
        <w:rPr>
          <w:rFonts w:hint="eastAsia"/>
          <w:sz w:val="28"/>
          <w:szCs w:val="28"/>
        </w:rPr>
        <w:t>增加248.16</w:t>
      </w:r>
      <w:r>
        <w:rPr>
          <w:rFonts w:hint="eastAsia"/>
          <w:b w:val="0"/>
          <w:bCs w:val="0"/>
          <w:sz w:val="28"/>
          <w:szCs w:val="28"/>
        </w:rPr>
        <w:t>万元，</w:t>
      </w:r>
      <w:r>
        <w:rPr>
          <w:rFonts w:hint="eastAsia"/>
          <w:sz w:val="28"/>
          <w:szCs w:val="28"/>
        </w:rPr>
        <w:t>增长19.78%</w:t>
      </w:r>
      <w:r>
        <w:rPr>
          <w:rFonts w:hint="eastAsia"/>
          <w:b w:val="0"/>
          <w:bCs w:val="0"/>
          <w:sz w:val="28"/>
          <w:szCs w:val="28"/>
        </w:rPr>
        <w:t>，主要原因是</w:t>
      </w:r>
      <w:r>
        <w:rPr>
          <w:rFonts w:hint="eastAsia"/>
          <w:b w:val="0"/>
          <w:bCs w:val="0"/>
          <w:sz w:val="28"/>
          <w:szCs w:val="28"/>
          <w:lang w:eastAsia="zh-CN"/>
        </w:rPr>
        <w:t>人员变动较大，基础性绩效增加，</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预算增加</w:t>
      </w:r>
      <w:r>
        <w:rPr>
          <w:rFonts w:hint="eastAsia"/>
          <w:b w:val="0"/>
          <w:bCs w:val="0"/>
          <w:sz w:val="28"/>
          <w:szCs w:val="28"/>
          <w:lang w:eastAsia="zh-CN"/>
        </w:rPr>
        <w:t>。</w:t>
      </w:r>
    </w:p>
    <w:p>
      <w:pPr>
        <w:pStyle w:val="7"/>
        <w:tabs>
          <w:tab w:val="left" w:pos="1235"/>
        </w:tabs>
        <w:spacing w:after="0" w:line="624" w:lineRule="exact"/>
        <w:ind w:firstLine="580"/>
        <w:jc w:val="left"/>
        <w:rPr>
          <w:b/>
          <w:bCs/>
          <w:lang w:val="en-US" w:eastAsia="zh-CN"/>
        </w:rPr>
      </w:pPr>
      <w:r>
        <w:rPr>
          <w:rFonts w:hint="eastAsia"/>
          <w:b/>
          <w:bCs/>
          <w:lang w:val="en-US" w:eastAsia="zh-CN"/>
        </w:rPr>
        <w:t>二、</w:t>
      </w:r>
      <w:r>
        <w:rPr>
          <w:b/>
          <w:bCs/>
        </w:rPr>
        <w:t>部门收入总体情况说明</w:t>
      </w:r>
    </w:p>
    <w:p>
      <w:pPr>
        <w:pStyle w:val="8"/>
        <w:spacing w:line="240" w:lineRule="auto"/>
        <w:ind w:firstLine="0"/>
        <w:jc w:val="left"/>
        <w:rPr>
          <w:rFonts w:ascii="Times New Roman" w:hAnsi="Times New Roman" w:cs="Times New Roman"/>
          <w:sz w:val="30"/>
          <w:szCs w:val="30"/>
          <w:lang w:val="en-US" w:eastAsia="zh-CN"/>
        </w:rPr>
      </w:pPr>
      <w:r>
        <w:rPr>
          <w:rFonts w:ascii="Times New Roman" w:hAnsi="Times New Roman" w:cs="Times New Roman"/>
          <w:sz w:val="30"/>
          <w:szCs w:val="30"/>
          <w:lang w:val="en-US" w:eastAsia="zh-CN"/>
        </w:rPr>
        <w:drawing>
          <wp:inline distT="0" distB="0" distL="114300" distR="114300">
            <wp:extent cx="4257040" cy="3139440"/>
            <wp:effectExtent l="4445" t="4445" r="5715" b="10795"/>
            <wp:docPr id="6152" name="图表 6" title="{{img_rs_table}}"/>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8"/>
        <w:spacing w:line="623" w:lineRule="exact"/>
        <w:ind w:left="0" w:leftChars="0" w:firstLine="560" w:firstLineChars="200"/>
        <w:jc w:val="left"/>
        <w:rPr>
          <w:rFonts w:hint="eastAsia"/>
          <w:b w:val="0"/>
          <w:bCs w:val="0"/>
          <w:sz w:val="28"/>
          <w:szCs w:val="28"/>
          <w:lang w:eastAsia="zh-CN"/>
        </w:rPr>
      </w:pPr>
      <w:r>
        <w:rPr>
          <w:rFonts w:hint="eastAsia" w:ascii="宋体" w:hAnsi="宋体" w:eastAsia="宋体" w:cs="宋体"/>
          <w:sz w:val="28"/>
          <w:szCs w:val="28"/>
          <w:u w:color="auto"/>
          <w:lang w:eastAsia="zh-CN"/>
        </w:rPr>
        <w:t>2024</w:t>
      </w:r>
      <w:r>
        <w:rPr>
          <w:rFonts w:hint="eastAsia" w:ascii="宋体" w:hAnsi="宋体" w:eastAsia="宋体" w:cs="宋体"/>
          <w:sz w:val="28"/>
          <w:szCs w:val="28"/>
          <w:u w:color="auto"/>
        </w:rPr>
        <w:t>年我部门总收入</w:t>
      </w:r>
      <w:r>
        <w:rPr>
          <w:rFonts w:hint="eastAsia" w:ascii="宋体" w:hAnsi="宋体" w:eastAsia="宋体" w:cs="宋体"/>
          <w:sz w:val="28"/>
          <w:szCs w:val="28"/>
          <w:lang w:val="en-US" w:eastAsia="zh-CN"/>
        </w:rPr>
        <w:t>1502.98</w:t>
      </w:r>
      <w:r>
        <w:rPr>
          <w:rFonts w:hint="eastAsia" w:ascii="宋体" w:hAnsi="宋体" w:eastAsia="宋体" w:cs="宋体"/>
          <w:sz w:val="28"/>
          <w:szCs w:val="28"/>
          <w:u w:color="auto"/>
        </w:rPr>
        <w:t>万元，较2023年度预算数</w:t>
      </w:r>
      <w:r>
        <w:rPr>
          <w:rFonts w:hint="eastAsia" w:ascii="宋体" w:hAnsi="宋体" w:eastAsia="宋体" w:cs="宋体"/>
          <w:sz w:val="28"/>
          <w:szCs w:val="28"/>
          <w:lang w:val="en-US" w:eastAsia="zh-CN"/>
        </w:rPr>
        <w:t>1254.82</w:t>
      </w:r>
      <w:r>
        <w:rPr>
          <w:rFonts w:hint="eastAsia" w:ascii="宋体" w:hAnsi="宋体" w:eastAsia="宋体" w:cs="宋体"/>
          <w:sz w:val="28"/>
          <w:szCs w:val="28"/>
          <w:u w:color="auto"/>
        </w:rPr>
        <w:t>万元，</w:t>
      </w:r>
      <w:r>
        <w:rPr>
          <w:rFonts w:hint="eastAsia" w:ascii="宋体" w:hAnsi="宋体" w:eastAsia="宋体" w:cs="宋体"/>
          <w:sz w:val="28"/>
          <w:szCs w:val="28"/>
        </w:rPr>
        <w:t>增加248.16</w:t>
      </w:r>
      <w:r>
        <w:rPr>
          <w:rFonts w:hint="eastAsia" w:ascii="宋体" w:hAnsi="宋体" w:eastAsia="宋体" w:cs="宋体"/>
          <w:sz w:val="28"/>
          <w:szCs w:val="28"/>
          <w:u w:color="auto"/>
        </w:rPr>
        <w:t>万元，</w:t>
      </w:r>
      <w:r>
        <w:rPr>
          <w:rFonts w:hint="eastAsia" w:ascii="宋体" w:hAnsi="宋体" w:eastAsia="宋体" w:cs="宋体"/>
          <w:sz w:val="28"/>
          <w:szCs w:val="28"/>
        </w:rPr>
        <w:t>增长19.78%</w:t>
      </w:r>
      <w:r>
        <w:rPr>
          <w:rFonts w:hint="eastAsia" w:ascii="宋体" w:hAnsi="宋体" w:eastAsia="宋体" w:cs="宋体"/>
          <w:sz w:val="28"/>
          <w:szCs w:val="28"/>
          <w:u w:color="auto"/>
        </w:rPr>
        <w:t>，主要原因</w:t>
      </w:r>
      <w:r>
        <w:rPr>
          <w:rFonts w:hint="eastAsia" w:cs="宋体"/>
          <w:sz w:val="28"/>
          <w:szCs w:val="28"/>
          <w:u w:color="auto"/>
          <w:lang w:eastAsia="zh-CN"/>
        </w:rPr>
        <w:t>是</w:t>
      </w:r>
      <w:r>
        <w:rPr>
          <w:rFonts w:hint="eastAsia"/>
          <w:b w:val="0"/>
          <w:bCs w:val="0"/>
          <w:sz w:val="28"/>
          <w:szCs w:val="28"/>
          <w:lang w:eastAsia="zh-CN"/>
        </w:rPr>
        <w:t>人员变动较大，基础性绩效增加，</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预算增加</w:t>
      </w:r>
      <w:r>
        <w:rPr>
          <w:rFonts w:hint="eastAsia"/>
          <w:b w:val="0"/>
          <w:bCs w:val="0"/>
          <w:sz w:val="28"/>
          <w:szCs w:val="28"/>
          <w:lang w:eastAsia="zh-CN"/>
        </w:rPr>
        <w:t>。</w:t>
      </w:r>
    </w:p>
    <w:p>
      <w:pPr>
        <w:pStyle w:val="8"/>
        <w:spacing w:line="623" w:lineRule="exact"/>
        <w:ind w:left="0" w:leftChars="0" w:firstLine="560" w:firstLineChars="200"/>
        <w:jc w:val="left"/>
        <w:rPr>
          <w:rFonts w:hint="eastAsia"/>
          <w:b w:val="0"/>
          <w:bCs w:val="0"/>
          <w:sz w:val="28"/>
          <w:szCs w:val="28"/>
          <w:lang w:eastAsia="zh-CN"/>
        </w:rPr>
      </w:pPr>
    </w:p>
    <w:p>
      <w:pPr>
        <w:pStyle w:val="8"/>
        <w:spacing w:line="623" w:lineRule="exact"/>
        <w:ind w:left="0" w:leftChars="0" w:firstLine="560" w:firstLineChars="200"/>
        <w:jc w:val="left"/>
        <w:rPr>
          <w:rFonts w:hint="eastAsia"/>
          <w:b w:val="0"/>
          <w:bCs w:val="0"/>
          <w:sz w:val="28"/>
          <w:szCs w:val="28"/>
          <w:lang w:eastAsia="zh-CN"/>
        </w:rPr>
      </w:pPr>
    </w:p>
    <w:p>
      <w:pPr>
        <w:pStyle w:val="8"/>
        <w:spacing w:line="623" w:lineRule="exact"/>
        <w:ind w:left="0" w:leftChars="0" w:firstLine="560" w:firstLineChars="200"/>
        <w:jc w:val="left"/>
        <w:rPr>
          <w:rFonts w:hint="eastAsia"/>
          <w:b w:val="0"/>
          <w:bCs w:val="0"/>
          <w:sz w:val="28"/>
          <w:szCs w:val="28"/>
          <w:lang w:eastAsia="zh-CN"/>
        </w:rPr>
      </w:pPr>
    </w:p>
    <w:p>
      <w:pPr>
        <w:pStyle w:val="7"/>
        <w:tabs>
          <w:tab w:val="left" w:pos="1235"/>
        </w:tabs>
        <w:spacing w:after="0" w:line="624" w:lineRule="exact"/>
        <w:ind w:firstLine="580"/>
        <w:jc w:val="left"/>
        <w:rPr>
          <w:b/>
          <w:bCs/>
        </w:rPr>
      </w:pPr>
      <w:r>
        <w:rPr>
          <w:rFonts w:hint="eastAsia"/>
          <w:b/>
          <w:bCs/>
          <w:lang w:val="en-US" w:eastAsia="zh-CN"/>
        </w:rPr>
        <w:t>三、</w:t>
      </w:r>
      <w:r>
        <w:rPr>
          <w:b/>
          <w:bCs/>
        </w:rPr>
        <w:t>部门支出总体情况说明</w:t>
      </w:r>
    </w:p>
    <w:p>
      <w:pPr>
        <w:pStyle w:val="8"/>
        <w:spacing w:line="240" w:lineRule="auto"/>
        <w:ind w:firstLine="0"/>
        <w:jc w:val="left"/>
        <w:rPr>
          <w:rFonts w:ascii="Times New Roman" w:hAnsi="Times New Roman" w:eastAsia="Times New Roman" w:cs="Times New Roman"/>
          <w:sz w:val="30"/>
          <w:szCs w:val="30"/>
        </w:rPr>
      </w:pPr>
      <w:r>
        <w:rPr>
          <w:rFonts w:ascii="Times New Roman" w:hAnsi="Times New Roman" w:eastAsia="Times New Roman" w:cs="Times New Roman"/>
          <w:sz w:val="30"/>
          <w:szCs w:val="30"/>
        </w:rPr>
        <w:drawing>
          <wp:inline distT="0" distB="0" distL="114300" distR="114300">
            <wp:extent cx="5080000" cy="3810000"/>
            <wp:effectExtent l="4445" t="4445" r="5715" b="10795"/>
            <wp:docPr id="6153" name="图表 14" title="{{img_gnkm_zc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pStyle w:val="8"/>
        <w:spacing w:line="623" w:lineRule="exact"/>
        <w:ind w:left="0" w:leftChars="0" w:firstLine="560" w:firstLineChars="200"/>
        <w:jc w:val="left"/>
        <w:rPr>
          <w:rFonts w:hint="eastAsia" w:ascii="Times New Roman" w:hAnsi="Times New Roman" w:cs="Times New Roman"/>
          <w:sz w:val="30"/>
          <w:szCs w:val="30"/>
          <w:lang w:eastAsia="zh-CN"/>
        </w:rPr>
      </w:pPr>
      <w:r>
        <w:rPr>
          <w:rFonts w:hint="eastAsia" w:ascii="宋体" w:hAnsi="宋体" w:eastAsia="宋体" w:cs="宋体"/>
          <w:sz w:val="28"/>
          <w:szCs w:val="28"/>
          <w:lang w:eastAsia="zh-CN"/>
        </w:rPr>
        <w:t>2024</w:t>
      </w:r>
      <w:r>
        <w:rPr>
          <w:rFonts w:ascii="宋体" w:hAnsi="宋体" w:eastAsia="宋体" w:cs="宋体"/>
          <w:sz w:val="28"/>
          <w:u w:color="auto"/>
        </w:rPr>
        <w:t>年我部门总支出</w:t>
      </w:r>
      <w:r>
        <w:rPr>
          <w:rFonts w:hint="eastAsia" w:ascii="宋体" w:hAnsi="宋体" w:eastAsia="宋体" w:cs="宋体"/>
          <w:sz w:val="28"/>
          <w:szCs w:val="28"/>
          <w:lang w:val="en-US" w:eastAsia="zh-CN"/>
        </w:rPr>
        <w:t>1502.98</w:t>
      </w:r>
      <w:r>
        <w:rPr>
          <w:rFonts w:hint="eastAsia" w:ascii="宋体" w:hAnsi="宋体" w:eastAsia="宋体" w:cs="宋体"/>
          <w:sz w:val="28"/>
          <w:szCs w:val="28"/>
          <w:lang w:eastAsia="zh-CN"/>
        </w:rPr>
        <w:t>万元，较2023年度预算数</w:t>
      </w:r>
      <w:r>
        <w:rPr>
          <w:rFonts w:hint="eastAsia" w:ascii="宋体" w:hAnsi="宋体" w:eastAsia="宋体" w:cs="宋体"/>
          <w:sz w:val="28"/>
          <w:szCs w:val="28"/>
          <w:lang w:val="en-US" w:eastAsia="zh-CN"/>
        </w:rPr>
        <w:t>1254.82</w:t>
      </w:r>
      <w:r>
        <w:rPr>
          <w:rFonts w:hint="eastAsia" w:ascii="宋体" w:hAnsi="宋体" w:eastAsia="宋体" w:cs="宋体"/>
          <w:sz w:val="28"/>
          <w:szCs w:val="28"/>
          <w:lang w:eastAsia="zh-CN"/>
        </w:rPr>
        <w:t>万元，</w:t>
      </w:r>
      <w:r>
        <w:rPr>
          <w:rFonts w:hint="eastAsia" w:ascii="宋体" w:hAnsi="宋体" w:eastAsia="宋体" w:cs="宋体"/>
          <w:sz w:val="28"/>
          <w:szCs w:val="28"/>
        </w:rPr>
        <w:t>增加248.16</w:t>
      </w:r>
      <w:r>
        <w:rPr>
          <w:rFonts w:hint="eastAsia" w:ascii="宋体" w:hAnsi="宋体" w:eastAsia="宋体" w:cs="宋体"/>
          <w:sz w:val="28"/>
          <w:szCs w:val="28"/>
          <w:lang w:eastAsia="zh-CN"/>
        </w:rPr>
        <w:t>万元，</w:t>
      </w:r>
      <w:r>
        <w:rPr>
          <w:rFonts w:hint="eastAsia" w:ascii="宋体" w:hAnsi="宋体" w:eastAsia="宋体" w:cs="宋体"/>
          <w:sz w:val="28"/>
          <w:szCs w:val="28"/>
        </w:rPr>
        <w:t>增长19.78%</w:t>
      </w:r>
      <w:r>
        <w:rPr>
          <w:rFonts w:hint="eastAsia" w:ascii="Times New Roman" w:hAnsi="Times New Roman" w:cs="Times New Roman"/>
          <w:sz w:val="30"/>
          <w:szCs w:val="30"/>
          <w:lang w:eastAsia="zh-CN"/>
        </w:rPr>
        <w:t>。</w:t>
      </w:r>
      <w:r>
        <w:rPr>
          <w:rFonts w:hint="eastAsia" w:ascii="宋体" w:hAnsi="宋体" w:eastAsia="宋体" w:cs="宋体"/>
          <w:sz w:val="28"/>
          <w:szCs w:val="28"/>
          <w:lang w:eastAsia="zh-CN"/>
        </w:rPr>
        <w:t>主要包括：</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在职在编人员工资项中职务级别工资有所上调，预算增加，项目类支出增加。</w:t>
      </w:r>
    </w:p>
    <w:p>
      <w:pPr>
        <w:pStyle w:val="8"/>
        <w:spacing w:line="623" w:lineRule="exact"/>
        <w:ind w:left="0" w:leftChars="0" w:firstLine="600" w:firstLineChars="200"/>
        <w:jc w:val="left"/>
        <w:rPr>
          <w:rFonts w:hint="eastAsia" w:ascii="Times New Roman" w:hAnsi="Times New Roman" w:cs="Times New Roman"/>
          <w:sz w:val="30"/>
          <w:szCs w:val="30"/>
          <w:lang w:eastAsia="zh-CN"/>
        </w:rPr>
      </w:pPr>
    </w:p>
    <w:p>
      <w:pPr>
        <w:pStyle w:val="8"/>
        <w:spacing w:after="140" w:line="240" w:lineRule="auto"/>
        <w:ind w:firstLine="0"/>
        <w:jc w:val="left"/>
      </w:pPr>
      <w:r>
        <w:t>（一）按支出功能分类科目划分，共分为</w:t>
      </w:r>
      <w:r>
        <w:rPr>
          <w:rFonts w:hint="eastAsia"/>
          <w:lang w:val="en-US" w:eastAsia="zh-CN"/>
        </w:rPr>
        <w:t>9</w:t>
      </w:r>
      <w:r>
        <w:t>类，其中:</w:t>
      </w:r>
    </w:p>
    <w:p>
      <w:pPr>
        <w:pStyle w:val="8"/>
        <w:spacing w:line="623" w:lineRule="exact"/>
        <w:ind w:left="0" w:leftChars="0" w:firstLine="560" w:firstLineChars="200"/>
        <w:jc w:val="left"/>
        <w:rPr>
          <w:rFonts w:hint="eastAsia" w:ascii="宋体" w:hAnsi="宋体" w:eastAsia="宋体" w:cs="宋体"/>
          <w:color w:val="000000" w:themeColor="text1"/>
          <w:sz w:val="28"/>
          <w:szCs w:val="28"/>
          <w14:textFill>
            <w14:solidFill>
              <w14:schemeClr w14:val="tx1"/>
            </w14:solidFill>
          </w14:textFill>
        </w:rPr>
      </w:pPr>
      <w:r>
        <w:rPr>
          <w:rFonts w:hint="eastAsia"/>
        </w:rPr>
        <w:t>(</w:t>
      </w:r>
      <w:r>
        <w:rPr>
          <w:u w:color="auto"/>
        </w:rPr>
        <w:t>1)一般公共服务支出</w:t>
      </w:r>
      <w:r>
        <w:rPr>
          <w:rFonts w:hint="eastAsia"/>
          <w:lang w:val="en-US" w:eastAsia="zh-CN"/>
        </w:rPr>
        <w:t>923.68</w:t>
      </w:r>
      <w:r>
        <w:rPr>
          <w:rFonts w:hint="eastAsia"/>
        </w:rPr>
        <w:t>万元，占支出总预算</w:t>
      </w:r>
      <w:r>
        <w:rPr>
          <w:rFonts w:hint="eastAsia"/>
          <w:lang w:val="en-US" w:eastAsia="zh-CN"/>
        </w:rPr>
        <w:t>61.46%</w:t>
      </w:r>
      <w:r>
        <w:rPr>
          <w:rFonts w:hint="eastAsia"/>
        </w:rPr>
        <w:t>,比上年</w:t>
      </w:r>
      <w:r>
        <w:rPr>
          <w:rFonts w:hint="eastAsia"/>
          <w:lang w:val="en-US" w:eastAsia="zh-CN"/>
        </w:rPr>
        <w:t>增长168.71</w:t>
      </w:r>
      <w:r>
        <w:rPr>
          <w:rFonts w:hint="eastAsia"/>
        </w:rPr>
        <w:t>万元，</w:t>
      </w:r>
      <w:r>
        <w:rPr>
          <w:rFonts w:hint="eastAsia"/>
          <w:lang w:val="en-US" w:eastAsia="zh-CN"/>
        </w:rPr>
        <w:t>增长22.35%，</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主要用于人大、党委、政府机关为保证日常运转发生的基本支出和按规定预留的绩效工资。如根据国家规定的基本工资和津补贴标准等安排的人员经费支出，确保人大、党委、政府机关正常运转的办公费、印刷费、水电费、培训费、差旅费、会议费等日常公用经费支出。</w:t>
      </w:r>
    </w:p>
    <w:p>
      <w:pPr>
        <w:pStyle w:val="8"/>
        <w:spacing w:line="623" w:lineRule="exact"/>
        <w:ind w:left="0" w:leftChars="0" w:firstLine="560" w:firstLineChars="200"/>
        <w:jc w:val="left"/>
        <w:rPr>
          <w:rFonts w:hint="eastAsia"/>
        </w:rPr>
      </w:pPr>
      <w:r>
        <w:rPr>
          <w:rFonts w:hint="eastAsia" w:ascii="宋体" w:hAnsi="宋体" w:eastAsia="宋体" w:cs="宋体"/>
          <w:color w:val="000000" w:themeColor="text1"/>
          <w:sz w:val="28"/>
          <w:szCs w:val="28"/>
          <w14:textFill>
            <w14:solidFill>
              <w14:schemeClr w14:val="tx1"/>
            </w14:solidFill>
          </w14:textFill>
        </w:rPr>
        <w:t>(</w:t>
      </w:r>
      <w:r>
        <w:rPr>
          <w:rFonts w:hint="eastAsia" w:ascii="宋体" w:hAnsi="宋体" w:eastAsia="宋体" w:cs="宋体"/>
          <w:color w:val="000000" w:themeColor="text1"/>
          <w:sz w:val="28"/>
          <w:szCs w:val="28"/>
          <w:u w:color="auto"/>
          <w14:textFill>
            <w14:solidFill>
              <w14:schemeClr w14:val="tx1"/>
            </w14:solidFill>
          </w14:textFill>
        </w:rPr>
        <w:t>2)文化旅游体育与传媒支出</w:t>
      </w:r>
      <w:r>
        <w:rPr>
          <w:rFonts w:hint="eastAsia" w:ascii="宋体" w:hAnsi="宋体" w:eastAsia="宋体" w:cs="宋体"/>
          <w:color w:val="000000" w:themeColor="text1"/>
          <w:sz w:val="28"/>
          <w:szCs w:val="28"/>
          <w:lang w:val="en-US" w:eastAsia="zh-CN"/>
          <w14:textFill>
            <w14:solidFill>
              <w14:schemeClr w14:val="tx1"/>
            </w14:solidFill>
          </w14:textFill>
        </w:rPr>
        <w:t>0.00</w:t>
      </w:r>
      <w:r>
        <w:rPr>
          <w:rFonts w:hint="eastAsia" w:ascii="宋体" w:hAnsi="宋体" w:eastAsia="宋体" w:cs="宋体"/>
          <w:color w:val="000000" w:themeColor="text1"/>
          <w:sz w:val="28"/>
          <w:szCs w:val="28"/>
          <w14:textFill>
            <w14:solidFill>
              <w14:schemeClr w14:val="tx1"/>
            </w14:solidFill>
          </w14:textFill>
        </w:rPr>
        <w:t>万元，占支出总预算</w:t>
      </w:r>
      <w:r>
        <w:rPr>
          <w:rFonts w:hint="eastAsia" w:ascii="宋体" w:hAnsi="宋体" w:eastAsia="宋体" w:cs="宋体"/>
          <w:color w:val="000000" w:themeColor="text1"/>
          <w:sz w:val="28"/>
          <w:szCs w:val="28"/>
          <w:lang w:val="en-US" w:eastAsia="zh-CN"/>
          <w14:textFill>
            <w14:solidFill>
              <w14:schemeClr w14:val="tx1"/>
            </w14:solidFill>
          </w14:textFill>
        </w:rPr>
        <w:t>0.00%</w:t>
      </w:r>
      <w:r>
        <w:rPr>
          <w:rFonts w:hint="eastAsia" w:ascii="宋体" w:hAnsi="宋体" w:eastAsia="宋体" w:cs="宋体"/>
          <w:color w:val="000000" w:themeColor="text1"/>
          <w:sz w:val="28"/>
          <w:szCs w:val="28"/>
          <w14:textFill>
            <w14:solidFill>
              <w14:schemeClr w14:val="tx1"/>
            </w14:solidFill>
          </w14:textFill>
        </w:rPr>
        <w:t>,</w:t>
      </w:r>
      <w:r>
        <w:rPr>
          <w:rFonts w:hint="eastAsia"/>
        </w:rPr>
        <w:t>比上年</w:t>
      </w:r>
      <w:r>
        <w:rPr>
          <w:rFonts w:hint="eastAsia"/>
          <w:lang w:val="en-US" w:eastAsia="zh-CN"/>
        </w:rPr>
        <w:t>增长0.00</w:t>
      </w:r>
      <w:r>
        <w:rPr>
          <w:rFonts w:hint="eastAsia"/>
        </w:rPr>
        <w:t>万元，</w:t>
      </w:r>
      <w:r>
        <w:rPr>
          <w:rFonts w:hint="eastAsia"/>
          <w:lang w:val="en-US" w:eastAsia="zh-CN"/>
        </w:rPr>
        <w:t>增长0%</w:t>
      </w:r>
      <w:r>
        <w:rPr>
          <w:rFonts w:hint="eastAsia"/>
          <w:highlight w:val="none"/>
        </w:rPr>
        <w:t>。</w:t>
      </w:r>
    </w:p>
    <w:p>
      <w:pPr>
        <w:pStyle w:val="8"/>
        <w:spacing w:line="623" w:lineRule="exact"/>
        <w:ind w:left="0" w:leftChars="0" w:firstLine="560" w:firstLineChars="200"/>
        <w:jc w:val="left"/>
        <w:rPr>
          <w:rFonts w:hint="eastAsia"/>
        </w:rPr>
      </w:pPr>
      <w:r>
        <w:rPr>
          <w:rFonts w:hint="eastAsia"/>
        </w:rPr>
        <w:t>(</w:t>
      </w:r>
      <w:r>
        <w:rPr>
          <w:u w:color="auto"/>
        </w:rPr>
        <w:t>3)节能环保支出</w:t>
      </w:r>
      <w:r>
        <w:rPr>
          <w:rFonts w:hint="eastAsia"/>
          <w:lang w:val="en-US" w:eastAsia="zh-CN"/>
        </w:rPr>
        <w:t>85.74</w:t>
      </w:r>
      <w:r>
        <w:rPr>
          <w:rFonts w:hint="eastAsia"/>
        </w:rPr>
        <w:t>万元，占支出总预算</w:t>
      </w:r>
      <w:r>
        <w:rPr>
          <w:rFonts w:hint="eastAsia"/>
          <w:lang w:val="en-US" w:eastAsia="zh-CN"/>
        </w:rPr>
        <w:t>5.70%</w:t>
      </w:r>
      <w:r>
        <w:rPr>
          <w:rFonts w:hint="eastAsia"/>
        </w:rPr>
        <w:t>,比上年</w:t>
      </w:r>
      <w:r>
        <w:rPr>
          <w:rFonts w:hint="eastAsia"/>
          <w:lang w:val="en-US" w:eastAsia="zh-CN"/>
        </w:rPr>
        <w:t>减少185.90</w:t>
      </w:r>
      <w:r>
        <w:rPr>
          <w:rFonts w:hint="eastAsia"/>
        </w:rPr>
        <w:t>万元，</w:t>
      </w:r>
      <w:r>
        <w:rPr>
          <w:rFonts w:hint="eastAsia"/>
          <w:lang w:val="en-US" w:eastAsia="zh-CN"/>
        </w:rPr>
        <w:t>减少68.44%</w:t>
      </w:r>
      <w:r>
        <w:rPr>
          <w:rFonts w:hint="eastAsia"/>
          <w:highlight w:val="none"/>
        </w:rPr>
        <w:t>。</w:t>
      </w:r>
    </w:p>
    <w:p>
      <w:pPr>
        <w:pStyle w:val="8"/>
        <w:spacing w:line="623" w:lineRule="exact"/>
        <w:ind w:left="0" w:leftChars="0" w:firstLine="560" w:firstLineChars="200"/>
        <w:jc w:val="left"/>
        <w:rPr>
          <w:rFonts w:hint="eastAsia"/>
        </w:rPr>
      </w:pPr>
      <w:r>
        <w:rPr>
          <w:rFonts w:hint="eastAsia"/>
        </w:rPr>
        <w:t>(</w:t>
      </w:r>
      <w:r>
        <w:rPr>
          <w:u w:color="auto"/>
        </w:rPr>
        <w:t>4)农林水支出</w:t>
      </w:r>
      <w:r>
        <w:rPr>
          <w:rFonts w:hint="eastAsia"/>
          <w:lang w:val="en-US" w:eastAsia="zh-CN"/>
        </w:rPr>
        <w:t>22.31</w:t>
      </w:r>
      <w:r>
        <w:rPr>
          <w:rFonts w:hint="eastAsia"/>
        </w:rPr>
        <w:t>万元，占支出总预算</w:t>
      </w:r>
      <w:r>
        <w:rPr>
          <w:rFonts w:hint="eastAsia"/>
          <w:lang w:val="en-US" w:eastAsia="zh-CN"/>
        </w:rPr>
        <w:t>1.48%</w:t>
      </w:r>
      <w:r>
        <w:rPr>
          <w:rFonts w:hint="eastAsia"/>
        </w:rPr>
        <w:t>,比上年</w:t>
      </w:r>
      <w:r>
        <w:rPr>
          <w:rFonts w:hint="eastAsia"/>
          <w:lang w:val="en-US" w:eastAsia="zh-CN"/>
        </w:rPr>
        <w:t>减少35.16</w:t>
      </w:r>
      <w:r>
        <w:rPr>
          <w:rFonts w:hint="eastAsia"/>
        </w:rPr>
        <w:t>万元，</w:t>
      </w:r>
      <w:r>
        <w:rPr>
          <w:rFonts w:hint="eastAsia"/>
          <w:lang w:val="en-US" w:eastAsia="zh-CN"/>
        </w:rPr>
        <w:t>减少61.18%</w:t>
      </w:r>
      <w:r>
        <w:rPr>
          <w:rFonts w:hint="eastAsia"/>
          <w:highlight w:val="none"/>
        </w:rPr>
        <w:t>。</w:t>
      </w:r>
    </w:p>
    <w:p>
      <w:pPr>
        <w:pStyle w:val="8"/>
        <w:spacing w:line="623" w:lineRule="exact"/>
        <w:ind w:left="0" w:leftChars="0" w:firstLine="560" w:firstLineChars="200"/>
        <w:jc w:val="left"/>
        <w:rPr>
          <w:rFonts w:hint="eastAsia"/>
        </w:rPr>
      </w:pPr>
      <w:r>
        <w:rPr>
          <w:rFonts w:hint="eastAsia"/>
        </w:rPr>
        <w:t>(</w:t>
      </w:r>
      <w:r>
        <w:rPr>
          <w:u w:color="auto"/>
        </w:rPr>
        <w:t>5)住房保障支出</w:t>
      </w:r>
      <w:r>
        <w:rPr>
          <w:rFonts w:hint="eastAsia"/>
          <w:lang w:val="en-US" w:eastAsia="zh-CN"/>
        </w:rPr>
        <w:t>55.75</w:t>
      </w:r>
      <w:r>
        <w:rPr>
          <w:rFonts w:hint="eastAsia"/>
        </w:rPr>
        <w:t>万元，占支出总预算</w:t>
      </w:r>
      <w:r>
        <w:rPr>
          <w:rFonts w:hint="eastAsia"/>
          <w:lang w:val="en-US" w:eastAsia="zh-CN"/>
        </w:rPr>
        <w:t>3.71%</w:t>
      </w:r>
      <w:r>
        <w:rPr>
          <w:rFonts w:hint="eastAsia"/>
        </w:rPr>
        <w:t>,比上年</w:t>
      </w:r>
      <w:r>
        <w:rPr>
          <w:rFonts w:hint="eastAsia"/>
          <w:lang w:val="en-US" w:eastAsia="zh-CN"/>
        </w:rPr>
        <w:t>减少5.95</w:t>
      </w:r>
      <w:r>
        <w:rPr>
          <w:rFonts w:hint="eastAsia"/>
        </w:rPr>
        <w:t>万元，</w:t>
      </w:r>
      <w:r>
        <w:rPr>
          <w:rFonts w:hint="eastAsia"/>
          <w:lang w:val="en-US" w:eastAsia="zh-CN"/>
        </w:rPr>
        <w:t>减少9.64%</w:t>
      </w:r>
      <w:r>
        <w:rPr>
          <w:rFonts w:hint="eastAsia"/>
          <w:highlight w:val="none"/>
        </w:rPr>
        <w:t>。</w:t>
      </w:r>
    </w:p>
    <w:p>
      <w:pPr>
        <w:pStyle w:val="8"/>
        <w:spacing w:line="623" w:lineRule="exact"/>
        <w:ind w:left="0" w:leftChars="0" w:firstLine="560" w:firstLineChars="200"/>
        <w:jc w:val="left"/>
        <w:rPr>
          <w:rFonts w:hint="eastAsia"/>
        </w:rPr>
      </w:pPr>
      <w:r>
        <w:rPr>
          <w:rFonts w:hint="eastAsia"/>
        </w:rPr>
        <w:t>(</w:t>
      </w:r>
      <w:r>
        <w:rPr>
          <w:u w:color="auto"/>
        </w:rPr>
        <w:t>6)交通运输支出</w:t>
      </w:r>
      <w:r>
        <w:rPr>
          <w:rFonts w:hint="eastAsia"/>
          <w:lang w:val="en-US" w:eastAsia="zh-CN"/>
        </w:rPr>
        <w:t>345.07</w:t>
      </w:r>
      <w:r>
        <w:rPr>
          <w:rFonts w:hint="eastAsia"/>
        </w:rPr>
        <w:t>万元，占支出总预算</w:t>
      </w:r>
      <w:r>
        <w:rPr>
          <w:rFonts w:hint="eastAsia"/>
          <w:lang w:val="en-US" w:eastAsia="zh-CN"/>
        </w:rPr>
        <w:t>22.96%</w:t>
      </w:r>
      <w:r>
        <w:rPr>
          <w:rFonts w:hint="eastAsia"/>
        </w:rPr>
        <w:t>,比上年</w:t>
      </w:r>
      <w:r>
        <w:rPr>
          <w:rFonts w:hint="eastAsia"/>
          <w:lang w:val="en-US" w:eastAsia="zh-CN"/>
        </w:rPr>
        <w:t>增长345.07</w:t>
      </w:r>
      <w:r>
        <w:rPr>
          <w:rFonts w:hint="eastAsia"/>
        </w:rPr>
        <w:t>万元，</w:t>
      </w:r>
      <w:r>
        <w:rPr>
          <w:rFonts w:hint="eastAsia"/>
          <w:lang w:val="en-US" w:eastAsia="zh-CN"/>
        </w:rPr>
        <w:t>增长100%</w:t>
      </w:r>
      <w:r>
        <w:rPr>
          <w:rFonts w:hint="eastAsia"/>
          <w:highlight w:val="none"/>
        </w:rPr>
        <w:t>。</w:t>
      </w:r>
    </w:p>
    <w:p>
      <w:pPr>
        <w:pStyle w:val="8"/>
        <w:spacing w:line="623" w:lineRule="exact"/>
        <w:ind w:left="0" w:leftChars="0" w:firstLine="560" w:firstLineChars="200"/>
        <w:jc w:val="left"/>
        <w:rPr>
          <w:rFonts w:hint="eastAsia"/>
        </w:rPr>
      </w:pPr>
      <w:r>
        <w:rPr>
          <w:rFonts w:hint="eastAsia"/>
        </w:rPr>
        <w:t>(</w:t>
      </w:r>
      <w:r>
        <w:rPr>
          <w:u w:color="auto"/>
        </w:rPr>
        <w:t>7)城乡社区支出</w:t>
      </w:r>
      <w:r>
        <w:rPr>
          <w:rFonts w:hint="eastAsia"/>
          <w:lang w:val="en-US" w:eastAsia="zh-CN"/>
        </w:rPr>
        <w:t>2.40</w:t>
      </w:r>
      <w:r>
        <w:rPr>
          <w:rFonts w:hint="eastAsia"/>
        </w:rPr>
        <w:t>万元，占支出总预算</w:t>
      </w:r>
      <w:r>
        <w:rPr>
          <w:rFonts w:hint="eastAsia"/>
          <w:lang w:val="en-US" w:eastAsia="zh-CN"/>
        </w:rPr>
        <w:t>0.16%</w:t>
      </w:r>
      <w:r>
        <w:rPr>
          <w:rFonts w:hint="eastAsia"/>
        </w:rPr>
        <w:t>,比上年</w:t>
      </w:r>
      <w:r>
        <w:rPr>
          <w:rFonts w:hint="eastAsia"/>
          <w:lang w:val="en-US" w:eastAsia="zh-CN"/>
        </w:rPr>
        <w:t>减少13.60</w:t>
      </w:r>
      <w:r>
        <w:rPr>
          <w:rFonts w:hint="eastAsia"/>
        </w:rPr>
        <w:t>万元，</w:t>
      </w:r>
      <w:r>
        <w:rPr>
          <w:rFonts w:hint="eastAsia"/>
          <w:lang w:val="en-US" w:eastAsia="zh-CN"/>
        </w:rPr>
        <w:t>减少85.00%</w:t>
      </w:r>
      <w:r>
        <w:rPr>
          <w:rFonts w:hint="eastAsia"/>
          <w:highlight w:val="none"/>
        </w:rPr>
        <w:t>。</w:t>
      </w:r>
    </w:p>
    <w:p>
      <w:pPr>
        <w:pStyle w:val="8"/>
        <w:spacing w:line="623" w:lineRule="exact"/>
        <w:ind w:left="0" w:leftChars="0" w:firstLine="560" w:firstLineChars="200"/>
        <w:jc w:val="left"/>
        <w:rPr>
          <w:rFonts w:hint="eastAsia" w:ascii="宋体" w:hAnsi="宋体" w:eastAsia="宋体" w:cs="宋体"/>
          <w:color w:val="000000" w:themeColor="text1"/>
          <w:sz w:val="28"/>
          <w:szCs w:val="28"/>
          <w14:textFill>
            <w14:solidFill>
              <w14:schemeClr w14:val="tx1"/>
            </w14:solidFill>
          </w14:textFill>
        </w:rPr>
      </w:pPr>
      <w:r>
        <w:rPr>
          <w:rFonts w:hint="eastAsia"/>
        </w:rPr>
        <w:t>(</w:t>
      </w:r>
      <w:r>
        <w:rPr>
          <w:u w:color="auto"/>
        </w:rPr>
        <w:t>8)社会保障和就业支出</w:t>
      </w:r>
      <w:r>
        <w:rPr>
          <w:rFonts w:hint="eastAsia"/>
          <w:lang w:val="en-US" w:eastAsia="zh-CN"/>
        </w:rPr>
        <w:t>68.04</w:t>
      </w:r>
      <w:r>
        <w:rPr>
          <w:rFonts w:hint="eastAsia"/>
        </w:rPr>
        <w:t>万元，占支出总预算</w:t>
      </w:r>
      <w:r>
        <w:rPr>
          <w:rFonts w:hint="eastAsia"/>
          <w:lang w:val="en-US" w:eastAsia="zh-CN"/>
        </w:rPr>
        <w:t>4.53%</w:t>
      </w:r>
      <w:r>
        <w:rPr>
          <w:rFonts w:hint="eastAsia"/>
        </w:rPr>
        <w:t>,比上年</w:t>
      </w:r>
      <w:r>
        <w:rPr>
          <w:rFonts w:hint="eastAsia"/>
          <w:lang w:val="en-US" w:eastAsia="zh-CN"/>
        </w:rPr>
        <w:t>减少24.07</w:t>
      </w:r>
      <w:r>
        <w:rPr>
          <w:rFonts w:hint="eastAsia"/>
        </w:rPr>
        <w:t>万元，</w:t>
      </w:r>
      <w:r>
        <w:rPr>
          <w:rFonts w:hint="eastAsia"/>
          <w:lang w:val="en-US" w:eastAsia="zh-CN"/>
        </w:rPr>
        <w:t>减少26.13%</w:t>
      </w:r>
      <w:r>
        <w:rPr>
          <w:rFonts w:hint="eastAsia"/>
        </w:rPr>
        <w:t>,</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主要用于社保部门人员经费及办公支出</w:t>
      </w:r>
      <w:r>
        <w:rPr>
          <w:rFonts w:hint="eastAsia" w:ascii="宋体" w:hAnsi="宋体" w:eastAsia="宋体" w:cs="宋体"/>
          <w:color w:val="000000" w:themeColor="text1"/>
          <w:sz w:val="28"/>
          <w:szCs w:val="28"/>
          <w:highlight w:val="none"/>
          <w14:textFill>
            <w14:solidFill>
              <w14:schemeClr w14:val="tx1"/>
            </w14:solidFill>
          </w14:textFill>
        </w:rPr>
        <w:t>。</w:t>
      </w:r>
    </w:p>
    <w:p>
      <w:pPr>
        <w:pStyle w:val="8"/>
        <w:spacing w:line="623" w:lineRule="exact"/>
        <w:ind w:left="0" w:leftChars="0" w:firstLine="560" w:firstLineChars="200"/>
        <w:jc w:val="left"/>
        <w:rPr>
          <w:rFonts w:hint="eastAsia"/>
        </w:rPr>
      </w:pPr>
      <w:r>
        <w:rPr>
          <w:rFonts w:hint="eastAsia"/>
        </w:rPr>
        <w:t>(</w:t>
      </w:r>
      <w:r>
        <w:rPr>
          <w:u w:color="auto"/>
        </w:rPr>
        <w:t>9)转移性支出</w:t>
      </w:r>
      <w:r>
        <w:rPr>
          <w:rFonts w:hint="eastAsia"/>
          <w:lang w:val="en-US" w:eastAsia="zh-CN"/>
        </w:rPr>
        <w:t>0.00</w:t>
      </w:r>
      <w:r>
        <w:rPr>
          <w:rFonts w:hint="eastAsia"/>
        </w:rPr>
        <w:t>万元，占支出总预算</w:t>
      </w:r>
      <w:r>
        <w:rPr>
          <w:rFonts w:hint="eastAsia"/>
          <w:lang w:val="en-US" w:eastAsia="zh-CN"/>
        </w:rPr>
        <w:t>0.00%</w:t>
      </w:r>
      <w:r>
        <w:rPr>
          <w:rFonts w:hint="eastAsia"/>
        </w:rPr>
        <w:t>,比上年</w:t>
      </w:r>
      <w:r>
        <w:rPr>
          <w:rFonts w:hint="eastAsia"/>
          <w:lang w:val="en-US" w:eastAsia="zh-CN"/>
        </w:rPr>
        <w:t>减少0.93</w:t>
      </w:r>
      <w:r>
        <w:rPr>
          <w:rFonts w:hint="eastAsia"/>
        </w:rPr>
        <w:t>万元，</w:t>
      </w:r>
      <w:r>
        <w:rPr>
          <w:rFonts w:hint="eastAsia"/>
          <w:lang w:val="en-US" w:eastAsia="zh-CN"/>
        </w:rPr>
        <w:t>减少100.00%</w:t>
      </w:r>
      <w:r>
        <w:rPr>
          <w:rFonts w:hint="eastAsia"/>
          <w:highlight w:val="none"/>
        </w:rPr>
        <w:t>。</w:t>
      </w:r>
    </w:p>
    <w:p>
      <w:pPr>
        <w:pStyle w:val="8"/>
        <w:spacing w:line="635" w:lineRule="exact"/>
        <w:ind w:firstLine="740"/>
        <w:jc w:val="left"/>
      </w:pPr>
      <w:r>
        <w:t>(二)按支出结构分类划分，分为基本支出预算和项目支出预算。</w:t>
      </w:r>
    </w:p>
    <w:p>
      <w:pPr>
        <w:pStyle w:val="8"/>
        <w:spacing w:line="635" w:lineRule="exact"/>
        <w:ind w:firstLine="600"/>
        <w:jc w:val="left"/>
      </w:pPr>
      <w:r>
        <w:rPr>
          <w:rFonts w:ascii="Times New Roman" w:hAnsi="Times New Roman" w:eastAsia="Times New Roman" w:cs="Times New Roman"/>
          <w:sz w:val="30"/>
          <w:szCs w:val="30"/>
        </w:rPr>
        <w:t>1</w:t>
      </w:r>
      <w:r>
        <w:t>.基本支出预算。</w:t>
      </w:r>
    </w:p>
    <w:p>
      <w:pPr>
        <w:pStyle w:val="8"/>
        <w:spacing w:line="619" w:lineRule="exact"/>
        <w:ind w:firstLine="600"/>
        <w:jc w:val="left"/>
        <w:rPr>
          <w:rFonts w:hint="eastAsia"/>
          <w:lang w:val="en-US" w:eastAsia="zh-CN"/>
        </w:rPr>
      </w:pPr>
      <w:r>
        <w:rPr>
          <w:rFonts w:hint="eastAsia"/>
        </w:rPr>
        <w:t>基本支出预算</w:t>
      </w:r>
      <w:r>
        <w:rPr>
          <w:rFonts w:hint="eastAsia"/>
          <w:lang w:val="en-US" w:eastAsia="zh-CN"/>
        </w:rPr>
        <w:t>939.31</w:t>
      </w:r>
      <w:r>
        <w:rPr>
          <w:rFonts w:hint="eastAsia"/>
        </w:rPr>
        <w:t>万元，占支出预算</w:t>
      </w:r>
      <w:r>
        <w:rPr>
          <w:u w:color="auto"/>
        </w:rPr>
        <w:t>62.50%,比上年增长146.26万元，增长18.44%</w:t>
      </w:r>
      <w:r>
        <w:t>。</w:t>
      </w:r>
      <w:r>
        <w:rPr>
          <w:rFonts w:hint="eastAsia"/>
          <w:lang w:val="en-US" w:eastAsia="zh-CN"/>
        </w:rPr>
        <w:t>其中：</w:t>
      </w:r>
    </w:p>
    <w:p>
      <w:pPr>
        <w:pStyle w:val="9"/>
        <w:spacing w:after="0" w:line="619" w:lineRule="exact"/>
        <w:ind w:firstLine="740"/>
        <w:jc w:val="left"/>
        <w:rPr>
          <w:rFonts w:hint="eastAsia"/>
          <w:highlight w:val="none"/>
          <w:lang w:val="en-US" w:eastAsia="zh-CN"/>
        </w:rPr>
      </w:pPr>
      <w:r>
        <w:rPr>
          <w:rFonts w:hint="eastAsia" w:ascii="宋体" w:hAnsi="宋体" w:eastAsia="宋体" w:cs="宋体"/>
          <w:sz w:val="28"/>
          <w:szCs w:val="28"/>
        </w:rPr>
        <w:t>(</w:t>
      </w:r>
      <w:r>
        <w:rPr>
          <w:rFonts w:ascii="宋体" w:hAnsi="宋体" w:eastAsia="宋体" w:cs="宋体"/>
          <w:sz w:val="28"/>
          <w:u w:color="auto"/>
        </w:rPr>
        <w:t>1)商品和服务支出</w:t>
      </w:r>
      <w:r>
        <w:rPr>
          <w:rFonts w:hint="eastAsia" w:ascii="宋体" w:hAnsi="宋体" w:eastAsia="宋体" w:cs="宋体"/>
          <w:sz w:val="28"/>
          <w:szCs w:val="28"/>
          <w:lang w:val="en-US" w:eastAsia="zh-CN"/>
        </w:rPr>
        <w:t>58.72</w:t>
      </w:r>
      <w:r>
        <w:rPr>
          <w:rFonts w:hint="eastAsia" w:ascii="宋体" w:hAnsi="宋体" w:eastAsia="宋体" w:cs="宋体"/>
          <w:sz w:val="28"/>
          <w:szCs w:val="28"/>
        </w:rPr>
        <w:t>万</w:t>
      </w:r>
      <w:r>
        <w:rPr>
          <w:rFonts w:ascii="宋体" w:hAnsi="宋体" w:eastAsia="宋体" w:cs="宋体"/>
          <w:sz w:val="28"/>
          <w:szCs w:val="28"/>
        </w:rPr>
        <w:t>元，占基本支出总预算</w:t>
      </w:r>
      <w:r>
        <w:rPr>
          <w:rFonts w:hint="eastAsia" w:ascii="宋体" w:hAnsi="宋体" w:eastAsia="宋体" w:cs="宋体"/>
          <w:sz w:val="28"/>
          <w:szCs w:val="28"/>
          <w:lang w:val="en-US" w:eastAsia="zh-CN"/>
        </w:rPr>
        <w:t>6.25%</w:t>
      </w:r>
      <w:r>
        <w:rPr>
          <w:rFonts w:hint="eastAsia"/>
        </w:rPr>
        <w:t>,</w:t>
      </w:r>
      <w:r>
        <w:t>比上年</w:t>
      </w:r>
      <w:r>
        <w:rPr>
          <w:rFonts w:hint="eastAsia"/>
        </w:rPr>
        <w:t>减少2.99</w:t>
      </w:r>
      <w:r>
        <w:t>万元，</w:t>
      </w:r>
      <w:r>
        <w:rPr>
          <w:rFonts w:hint="eastAsia"/>
        </w:rPr>
        <w:t>减少4.85%</w:t>
      </w:r>
      <w:r>
        <w:rPr>
          <w:rFonts w:hint="eastAsia"/>
          <w:highlight w:val="none"/>
          <w:lang w:val="en-US" w:eastAsia="zh-CN"/>
        </w:rPr>
        <w:t>。</w:t>
      </w:r>
    </w:p>
    <w:p>
      <w:pPr>
        <w:pStyle w:val="9"/>
        <w:spacing w:after="0" w:line="619" w:lineRule="exact"/>
        <w:ind w:firstLine="740"/>
        <w:jc w:val="left"/>
        <w:rPr>
          <w:rFonts w:hint="eastAsia"/>
          <w:highlight w:val="none"/>
          <w:lang w:val="en-US" w:eastAsia="zh-CN"/>
        </w:rPr>
      </w:pPr>
      <w:r>
        <w:rPr>
          <w:rFonts w:hint="eastAsia" w:ascii="宋体" w:hAnsi="宋体" w:eastAsia="宋体" w:cs="宋体"/>
          <w:sz w:val="28"/>
          <w:szCs w:val="28"/>
        </w:rPr>
        <w:t>(</w:t>
      </w:r>
      <w:r>
        <w:rPr>
          <w:rFonts w:ascii="宋体" w:hAnsi="宋体" w:eastAsia="宋体" w:cs="宋体"/>
          <w:sz w:val="28"/>
          <w:u w:color="auto"/>
        </w:rPr>
        <w:t>2)工资福利支出</w:t>
      </w:r>
      <w:r>
        <w:rPr>
          <w:rFonts w:hint="eastAsia" w:ascii="宋体" w:hAnsi="宋体" w:eastAsia="宋体" w:cs="宋体"/>
          <w:sz w:val="28"/>
          <w:szCs w:val="28"/>
          <w:lang w:val="en-US" w:eastAsia="zh-CN"/>
        </w:rPr>
        <w:t>827.36</w:t>
      </w:r>
      <w:r>
        <w:rPr>
          <w:rFonts w:hint="eastAsia" w:ascii="宋体" w:hAnsi="宋体" w:eastAsia="宋体" w:cs="宋体"/>
          <w:sz w:val="28"/>
          <w:szCs w:val="28"/>
        </w:rPr>
        <w:t>万</w:t>
      </w:r>
      <w:r>
        <w:rPr>
          <w:rFonts w:ascii="宋体" w:hAnsi="宋体" w:eastAsia="宋体" w:cs="宋体"/>
          <w:sz w:val="28"/>
          <w:szCs w:val="28"/>
        </w:rPr>
        <w:t>元，占基本支出总预算</w:t>
      </w:r>
      <w:r>
        <w:rPr>
          <w:rFonts w:hint="eastAsia" w:ascii="宋体" w:hAnsi="宋体" w:eastAsia="宋体" w:cs="宋体"/>
          <w:sz w:val="28"/>
          <w:szCs w:val="28"/>
          <w:lang w:val="en-US" w:eastAsia="zh-CN"/>
        </w:rPr>
        <w:t>88.08%</w:t>
      </w:r>
      <w:r>
        <w:rPr>
          <w:rFonts w:hint="eastAsia"/>
        </w:rPr>
        <w:t>,</w:t>
      </w:r>
      <w:r>
        <w:t>比上年</w:t>
      </w:r>
      <w:r>
        <w:rPr>
          <w:rFonts w:hint="eastAsia"/>
        </w:rPr>
        <w:t>增长137.44</w:t>
      </w:r>
      <w:r>
        <w:t>万元，</w:t>
      </w:r>
      <w:r>
        <w:rPr>
          <w:rFonts w:hint="eastAsia"/>
        </w:rPr>
        <w:t>增长19.92%</w:t>
      </w:r>
      <w:r>
        <w:rPr>
          <w:rFonts w:hint="eastAsia"/>
          <w:highlight w:val="none"/>
          <w:lang w:val="en-US" w:eastAsia="zh-CN"/>
        </w:rPr>
        <w:t>。</w:t>
      </w:r>
    </w:p>
    <w:p>
      <w:pPr>
        <w:pStyle w:val="9"/>
        <w:spacing w:after="0" w:line="619" w:lineRule="exact"/>
        <w:ind w:firstLine="740"/>
        <w:jc w:val="left"/>
        <w:rPr>
          <w:rFonts w:hint="eastAsia"/>
          <w:highlight w:val="none"/>
          <w:lang w:val="en-US" w:eastAsia="zh-CN"/>
        </w:rPr>
      </w:pPr>
      <w:r>
        <w:rPr>
          <w:rFonts w:hint="eastAsia" w:ascii="宋体" w:hAnsi="宋体" w:eastAsia="宋体" w:cs="宋体"/>
          <w:sz w:val="28"/>
          <w:szCs w:val="28"/>
        </w:rPr>
        <w:t>(</w:t>
      </w:r>
      <w:r>
        <w:rPr>
          <w:rFonts w:ascii="宋体" w:hAnsi="宋体" w:eastAsia="宋体" w:cs="宋体"/>
          <w:sz w:val="28"/>
          <w:u w:color="auto"/>
        </w:rPr>
        <w:t>3)对个人和家庭的补助</w:t>
      </w:r>
      <w:r>
        <w:rPr>
          <w:rFonts w:hint="eastAsia" w:ascii="宋体" w:hAnsi="宋体" w:eastAsia="宋体" w:cs="宋体"/>
          <w:sz w:val="28"/>
          <w:szCs w:val="28"/>
          <w:lang w:val="en-US" w:eastAsia="zh-CN"/>
        </w:rPr>
        <w:t>53.24</w:t>
      </w:r>
      <w:r>
        <w:rPr>
          <w:rFonts w:hint="eastAsia" w:ascii="宋体" w:hAnsi="宋体" w:eastAsia="宋体" w:cs="宋体"/>
          <w:sz w:val="28"/>
          <w:szCs w:val="28"/>
        </w:rPr>
        <w:t>万</w:t>
      </w:r>
      <w:r>
        <w:rPr>
          <w:rFonts w:ascii="宋体" w:hAnsi="宋体" w:eastAsia="宋体" w:cs="宋体"/>
          <w:sz w:val="28"/>
          <w:szCs w:val="28"/>
        </w:rPr>
        <w:t>元，占基本支出总预算</w:t>
      </w:r>
      <w:r>
        <w:rPr>
          <w:rFonts w:hint="eastAsia" w:ascii="宋体" w:hAnsi="宋体" w:eastAsia="宋体" w:cs="宋体"/>
          <w:sz w:val="28"/>
          <w:szCs w:val="28"/>
          <w:lang w:val="en-US" w:eastAsia="zh-CN"/>
        </w:rPr>
        <w:t>5.67%</w:t>
      </w:r>
      <w:r>
        <w:rPr>
          <w:rFonts w:hint="eastAsia"/>
        </w:rPr>
        <w:t>,</w:t>
      </w:r>
      <w:r>
        <w:t>比上年</w:t>
      </w:r>
      <w:r>
        <w:rPr>
          <w:rFonts w:hint="eastAsia"/>
        </w:rPr>
        <w:t>增长11.82</w:t>
      </w:r>
      <w:r>
        <w:t>万元，</w:t>
      </w:r>
      <w:r>
        <w:rPr>
          <w:rFonts w:hint="eastAsia"/>
        </w:rPr>
        <w:t>增长28.54%</w:t>
      </w:r>
      <w:r>
        <w:rPr>
          <w:rFonts w:hint="eastAsia"/>
          <w:highlight w:val="none"/>
          <w:lang w:val="en-US" w:eastAsia="zh-CN"/>
        </w:rPr>
        <w:t>。</w:t>
      </w:r>
    </w:p>
    <w:p>
      <w:pPr>
        <w:pStyle w:val="8"/>
        <w:numPr>
          <w:ilvl w:val="0"/>
          <w:numId w:val="2"/>
        </w:numPr>
        <w:spacing w:line="614" w:lineRule="exact"/>
        <w:ind w:firstLine="600"/>
        <w:jc w:val="left"/>
      </w:pPr>
      <w:r>
        <w:t>项目支出预算。</w:t>
      </w:r>
    </w:p>
    <w:p>
      <w:pPr>
        <w:pStyle w:val="8"/>
        <w:spacing w:line="619" w:lineRule="exact"/>
        <w:ind w:firstLine="600"/>
        <w:jc w:val="left"/>
        <w:rPr>
          <w:rFonts w:hint="eastAsia"/>
          <w:lang w:val="en-US" w:eastAsia="zh-CN"/>
        </w:rPr>
      </w:pPr>
      <w:r>
        <w:rPr>
          <w:rFonts w:hint="eastAsia"/>
        </w:rPr>
        <w:t>项目支出预算</w:t>
      </w:r>
      <w:r>
        <w:rPr>
          <w:rFonts w:hint="eastAsia"/>
          <w:lang w:val="en-US" w:eastAsia="zh-CN"/>
        </w:rPr>
        <w:t>563.67</w:t>
      </w:r>
      <w:r>
        <w:rPr>
          <w:rFonts w:hint="eastAsia"/>
        </w:rPr>
        <w:t>万元，占支出预算</w:t>
      </w:r>
      <w:r>
        <w:rPr>
          <w:u w:color="auto"/>
        </w:rPr>
        <w:t>37.50%</w:t>
      </w:r>
      <w:r>
        <w:rPr>
          <w:rFonts w:hint="eastAsia"/>
        </w:rPr>
        <w:t>,比上年</w:t>
      </w:r>
      <w:r>
        <w:rPr>
          <w:u w:color="auto"/>
        </w:rPr>
        <w:t>增长101.90</w:t>
      </w:r>
      <w:r>
        <w:rPr>
          <w:rFonts w:hint="eastAsia"/>
        </w:rPr>
        <w:t>万元，</w:t>
      </w:r>
      <w:r>
        <w:rPr>
          <w:u w:color="auto"/>
        </w:rPr>
        <w:t>增长22.07%</w:t>
      </w:r>
      <w:r>
        <w:t>。</w:t>
      </w:r>
      <w:r>
        <w:rPr>
          <w:rFonts w:hint="eastAsia"/>
          <w:lang w:val="en-US" w:eastAsia="zh-CN"/>
        </w:rPr>
        <w:t>其中：</w:t>
      </w:r>
    </w:p>
    <w:p>
      <w:pPr>
        <w:pStyle w:val="9"/>
        <w:spacing w:after="0" w:line="619" w:lineRule="exact"/>
        <w:ind w:firstLine="740"/>
        <w:jc w:val="left"/>
        <w:rPr>
          <w:rFonts w:hint="eastAsia"/>
          <w:highlight w:val="none"/>
          <w:lang w:val="en-US" w:eastAsia="zh-CN"/>
        </w:rPr>
      </w:pPr>
      <w:r>
        <w:rPr>
          <w:rFonts w:hint="eastAsia" w:ascii="宋体" w:hAnsi="宋体" w:eastAsia="宋体" w:cs="宋体"/>
          <w:sz w:val="28"/>
          <w:szCs w:val="28"/>
        </w:rPr>
        <w:t>(</w:t>
      </w:r>
      <w:r>
        <w:rPr>
          <w:rFonts w:ascii="宋体" w:hAnsi="宋体" w:eastAsia="宋体" w:cs="宋体"/>
          <w:sz w:val="28"/>
          <w:u w:color="auto"/>
        </w:rPr>
        <w:t>1)商品和服务支出</w:t>
      </w:r>
      <w:r>
        <w:rPr>
          <w:rFonts w:hint="eastAsia" w:ascii="宋体" w:hAnsi="宋体" w:eastAsia="宋体" w:cs="宋体"/>
          <w:sz w:val="28"/>
          <w:szCs w:val="28"/>
          <w:lang w:val="en-US" w:eastAsia="zh-CN"/>
        </w:rPr>
        <w:t>203.91</w:t>
      </w:r>
      <w:r>
        <w:rPr>
          <w:rFonts w:hint="eastAsia" w:ascii="宋体" w:hAnsi="宋体" w:eastAsia="宋体" w:cs="宋体"/>
          <w:sz w:val="28"/>
          <w:szCs w:val="28"/>
        </w:rPr>
        <w:t>万</w:t>
      </w:r>
      <w:r>
        <w:rPr>
          <w:rFonts w:ascii="宋体" w:hAnsi="宋体" w:eastAsia="宋体" w:cs="宋体"/>
          <w:sz w:val="28"/>
          <w:szCs w:val="28"/>
        </w:rPr>
        <w:t>元，占</w:t>
      </w:r>
      <w:r>
        <w:rPr>
          <w:rFonts w:hint="eastAsia"/>
        </w:rPr>
        <w:t>项目</w:t>
      </w:r>
      <w:r>
        <w:rPr>
          <w:rFonts w:ascii="宋体" w:hAnsi="宋体" w:eastAsia="宋体" w:cs="宋体"/>
          <w:sz w:val="28"/>
          <w:szCs w:val="28"/>
        </w:rPr>
        <w:t>支出总预算</w:t>
      </w:r>
      <w:r>
        <w:rPr>
          <w:rFonts w:hint="eastAsia" w:ascii="宋体" w:hAnsi="宋体" w:eastAsia="宋体" w:cs="宋体"/>
          <w:sz w:val="28"/>
          <w:szCs w:val="28"/>
          <w:lang w:val="en-US" w:eastAsia="zh-CN"/>
        </w:rPr>
        <w:t>36.18%</w:t>
      </w:r>
      <w:r>
        <w:t>,比上年</w:t>
      </w:r>
      <w:r>
        <w:rPr>
          <w:rFonts w:hint="eastAsia"/>
        </w:rPr>
        <w:t>减少155.73</w:t>
      </w:r>
      <w:r>
        <w:t>万元，</w:t>
      </w:r>
      <w:r>
        <w:rPr>
          <w:rFonts w:hint="eastAsia"/>
        </w:rPr>
        <w:t>减少43.30%</w:t>
      </w:r>
      <w:r>
        <w:rPr>
          <w:rFonts w:hint="eastAsia"/>
          <w:highlight w:val="none"/>
          <w:lang w:val="en-US" w:eastAsia="zh-CN"/>
        </w:rPr>
        <w:t>。</w:t>
      </w:r>
    </w:p>
    <w:p>
      <w:pPr>
        <w:pStyle w:val="9"/>
        <w:spacing w:after="0" w:line="619" w:lineRule="exact"/>
        <w:ind w:firstLine="740"/>
        <w:jc w:val="left"/>
        <w:rPr>
          <w:rFonts w:hint="eastAsia"/>
          <w:highlight w:val="none"/>
          <w:lang w:val="en-US" w:eastAsia="zh-CN"/>
        </w:rPr>
      </w:pPr>
      <w:r>
        <w:rPr>
          <w:rFonts w:hint="eastAsia" w:ascii="宋体" w:hAnsi="宋体" w:eastAsia="宋体" w:cs="宋体"/>
          <w:sz w:val="28"/>
          <w:szCs w:val="28"/>
        </w:rPr>
        <w:t>(</w:t>
      </w:r>
      <w:r>
        <w:rPr>
          <w:rFonts w:ascii="宋体" w:hAnsi="宋体" w:eastAsia="宋体" w:cs="宋体"/>
          <w:sz w:val="28"/>
          <w:u w:color="auto"/>
        </w:rPr>
        <w:t>2)对个人和家庭的补助</w:t>
      </w:r>
      <w:r>
        <w:rPr>
          <w:rFonts w:hint="eastAsia" w:ascii="宋体" w:hAnsi="宋体" w:eastAsia="宋体" w:cs="宋体"/>
          <w:sz w:val="28"/>
          <w:szCs w:val="28"/>
          <w:lang w:val="en-US" w:eastAsia="zh-CN"/>
        </w:rPr>
        <w:t>12.29</w:t>
      </w:r>
      <w:r>
        <w:rPr>
          <w:rFonts w:hint="eastAsia" w:ascii="宋体" w:hAnsi="宋体" w:eastAsia="宋体" w:cs="宋体"/>
          <w:sz w:val="28"/>
          <w:szCs w:val="28"/>
        </w:rPr>
        <w:t>万</w:t>
      </w:r>
      <w:r>
        <w:rPr>
          <w:rFonts w:ascii="宋体" w:hAnsi="宋体" w:eastAsia="宋体" w:cs="宋体"/>
          <w:sz w:val="28"/>
          <w:szCs w:val="28"/>
        </w:rPr>
        <w:t>元，占</w:t>
      </w:r>
      <w:r>
        <w:rPr>
          <w:rFonts w:hint="eastAsia"/>
        </w:rPr>
        <w:t>项目</w:t>
      </w:r>
      <w:r>
        <w:rPr>
          <w:rFonts w:ascii="宋体" w:hAnsi="宋体" w:eastAsia="宋体" w:cs="宋体"/>
          <w:sz w:val="28"/>
          <w:szCs w:val="28"/>
        </w:rPr>
        <w:t>支出总预算</w:t>
      </w:r>
      <w:r>
        <w:rPr>
          <w:rFonts w:hint="eastAsia" w:ascii="宋体" w:hAnsi="宋体" w:eastAsia="宋体" w:cs="宋体"/>
          <w:sz w:val="28"/>
          <w:szCs w:val="28"/>
          <w:lang w:val="en-US" w:eastAsia="zh-CN"/>
        </w:rPr>
        <w:t>2.18%</w:t>
      </w:r>
      <w:r>
        <w:t>,比上年</w:t>
      </w:r>
      <w:r>
        <w:rPr>
          <w:rFonts w:hint="eastAsia"/>
        </w:rPr>
        <w:t>减少44.59</w:t>
      </w:r>
      <w:r>
        <w:t>万元，</w:t>
      </w:r>
      <w:r>
        <w:rPr>
          <w:rFonts w:hint="eastAsia"/>
        </w:rPr>
        <w:t>减少78.39%</w:t>
      </w:r>
      <w:r>
        <w:rPr>
          <w:rFonts w:hint="eastAsia"/>
          <w:highlight w:val="none"/>
          <w:lang w:val="en-US" w:eastAsia="zh-CN"/>
        </w:rPr>
        <w:t>。</w:t>
      </w:r>
    </w:p>
    <w:p>
      <w:pPr>
        <w:pStyle w:val="9"/>
        <w:spacing w:after="0" w:line="619" w:lineRule="exact"/>
        <w:ind w:firstLine="740"/>
        <w:jc w:val="left"/>
        <w:rPr>
          <w:rFonts w:hint="eastAsia"/>
          <w:highlight w:val="none"/>
          <w:lang w:val="en-US" w:eastAsia="zh-CN"/>
        </w:rPr>
      </w:pPr>
      <w:r>
        <w:rPr>
          <w:rFonts w:hint="eastAsia" w:ascii="宋体" w:hAnsi="宋体" w:eastAsia="宋体" w:cs="宋体"/>
          <w:sz w:val="28"/>
          <w:szCs w:val="28"/>
        </w:rPr>
        <w:t>(</w:t>
      </w:r>
      <w:r>
        <w:rPr>
          <w:rFonts w:ascii="宋体" w:hAnsi="宋体" w:eastAsia="宋体" w:cs="宋体"/>
          <w:sz w:val="28"/>
          <w:u w:color="auto"/>
        </w:rPr>
        <w:t>3)资本性支出</w:t>
      </w:r>
      <w:r>
        <w:rPr>
          <w:rFonts w:hint="eastAsia" w:ascii="宋体" w:hAnsi="宋体" w:eastAsia="宋体" w:cs="宋体"/>
          <w:sz w:val="28"/>
          <w:szCs w:val="28"/>
          <w:lang w:val="en-US" w:eastAsia="zh-CN"/>
        </w:rPr>
        <w:t>345.07</w:t>
      </w:r>
      <w:r>
        <w:rPr>
          <w:rFonts w:hint="eastAsia" w:ascii="宋体" w:hAnsi="宋体" w:eastAsia="宋体" w:cs="宋体"/>
          <w:sz w:val="28"/>
          <w:szCs w:val="28"/>
        </w:rPr>
        <w:t>万</w:t>
      </w:r>
      <w:r>
        <w:rPr>
          <w:rFonts w:ascii="宋体" w:hAnsi="宋体" w:eastAsia="宋体" w:cs="宋体"/>
          <w:sz w:val="28"/>
          <w:szCs w:val="28"/>
        </w:rPr>
        <w:t>元，占</w:t>
      </w:r>
      <w:r>
        <w:rPr>
          <w:rFonts w:hint="eastAsia"/>
        </w:rPr>
        <w:t>项目</w:t>
      </w:r>
      <w:r>
        <w:rPr>
          <w:rFonts w:ascii="宋体" w:hAnsi="宋体" w:eastAsia="宋体" w:cs="宋体"/>
          <w:sz w:val="28"/>
          <w:szCs w:val="28"/>
        </w:rPr>
        <w:t>支出总预算</w:t>
      </w:r>
      <w:r>
        <w:rPr>
          <w:rFonts w:hint="eastAsia" w:ascii="宋体" w:hAnsi="宋体" w:eastAsia="宋体" w:cs="宋体"/>
          <w:sz w:val="28"/>
          <w:szCs w:val="28"/>
          <w:lang w:val="en-US" w:eastAsia="zh-CN"/>
        </w:rPr>
        <w:t>61.22%</w:t>
      </w:r>
      <w:r>
        <w:t>,比上年</w:t>
      </w:r>
      <w:r>
        <w:rPr>
          <w:rFonts w:hint="eastAsia"/>
        </w:rPr>
        <w:t>增长300.31</w:t>
      </w:r>
      <w:r>
        <w:t>万元，</w:t>
      </w:r>
      <w:r>
        <w:rPr>
          <w:rFonts w:hint="eastAsia"/>
        </w:rPr>
        <w:t>增长670.93%</w:t>
      </w:r>
      <w:r>
        <w:rPr>
          <w:rFonts w:hint="eastAsia"/>
          <w:highlight w:val="none"/>
          <w:lang w:val="en-US" w:eastAsia="zh-CN"/>
        </w:rPr>
        <w:t>。</w:t>
      </w:r>
    </w:p>
    <w:p>
      <w:pPr>
        <w:pStyle w:val="9"/>
        <w:spacing w:after="0" w:line="619" w:lineRule="exact"/>
        <w:ind w:firstLine="740"/>
        <w:jc w:val="left"/>
        <w:rPr>
          <w:rFonts w:hint="eastAsia"/>
          <w:highlight w:val="none"/>
          <w:lang w:val="en-US" w:eastAsia="zh-CN"/>
        </w:rPr>
      </w:pPr>
      <w:r>
        <w:rPr>
          <w:rFonts w:hint="eastAsia" w:ascii="宋体" w:hAnsi="宋体" w:eastAsia="宋体" w:cs="宋体"/>
          <w:sz w:val="28"/>
          <w:szCs w:val="28"/>
        </w:rPr>
        <w:t>(</w:t>
      </w:r>
      <w:r>
        <w:rPr>
          <w:rFonts w:ascii="宋体" w:hAnsi="宋体" w:eastAsia="宋体" w:cs="宋体"/>
          <w:sz w:val="28"/>
          <w:u w:color="auto"/>
        </w:rPr>
        <w:t>4)资本性支出（基本建设）</w:t>
      </w:r>
      <w:r>
        <w:rPr>
          <w:rFonts w:hint="eastAsia" w:ascii="宋体" w:hAnsi="宋体" w:eastAsia="宋体" w:cs="宋体"/>
          <w:sz w:val="28"/>
          <w:szCs w:val="28"/>
          <w:lang w:val="en-US" w:eastAsia="zh-CN"/>
        </w:rPr>
        <w:t>2.40</w:t>
      </w:r>
      <w:r>
        <w:rPr>
          <w:rFonts w:hint="eastAsia" w:ascii="宋体" w:hAnsi="宋体" w:eastAsia="宋体" w:cs="宋体"/>
          <w:sz w:val="28"/>
          <w:szCs w:val="28"/>
        </w:rPr>
        <w:t>万</w:t>
      </w:r>
      <w:r>
        <w:rPr>
          <w:rFonts w:ascii="宋体" w:hAnsi="宋体" w:eastAsia="宋体" w:cs="宋体"/>
          <w:sz w:val="28"/>
          <w:szCs w:val="28"/>
        </w:rPr>
        <w:t>元，占</w:t>
      </w:r>
      <w:r>
        <w:rPr>
          <w:rFonts w:hint="eastAsia"/>
        </w:rPr>
        <w:t>项目</w:t>
      </w:r>
      <w:r>
        <w:rPr>
          <w:rFonts w:ascii="宋体" w:hAnsi="宋体" w:eastAsia="宋体" w:cs="宋体"/>
          <w:sz w:val="28"/>
          <w:szCs w:val="28"/>
        </w:rPr>
        <w:t>支出总预算</w:t>
      </w:r>
      <w:r>
        <w:rPr>
          <w:rFonts w:hint="eastAsia" w:ascii="宋体" w:hAnsi="宋体" w:eastAsia="宋体" w:cs="宋体"/>
          <w:sz w:val="28"/>
          <w:szCs w:val="28"/>
          <w:lang w:val="en-US" w:eastAsia="zh-CN"/>
        </w:rPr>
        <w:t>0.43%</w:t>
      </w:r>
      <w:r>
        <w:t>,比上年</w:t>
      </w:r>
      <w:r>
        <w:rPr>
          <w:rFonts w:hint="eastAsia"/>
        </w:rPr>
        <w:t>增长2.40</w:t>
      </w:r>
      <w:r>
        <w:t>万元，</w:t>
      </w:r>
      <w:r>
        <w:rPr>
          <w:rFonts w:hint="eastAsia"/>
        </w:rPr>
        <w:t>增长100%</w:t>
      </w:r>
      <w:r>
        <w:rPr>
          <w:rFonts w:hint="eastAsia"/>
          <w:highlight w:val="none"/>
          <w:lang w:val="en-US" w:eastAsia="zh-CN"/>
        </w:rPr>
        <w:t>。</w:t>
      </w:r>
    </w:p>
    <w:p>
      <w:pPr>
        <w:pStyle w:val="9"/>
        <w:spacing w:after="0" w:line="619" w:lineRule="exact"/>
        <w:ind w:firstLine="740"/>
        <w:jc w:val="left"/>
        <w:rPr>
          <w:rFonts w:hint="eastAsia"/>
          <w:highlight w:val="none"/>
          <w:lang w:val="en-US" w:eastAsia="zh-CN"/>
        </w:rPr>
      </w:pPr>
      <w:r>
        <w:rPr>
          <w:rFonts w:hint="eastAsia" w:ascii="宋体" w:hAnsi="宋体" w:eastAsia="宋体" w:cs="宋体"/>
          <w:sz w:val="28"/>
          <w:szCs w:val="28"/>
        </w:rPr>
        <w:t>(</w:t>
      </w:r>
      <w:r>
        <w:rPr>
          <w:rFonts w:ascii="宋体" w:hAnsi="宋体" w:eastAsia="宋体" w:cs="宋体"/>
          <w:sz w:val="28"/>
          <w:u w:color="auto"/>
        </w:rPr>
        <w:t>5)工资福利支出</w:t>
      </w:r>
      <w:r>
        <w:rPr>
          <w:rFonts w:hint="eastAsia" w:ascii="宋体" w:hAnsi="宋体" w:eastAsia="宋体" w:cs="宋体"/>
          <w:sz w:val="28"/>
          <w:szCs w:val="28"/>
          <w:lang w:val="en-US" w:eastAsia="zh-CN"/>
        </w:rPr>
        <w:t>0.00</w:t>
      </w:r>
      <w:r>
        <w:rPr>
          <w:rFonts w:hint="eastAsia" w:ascii="宋体" w:hAnsi="宋体" w:eastAsia="宋体" w:cs="宋体"/>
          <w:sz w:val="28"/>
          <w:szCs w:val="28"/>
        </w:rPr>
        <w:t>万</w:t>
      </w:r>
      <w:r>
        <w:rPr>
          <w:rFonts w:ascii="宋体" w:hAnsi="宋体" w:eastAsia="宋体" w:cs="宋体"/>
          <w:sz w:val="28"/>
          <w:szCs w:val="28"/>
        </w:rPr>
        <w:t>元，占</w:t>
      </w:r>
      <w:r>
        <w:rPr>
          <w:rFonts w:hint="eastAsia"/>
        </w:rPr>
        <w:t>项目</w:t>
      </w:r>
      <w:r>
        <w:rPr>
          <w:rFonts w:ascii="宋体" w:hAnsi="宋体" w:eastAsia="宋体" w:cs="宋体"/>
          <w:sz w:val="28"/>
          <w:szCs w:val="28"/>
        </w:rPr>
        <w:t>支出总预算</w:t>
      </w:r>
      <w:r>
        <w:rPr>
          <w:rFonts w:hint="eastAsia" w:ascii="宋体" w:hAnsi="宋体" w:eastAsia="宋体" w:cs="宋体"/>
          <w:sz w:val="28"/>
          <w:szCs w:val="28"/>
          <w:lang w:val="en-US" w:eastAsia="zh-CN"/>
        </w:rPr>
        <w:t>0.00%</w:t>
      </w:r>
      <w:r>
        <w:t>,比上年</w:t>
      </w:r>
      <w:r>
        <w:rPr>
          <w:rFonts w:hint="eastAsia"/>
        </w:rPr>
        <w:t>减少0.50</w:t>
      </w:r>
      <w:r>
        <w:t>万元，</w:t>
      </w:r>
      <w:r>
        <w:rPr>
          <w:rFonts w:hint="eastAsia"/>
        </w:rPr>
        <w:t>减少100.00%</w:t>
      </w:r>
      <w:r>
        <w:rPr>
          <w:rFonts w:hint="eastAsia"/>
          <w:highlight w:val="none"/>
          <w:lang w:val="en-US" w:eastAsia="zh-CN"/>
        </w:rPr>
        <w:t>。</w:t>
      </w:r>
    </w:p>
    <w:p>
      <w:pPr>
        <w:pStyle w:val="7"/>
        <w:numPr>
          <w:ilvl w:val="0"/>
          <w:numId w:val="0"/>
        </w:numPr>
        <w:tabs>
          <w:tab w:val="left" w:pos="1238"/>
        </w:tabs>
        <w:spacing w:after="0" w:line="625" w:lineRule="exact"/>
        <w:jc w:val="left"/>
        <w:rPr>
          <w:b/>
          <w:bCs/>
        </w:rPr>
      </w:pPr>
    </w:p>
    <w:p>
      <w:pPr>
        <w:pStyle w:val="7"/>
        <w:numPr>
          <w:ilvl w:val="0"/>
          <w:numId w:val="0"/>
        </w:numPr>
        <w:tabs>
          <w:tab w:val="left" w:pos="1238"/>
        </w:tabs>
        <w:spacing w:after="0" w:line="625" w:lineRule="exact"/>
        <w:jc w:val="left"/>
        <w:rPr>
          <w:b/>
          <w:bCs/>
        </w:rPr>
      </w:pPr>
    </w:p>
    <w:p>
      <w:pPr>
        <w:pStyle w:val="7"/>
        <w:numPr>
          <w:ilvl w:val="0"/>
          <w:numId w:val="0"/>
        </w:numPr>
        <w:tabs>
          <w:tab w:val="left" w:pos="1238"/>
        </w:tabs>
        <w:spacing w:after="0" w:line="625" w:lineRule="exact"/>
        <w:jc w:val="left"/>
        <w:rPr>
          <w:b/>
          <w:bCs/>
        </w:rPr>
      </w:pPr>
    </w:p>
    <w:p>
      <w:pPr>
        <w:pStyle w:val="7"/>
        <w:numPr>
          <w:ilvl w:val="0"/>
          <w:numId w:val="0"/>
        </w:numPr>
        <w:tabs>
          <w:tab w:val="left" w:pos="1238"/>
        </w:tabs>
        <w:spacing w:after="0" w:line="625" w:lineRule="exact"/>
        <w:jc w:val="left"/>
        <w:rPr>
          <w:b/>
          <w:bCs/>
        </w:rPr>
      </w:pPr>
    </w:p>
    <w:p>
      <w:pPr>
        <w:pStyle w:val="7"/>
        <w:tabs>
          <w:tab w:val="left" w:pos="1235"/>
        </w:tabs>
        <w:spacing w:after="0" w:line="624" w:lineRule="exact"/>
        <w:ind w:firstLine="580"/>
        <w:jc w:val="left"/>
        <w:rPr>
          <w:b/>
          <w:bCs/>
        </w:rPr>
      </w:pPr>
      <w:r>
        <w:rPr>
          <w:rFonts w:hint="eastAsia"/>
          <w:b/>
          <w:bCs/>
          <w:lang w:val="en-US" w:eastAsia="zh-CN"/>
        </w:rPr>
        <w:t>四、</w:t>
      </w:r>
      <w:r>
        <w:rPr>
          <w:b/>
          <w:bCs/>
        </w:rPr>
        <w:t>财政拨款收支总体情况说明</w:t>
      </w:r>
    </w:p>
    <w:p>
      <w:pPr>
        <w:pStyle w:val="8"/>
        <w:spacing w:line="240" w:lineRule="auto"/>
        <w:ind w:firstLine="0"/>
        <w:jc w:val="left"/>
        <w:rPr>
          <w:lang w:val="en-US" w:eastAsia="zh-CN"/>
        </w:rPr>
      </w:pPr>
      <w:r>
        <w:rPr>
          <w:rFonts w:hint="eastAsia"/>
          <w:lang w:val="en-US" w:eastAsia="zh-CN"/>
        </w:rPr>
        <w:drawing>
          <wp:inline distT="0" distB="0" distL="114300" distR="114300">
            <wp:extent cx="5080000" cy="3810000"/>
            <wp:effectExtent l="4445" t="4445" r="5715" b="10795"/>
            <wp:docPr id="6154" name="图表 13" title="{{img_sz_c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pStyle w:val="8"/>
        <w:spacing w:line="624" w:lineRule="exact"/>
        <w:ind w:firstLine="600"/>
        <w:jc w:val="left"/>
        <w:rPr>
          <w:rFonts w:hint="eastAsia" w:ascii="宋体" w:hAnsi="宋体" w:eastAsia="宋体" w:cs="宋体"/>
          <w:sz w:val="28"/>
          <w:szCs w:val="28"/>
        </w:rPr>
      </w:pPr>
      <w:r>
        <w:rPr>
          <w:rFonts w:hint="eastAsia" w:ascii="宋体" w:hAnsi="宋体" w:eastAsia="宋体" w:cs="宋体"/>
          <w:sz w:val="28"/>
          <w:szCs w:val="28"/>
          <w:lang w:eastAsia="zh-CN"/>
        </w:rPr>
        <w:t>2024</w:t>
      </w:r>
      <w:r>
        <w:rPr>
          <w:rFonts w:hint="eastAsia" w:ascii="宋体" w:hAnsi="宋体" w:eastAsia="宋体" w:cs="宋体"/>
          <w:sz w:val="28"/>
          <w:szCs w:val="28"/>
          <w:u w:color="auto"/>
        </w:rPr>
        <w:t>年</w:t>
      </w:r>
      <w:r>
        <w:rPr>
          <w:rFonts w:hint="eastAsia" w:ascii="宋体" w:hAnsi="宋体" w:eastAsia="宋体" w:cs="宋体"/>
          <w:sz w:val="28"/>
          <w:szCs w:val="28"/>
        </w:rPr>
        <w:t>财政拨款收入我部门财政拨款总收入</w:t>
      </w:r>
      <w:r>
        <w:rPr>
          <w:rFonts w:hint="eastAsia" w:ascii="宋体" w:hAnsi="宋体" w:eastAsia="宋体" w:cs="宋体"/>
          <w:sz w:val="28"/>
          <w:szCs w:val="28"/>
          <w:lang w:val="en-US" w:eastAsia="zh-CN" w:bidi="en-US"/>
        </w:rPr>
        <w:t>1502.98</w:t>
      </w:r>
      <w:r>
        <w:rPr>
          <w:rFonts w:hint="eastAsia" w:ascii="宋体" w:hAnsi="宋体" w:eastAsia="宋体" w:cs="宋体"/>
          <w:sz w:val="28"/>
          <w:szCs w:val="28"/>
        </w:rPr>
        <w:t>万元，总支出</w:t>
      </w:r>
      <w:r>
        <w:rPr>
          <w:rFonts w:hint="eastAsia" w:ascii="宋体" w:hAnsi="宋体" w:eastAsia="宋体" w:cs="宋体"/>
          <w:sz w:val="28"/>
          <w:szCs w:val="28"/>
          <w:lang w:val="en-US" w:eastAsia="zh-CN" w:bidi="en-US"/>
        </w:rPr>
        <w:t>1502.98</w:t>
      </w:r>
      <w:r>
        <w:rPr>
          <w:rFonts w:hint="eastAsia" w:ascii="宋体" w:hAnsi="宋体" w:eastAsia="宋体" w:cs="宋体"/>
          <w:sz w:val="28"/>
          <w:szCs w:val="28"/>
        </w:rPr>
        <w:t>万元。财政拨款总收入较2023年度预算数</w:t>
      </w:r>
      <w:r>
        <w:rPr>
          <w:rFonts w:hint="eastAsia" w:ascii="宋体" w:hAnsi="宋体" w:eastAsia="宋体" w:cs="宋体"/>
          <w:sz w:val="28"/>
          <w:szCs w:val="28"/>
          <w:lang w:val="en-US" w:eastAsia="zh-CN" w:bidi="en-US"/>
        </w:rPr>
        <w:t>1254.82</w:t>
      </w:r>
      <w:r>
        <w:rPr>
          <w:rFonts w:hint="eastAsia" w:ascii="宋体" w:hAnsi="宋体" w:eastAsia="宋体" w:cs="宋体"/>
          <w:sz w:val="28"/>
          <w:szCs w:val="28"/>
        </w:rPr>
        <w:t>万元，</w:t>
      </w:r>
      <w:r>
        <w:rPr>
          <w:rFonts w:hint="eastAsia" w:ascii="宋体" w:hAnsi="宋体" w:eastAsia="宋体" w:cs="宋体"/>
          <w:sz w:val="28"/>
          <w:szCs w:val="28"/>
          <w:lang w:val="en-US" w:eastAsia="zh-CN" w:bidi="en-US"/>
        </w:rPr>
        <w:t>增加248.16</w:t>
      </w:r>
      <w:r>
        <w:rPr>
          <w:rFonts w:hint="eastAsia" w:ascii="宋体" w:hAnsi="宋体" w:eastAsia="宋体" w:cs="宋体"/>
          <w:sz w:val="28"/>
          <w:szCs w:val="28"/>
        </w:rPr>
        <w:t>万元，</w:t>
      </w:r>
      <w:r>
        <w:rPr>
          <w:rFonts w:hint="eastAsia" w:ascii="宋体" w:hAnsi="宋体" w:eastAsia="宋体" w:cs="宋体"/>
          <w:sz w:val="28"/>
          <w:szCs w:val="28"/>
          <w:lang w:val="en-US" w:eastAsia="zh-CN" w:bidi="en-US"/>
        </w:rPr>
        <w:t>增长19.78%</w:t>
      </w:r>
      <w:r>
        <w:rPr>
          <w:rFonts w:hint="eastAsia" w:ascii="宋体" w:hAnsi="宋体" w:eastAsia="宋体" w:cs="宋体"/>
          <w:sz w:val="28"/>
          <w:szCs w:val="28"/>
        </w:rPr>
        <w:t>。财政拨款总支出较2023年度预算数</w:t>
      </w:r>
      <w:r>
        <w:rPr>
          <w:rFonts w:hint="eastAsia" w:ascii="宋体" w:hAnsi="宋体" w:eastAsia="宋体" w:cs="宋体"/>
          <w:sz w:val="28"/>
          <w:szCs w:val="28"/>
          <w:lang w:val="en-US" w:eastAsia="zh-CN" w:bidi="en-US"/>
        </w:rPr>
        <w:t>1254.82</w:t>
      </w:r>
      <w:r>
        <w:rPr>
          <w:rFonts w:hint="eastAsia" w:ascii="宋体" w:hAnsi="宋体" w:eastAsia="宋体" w:cs="宋体"/>
          <w:sz w:val="28"/>
          <w:szCs w:val="28"/>
        </w:rPr>
        <w:t>万元，</w:t>
      </w:r>
      <w:r>
        <w:rPr>
          <w:rFonts w:hint="eastAsia" w:ascii="宋体" w:hAnsi="宋体" w:eastAsia="宋体" w:cs="宋体"/>
          <w:sz w:val="28"/>
          <w:szCs w:val="28"/>
          <w:lang w:val="en-US" w:eastAsia="zh-CN" w:bidi="en-US"/>
        </w:rPr>
        <w:t>增加248.16</w:t>
      </w:r>
      <w:r>
        <w:rPr>
          <w:rFonts w:hint="eastAsia" w:ascii="宋体" w:hAnsi="宋体" w:eastAsia="宋体" w:cs="宋体"/>
          <w:sz w:val="28"/>
          <w:szCs w:val="28"/>
        </w:rPr>
        <w:t>万元，</w:t>
      </w:r>
      <w:r>
        <w:rPr>
          <w:rFonts w:hint="eastAsia" w:ascii="宋体" w:hAnsi="宋体" w:eastAsia="宋体" w:cs="宋体"/>
          <w:sz w:val="28"/>
          <w:szCs w:val="28"/>
          <w:lang w:val="en-US" w:eastAsia="zh-CN" w:bidi="en-US"/>
        </w:rPr>
        <w:t>增长19.78%</w:t>
      </w:r>
      <w:r>
        <w:rPr>
          <w:rFonts w:hint="eastAsia" w:ascii="宋体" w:hAnsi="宋体" w:eastAsia="宋体" w:cs="宋体"/>
          <w:sz w:val="28"/>
          <w:szCs w:val="28"/>
        </w:rPr>
        <w:t>，主要原因是</w:t>
      </w:r>
      <w:r>
        <w:rPr>
          <w:rFonts w:hint="eastAsia" w:cs="宋体"/>
          <w:sz w:val="28"/>
          <w:szCs w:val="28"/>
          <w:lang w:eastAsia="zh-CN"/>
        </w:rPr>
        <w:t>人员变动较大，基础性绩效增加，预算增加</w:t>
      </w:r>
      <w:r>
        <w:rPr>
          <w:rFonts w:hint="eastAsia" w:ascii="宋体" w:hAnsi="宋体" w:eastAsia="宋体" w:cs="宋体"/>
          <w:sz w:val="28"/>
          <w:szCs w:val="28"/>
        </w:rPr>
        <w:t>。</w:t>
      </w:r>
    </w:p>
    <w:p>
      <w:pPr>
        <w:pStyle w:val="7"/>
        <w:numPr>
          <w:ilvl w:val="0"/>
          <w:numId w:val="0"/>
        </w:numPr>
        <w:tabs>
          <w:tab w:val="left" w:pos="1238"/>
        </w:tabs>
        <w:spacing w:after="0" w:line="625" w:lineRule="exact"/>
        <w:ind w:firstLine="560" w:firstLineChars="200"/>
        <w:jc w:val="left"/>
        <w:rPr>
          <w:rFonts w:hint="eastAsia"/>
          <w:sz w:val="28"/>
          <w:szCs w:val="28"/>
        </w:rPr>
      </w:pPr>
    </w:p>
    <w:p>
      <w:pPr>
        <w:pStyle w:val="7"/>
        <w:numPr>
          <w:ilvl w:val="0"/>
          <w:numId w:val="0"/>
        </w:numPr>
        <w:tabs>
          <w:tab w:val="left" w:pos="1238"/>
        </w:tabs>
        <w:spacing w:after="0" w:line="625" w:lineRule="exact"/>
        <w:ind w:firstLine="560" w:firstLineChars="200"/>
        <w:jc w:val="left"/>
        <w:rPr>
          <w:rFonts w:hint="eastAsia"/>
          <w:sz w:val="28"/>
          <w:szCs w:val="28"/>
        </w:rPr>
      </w:pPr>
    </w:p>
    <w:p>
      <w:pPr>
        <w:pStyle w:val="7"/>
        <w:numPr>
          <w:ilvl w:val="0"/>
          <w:numId w:val="0"/>
        </w:numPr>
        <w:tabs>
          <w:tab w:val="left" w:pos="1238"/>
        </w:tabs>
        <w:spacing w:after="0" w:line="625" w:lineRule="exact"/>
        <w:ind w:firstLine="560" w:firstLineChars="200"/>
        <w:jc w:val="left"/>
        <w:rPr>
          <w:rFonts w:hint="eastAsia"/>
          <w:sz w:val="28"/>
          <w:szCs w:val="28"/>
        </w:rPr>
      </w:pPr>
    </w:p>
    <w:p>
      <w:pPr>
        <w:pStyle w:val="7"/>
        <w:numPr>
          <w:ilvl w:val="0"/>
          <w:numId w:val="0"/>
        </w:numPr>
        <w:tabs>
          <w:tab w:val="left" w:pos="1238"/>
        </w:tabs>
        <w:spacing w:after="0" w:line="625" w:lineRule="exact"/>
        <w:ind w:firstLine="560" w:firstLineChars="200"/>
        <w:jc w:val="left"/>
        <w:rPr>
          <w:rFonts w:hint="eastAsia"/>
          <w:sz w:val="28"/>
          <w:szCs w:val="28"/>
        </w:rPr>
      </w:pPr>
    </w:p>
    <w:p>
      <w:pPr>
        <w:pStyle w:val="7"/>
        <w:numPr>
          <w:ilvl w:val="0"/>
          <w:numId w:val="0"/>
        </w:numPr>
        <w:tabs>
          <w:tab w:val="left" w:pos="1238"/>
        </w:tabs>
        <w:spacing w:after="0" w:line="625" w:lineRule="exact"/>
        <w:ind w:firstLine="560" w:firstLineChars="200"/>
        <w:jc w:val="left"/>
        <w:rPr>
          <w:rFonts w:hint="eastAsia"/>
          <w:sz w:val="28"/>
          <w:szCs w:val="28"/>
        </w:rPr>
      </w:pPr>
    </w:p>
    <w:p>
      <w:pPr>
        <w:pStyle w:val="7"/>
        <w:numPr>
          <w:ilvl w:val="0"/>
          <w:numId w:val="0"/>
        </w:numPr>
        <w:tabs>
          <w:tab w:val="left" w:pos="1238"/>
        </w:tabs>
        <w:spacing w:after="0" w:line="625" w:lineRule="exact"/>
        <w:ind w:firstLine="560" w:firstLineChars="200"/>
        <w:jc w:val="left"/>
        <w:rPr>
          <w:rFonts w:hint="eastAsia"/>
          <w:sz w:val="28"/>
          <w:szCs w:val="28"/>
        </w:rPr>
      </w:pPr>
    </w:p>
    <w:p>
      <w:pPr>
        <w:pStyle w:val="7"/>
        <w:tabs>
          <w:tab w:val="left" w:pos="1235"/>
        </w:tabs>
        <w:spacing w:after="0" w:line="624" w:lineRule="exact"/>
        <w:ind w:firstLine="580"/>
        <w:jc w:val="left"/>
        <w:rPr>
          <w:b/>
          <w:bCs/>
        </w:rPr>
      </w:pPr>
      <w:r>
        <w:rPr>
          <w:rFonts w:hint="eastAsia"/>
          <w:b/>
          <w:bCs/>
          <w:lang w:val="en-US" w:eastAsia="zh-CN"/>
        </w:rPr>
        <w:t>五、</w:t>
      </w:r>
      <w:r>
        <w:rPr>
          <w:b/>
          <w:bCs/>
        </w:rPr>
        <w:t>一般公共预算支出情况说明</w:t>
      </w:r>
    </w:p>
    <w:p>
      <w:pPr>
        <w:pStyle w:val="8"/>
        <w:spacing w:line="240" w:lineRule="auto"/>
        <w:ind w:firstLine="0"/>
        <w:jc w:val="left"/>
        <w:rPr>
          <w:lang w:eastAsia="zh-CN"/>
        </w:rPr>
      </w:pPr>
      <w:r>
        <w:rPr>
          <w:lang w:eastAsia="zh-CN"/>
        </w:rPr>
        <w:drawing>
          <wp:inline distT="0" distB="0" distL="114300" distR="114300">
            <wp:extent cx="5080000" cy="3810000"/>
            <wp:effectExtent l="4445" t="4445" r="5715" b="10795"/>
            <wp:docPr id="6155" name="图表 10" title="{{img_zc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pStyle w:val="8"/>
        <w:spacing w:line="623" w:lineRule="exact"/>
        <w:ind w:left="0" w:leftChars="0" w:firstLine="560" w:firstLineChars="200"/>
        <w:jc w:val="left"/>
        <w:rPr>
          <w:rFonts w:hint="eastAsia" w:ascii="宋体" w:hAnsi="宋体" w:eastAsia="宋体" w:cs="宋体"/>
          <w:sz w:val="28"/>
          <w:szCs w:val="28"/>
        </w:rPr>
      </w:pPr>
      <w:r>
        <w:rPr>
          <w:rFonts w:hint="eastAsia" w:ascii="宋体" w:hAnsi="宋体" w:eastAsia="宋体" w:cs="宋体"/>
          <w:sz w:val="28"/>
          <w:szCs w:val="28"/>
          <w:lang w:eastAsia="zh-CN"/>
        </w:rPr>
        <w:t>2024</w:t>
      </w:r>
      <w:r>
        <w:rPr>
          <w:rFonts w:hint="eastAsia" w:ascii="宋体" w:hAnsi="宋体" w:eastAsia="宋体" w:cs="宋体"/>
          <w:sz w:val="28"/>
          <w:szCs w:val="28"/>
          <w:lang w:val="en-US" w:eastAsia="zh-CN"/>
        </w:rPr>
        <w:t>年</w:t>
      </w:r>
      <w:r>
        <w:rPr>
          <w:rFonts w:hint="eastAsia" w:ascii="宋体" w:hAnsi="宋体" w:eastAsia="宋体" w:cs="宋体"/>
          <w:sz w:val="28"/>
          <w:szCs w:val="28"/>
        </w:rPr>
        <w:t>一般公共预算支出共</w:t>
      </w:r>
      <w:r>
        <w:rPr>
          <w:rFonts w:hint="eastAsia" w:ascii="宋体" w:hAnsi="宋体" w:eastAsia="宋体" w:cs="宋体"/>
          <w:sz w:val="28"/>
          <w:szCs w:val="28"/>
          <w:lang w:val="en-US" w:eastAsia="zh-CN"/>
        </w:rPr>
        <w:t>1500.59</w:t>
      </w:r>
      <w:r>
        <w:rPr>
          <w:rFonts w:hint="eastAsia" w:ascii="宋体" w:hAnsi="宋体" w:eastAsia="宋体" w:cs="宋体"/>
          <w:sz w:val="28"/>
          <w:szCs w:val="28"/>
        </w:rPr>
        <w:t>万元，较2023年度预算数</w:t>
      </w:r>
      <w:r>
        <w:rPr>
          <w:rFonts w:hint="eastAsia" w:ascii="宋体" w:hAnsi="宋体" w:eastAsia="宋体" w:cs="宋体"/>
          <w:sz w:val="28"/>
          <w:szCs w:val="28"/>
          <w:lang w:val="en-US" w:eastAsia="zh-CN"/>
        </w:rPr>
        <w:t>1254.82</w:t>
      </w:r>
      <w:r>
        <w:rPr>
          <w:rFonts w:hint="eastAsia" w:ascii="宋体" w:hAnsi="宋体" w:eastAsia="宋体" w:cs="宋体"/>
          <w:sz w:val="28"/>
          <w:szCs w:val="28"/>
        </w:rPr>
        <w:t>万元，</w:t>
      </w:r>
      <w:r>
        <w:rPr>
          <w:rFonts w:hint="eastAsia" w:ascii="宋体" w:hAnsi="宋体" w:eastAsia="宋体" w:cs="宋体"/>
          <w:sz w:val="28"/>
          <w:szCs w:val="28"/>
          <w:lang w:val="en-US" w:eastAsia="zh-CN"/>
        </w:rPr>
        <w:t>增加245.77</w:t>
      </w:r>
      <w:r>
        <w:rPr>
          <w:rFonts w:hint="eastAsia" w:ascii="宋体" w:hAnsi="宋体" w:eastAsia="宋体" w:cs="宋体"/>
          <w:sz w:val="28"/>
          <w:szCs w:val="28"/>
        </w:rPr>
        <w:t>万元，</w:t>
      </w:r>
      <w:r>
        <w:rPr>
          <w:rFonts w:hint="eastAsia" w:ascii="宋体" w:hAnsi="宋体" w:eastAsia="宋体" w:cs="宋体"/>
          <w:sz w:val="28"/>
          <w:szCs w:val="28"/>
          <w:lang w:val="en-US" w:eastAsia="zh-CN"/>
        </w:rPr>
        <w:t>增长19.59%</w:t>
      </w:r>
      <w:r>
        <w:rPr>
          <w:rFonts w:hint="eastAsia" w:ascii="宋体" w:hAnsi="宋体" w:eastAsia="宋体" w:cs="宋体"/>
          <w:sz w:val="28"/>
          <w:szCs w:val="28"/>
        </w:rPr>
        <w:t>。中央提前下达2024年一般公共预算转移支付资金安排的支出</w:t>
      </w:r>
      <w:r>
        <w:rPr>
          <w:rFonts w:hint="eastAsia" w:ascii="宋体" w:hAnsi="宋体" w:eastAsia="宋体" w:cs="宋体"/>
          <w:sz w:val="28"/>
          <w:szCs w:val="28"/>
          <w:lang w:val="en-US" w:eastAsia="zh-CN"/>
        </w:rPr>
        <w:t>0.00</w:t>
      </w:r>
      <w:r>
        <w:rPr>
          <w:rFonts w:hint="eastAsia" w:ascii="宋体" w:hAnsi="宋体" w:eastAsia="宋体" w:cs="宋体"/>
          <w:sz w:val="28"/>
          <w:szCs w:val="28"/>
        </w:rPr>
        <w:t>万元。具体情况为：</w:t>
      </w:r>
    </w:p>
    <w:p>
      <w:pPr>
        <w:pStyle w:val="8"/>
        <w:spacing w:line="623" w:lineRule="exact"/>
        <w:ind w:left="0" w:leftChars="0" w:firstLine="560" w:firstLineChars="200"/>
        <w:jc w:val="left"/>
        <w:rPr>
          <w:rFonts w:hint="eastAsia" w:ascii="宋体" w:hAnsi="宋体" w:eastAsia="宋体" w:cs="宋体"/>
          <w:sz w:val="28"/>
          <w:szCs w:val="28"/>
        </w:rPr>
      </w:pPr>
      <w:r>
        <w:rPr>
          <w:rFonts w:hint="eastAsia" w:ascii="宋体" w:hAnsi="宋体" w:eastAsia="宋体" w:cs="宋体"/>
          <w:sz w:val="28"/>
          <w:szCs w:val="28"/>
        </w:rPr>
        <w:t>一般公共服务支出（类）支出</w:t>
      </w:r>
      <w:r>
        <w:rPr>
          <w:rFonts w:ascii="宋体" w:hAnsi="宋体" w:eastAsia="宋体" w:cs="宋体"/>
          <w:sz w:val="28"/>
          <w:u w:color="auto"/>
        </w:rPr>
        <w:t>923.68</w:t>
      </w:r>
      <w:r>
        <w:rPr>
          <w:rFonts w:hint="eastAsia" w:ascii="宋体" w:hAnsi="宋体" w:eastAsia="宋体" w:cs="宋体"/>
          <w:sz w:val="28"/>
          <w:szCs w:val="28"/>
        </w:rPr>
        <w:t>万元，占支出总预算的</w:t>
      </w:r>
      <w:r>
        <w:rPr>
          <w:rFonts w:ascii="宋体" w:hAnsi="宋体" w:eastAsia="宋体" w:cs="宋体"/>
          <w:sz w:val="28"/>
          <w:u w:color="auto"/>
        </w:rPr>
        <w:t>61.55%</w:t>
      </w:r>
      <w:r>
        <w:rPr>
          <w:rFonts w:hint="eastAsia" w:ascii="宋体" w:hAnsi="宋体" w:eastAsia="宋体" w:cs="宋体"/>
          <w:sz w:val="28"/>
          <w:szCs w:val="28"/>
          <w:lang w:eastAsia="zh-CN"/>
        </w:rPr>
        <w:t>，</w:t>
      </w:r>
      <w:r>
        <w:rPr>
          <w:rFonts w:hint="eastAsia" w:ascii="宋体" w:hAnsi="宋体" w:eastAsia="宋体" w:cs="宋体"/>
          <w:sz w:val="28"/>
          <w:szCs w:val="28"/>
        </w:rPr>
        <w:t>较2023年度预算数</w:t>
      </w:r>
      <w:r>
        <w:rPr>
          <w:rFonts w:ascii="宋体" w:hAnsi="宋体" w:eastAsia="宋体" w:cs="宋体"/>
          <w:sz w:val="28"/>
          <w:u w:color="auto"/>
        </w:rPr>
        <w:t>754.97</w:t>
      </w:r>
      <w:r>
        <w:rPr>
          <w:rFonts w:hint="eastAsia" w:ascii="宋体" w:hAnsi="宋体" w:eastAsia="宋体" w:cs="宋体"/>
          <w:sz w:val="28"/>
          <w:szCs w:val="28"/>
        </w:rPr>
        <w:t>万元，</w:t>
      </w:r>
      <w:r>
        <w:rPr>
          <w:rFonts w:ascii="宋体" w:hAnsi="宋体" w:eastAsia="宋体" w:cs="宋体"/>
          <w:sz w:val="28"/>
          <w:u w:color="auto"/>
        </w:rPr>
        <w:t>增长168.71</w:t>
      </w:r>
      <w:r>
        <w:rPr>
          <w:rFonts w:hint="eastAsia" w:ascii="宋体" w:hAnsi="宋体" w:eastAsia="宋体" w:cs="宋体"/>
          <w:sz w:val="28"/>
          <w:szCs w:val="28"/>
        </w:rPr>
        <w:t>万元，</w:t>
      </w:r>
      <w:r>
        <w:rPr>
          <w:rFonts w:ascii="宋体" w:hAnsi="宋体" w:eastAsia="宋体" w:cs="宋体"/>
          <w:sz w:val="28"/>
          <w:u w:color="auto"/>
        </w:rPr>
        <w:t>增长22.35%</w:t>
      </w:r>
      <w:r>
        <w:rPr>
          <w:rFonts w:hint="eastAsia" w:ascii="宋体" w:hAnsi="宋体" w:eastAsia="宋体" w:cs="宋体"/>
          <w:sz w:val="28"/>
          <w:szCs w:val="28"/>
        </w:rPr>
        <w:t>。</w:t>
      </w:r>
    </w:p>
    <w:p>
      <w:pPr>
        <w:pStyle w:val="8"/>
        <w:spacing w:line="623" w:lineRule="exact"/>
        <w:ind w:left="0" w:leftChars="0" w:firstLine="560" w:firstLineChars="200"/>
        <w:jc w:val="left"/>
        <w:rPr>
          <w:rFonts w:hint="eastAsia" w:ascii="宋体" w:hAnsi="宋体" w:eastAsia="宋体" w:cs="宋体"/>
          <w:sz w:val="28"/>
          <w:szCs w:val="28"/>
        </w:rPr>
      </w:pPr>
      <w:r>
        <w:rPr>
          <w:rFonts w:hint="eastAsia" w:ascii="宋体" w:hAnsi="宋体" w:eastAsia="宋体" w:cs="宋体"/>
          <w:sz w:val="28"/>
          <w:szCs w:val="28"/>
        </w:rPr>
        <w:t>交通运输支出（类）支出</w:t>
      </w:r>
      <w:r>
        <w:rPr>
          <w:rFonts w:ascii="宋体" w:hAnsi="宋体" w:eastAsia="宋体" w:cs="宋体"/>
          <w:sz w:val="28"/>
          <w:u w:color="auto"/>
        </w:rPr>
        <w:t>345.07</w:t>
      </w:r>
      <w:r>
        <w:rPr>
          <w:rFonts w:hint="eastAsia" w:ascii="宋体" w:hAnsi="宋体" w:eastAsia="宋体" w:cs="宋体"/>
          <w:sz w:val="28"/>
          <w:szCs w:val="28"/>
        </w:rPr>
        <w:t>万元，占支出总预算的</w:t>
      </w:r>
      <w:r>
        <w:rPr>
          <w:rFonts w:ascii="宋体" w:hAnsi="宋体" w:eastAsia="宋体" w:cs="宋体"/>
          <w:sz w:val="28"/>
          <w:u w:color="auto"/>
        </w:rPr>
        <w:t>23.00%</w:t>
      </w:r>
      <w:r>
        <w:rPr>
          <w:rFonts w:hint="eastAsia" w:ascii="宋体" w:hAnsi="宋体" w:eastAsia="宋体" w:cs="宋体"/>
          <w:sz w:val="28"/>
          <w:szCs w:val="28"/>
          <w:lang w:eastAsia="zh-CN"/>
        </w:rPr>
        <w:t>，</w:t>
      </w:r>
      <w:r>
        <w:rPr>
          <w:rFonts w:hint="eastAsia" w:ascii="宋体" w:hAnsi="宋体" w:eastAsia="宋体" w:cs="宋体"/>
          <w:sz w:val="28"/>
          <w:szCs w:val="28"/>
        </w:rPr>
        <w:t>较2023年度预算数</w:t>
      </w:r>
      <w:r>
        <w:rPr>
          <w:rFonts w:ascii="宋体" w:hAnsi="宋体" w:eastAsia="宋体" w:cs="宋体"/>
          <w:sz w:val="28"/>
          <w:u w:color="auto"/>
        </w:rPr>
        <w:t>0.00</w:t>
      </w:r>
      <w:r>
        <w:rPr>
          <w:rFonts w:hint="eastAsia" w:ascii="宋体" w:hAnsi="宋体" w:eastAsia="宋体" w:cs="宋体"/>
          <w:sz w:val="28"/>
          <w:szCs w:val="28"/>
        </w:rPr>
        <w:t>万元，</w:t>
      </w:r>
      <w:r>
        <w:rPr>
          <w:rFonts w:ascii="宋体" w:hAnsi="宋体" w:eastAsia="宋体" w:cs="宋体"/>
          <w:sz w:val="28"/>
          <w:u w:color="auto"/>
        </w:rPr>
        <w:t>增长345.07</w:t>
      </w:r>
      <w:r>
        <w:rPr>
          <w:rFonts w:hint="eastAsia" w:ascii="宋体" w:hAnsi="宋体" w:eastAsia="宋体" w:cs="宋体"/>
          <w:sz w:val="28"/>
          <w:szCs w:val="28"/>
        </w:rPr>
        <w:t>万元，</w:t>
      </w:r>
      <w:r>
        <w:rPr>
          <w:rFonts w:ascii="宋体" w:hAnsi="宋体" w:eastAsia="宋体" w:cs="宋体"/>
          <w:sz w:val="28"/>
          <w:u w:color="auto"/>
        </w:rPr>
        <w:t>增长100%</w:t>
      </w:r>
      <w:r>
        <w:rPr>
          <w:rFonts w:hint="eastAsia" w:ascii="宋体" w:hAnsi="宋体" w:eastAsia="宋体" w:cs="宋体"/>
          <w:sz w:val="28"/>
          <w:szCs w:val="28"/>
        </w:rPr>
        <w:t>。</w:t>
      </w:r>
    </w:p>
    <w:p>
      <w:pPr>
        <w:pStyle w:val="8"/>
        <w:spacing w:line="623" w:lineRule="exact"/>
        <w:ind w:left="0" w:leftChars="0" w:firstLine="560" w:firstLineChars="200"/>
        <w:jc w:val="left"/>
        <w:rPr>
          <w:rFonts w:hint="eastAsia" w:ascii="宋体" w:hAnsi="宋体" w:eastAsia="宋体" w:cs="宋体"/>
          <w:sz w:val="28"/>
          <w:szCs w:val="28"/>
        </w:rPr>
      </w:pPr>
      <w:r>
        <w:rPr>
          <w:rFonts w:hint="eastAsia" w:ascii="宋体" w:hAnsi="宋体" w:eastAsia="宋体" w:cs="宋体"/>
          <w:sz w:val="28"/>
          <w:szCs w:val="28"/>
        </w:rPr>
        <w:t>住房保障支出（类）支出</w:t>
      </w:r>
      <w:r>
        <w:rPr>
          <w:rFonts w:ascii="宋体" w:hAnsi="宋体" w:eastAsia="宋体" w:cs="宋体"/>
          <w:sz w:val="28"/>
          <w:u w:color="auto"/>
        </w:rPr>
        <w:t>55.75</w:t>
      </w:r>
      <w:r>
        <w:rPr>
          <w:rFonts w:hint="eastAsia" w:ascii="宋体" w:hAnsi="宋体" w:eastAsia="宋体" w:cs="宋体"/>
          <w:sz w:val="28"/>
          <w:szCs w:val="28"/>
        </w:rPr>
        <w:t>万元，占支出总预算的</w:t>
      </w:r>
      <w:r>
        <w:rPr>
          <w:rFonts w:ascii="宋体" w:hAnsi="宋体" w:eastAsia="宋体" w:cs="宋体"/>
          <w:sz w:val="28"/>
          <w:u w:color="auto"/>
        </w:rPr>
        <w:t>3.72%</w:t>
      </w:r>
      <w:r>
        <w:rPr>
          <w:rFonts w:hint="eastAsia" w:ascii="宋体" w:hAnsi="宋体" w:eastAsia="宋体" w:cs="宋体"/>
          <w:sz w:val="28"/>
          <w:szCs w:val="28"/>
          <w:lang w:eastAsia="zh-CN"/>
        </w:rPr>
        <w:t>，</w:t>
      </w:r>
      <w:r>
        <w:rPr>
          <w:rFonts w:hint="eastAsia" w:ascii="宋体" w:hAnsi="宋体" w:eastAsia="宋体" w:cs="宋体"/>
          <w:sz w:val="28"/>
          <w:szCs w:val="28"/>
        </w:rPr>
        <w:t>较2023年度预算数</w:t>
      </w:r>
      <w:r>
        <w:rPr>
          <w:rFonts w:ascii="宋体" w:hAnsi="宋体" w:eastAsia="宋体" w:cs="宋体"/>
          <w:sz w:val="28"/>
          <w:u w:color="auto"/>
        </w:rPr>
        <w:t>61.70</w:t>
      </w:r>
      <w:r>
        <w:rPr>
          <w:rFonts w:hint="eastAsia" w:ascii="宋体" w:hAnsi="宋体" w:eastAsia="宋体" w:cs="宋体"/>
          <w:sz w:val="28"/>
          <w:szCs w:val="28"/>
        </w:rPr>
        <w:t>万元，</w:t>
      </w:r>
      <w:r>
        <w:rPr>
          <w:rFonts w:ascii="宋体" w:hAnsi="宋体" w:eastAsia="宋体" w:cs="宋体"/>
          <w:sz w:val="28"/>
          <w:u w:color="auto"/>
        </w:rPr>
        <w:t>减少5.95</w:t>
      </w:r>
      <w:r>
        <w:rPr>
          <w:rFonts w:hint="eastAsia" w:ascii="宋体" w:hAnsi="宋体" w:eastAsia="宋体" w:cs="宋体"/>
          <w:sz w:val="28"/>
          <w:szCs w:val="28"/>
        </w:rPr>
        <w:t>万元，</w:t>
      </w:r>
      <w:r>
        <w:rPr>
          <w:rFonts w:ascii="宋体" w:hAnsi="宋体" w:eastAsia="宋体" w:cs="宋体"/>
          <w:sz w:val="28"/>
          <w:u w:color="auto"/>
        </w:rPr>
        <w:t>减少9.64%</w:t>
      </w:r>
      <w:r>
        <w:rPr>
          <w:rFonts w:hint="eastAsia" w:ascii="宋体" w:hAnsi="宋体" w:eastAsia="宋体" w:cs="宋体"/>
          <w:sz w:val="28"/>
          <w:szCs w:val="28"/>
        </w:rPr>
        <w:t>。</w:t>
      </w:r>
    </w:p>
    <w:p>
      <w:pPr>
        <w:pStyle w:val="8"/>
        <w:spacing w:line="623" w:lineRule="exact"/>
        <w:ind w:left="0" w:leftChars="0" w:firstLine="560" w:firstLineChars="200"/>
        <w:jc w:val="left"/>
        <w:rPr>
          <w:rFonts w:hint="eastAsia" w:ascii="宋体" w:hAnsi="宋体" w:eastAsia="宋体" w:cs="宋体"/>
          <w:sz w:val="28"/>
          <w:szCs w:val="28"/>
          <w:lang w:eastAsia="zh-CN"/>
        </w:rPr>
      </w:pPr>
      <w:r>
        <w:rPr>
          <w:rFonts w:hint="eastAsia" w:ascii="宋体" w:hAnsi="宋体" w:eastAsia="宋体" w:cs="宋体"/>
          <w:sz w:val="28"/>
          <w:szCs w:val="28"/>
        </w:rPr>
        <w:t>农林水支出（类）支出</w:t>
      </w:r>
      <w:r>
        <w:rPr>
          <w:rFonts w:ascii="宋体" w:hAnsi="宋体" w:eastAsia="宋体" w:cs="宋体"/>
          <w:sz w:val="28"/>
          <w:u w:color="auto"/>
        </w:rPr>
        <w:t>22.31</w:t>
      </w:r>
      <w:r>
        <w:rPr>
          <w:rFonts w:hint="eastAsia" w:ascii="宋体" w:hAnsi="宋体" w:eastAsia="宋体" w:cs="宋体"/>
          <w:sz w:val="28"/>
          <w:szCs w:val="28"/>
        </w:rPr>
        <w:t>万元，占支出总预算的</w:t>
      </w:r>
      <w:r>
        <w:rPr>
          <w:rFonts w:ascii="宋体" w:hAnsi="宋体" w:eastAsia="宋体" w:cs="宋体"/>
          <w:sz w:val="28"/>
          <w:u w:color="auto"/>
        </w:rPr>
        <w:t>1.49%</w:t>
      </w:r>
      <w:r>
        <w:rPr>
          <w:rFonts w:hint="eastAsia" w:ascii="宋体" w:hAnsi="宋体" w:eastAsia="宋体" w:cs="宋体"/>
          <w:sz w:val="28"/>
          <w:szCs w:val="28"/>
          <w:lang w:eastAsia="zh-CN"/>
        </w:rPr>
        <w:t>，</w:t>
      </w:r>
      <w:r>
        <w:rPr>
          <w:rFonts w:hint="eastAsia" w:ascii="宋体" w:hAnsi="宋体" w:eastAsia="宋体" w:cs="宋体"/>
          <w:sz w:val="28"/>
          <w:szCs w:val="28"/>
        </w:rPr>
        <w:t>较2023年度预算数</w:t>
      </w:r>
      <w:r>
        <w:rPr>
          <w:rFonts w:ascii="宋体" w:hAnsi="宋体" w:eastAsia="宋体" w:cs="宋体"/>
          <w:sz w:val="28"/>
          <w:u w:color="auto"/>
        </w:rPr>
        <w:t>57.47</w:t>
      </w:r>
      <w:r>
        <w:rPr>
          <w:rFonts w:hint="eastAsia" w:ascii="宋体" w:hAnsi="宋体" w:eastAsia="宋体" w:cs="宋体"/>
          <w:sz w:val="28"/>
          <w:szCs w:val="28"/>
        </w:rPr>
        <w:t>万元，</w:t>
      </w:r>
      <w:r>
        <w:rPr>
          <w:rFonts w:ascii="宋体" w:hAnsi="宋体" w:eastAsia="宋体" w:cs="宋体"/>
          <w:sz w:val="28"/>
          <w:u w:color="auto"/>
        </w:rPr>
        <w:t>减少35.16</w:t>
      </w:r>
      <w:r>
        <w:rPr>
          <w:rFonts w:hint="eastAsia" w:ascii="宋体" w:hAnsi="宋体" w:eastAsia="宋体" w:cs="宋体"/>
          <w:sz w:val="28"/>
          <w:szCs w:val="28"/>
        </w:rPr>
        <w:t>万元，</w:t>
      </w:r>
      <w:r>
        <w:rPr>
          <w:rFonts w:ascii="宋体" w:hAnsi="宋体" w:eastAsia="宋体" w:cs="宋体"/>
          <w:sz w:val="28"/>
          <w:u w:color="auto"/>
        </w:rPr>
        <w:t>减少61.18%</w:t>
      </w:r>
      <w:r>
        <w:rPr>
          <w:rFonts w:hint="eastAsia" w:cs="宋体"/>
          <w:sz w:val="28"/>
          <w:u w:color="auto"/>
          <w:lang w:eastAsia="zh-CN"/>
        </w:rPr>
        <w:t>。</w:t>
      </w:r>
    </w:p>
    <w:p>
      <w:pPr>
        <w:pStyle w:val="8"/>
        <w:spacing w:line="623" w:lineRule="exact"/>
        <w:ind w:left="0" w:leftChars="0" w:firstLine="560" w:firstLineChars="200"/>
        <w:jc w:val="left"/>
        <w:rPr>
          <w:rFonts w:hint="eastAsia" w:ascii="宋体" w:hAnsi="宋体" w:eastAsia="宋体" w:cs="宋体"/>
          <w:sz w:val="28"/>
          <w:szCs w:val="28"/>
          <w:lang w:eastAsia="zh-CN"/>
        </w:rPr>
      </w:pPr>
      <w:r>
        <w:rPr>
          <w:rFonts w:hint="eastAsia" w:ascii="宋体" w:hAnsi="宋体" w:eastAsia="宋体" w:cs="宋体"/>
          <w:sz w:val="28"/>
          <w:szCs w:val="28"/>
        </w:rPr>
        <w:t>城乡社区支出（类）支出</w:t>
      </w:r>
      <w:r>
        <w:rPr>
          <w:rFonts w:ascii="宋体" w:hAnsi="宋体" w:eastAsia="宋体" w:cs="宋体"/>
          <w:sz w:val="28"/>
          <w:u w:color="auto"/>
        </w:rPr>
        <w:t>0.00</w:t>
      </w:r>
      <w:r>
        <w:rPr>
          <w:rFonts w:hint="eastAsia" w:ascii="宋体" w:hAnsi="宋体" w:eastAsia="宋体" w:cs="宋体"/>
          <w:sz w:val="28"/>
          <w:szCs w:val="28"/>
        </w:rPr>
        <w:t>万元，占支出总预算的</w:t>
      </w:r>
      <w:r>
        <w:rPr>
          <w:rFonts w:ascii="宋体" w:hAnsi="宋体" w:eastAsia="宋体" w:cs="宋体"/>
          <w:sz w:val="28"/>
          <w:u w:color="auto"/>
        </w:rPr>
        <w:t>0.00%</w:t>
      </w:r>
      <w:r>
        <w:rPr>
          <w:rFonts w:hint="eastAsia" w:ascii="宋体" w:hAnsi="宋体" w:eastAsia="宋体" w:cs="宋体"/>
          <w:sz w:val="28"/>
          <w:szCs w:val="28"/>
          <w:lang w:eastAsia="zh-CN"/>
        </w:rPr>
        <w:t>，</w:t>
      </w:r>
      <w:r>
        <w:rPr>
          <w:rFonts w:hint="eastAsia" w:ascii="宋体" w:hAnsi="宋体" w:eastAsia="宋体" w:cs="宋体"/>
          <w:sz w:val="28"/>
          <w:szCs w:val="28"/>
        </w:rPr>
        <w:t>较2023年度预算数</w:t>
      </w:r>
      <w:r>
        <w:rPr>
          <w:rFonts w:ascii="宋体" w:hAnsi="宋体" w:eastAsia="宋体" w:cs="宋体"/>
          <w:sz w:val="28"/>
          <w:u w:color="auto"/>
        </w:rPr>
        <w:t>16.00</w:t>
      </w:r>
      <w:r>
        <w:rPr>
          <w:rFonts w:hint="eastAsia" w:ascii="宋体" w:hAnsi="宋体" w:eastAsia="宋体" w:cs="宋体"/>
          <w:sz w:val="28"/>
          <w:szCs w:val="28"/>
        </w:rPr>
        <w:t>万元，</w:t>
      </w:r>
      <w:r>
        <w:rPr>
          <w:rFonts w:ascii="宋体" w:hAnsi="宋体" w:eastAsia="宋体" w:cs="宋体"/>
          <w:sz w:val="28"/>
          <w:u w:color="auto"/>
        </w:rPr>
        <w:t>减少16.00</w:t>
      </w:r>
      <w:r>
        <w:rPr>
          <w:rFonts w:hint="eastAsia" w:ascii="宋体" w:hAnsi="宋体" w:eastAsia="宋体" w:cs="宋体"/>
          <w:sz w:val="28"/>
          <w:szCs w:val="28"/>
        </w:rPr>
        <w:t>万元，</w:t>
      </w:r>
      <w:r>
        <w:rPr>
          <w:rFonts w:ascii="宋体" w:hAnsi="宋体" w:eastAsia="宋体" w:cs="宋体"/>
          <w:sz w:val="28"/>
          <w:u w:color="auto"/>
        </w:rPr>
        <w:t>减少100.00%</w:t>
      </w:r>
      <w:r>
        <w:rPr>
          <w:rFonts w:hint="eastAsia" w:cs="宋体"/>
          <w:sz w:val="28"/>
          <w:szCs w:val="28"/>
          <w:lang w:eastAsia="zh-CN"/>
        </w:rPr>
        <w:t>。</w:t>
      </w:r>
    </w:p>
    <w:p>
      <w:pPr>
        <w:pStyle w:val="8"/>
        <w:spacing w:line="623" w:lineRule="exact"/>
        <w:ind w:left="0" w:leftChars="0" w:firstLine="560" w:firstLineChars="200"/>
        <w:jc w:val="left"/>
        <w:rPr>
          <w:rFonts w:hint="eastAsia" w:ascii="宋体" w:hAnsi="宋体" w:eastAsia="宋体" w:cs="宋体"/>
          <w:sz w:val="28"/>
          <w:szCs w:val="28"/>
          <w:lang w:eastAsia="zh-CN"/>
        </w:rPr>
      </w:pPr>
      <w:r>
        <w:rPr>
          <w:rFonts w:hint="eastAsia" w:ascii="宋体" w:hAnsi="宋体" w:eastAsia="宋体" w:cs="宋体"/>
          <w:sz w:val="28"/>
          <w:szCs w:val="28"/>
        </w:rPr>
        <w:t>文化旅游体育与传媒支出（类）支出</w:t>
      </w:r>
      <w:r>
        <w:rPr>
          <w:rFonts w:ascii="宋体" w:hAnsi="宋体" w:eastAsia="宋体" w:cs="宋体"/>
          <w:sz w:val="28"/>
          <w:u w:color="auto"/>
        </w:rPr>
        <w:t>0.00</w:t>
      </w:r>
      <w:r>
        <w:rPr>
          <w:rFonts w:hint="eastAsia" w:ascii="宋体" w:hAnsi="宋体" w:eastAsia="宋体" w:cs="宋体"/>
          <w:sz w:val="28"/>
          <w:szCs w:val="28"/>
        </w:rPr>
        <w:t>万元，占支出总预算的</w:t>
      </w:r>
      <w:r>
        <w:rPr>
          <w:rFonts w:ascii="宋体" w:hAnsi="宋体" w:eastAsia="宋体" w:cs="宋体"/>
          <w:sz w:val="28"/>
          <w:u w:color="auto"/>
        </w:rPr>
        <w:t>0.00%</w:t>
      </w:r>
      <w:r>
        <w:rPr>
          <w:rFonts w:hint="eastAsia" w:ascii="宋体" w:hAnsi="宋体" w:eastAsia="宋体" w:cs="宋体"/>
          <w:sz w:val="28"/>
          <w:szCs w:val="28"/>
          <w:lang w:eastAsia="zh-CN"/>
        </w:rPr>
        <w:t>，</w:t>
      </w:r>
      <w:r>
        <w:rPr>
          <w:rFonts w:hint="eastAsia" w:ascii="宋体" w:hAnsi="宋体" w:eastAsia="宋体" w:cs="宋体"/>
          <w:sz w:val="28"/>
          <w:szCs w:val="28"/>
        </w:rPr>
        <w:t>较2023年度预算数</w:t>
      </w:r>
      <w:r>
        <w:rPr>
          <w:rFonts w:ascii="宋体" w:hAnsi="宋体" w:eastAsia="宋体" w:cs="宋体"/>
          <w:sz w:val="28"/>
          <w:u w:color="auto"/>
        </w:rPr>
        <w:t>0.00</w:t>
      </w:r>
      <w:r>
        <w:rPr>
          <w:rFonts w:hint="eastAsia" w:ascii="宋体" w:hAnsi="宋体" w:eastAsia="宋体" w:cs="宋体"/>
          <w:sz w:val="28"/>
          <w:szCs w:val="28"/>
        </w:rPr>
        <w:t>万元，</w:t>
      </w:r>
      <w:r>
        <w:rPr>
          <w:rFonts w:ascii="宋体" w:hAnsi="宋体" w:eastAsia="宋体" w:cs="宋体"/>
          <w:sz w:val="28"/>
          <w:u w:color="auto"/>
        </w:rPr>
        <w:t>增长0.00</w:t>
      </w:r>
      <w:r>
        <w:rPr>
          <w:rFonts w:hint="eastAsia" w:ascii="宋体" w:hAnsi="宋体" w:eastAsia="宋体" w:cs="宋体"/>
          <w:sz w:val="28"/>
          <w:szCs w:val="28"/>
        </w:rPr>
        <w:t>万元，</w:t>
      </w:r>
      <w:r>
        <w:rPr>
          <w:rFonts w:ascii="宋体" w:hAnsi="宋体" w:eastAsia="宋体" w:cs="宋体"/>
          <w:sz w:val="28"/>
          <w:u w:color="auto"/>
        </w:rPr>
        <w:t>增长0%</w:t>
      </w:r>
      <w:r>
        <w:rPr>
          <w:rFonts w:hint="eastAsia" w:cs="宋体"/>
          <w:sz w:val="28"/>
          <w:u w:color="auto"/>
          <w:lang w:eastAsia="zh-CN"/>
        </w:rPr>
        <w:t>。</w:t>
      </w:r>
    </w:p>
    <w:p>
      <w:pPr>
        <w:pStyle w:val="8"/>
        <w:spacing w:line="623" w:lineRule="exact"/>
        <w:ind w:left="0" w:leftChars="0" w:firstLine="560" w:firstLineChars="200"/>
        <w:jc w:val="left"/>
        <w:rPr>
          <w:rFonts w:hint="eastAsia" w:ascii="宋体" w:hAnsi="宋体" w:eastAsia="宋体" w:cs="宋体"/>
          <w:sz w:val="28"/>
          <w:szCs w:val="28"/>
        </w:rPr>
      </w:pPr>
      <w:r>
        <w:rPr>
          <w:rFonts w:hint="eastAsia" w:ascii="宋体" w:hAnsi="宋体" w:eastAsia="宋体" w:cs="宋体"/>
          <w:sz w:val="28"/>
          <w:szCs w:val="28"/>
        </w:rPr>
        <w:t>社会保障和就业支出（类）支出</w:t>
      </w:r>
      <w:r>
        <w:rPr>
          <w:rFonts w:ascii="宋体" w:hAnsi="宋体" w:eastAsia="宋体" w:cs="宋体"/>
          <w:sz w:val="28"/>
          <w:u w:color="auto"/>
        </w:rPr>
        <w:t>68.04</w:t>
      </w:r>
      <w:r>
        <w:rPr>
          <w:rFonts w:hint="eastAsia" w:ascii="宋体" w:hAnsi="宋体" w:eastAsia="宋体" w:cs="宋体"/>
          <w:sz w:val="28"/>
          <w:szCs w:val="28"/>
        </w:rPr>
        <w:t>万元，占支出总预算的</w:t>
      </w:r>
      <w:r>
        <w:rPr>
          <w:rFonts w:ascii="宋体" w:hAnsi="宋体" w:eastAsia="宋体" w:cs="宋体"/>
          <w:sz w:val="28"/>
          <w:u w:color="auto"/>
        </w:rPr>
        <w:t>4.53%</w:t>
      </w:r>
      <w:r>
        <w:rPr>
          <w:rFonts w:hint="eastAsia" w:ascii="宋体" w:hAnsi="宋体" w:eastAsia="宋体" w:cs="宋体"/>
          <w:sz w:val="28"/>
          <w:szCs w:val="28"/>
          <w:lang w:eastAsia="zh-CN"/>
        </w:rPr>
        <w:t>，</w:t>
      </w:r>
      <w:r>
        <w:rPr>
          <w:rFonts w:hint="eastAsia" w:ascii="宋体" w:hAnsi="宋体" w:eastAsia="宋体" w:cs="宋体"/>
          <w:sz w:val="28"/>
          <w:szCs w:val="28"/>
        </w:rPr>
        <w:t>较2023年度预算数</w:t>
      </w:r>
      <w:r>
        <w:rPr>
          <w:rFonts w:ascii="宋体" w:hAnsi="宋体" w:eastAsia="宋体" w:cs="宋体"/>
          <w:sz w:val="28"/>
          <w:u w:color="auto"/>
        </w:rPr>
        <w:t>92.11</w:t>
      </w:r>
      <w:r>
        <w:rPr>
          <w:rFonts w:hint="eastAsia" w:ascii="宋体" w:hAnsi="宋体" w:eastAsia="宋体" w:cs="宋体"/>
          <w:sz w:val="28"/>
          <w:szCs w:val="28"/>
        </w:rPr>
        <w:t>万元，</w:t>
      </w:r>
      <w:r>
        <w:rPr>
          <w:rFonts w:ascii="宋体" w:hAnsi="宋体" w:eastAsia="宋体" w:cs="宋体"/>
          <w:sz w:val="28"/>
          <w:u w:color="auto"/>
        </w:rPr>
        <w:t>减少24.07</w:t>
      </w:r>
      <w:r>
        <w:rPr>
          <w:rFonts w:hint="eastAsia" w:ascii="宋体" w:hAnsi="宋体" w:eastAsia="宋体" w:cs="宋体"/>
          <w:sz w:val="28"/>
          <w:szCs w:val="28"/>
        </w:rPr>
        <w:t>万元，</w:t>
      </w:r>
      <w:r>
        <w:rPr>
          <w:rFonts w:ascii="宋体" w:hAnsi="宋体" w:eastAsia="宋体" w:cs="宋体"/>
          <w:sz w:val="28"/>
          <w:u w:color="auto"/>
        </w:rPr>
        <w:t>减少26.13%</w:t>
      </w:r>
      <w:r>
        <w:rPr>
          <w:rFonts w:hint="eastAsia" w:ascii="宋体" w:hAnsi="宋体" w:eastAsia="宋体" w:cs="宋体"/>
          <w:sz w:val="28"/>
          <w:szCs w:val="28"/>
        </w:rPr>
        <w:t>。</w:t>
      </w:r>
    </w:p>
    <w:p>
      <w:pPr>
        <w:pStyle w:val="8"/>
        <w:spacing w:line="623" w:lineRule="exact"/>
        <w:ind w:left="0" w:leftChars="0" w:firstLine="560" w:firstLineChars="200"/>
        <w:jc w:val="left"/>
        <w:rPr>
          <w:rFonts w:hint="eastAsia" w:ascii="宋体" w:hAnsi="宋体" w:eastAsia="宋体" w:cs="宋体"/>
          <w:sz w:val="28"/>
          <w:szCs w:val="28"/>
        </w:rPr>
      </w:pPr>
      <w:r>
        <w:rPr>
          <w:rFonts w:hint="eastAsia" w:ascii="宋体" w:hAnsi="宋体" w:eastAsia="宋体" w:cs="宋体"/>
          <w:sz w:val="28"/>
          <w:szCs w:val="28"/>
        </w:rPr>
        <w:t>节能环保支出（类）支出</w:t>
      </w:r>
      <w:r>
        <w:rPr>
          <w:rFonts w:ascii="宋体" w:hAnsi="宋体" w:eastAsia="宋体" w:cs="宋体"/>
          <w:sz w:val="28"/>
          <w:u w:color="auto"/>
        </w:rPr>
        <w:t>85.74</w:t>
      </w:r>
      <w:r>
        <w:rPr>
          <w:rFonts w:hint="eastAsia" w:ascii="宋体" w:hAnsi="宋体" w:eastAsia="宋体" w:cs="宋体"/>
          <w:sz w:val="28"/>
          <w:szCs w:val="28"/>
        </w:rPr>
        <w:t>万元，占支出总预算的</w:t>
      </w:r>
      <w:r>
        <w:rPr>
          <w:rFonts w:ascii="宋体" w:hAnsi="宋体" w:eastAsia="宋体" w:cs="宋体"/>
          <w:sz w:val="28"/>
          <w:u w:color="auto"/>
        </w:rPr>
        <w:t>5.71%</w:t>
      </w:r>
      <w:r>
        <w:rPr>
          <w:rFonts w:hint="eastAsia" w:ascii="宋体" w:hAnsi="宋体" w:eastAsia="宋体" w:cs="宋体"/>
          <w:sz w:val="28"/>
          <w:szCs w:val="28"/>
          <w:lang w:eastAsia="zh-CN"/>
        </w:rPr>
        <w:t>，</w:t>
      </w:r>
      <w:r>
        <w:rPr>
          <w:rFonts w:hint="eastAsia" w:ascii="宋体" w:hAnsi="宋体" w:eastAsia="宋体" w:cs="宋体"/>
          <w:sz w:val="28"/>
          <w:szCs w:val="28"/>
        </w:rPr>
        <w:t>较2023年度预算数</w:t>
      </w:r>
      <w:r>
        <w:rPr>
          <w:rFonts w:ascii="宋体" w:hAnsi="宋体" w:eastAsia="宋体" w:cs="宋体"/>
          <w:sz w:val="28"/>
          <w:u w:color="auto"/>
        </w:rPr>
        <w:t>271.64</w:t>
      </w:r>
      <w:r>
        <w:rPr>
          <w:rFonts w:hint="eastAsia" w:ascii="宋体" w:hAnsi="宋体" w:eastAsia="宋体" w:cs="宋体"/>
          <w:sz w:val="28"/>
          <w:szCs w:val="28"/>
        </w:rPr>
        <w:t>万元，</w:t>
      </w:r>
      <w:r>
        <w:rPr>
          <w:rFonts w:ascii="宋体" w:hAnsi="宋体" w:eastAsia="宋体" w:cs="宋体"/>
          <w:sz w:val="28"/>
          <w:u w:color="auto"/>
        </w:rPr>
        <w:t>减少185.90</w:t>
      </w:r>
      <w:r>
        <w:rPr>
          <w:rFonts w:hint="eastAsia" w:ascii="宋体" w:hAnsi="宋体" w:eastAsia="宋体" w:cs="宋体"/>
          <w:sz w:val="28"/>
          <w:szCs w:val="28"/>
        </w:rPr>
        <w:t>万元，</w:t>
      </w:r>
      <w:r>
        <w:rPr>
          <w:rFonts w:ascii="宋体" w:hAnsi="宋体" w:eastAsia="宋体" w:cs="宋体"/>
          <w:sz w:val="28"/>
          <w:u w:color="auto"/>
        </w:rPr>
        <w:t>减少68.44%</w:t>
      </w:r>
      <w:r>
        <w:rPr>
          <w:rFonts w:hint="eastAsia" w:ascii="宋体" w:hAnsi="宋体" w:eastAsia="宋体" w:cs="宋体"/>
          <w:sz w:val="28"/>
          <w:szCs w:val="28"/>
        </w:rPr>
        <w:t>。</w:t>
      </w:r>
    </w:p>
    <w:p>
      <w:pPr>
        <w:pStyle w:val="8"/>
        <w:spacing w:line="623" w:lineRule="exact"/>
        <w:ind w:left="0" w:leftChars="0" w:firstLine="560" w:firstLineChars="200"/>
        <w:jc w:val="left"/>
        <w:rPr>
          <w:rFonts w:hint="eastAsia" w:ascii="宋体" w:hAnsi="宋体" w:eastAsia="宋体" w:cs="宋体"/>
          <w:sz w:val="28"/>
          <w:szCs w:val="28"/>
        </w:rPr>
      </w:pPr>
      <w:r>
        <w:rPr>
          <w:rFonts w:hint="eastAsia" w:ascii="宋体" w:hAnsi="宋体" w:eastAsia="宋体" w:cs="宋体"/>
          <w:sz w:val="28"/>
          <w:szCs w:val="28"/>
        </w:rPr>
        <w:t>转移性支出（类）支出</w:t>
      </w:r>
      <w:r>
        <w:rPr>
          <w:rFonts w:ascii="宋体" w:hAnsi="宋体" w:eastAsia="宋体" w:cs="宋体"/>
          <w:sz w:val="28"/>
          <w:u w:color="auto"/>
        </w:rPr>
        <w:t>0.00</w:t>
      </w:r>
      <w:r>
        <w:rPr>
          <w:rFonts w:hint="eastAsia" w:ascii="宋体" w:hAnsi="宋体" w:eastAsia="宋体" w:cs="宋体"/>
          <w:sz w:val="28"/>
          <w:szCs w:val="28"/>
        </w:rPr>
        <w:t>万元，占支出总预算的</w:t>
      </w:r>
      <w:r>
        <w:rPr>
          <w:rFonts w:ascii="宋体" w:hAnsi="宋体" w:eastAsia="宋体" w:cs="宋体"/>
          <w:sz w:val="28"/>
          <w:u w:color="auto"/>
        </w:rPr>
        <w:t>0.00%</w:t>
      </w:r>
      <w:r>
        <w:rPr>
          <w:rFonts w:hint="eastAsia" w:ascii="宋体" w:hAnsi="宋体" w:eastAsia="宋体" w:cs="宋体"/>
          <w:sz w:val="28"/>
          <w:szCs w:val="28"/>
          <w:lang w:eastAsia="zh-CN"/>
        </w:rPr>
        <w:t>，</w:t>
      </w:r>
      <w:r>
        <w:rPr>
          <w:rFonts w:hint="eastAsia" w:ascii="宋体" w:hAnsi="宋体" w:eastAsia="宋体" w:cs="宋体"/>
          <w:sz w:val="28"/>
          <w:szCs w:val="28"/>
        </w:rPr>
        <w:t>较2023年度预算数</w:t>
      </w:r>
      <w:r>
        <w:rPr>
          <w:rFonts w:ascii="宋体" w:hAnsi="宋体" w:eastAsia="宋体" w:cs="宋体"/>
          <w:sz w:val="28"/>
          <w:u w:color="auto"/>
        </w:rPr>
        <w:t>0.93</w:t>
      </w:r>
      <w:r>
        <w:rPr>
          <w:rFonts w:hint="eastAsia" w:ascii="宋体" w:hAnsi="宋体" w:eastAsia="宋体" w:cs="宋体"/>
          <w:sz w:val="28"/>
          <w:szCs w:val="28"/>
        </w:rPr>
        <w:t>万元，</w:t>
      </w:r>
      <w:r>
        <w:rPr>
          <w:rFonts w:ascii="宋体" w:hAnsi="宋体" w:eastAsia="宋体" w:cs="宋体"/>
          <w:sz w:val="28"/>
          <w:u w:color="auto"/>
        </w:rPr>
        <w:t>减少0.93</w:t>
      </w:r>
      <w:r>
        <w:rPr>
          <w:rFonts w:hint="eastAsia" w:ascii="宋体" w:hAnsi="宋体" w:eastAsia="宋体" w:cs="宋体"/>
          <w:sz w:val="28"/>
          <w:szCs w:val="28"/>
        </w:rPr>
        <w:t>万元，</w:t>
      </w:r>
      <w:r>
        <w:rPr>
          <w:rFonts w:ascii="宋体" w:hAnsi="宋体" w:eastAsia="宋体" w:cs="宋体"/>
          <w:sz w:val="28"/>
          <w:u w:color="auto"/>
        </w:rPr>
        <w:t>减少100.00%</w:t>
      </w:r>
      <w:r>
        <w:rPr>
          <w:rFonts w:hint="eastAsia" w:ascii="宋体" w:hAnsi="宋体" w:eastAsia="宋体" w:cs="宋体"/>
          <w:sz w:val="28"/>
          <w:szCs w:val="28"/>
        </w:rPr>
        <w:t>。</w:t>
      </w:r>
    </w:p>
    <w:p>
      <w:pPr>
        <w:pStyle w:val="8"/>
        <w:spacing w:line="623" w:lineRule="exact"/>
        <w:ind w:left="0" w:leftChars="0" w:firstLine="560" w:firstLineChars="200"/>
        <w:jc w:val="left"/>
        <w:rPr>
          <w:rFonts w:hint="eastAsia" w:ascii="宋体" w:hAnsi="宋体" w:eastAsia="宋体" w:cs="宋体"/>
          <w:sz w:val="28"/>
          <w:szCs w:val="28"/>
        </w:rPr>
      </w:pPr>
    </w:p>
    <w:p>
      <w:pPr>
        <w:pStyle w:val="8"/>
        <w:spacing w:line="623" w:lineRule="exact"/>
        <w:ind w:left="0" w:leftChars="0" w:firstLine="560" w:firstLineChars="200"/>
        <w:jc w:val="left"/>
        <w:rPr>
          <w:rFonts w:hint="eastAsia" w:ascii="宋体" w:hAnsi="宋体" w:eastAsia="宋体" w:cs="宋体"/>
          <w:sz w:val="28"/>
          <w:szCs w:val="28"/>
        </w:rPr>
      </w:pPr>
    </w:p>
    <w:p>
      <w:pPr>
        <w:pStyle w:val="8"/>
        <w:spacing w:line="623" w:lineRule="exact"/>
        <w:ind w:left="0" w:leftChars="0" w:firstLine="560" w:firstLineChars="200"/>
        <w:jc w:val="left"/>
        <w:rPr>
          <w:rFonts w:hint="eastAsia" w:ascii="宋体" w:hAnsi="宋体" w:eastAsia="宋体" w:cs="宋体"/>
          <w:sz w:val="28"/>
          <w:szCs w:val="28"/>
        </w:rPr>
      </w:pPr>
    </w:p>
    <w:p>
      <w:pPr>
        <w:pStyle w:val="8"/>
        <w:spacing w:line="623" w:lineRule="exact"/>
        <w:ind w:left="0" w:leftChars="0" w:firstLine="560" w:firstLineChars="200"/>
        <w:jc w:val="left"/>
        <w:rPr>
          <w:rFonts w:hint="eastAsia" w:ascii="宋体" w:hAnsi="宋体" w:eastAsia="宋体" w:cs="宋体"/>
          <w:sz w:val="28"/>
          <w:szCs w:val="28"/>
        </w:rPr>
      </w:pPr>
    </w:p>
    <w:p>
      <w:pPr>
        <w:pStyle w:val="8"/>
        <w:spacing w:line="623" w:lineRule="exact"/>
        <w:ind w:left="0" w:leftChars="0" w:firstLine="560" w:firstLineChars="200"/>
        <w:jc w:val="left"/>
        <w:rPr>
          <w:rFonts w:hint="eastAsia" w:ascii="宋体" w:hAnsi="宋体" w:eastAsia="宋体" w:cs="宋体"/>
          <w:sz w:val="28"/>
          <w:szCs w:val="28"/>
        </w:rPr>
      </w:pPr>
    </w:p>
    <w:p>
      <w:pPr>
        <w:pStyle w:val="8"/>
        <w:spacing w:line="623" w:lineRule="exact"/>
        <w:ind w:left="0" w:leftChars="0" w:firstLine="560" w:firstLineChars="200"/>
        <w:jc w:val="left"/>
        <w:rPr>
          <w:rFonts w:hint="eastAsia" w:ascii="宋体" w:hAnsi="宋体" w:eastAsia="宋体" w:cs="宋体"/>
          <w:sz w:val="28"/>
          <w:szCs w:val="28"/>
        </w:rPr>
      </w:pPr>
    </w:p>
    <w:p>
      <w:pPr>
        <w:pStyle w:val="8"/>
        <w:spacing w:line="623" w:lineRule="exact"/>
        <w:ind w:left="0" w:leftChars="0" w:firstLine="560" w:firstLineChars="200"/>
        <w:jc w:val="left"/>
        <w:rPr>
          <w:rFonts w:hint="eastAsia" w:ascii="宋体" w:hAnsi="宋体" w:eastAsia="宋体" w:cs="宋体"/>
          <w:sz w:val="28"/>
          <w:szCs w:val="28"/>
        </w:rPr>
      </w:pPr>
    </w:p>
    <w:p>
      <w:pPr>
        <w:pStyle w:val="8"/>
        <w:spacing w:line="623" w:lineRule="exact"/>
        <w:ind w:left="0" w:leftChars="0" w:firstLine="560" w:firstLineChars="200"/>
        <w:jc w:val="left"/>
        <w:rPr>
          <w:rFonts w:hint="eastAsia" w:ascii="宋体" w:hAnsi="宋体" w:eastAsia="宋体" w:cs="宋体"/>
          <w:sz w:val="28"/>
          <w:szCs w:val="28"/>
        </w:rPr>
      </w:pPr>
    </w:p>
    <w:p>
      <w:pPr>
        <w:pStyle w:val="8"/>
        <w:spacing w:line="623" w:lineRule="exact"/>
        <w:ind w:left="0" w:leftChars="0" w:firstLine="560" w:firstLineChars="200"/>
        <w:jc w:val="left"/>
        <w:rPr>
          <w:rFonts w:hint="eastAsia" w:ascii="宋体" w:hAnsi="宋体" w:eastAsia="宋体" w:cs="宋体"/>
          <w:sz w:val="28"/>
          <w:szCs w:val="28"/>
        </w:rPr>
      </w:pPr>
    </w:p>
    <w:p>
      <w:pPr>
        <w:pStyle w:val="8"/>
        <w:spacing w:line="623" w:lineRule="exact"/>
        <w:ind w:left="0" w:leftChars="0" w:firstLine="560" w:firstLineChars="200"/>
        <w:jc w:val="left"/>
        <w:rPr>
          <w:rFonts w:hint="eastAsia" w:ascii="宋体" w:hAnsi="宋体" w:eastAsia="宋体" w:cs="宋体"/>
          <w:sz w:val="28"/>
          <w:szCs w:val="28"/>
        </w:rPr>
      </w:pPr>
    </w:p>
    <w:p>
      <w:pPr>
        <w:pStyle w:val="8"/>
        <w:spacing w:line="623" w:lineRule="exact"/>
        <w:ind w:left="0" w:leftChars="0" w:firstLine="560" w:firstLineChars="200"/>
        <w:jc w:val="left"/>
        <w:rPr>
          <w:rFonts w:hint="eastAsia" w:ascii="宋体" w:hAnsi="宋体" w:eastAsia="宋体" w:cs="宋体"/>
          <w:sz w:val="28"/>
          <w:szCs w:val="28"/>
        </w:rPr>
      </w:pPr>
    </w:p>
    <w:p>
      <w:pPr>
        <w:pStyle w:val="7"/>
        <w:tabs>
          <w:tab w:val="left" w:pos="1235"/>
        </w:tabs>
        <w:spacing w:after="0" w:line="624" w:lineRule="exact"/>
        <w:ind w:firstLine="580"/>
        <w:jc w:val="left"/>
        <w:rPr>
          <w:b/>
          <w:bCs/>
        </w:rPr>
      </w:pPr>
      <w:r>
        <w:rPr>
          <w:rFonts w:hint="eastAsia"/>
          <w:b/>
          <w:bCs/>
          <w:lang w:val="en-US" w:eastAsia="zh-CN"/>
        </w:rPr>
        <w:t>六、</w:t>
      </w:r>
      <w:r>
        <w:rPr>
          <w:b/>
          <w:bCs/>
        </w:rPr>
        <w:t>一般公共预算基本支出情况说明</w:t>
      </w:r>
    </w:p>
    <w:p>
      <w:pPr>
        <w:pStyle w:val="7"/>
        <w:spacing w:after="0"/>
        <w:ind w:firstLine="0"/>
        <w:jc w:val="left"/>
        <w:rPr>
          <w:highlight w:val="yellow"/>
          <w:lang w:val="en-US" w:eastAsia="zh-CN"/>
        </w:rPr>
      </w:pPr>
      <w:r>
        <w:rPr>
          <w:highlight w:val="none"/>
          <w:lang w:val="en-US" w:eastAsia="zh-CN"/>
        </w:rPr>
        <w:drawing>
          <wp:inline distT="0" distB="0" distL="114300" distR="114300">
            <wp:extent cx="5080000" cy="3810000"/>
            <wp:effectExtent l="4445" t="4445" r="5715" b="10795"/>
            <wp:docPr id="6156" name="图表 3" title="{{rep6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pStyle w:val="8"/>
        <w:spacing w:line="623" w:lineRule="exact"/>
        <w:ind w:left="0" w:leftChars="0" w:firstLine="560" w:firstLineChars="200"/>
        <w:jc w:val="left"/>
        <w:rPr>
          <w:rFonts w:hint="eastAsia"/>
          <w:lang w:val="en-US" w:eastAsia="zh-CN"/>
        </w:rPr>
      </w:pPr>
      <w:r>
        <w:rPr>
          <w:rFonts w:hint="eastAsia"/>
          <w:lang w:val="en-US" w:eastAsia="zh-CN"/>
        </w:rPr>
        <w:t>2024</w:t>
      </w:r>
      <w:r>
        <w:rPr>
          <w:u w:color="auto"/>
        </w:rPr>
        <w:t>年</w:t>
      </w:r>
      <w:r>
        <w:rPr>
          <w:rFonts w:hint="eastAsia"/>
        </w:rPr>
        <w:t>一般公共预算基本支出共</w:t>
      </w:r>
      <w:r>
        <w:rPr>
          <w:rFonts w:hint="eastAsia"/>
          <w:lang w:val="en-US" w:eastAsia="zh-CN"/>
        </w:rPr>
        <w:t>939.31</w:t>
      </w:r>
      <w:r>
        <w:rPr>
          <w:rFonts w:hint="eastAsia"/>
        </w:rPr>
        <w:t>万元，较2023年度预算数</w:t>
      </w:r>
      <w:r>
        <w:rPr>
          <w:rFonts w:hint="eastAsia"/>
          <w:lang w:val="en-US" w:eastAsia="zh-CN"/>
        </w:rPr>
        <w:t>793.05</w:t>
      </w:r>
      <w:r>
        <w:rPr>
          <w:rFonts w:hint="eastAsia"/>
        </w:rPr>
        <w:t>万元</w:t>
      </w:r>
      <w:r>
        <w:rPr>
          <w:rFonts w:hint="eastAsia"/>
          <w:lang w:val="en-US" w:eastAsia="zh-CN"/>
        </w:rPr>
        <w:t>,</w:t>
      </w:r>
      <w:r>
        <w:rPr>
          <w:u w:color="auto"/>
        </w:rPr>
        <w:t>增加146.26</w:t>
      </w:r>
      <w:r>
        <w:rPr>
          <w:rFonts w:hint="eastAsia"/>
        </w:rPr>
        <w:t>万元，</w:t>
      </w:r>
      <w:r>
        <w:rPr>
          <w:rFonts w:hint="eastAsia"/>
          <w:lang w:val="en-US" w:eastAsia="zh-CN"/>
        </w:rPr>
        <w:t>增长18.44%</w:t>
      </w:r>
      <w:r>
        <w:rPr>
          <w:rFonts w:hint="eastAsia"/>
          <w:lang w:eastAsia="zh-CN"/>
        </w:rPr>
        <w:t>，</w:t>
      </w:r>
      <w:r>
        <w:rPr>
          <w:rFonts w:hint="eastAsia"/>
        </w:rPr>
        <w:t>具体情况为：</w:t>
      </w:r>
    </w:p>
    <w:p>
      <w:pPr>
        <w:pStyle w:val="8"/>
        <w:spacing w:line="626" w:lineRule="exact"/>
        <w:ind w:firstLine="600"/>
        <w:jc w:val="left"/>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pPr>
      <w:r>
        <w:rPr>
          <w:rFonts w:hint="eastAsia"/>
          <w:lang w:val="en-US" w:eastAsia="zh-CN"/>
        </w:rPr>
        <w:t>商品和服务支出</w:t>
      </w:r>
      <w:r>
        <w:rPr>
          <w:rFonts w:hint="eastAsia"/>
        </w:rPr>
        <w:t>支出预算</w:t>
      </w:r>
      <w:r>
        <w:rPr>
          <w:rFonts w:hint="eastAsia"/>
          <w:lang w:val="en-US" w:eastAsia="zh-CN"/>
        </w:rPr>
        <w:t>58.72</w:t>
      </w:r>
      <w:r>
        <w:t>万元</w:t>
      </w:r>
      <w:r>
        <w:rPr>
          <w:rFonts w:hint="eastAsia"/>
          <w:lang w:eastAsia="zh-CN"/>
        </w:rPr>
        <w:t>，</w:t>
      </w:r>
      <w:r>
        <w:rPr>
          <w:rFonts w:hint="eastAsia"/>
        </w:rPr>
        <w:t>占基本支出预算的</w:t>
      </w:r>
      <w:r>
        <w:rPr>
          <w:rFonts w:hint="eastAsia"/>
          <w:lang w:val="en-US" w:eastAsia="zh-CN"/>
        </w:rPr>
        <w:t>6.25%</w:t>
      </w:r>
      <w:r>
        <w:rPr>
          <w:rFonts w:hint="eastAsia"/>
        </w:rPr>
        <w:t>，</w:t>
      </w:r>
      <w:r>
        <w:rPr>
          <w:rFonts w:hint="eastAsia" w:ascii="宋体" w:hAnsi="宋体" w:eastAsia="宋体" w:cs="宋体"/>
          <w:color w:val="000000" w:themeColor="text1"/>
          <w:sz w:val="28"/>
          <w:szCs w:val="28"/>
          <w14:textFill>
            <w14:solidFill>
              <w14:schemeClr w14:val="tx1"/>
            </w14:solidFill>
          </w14:textFill>
        </w:rPr>
        <w:t>较2023年度预算数</w:t>
      </w:r>
      <w:r>
        <w:rPr>
          <w:rFonts w:hint="eastAsia" w:ascii="宋体" w:hAnsi="宋体" w:eastAsia="宋体" w:cs="宋体"/>
          <w:color w:val="000000" w:themeColor="text1"/>
          <w:sz w:val="28"/>
          <w:szCs w:val="28"/>
          <w:lang w:val="en-US" w:eastAsia="zh-CN"/>
          <w14:textFill>
            <w14:solidFill>
              <w14:schemeClr w14:val="tx1"/>
            </w14:solidFill>
          </w14:textFill>
        </w:rPr>
        <w:t>61.71</w:t>
      </w:r>
      <w:r>
        <w:rPr>
          <w:rFonts w:hint="eastAsia" w:ascii="宋体" w:hAnsi="宋体" w:eastAsia="宋体" w:cs="宋体"/>
          <w:color w:val="000000" w:themeColor="text1"/>
          <w:sz w:val="28"/>
          <w:szCs w:val="28"/>
          <w14:textFill>
            <w14:solidFill>
              <w14:schemeClr w14:val="tx1"/>
            </w14:solidFill>
          </w14:textFill>
        </w:rPr>
        <w:t>万元，</w:t>
      </w:r>
      <w:r>
        <w:rPr>
          <w:rFonts w:hint="eastAsia" w:ascii="宋体" w:hAnsi="宋体" w:eastAsia="宋体" w:cs="宋体"/>
          <w:color w:val="000000" w:themeColor="text1"/>
          <w:sz w:val="28"/>
          <w:szCs w:val="28"/>
          <w:lang w:val="en-US" w:eastAsia="zh-CN"/>
          <w14:textFill>
            <w14:solidFill>
              <w14:schemeClr w14:val="tx1"/>
            </w14:solidFill>
          </w14:textFill>
        </w:rPr>
        <w:t>减少2.99</w:t>
      </w:r>
      <w:r>
        <w:rPr>
          <w:rFonts w:hint="eastAsia" w:ascii="宋体" w:hAnsi="宋体" w:eastAsia="宋体" w:cs="宋体"/>
          <w:color w:val="000000" w:themeColor="text1"/>
          <w:sz w:val="28"/>
          <w:szCs w:val="28"/>
          <w14:textFill>
            <w14:solidFill>
              <w14:schemeClr w14:val="tx1"/>
            </w14:solidFill>
          </w14:textFill>
        </w:rPr>
        <w:t>万元，</w:t>
      </w:r>
      <w:r>
        <w:rPr>
          <w:rFonts w:hint="eastAsia" w:ascii="宋体" w:hAnsi="宋体" w:eastAsia="宋体" w:cs="宋体"/>
          <w:color w:val="000000" w:themeColor="text1"/>
          <w:sz w:val="28"/>
          <w:szCs w:val="28"/>
          <w:lang w:val="en-US" w:eastAsia="zh-CN"/>
          <w14:textFill>
            <w14:solidFill>
              <w14:schemeClr w14:val="tx1"/>
            </w14:solidFill>
          </w14:textFill>
        </w:rPr>
        <w:t>减少4.85%</w:t>
      </w:r>
      <w:r>
        <w:rPr>
          <w:rFonts w:hint="eastAsia" w:ascii="宋体" w:hAnsi="宋体" w:eastAsia="宋体" w:cs="宋体"/>
          <w:color w:val="000000" w:themeColor="text1"/>
          <w:sz w:val="28"/>
          <w:szCs w:val="28"/>
          <w14:textFill>
            <w14:solidFill>
              <w14:schemeClr w14:val="tx1"/>
            </w14:solidFill>
          </w14:textFill>
        </w:rPr>
        <w:t>，</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主要用于确保人大、党委、政府机关正常运转的办公费、印刷费、水电费、培训费、差旅费、会议费等日常公用经费支出。</w:t>
      </w:r>
    </w:p>
    <w:p>
      <w:pPr>
        <w:pStyle w:val="8"/>
        <w:spacing w:line="626" w:lineRule="exact"/>
        <w:ind w:firstLine="600"/>
        <w:jc w:val="left"/>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工资福利支出</w:t>
      </w:r>
      <w:r>
        <w:rPr>
          <w:rFonts w:hint="eastAsia" w:ascii="宋体" w:hAnsi="宋体" w:eastAsia="宋体" w:cs="宋体"/>
          <w:color w:val="000000" w:themeColor="text1"/>
          <w:sz w:val="28"/>
          <w:szCs w:val="28"/>
          <w14:textFill>
            <w14:solidFill>
              <w14:schemeClr w14:val="tx1"/>
            </w14:solidFill>
          </w14:textFill>
        </w:rPr>
        <w:t>支出预算</w:t>
      </w:r>
      <w:r>
        <w:rPr>
          <w:rFonts w:hint="eastAsia" w:ascii="宋体" w:hAnsi="宋体" w:eastAsia="宋体" w:cs="宋体"/>
          <w:color w:val="000000" w:themeColor="text1"/>
          <w:sz w:val="28"/>
          <w:szCs w:val="28"/>
          <w:lang w:val="en-US" w:eastAsia="zh-CN"/>
          <w14:textFill>
            <w14:solidFill>
              <w14:schemeClr w14:val="tx1"/>
            </w14:solidFill>
          </w14:textFill>
        </w:rPr>
        <w:t>827.36</w:t>
      </w:r>
      <w:r>
        <w:rPr>
          <w:rFonts w:hint="eastAsia" w:ascii="宋体" w:hAnsi="宋体" w:eastAsia="宋体" w:cs="宋体"/>
          <w:color w:val="000000" w:themeColor="text1"/>
          <w:sz w:val="28"/>
          <w:szCs w:val="28"/>
          <w14:textFill>
            <w14:solidFill>
              <w14:schemeClr w14:val="tx1"/>
            </w14:solidFill>
          </w14:textFill>
        </w:rPr>
        <w:t>万元</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占基本支出预算的</w:t>
      </w:r>
      <w:r>
        <w:rPr>
          <w:rFonts w:hint="eastAsia" w:ascii="宋体" w:hAnsi="宋体" w:eastAsia="宋体" w:cs="宋体"/>
          <w:color w:val="000000" w:themeColor="text1"/>
          <w:sz w:val="28"/>
          <w:szCs w:val="28"/>
          <w:lang w:val="en-US" w:eastAsia="zh-CN"/>
          <w14:textFill>
            <w14:solidFill>
              <w14:schemeClr w14:val="tx1"/>
            </w14:solidFill>
          </w14:textFill>
        </w:rPr>
        <w:t>88.08%</w:t>
      </w:r>
      <w:r>
        <w:rPr>
          <w:rFonts w:hint="eastAsia" w:ascii="宋体" w:hAnsi="宋体" w:eastAsia="宋体" w:cs="宋体"/>
          <w:color w:val="000000" w:themeColor="text1"/>
          <w:sz w:val="28"/>
          <w:szCs w:val="28"/>
          <w14:textFill>
            <w14:solidFill>
              <w14:schemeClr w14:val="tx1"/>
            </w14:solidFill>
          </w14:textFill>
        </w:rPr>
        <w:t>，较2023年度预算数</w:t>
      </w:r>
      <w:r>
        <w:rPr>
          <w:rFonts w:hint="eastAsia" w:ascii="宋体" w:hAnsi="宋体" w:eastAsia="宋体" w:cs="宋体"/>
          <w:color w:val="000000" w:themeColor="text1"/>
          <w:sz w:val="28"/>
          <w:szCs w:val="28"/>
          <w:lang w:val="en-US" w:eastAsia="zh-CN"/>
          <w14:textFill>
            <w14:solidFill>
              <w14:schemeClr w14:val="tx1"/>
            </w14:solidFill>
          </w14:textFill>
        </w:rPr>
        <w:t>689.92</w:t>
      </w:r>
      <w:r>
        <w:rPr>
          <w:rFonts w:hint="eastAsia" w:ascii="宋体" w:hAnsi="宋体" w:eastAsia="宋体" w:cs="宋体"/>
          <w:color w:val="000000" w:themeColor="text1"/>
          <w:sz w:val="28"/>
          <w:szCs w:val="28"/>
          <w14:textFill>
            <w14:solidFill>
              <w14:schemeClr w14:val="tx1"/>
            </w14:solidFill>
          </w14:textFill>
        </w:rPr>
        <w:t>万元，</w:t>
      </w:r>
      <w:r>
        <w:rPr>
          <w:rFonts w:hint="eastAsia" w:ascii="宋体" w:hAnsi="宋体" w:eastAsia="宋体" w:cs="宋体"/>
          <w:color w:val="000000" w:themeColor="text1"/>
          <w:sz w:val="28"/>
          <w:szCs w:val="28"/>
          <w:lang w:val="en-US" w:eastAsia="zh-CN"/>
          <w14:textFill>
            <w14:solidFill>
              <w14:schemeClr w14:val="tx1"/>
            </w14:solidFill>
          </w14:textFill>
        </w:rPr>
        <w:t>增长137.44</w:t>
      </w:r>
      <w:r>
        <w:rPr>
          <w:rFonts w:hint="eastAsia" w:ascii="宋体" w:hAnsi="宋体" w:eastAsia="宋体" w:cs="宋体"/>
          <w:color w:val="000000" w:themeColor="text1"/>
          <w:sz w:val="28"/>
          <w:szCs w:val="28"/>
          <w14:textFill>
            <w14:solidFill>
              <w14:schemeClr w14:val="tx1"/>
            </w14:solidFill>
          </w14:textFill>
        </w:rPr>
        <w:t>万元，</w:t>
      </w:r>
      <w:r>
        <w:rPr>
          <w:rFonts w:hint="eastAsia" w:ascii="宋体" w:hAnsi="宋体" w:eastAsia="宋体" w:cs="宋体"/>
          <w:color w:val="000000" w:themeColor="text1"/>
          <w:sz w:val="28"/>
          <w:szCs w:val="28"/>
          <w:lang w:val="en-US" w:eastAsia="zh-CN"/>
          <w14:textFill>
            <w14:solidFill>
              <w14:schemeClr w14:val="tx1"/>
            </w14:solidFill>
          </w14:textFill>
        </w:rPr>
        <w:t>增长19.92%</w:t>
      </w:r>
      <w:r>
        <w:rPr>
          <w:rFonts w:hint="eastAsia" w:ascii="宋体" w:hAnsi="宋体" w:eastAsia="宋体" w:cs="宋体"/>
          <w:color w:val="000000" w:themeColor="text1"/>
          <w:sz w:val="28"/>
          <w:szCs w:val="28"/>
          <w14:textFill>
            <w14:solidFill>
              <w14:schemeClr w14:val="tx1"/>
            </w14:solidFill>
          </w14:textFill>
        </w:rPr>
        <w:t>，</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主要用于人大、党委、政府机关等部门为保证日常运转发生的基本支出和按规定预留的绩效工资</w:t>
      </w:r>
      <w:r>
        <w:rPr>
          <w:rFonts w:hint="eastAsia" w:cs="宋体"/>
          <w:i w:val="0"/>
          <w:iCs w:val="0"/>
          <w:caps w:val="0"/>
          <w:color w:val="000000" w:themeColor="text1"/>
          <w:spacing w:val="0"/>
          <w:sz w:val="28"/>
          <w:szCs w:val="28"/>
          <w:shd w:val="clear"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如根据国家规定的基本工资和津补贴标准等安排的人员经费支出</w:t>
      </w:r>
      <w:r>
        <w:rPr>
          <w:rFonts w:hint="eastAsia" w:cs="宋体"/>
          <w:i w:val="0"/>
          <w:iCs w:val="0"/>
          <w:caps w:val="0"/>
          <w:color w:val="000000" w:themeColor="text1"/>
          <w:spacing w:val="0"/>
          <w:sz w:val="28"/>
          <w:szCs w:val="28"/>
          <w:shd w:val="clear" w:fill="FFFFFF"/>
          <w:lang w:eastAsia="zh-CN"/>
          <w14:textFill>
            <w14:solidFill>
              <w14:schemeClr w14:val="tx1"/>
            </w14:solidFill>
          </w14:textFill>
        </w:rPr>
        <w:t>。</w:t>
      </w:r>
    </w:p>
    <w:p>
      <w:pPr>
        <w:pStyle w:val="8"/>
        <w:spacing w:line="626" w:lineRule="exact"/>
        <w:ind w:firstLine="600"/>
        <w:jc w:val="left"/>
        <w:rPr>
          <w:rFonts w:hint="default"/>
          <w:lang w:val="en-US" w:eastAsia="zh-CN"/>
        </w:rPr>
      </w:pPr>
      <w:r>
        <w:rPr>
          <w:rFonts w:hint="eastAsia"/>
          <w:lang w:val="en-US" w:eastAsia="zh-CN"/>
        </w:rPr>
        <w:t>对个人和家庭的补助</w:t>
      </w:r>
      <w:r>
        <w:rPr>
          <w:rFonts w:hint="eastAsia"/>
        </w:rPr>
        <w:t>支出预算</w:t>
      </w:r>
      <w:r>
        <w:rPr>
          <w:rFonts w:hint="eastAsia"/>
          <w:lang w:val="en-US" w:eastAsia="zh-CN"/>
        </w:rPr>
        <w:t>53.24</w:t>
      </w:r>
      <w:r>
        <w:t>万元</w:t>
      </w:r>
      <w:r>
        <w:rPr>
          <w:rFonts w:hint="eastAsia"/>
          <w:lang w:eastAsia="zh-CN"/>
        </w:rPr>
        <w:t>，</w:t>
      </w:r>
      <w:r>
        <w:rPr>
          <w:rFonts w:hint="eastAsia"/>
        </w:rPr>
        <w:t>占基本支出预算的</w:t>
      </w:r>
      <w:r>
        <w:rPr>
          <w:rFonts w:hint="eastAsia"/>
          <w:lang w:val="en-US" w:eastAsia="zh-CN"/>
        </w:rPr>
        <w:t>5.67%</w:t>
      </w:r>
      <w:r>
        <w:rPr>
          <w:rFonts w:hint="eastAsia"/>
        </w:rPr>
        <w:t>，较2023年度预算数</w:t>
      </w:r>
      <w:r>
        <w:rPr>
          <w:rFonts w:hint="eastAsia"/>
          <w:lang w:val="en-US" w:eastAsia="zh-CN"/>
        </w:rPr>
        <w:t>41.42</w:t>
      </w:r>
      <w:r>
        <w:rPr>
          <w:rFonts w:hint="eastAsia"/>
        </w:rPr>
        <w:t>万元，</w:t>
      </w:r>
      <w:r>
        <w:rPr>
          <w:rFonts w:hint="eastAsia"/>
          <w:lang w:val="en-US" w:eastAsia="zh-CN"/>
        </w:rPr>
        <w:t>增长11.82</w:t>
      </w:r>
      <w:r>
        <w:rPr>
          <w:rFonts w:hint="eastAsia"/>
        </w:rPr>
        <w:t>万元，</w:t>
      </w:r>
      <w:r>
        <w:rPr>
          <w:rFonts w:hint="eastAsia"/>
          <w:lang w:val="en-US" w:eastAsia="zh-CN"/>
        </w:rPr>
        <w:t>增长28.54%</w:t>
      </w:r>
      <w:r>
        <w:rPr>
          <w:rFonts w:hint="eastAsia"/>
        </w:rPr>
        <w:t>，</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主要用于脱贫户</w:t>
      </w:r>
      <w:r>
        <w:rPr>
          <w:rFonts w:hint="eastAsia" w:cs="宋体"/>
          <w:i w:val="0"/>
          <w:iCs w:val="0"/>
          <w:caps w:val="0"/>
          <w:color w:val="000000" w:themeColor="text1"/>
          <w:spacing w:val="0"/>
          <w:sz w:val="28"/>
          <w:szCs w:val="28"/>
          <w:shd w:val="clear" w:fill="FFFFFF"/>
          <w:lang w:eastAsia="zh-CN"/>
          <w14:textFill>
            <w14:solidFill>
              <w14:schemeClr w14:val="tx1"/>
            </w14:solidFill>
          </w14:textFill>
        </w:rPr>
        <w:t>的护林员工资、</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产业</w:t>
      </w:r>
      <w:r>
        <w:rPr>
          <w:rFonts w:hint="eastAsia" w:cs="宋体"/>
          <w:i w:val="0"/>
          <w:iCs w:val="0"/>
          <w:caps w:val="0"/>
          <w:color w:val="000000" w:themeColor="text1"/>
          <w:spacing w:val="0"/>
          <w:sz w:val="28"/>
          <w:szCs w:val="28"/>
          <w:shd w:val="clear" w:fill="FFFFFF"/>
          <w:lang w:eastAsia="zh-CN"/>
          <w14:textFill>
            <w14:solidFill>
              <w14:schemeClr w14:val="tx1"/>
            </w14:solidFill>
          </w14:textFill>
        </w:rPr>
        <w:t>奖补</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、外出务工交通补助等支出。</w:t>
      </w:r>
    </w:p>
    <w:p>
      <w:pPr>
        <w:pStyle w:val="7"/>
        <w:tabs>
          <w:tab w:val="left" w:pos="1235"/>
        </w:tabs>
        <w:spacing w:after="0" w:line="624" w:lineRule="exact"/>
        <w:ind w:firstLine="580"/>
        <w:jc w:val="left"/>
        <w:rPr>
          <w:rFonts w:hint="eastAsia"/>
          <w:b/>
          <w:bCs/>
        </w:rPr>
      </w:pPr>
      <w:r>
        <w:rPr>
          <w:rFonts w:hint="eastAsia"/>
          <w:b/>
          <w:bCs/>
          <w:lang w:val="en-US" w:eastAsia="zh-CN"/>
        </w:rPr>
        <w:t>七、</w:t>
      </w:r>
      <w:r>
        <w:rPr>
          <w:b/>
          <w:bCs/>
        </w:rPr>
        <w:t>一般公共预算</w:t>
      </w:r>
      <w:r>
        <w:rPr>
          <w:b/>
          <w:bCs/>
          <w:lang w:val="zh-CN" w:eastAsia="zh-CN" w:bidi="zh-CN"/>
        </w:rPr>
        <w:t>“三</w:t>
      </w:r>
      <w:r>
        <w:rPr>
          <w:b/>
          <w:bCs/>
        </w:rPr>
        <w:t>公”</w:t>
      </w:r>
      <w:r>
        <w:rPr>
          <w:rFonts w:hint="eastAsia"/>
          <w:b/>
          <w:bCs/>
        </w:rPr>
        <w:t>经费支出情况说明</w:t>
      </w:r>
      <w:bookmarkStart w:id="42" w:name="_GoBack"/>
      <w:bookmarkEnd w:id="42"/>
    </w:p>
    <w:p>
      <w:pPr>
        <w:pStyle w:val="7"/>
        <w:numPr>
          <w:ilvl w:val="0"/>
          <w:numId w:val="0"/>
        </w:numPr>
        <w:spacing w:after="0"/>
        <w:jc w:val="left"/>
        <w:rPr>
          <w:rFonts w:hint="eastAsia"/>
          <w:b/>
          <w:bCs/>
        </w:rPr>
      </w:pPr>
    </w:p>
    <w:p>
      <w:pPr>
        <w:pStyle w:val="7"/>
        <w:spacing w:after="0"/>
        <w:ind w:firstLine="0"/>
        <w:jc w:val="left"/>
        <w:rPr>
          <w:highlight w:val="yellow"/>
          <w:lang w:val="en-US" w:eastAsia="zh-CN"/>
        </w:rPr>
      </w:pPr>
      <w:r>
        <w:rPr>
          <w:rFonts w:hint="eastAsia"/>
          <w:highlight w:val="none"/>
          <w:lang w:val="en-US" w:eastAsia="zh-CN"/>
        </w:rPr>
        <w:drawing>
          <wp:inline distT="0" distB="0" distL="114300" distR="114300">
            <wp:extent cx="5080000" cy="3810000"/>
            <wp:effectExtent l="4445" t="4445" r="5715" b="10795"/>
            <wp:docPr id="6157" name="图表 23" title="{{img_sgzc_ys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pStyle w:val="7"/>
        <w:tabs>
          <w:tab w:val="left" w:pos="1253"/>
        </w:tabs>
        <w:spacing w:after="0" w:line="629" w:lineRule="exact"/>
        <w:ind w:firstLine="600"/>
        <w:jc w:val="left"/>
        <w:rPr>
          <w:rFonts w:hint="eastAsia"/>
          <w:b w:val="0"/>
          <w:bCs w:val="0"/>
          <w:sz w:val="28"/>
          <w:szCs w:val="28"/>
          <w:lang w:eastAsia="zh-CN"/>
        </w:rPr>
      </w:pPr>
      <w:bookmarkStart w:id="13" w:name="bookmark90"/>
      <w:r>
        <w:rPr>
          <w:rFonts w:hint="eastAsia"/>
          <w:b w:val="0"/>
          <w:bCs w:val="0"/>
          <w:sz w:val="28"/>
          <w:szCs w:val="28"/>
          <w:lang w:eastAsia="zh-CN"/>
        </w:rPr>
        <w:t>（</w:t>
      </w:r>
      <w:r>
        <w:rPr>
          <w:rFonts w:hint="eastAsia"/>
          <w:b w:val="0"/>
          <w:bCs w:val="0"/>
          <w:sz w:val="28"/>
          <w:szCs w:val="28"/>
          <w:lang w:val="en-US" w:eastAsia="zh-CN"/>
        </w:rPr>
        <w:t>一</w:t>
      </w:r>
      <w:r>
        <w:rPr>
          <w:rFonts w:hint="eastAsia"/>
          <w:b w:val="0"/>
          <w:bCs w:val="0"/>
          <w:sz w:val="28"/>
          <w:szCs w:val="28"/>
          <w:lang w:eastAsia="zh-CN"/>
        </w:rPr>
        <w:t>）</w:t>
      </w:r>
      <w:r>
        <w:rPr>
          <w:sz w:val="28"/>
          <w:u w:color="auto"/>
        </w:rPr>
        <w:t>2024年部门预算共安排</w:t>
      </w:r>
      <w:r>
        <w:rPr>
          <w:rFonts w:hint="eastAsia"/>
          <w:b w:val="0"/>
          <w:bCs w:val="0"/>
          <w:sz w:val="28"/>
          <w:szCs w:val="28"/>
          <w:lang w:val="zh-CN" w:eastAsia="zh-CN"/>
        </w:rPr>
        <w:t>“三公</w:t>
      </w:r>
      <w:r>
        <w:rPr>
          <w:rFonts w:hint="eastAsia"/>
          <w:b w:val="0"/>
          <w:bCs w:val="0"/>
          <w:sz w:val="28"/>
          <w:szCs w:val="28"/>
          <w:lang w:val="en-US" w:eastAsia="zh-CN"/>
        </w:rPr>
        <w:t>"</w:t>
      </w:r>
      <w:r>
        <w:rPr>
          <w:rFonts w:hint="eastAsia"/>
          <w:b w:val="0"/>
          <w:bCs w:val="0"/>
          <w:sz w:val="28"/>
          <w:szCs w:val="28"/>
          <w:lang w:eastAsia="zh-CN"/>
        </w:rPr>
        <w:t>经费支出预算</w:t>
      </w:r>
      <w:r>
        <w:rPr>
          <w:rFonts w:hint="eastAsia"/>
          <w:b w:val="0"/>
          <w:bCs w:val="0"/>
          <w:sz w:val="28"/>
          <w:szCs w:val="28"/>
          <w:lang w:val="en-US" w:eastAsia="zh-CN"/>
        </w:rPr>
        <w:t>12.60</w:t>
      </w:r>
      <w:r>
        <w:rPr>
          <w:rFonts w:hint="eastAsia"/>
          <w:b w:val="0"/>
          <w:bCs w:val="0"/>
          <w:sz w:val="28"/>
          <w:szCs w:val="28"/>
          <w:lang w:eastAsia="zh-CN"/>
        </w:rPr>
        <w:t>万元（全口径），其中：因公出国（境）经费支出预算</w:t>
      </w:r>
      <w:r>
        <w:rPr>
          <w:rFonts w:hint="eastAsia"/>
          <w:b w:val="0"/>
          <w:bCs w:val="0"/>
          <w:sz w:val="28"/>
          <w:szCs w:val="28"/>
          <w:lang w:val="en-US" w:eastAsia="zh-CN"/>
        </w:rPr>
        <w:t>0.00</w:t>
      </w:r>
      <w:r>
        <w:rPr>
          <w:rFonts w:hint="eastAsia"/>
          <w:b w:val="0"/>
          <w:bCs w:val="0"/>
          <w:sz w:val="28"/>
          <w:szCs w:val="28"/>
          <w:lang w:eastAsia="zh-CN"/>
        </w:rPr>
        <w:t>万元，公务接待费支出预算</w:t>
      </w:r>
      <w:r>
        <w:rPr>
          <w:rFonts w:hint="eastAsia"/>
          <w:b w:val="0"/>
          <w:bCs w:val="0"/>
          <w:sz w:val="28"/>
          <w:szCs w:val="28"/>
          <w:lang w:val="en-US" w:eastAsia="zh-CN"/>
        </w:rPr>
        <w:t>6.00</w:t>
      </w:r>
      <w:r>
        <w:rPr>
          <w:rFonts w:hint="eastAsia"/>
          <w:b w:val="0"/>
          <w:bCs w:val="0"/>
          <w:sz w:val="28"/>
          <w:szCs w:val="28"/>
          <w:lang w:eastAsia="zh-CN"/>
        </w:rPr>
        <w:t>万元，公务用车购置及运行费支出预算</w:t>
      </w:r>
      <w:r>
        <w:rPr>
          <w:rFonts w:hint="eastAsia"/>
          <w:b w:val="0"/>
          <w:bCs w:val="0"/>
          <w:sz w:val="28"/>
          <w:szCs w:val="28"/>
          <w:lang w:val="en-US" w:eastAsia="zh-CN"/>
        </w:rPr>
        <w:t>6.60</w:t>
      </w:r>
      <w:r>
        <w:rPr>
          <w:rFonts w:hint="eastAsia"/>
          <w:b w:val="0"/>
          <w:bCs w:val="0"/>
          <w:sz w:val="28"/>
          <w:szCs w:val="28"/>
          <w:lang w:eastAsia="zh-CN"/>
        </w:rPr>
        <w:t>万元（公务用车购置费</w:t>
      </w:r>
      <w:r>
        <w:rPr>
          <w:rFonts w:hint="eastAsia"/>
          <w:b w:val="0"/>
          <w:bCs w:val="0"/>
          <w:sz w:val="28"/>
          <w:szCs w:val="28"/>
          <w:lang w:val="en-US" w:eastAsia="zh-CN"/>
        </w:rPr>
        <w:t>0.00</w:t>
      </w:r>
      <w:r>
        <w:rPr>
          <w:rFonts w:hint="eastAsia"/>
          <w:b w:val="0"/>
          <w:bCs w:val="0"/>
          <w:sz w:val="28"/>
          <w:szCs w:val="28"/>
          <w:lang w:eastAsia="zh-CN"/>
        </w:rPr>
        <w:t>万元,公务用车运行维护费</w:t>
      </w:r>
      <w:r>
        <w:rPr>
          <w:rFonts w:hint="eastAsia"/>
          <w:b w:val="0"/>
          <w:bCs w:val="0"/>
          <w:sz w:val="28"/>
          <w:szCs w:val="28"/>
          <w:lang w:val="en-US" w:eastAsia="zh-CN"/>
        </w:rPr>
        <w:t>6.60</w:t>
      </w:r>
      <w:r>
        <w:rPr>
          <w:rFonts w:hint="eastAsia"/>
          <w:b w:val="0"/>
          <w:bCs w:val="0"/>
          <w:sz w:val="28"/>
          <w:szCs w:val="28"/>
          <w:lang w:eastAsia="zh-CN"/>
        </w:rPr>
        <w:t>万元）。</w:t>
      </w:r>
    </w:p>
    <w:p>
      <w:pPr>
        <w:pStyle w:val="7"/>
        <w:tabs>
          <w:tab w:val="left" w:pos="1253"/>
        </w:tabs>
        <w:spacing w:after="0" w:line="629" w:lineRule="exact"/>
        <w:ind w:firstLine="600"/>
        <w:jc w:val="left"/>
        <w:rPr>
          <w:rFonts w:hint="eastAsia"/>
          <w:b w:val="0"/>
          <w:bCs w:val="0"/>
          <w:sz w:val="28"/>
          <w:szCs w:val="28"/>
        </w:rPr>
      </w:pPr>
      <w:r>
        <w:rPr>
          <w:rFonts w:hint="eastAsia"/>
          <w:b w:val="0"/>
          <w:bCs w:val="0"/>
          <w:sz w:val="28"/>
          <w:szCs w:val="28"/>
          <w:lang w:eastAsia="zh-CN"/>
        </w:rPr>
        <w:t>（</w:t>
      </w:r>
      <w:r>
        <w:rPr>
          <w:rFonts w:hint="eastAsia"/>
          <w:b w:val="0"/>
          <w:bCs w:val="0"/>
          <w:sz w:val="28"/>
          <w:szCs w:val="28"/>
          <w:lang w:val="en-US" w:eastAsia="zh-CN"/>
        </w:rPr>
        <w:t>二</w:t>
      </w:r>
      <w:r>
        <w:rPr>
          <w:rFonts w:hint="eastAsia"/>
          <w:b w:val="0"/>
          <w:bCs w:val="0"/>
          <w:sz w:val="28"/>
          <w:szCs w:val="28"/>
          <w:lang w:eastAsia="zh-CN"/>
        </w:rPr>
        <w:t>）</w:t>
      </w:r>
      <w:r>
        <w:rPr>
          <w:sz w:val="28"/>
          <w:u w:color="auto"/>
        </w:rPr>
        <w:t>2024</w:t>
      </w:r>
      <w:r>
        <w:rPr>
          <w:rFonts w:hint="eastAsia"/>
          <w:b w:val="0"/>
          <w:bCs w:val="0"/>
          <w:sz w:val="28"/>
          <w:szCs w:val="28"/>
        </w:rPr>
        <w:t>年一般公共预算安排的“三公”经费支出预算</w:t>
      </w:r>
      <w:r>
        <w:rPr>
          <w:rFonts w:hint="eastAsia"/>
          <w:b w:val="0"/>
          <w:bCs w:val="0"/>
          <w:sz w:val="28"/>
          <w:szCs w:val="28"/>
          <w:lang w:val="en-US" w:eastAsia="zh-CN"/>
        </w:rPr>
        <w:t>12.60</w:t>
      </w:r>
      <w:r>
        <w:rPr>
          <w:rFonts w:hint="eastAsia"/>
          <w:b w:val="0"/>
          <w:bCs w:val="0"/>
          <w:sz w:val="28"/>
          <w:szCs w:val="28"/>
        </w:rPr>
        <w:t>万元，同口径较2023年度预算数</w:t>
      </w:r>
      <w:r>
        <w:rPr>
          <w:rFonts w:hint="eastAsia"/>
          <w:b w:val="0"/>
          <w:bCs w:val="0"/>
          <w:sz w:val="28"/>
          <w:szCs w:val="28"/>
          <w:lang w:val="en-US" w:eastAsia="zh-CN"/>
        </w:rPr>
        <w:t>9.48</w:t>
      </w:r>
      <w:r>
        <w:rPr>
          <w:rFonts w:hint="eastAsia"/>
          <w:b w:val="0"/>
          <w:bCs w:val="0"/>
          <w:sz w:val="28"/>
          <w:szCs w:val="28"/>
        </w:rPr>
        <w:t>万元，</w:t>
      </w:r>
      <w:r>
        <w:rPr>
          <w:rFonts w:hint="eastAsia"/>
          <w:b w:val="0"/>
          <w:bCs w:val="0"/>
          <w:sz w:val="28"/>
          <w:szCs w:val="28"/>
          <w:lang w:val="en-US" w:eastAsia="zh-CN"/>
        </w:rPr>
        <w:t>增长3.12</w:t>
      </w:r>
      <w:r>
        <w:rPr>
          <w:rFonts w:hint="eastAsia"/>
          <w:b w:val="0"/>
          <w:bCs w:val="0"/>
          <w:sz w:val="28"/>
          <w:szCs w:val="28"/>
        </w:rPr>
        <w:t>万元，</w:t>
      </w:r>
      <w:r>
        <w:rPr>
          <w:rFonts w:hint="eastAsia"/>
          <w:b w:val="0"/>
          <w:bCs w:val="0"/>
          <w:sz w:val="28"/>
          <w:szCs w:val="28"/>
          <w:lang w:val="en-US" w:eastAsia="zh-CN"/>
        </w:rPr>
        <w:t>增长32.91%</w:t>
      </w:r>
      <w:r>
        <w:rPr>
          <w:rFonts w:hint="eastAsia"/>
          <w:b w:val="0"/>
          <w:bCs w:val="0"/>
          <w:sz w:val="28"/>
          <w:szCs w:val="28"/>
        </w:rPr>
        <w:t>，具体如下：</w:t>
      </w:r>
    </w:p>
    <w:p>
      <w:pPr>
        <w:pStyle w:val="7"/>
        <w:tabs>
          <w:tab w:val="left" w:pos="1253"/>
        </w:tabs>
        <w:spacing w:after="0" w:line="629" w:lineRule="exact"/>
        <w:ind w:firstLine="600"/>
        <w:jc w:val="left"/>
        <w:rPr>
          <w:rFonts w:hint="eastAsia" w:eastAsia="宋体"/>
          <w:b w:val="0"/>
          <w:bCs w:val="0"/>
          <w:sz w:val="28"/>
          <w:szCs w:val="28"/>
          <w:lang w:eastAsia="zh-CN"/>
        </w:rPr>
      </w:pPr>
      <w:r>
        <w:rPr>
          <w:rFonts w:hint="eastAsia"/>
          <w:b w:val="0"/>
          <w:bCs w:val="0"/>
          <w:sz w:val="28"/>
          <w:szCs w:val="28"/>
        </w:rPr>
        <w:t>1.因公出国（境）费</w:t>
      </w:r>
      <w:r>
        <w:rPr>
          <w:rFonts w:hint="eastAsia"/>
          <w:b w:val="0"/>
          <w:bCs w:val="0"/>
          <w:sz w:val="28"/>
          <w:szCs w:val="28"/>
          <w:lang w:eastAsia="zh-CN"/>
        </w:rPr>
        <w:t>2024</w:t>
      </w:r>
      <w:r>
        <w:rPr>
          <w:rFonts w:hint="eastAsia"/>
          <w:b w:val="0"/>
          <w:bCs w:val="0"/>
          <w:sz w:val="28"/>
          <w:szCs w:val="28"/>
        </w:rPr>
        <w:t>年预算安排</w:t>
      </w:r>
      <w:r>
        <w:rPr>
          <w:sz w:val="28"/>
          <w:u w:color="auto"/>
        </w:rPr>
        <w:t>0.00</w:t>
      </w:r>
      <w:r>
        <w:rPr>
          <w:rFonts w:hint="eastAsia"/>
          <w:b w:val="0"/>
          <w:bCs w:val="0"/>
          <w:sz w:val="28"/>
          <w:szCs w:val="28"/>
        </w:rPr>
        <w:t>万元，较2023年度预算数</w:t>
      </w:r>
      <w:r>
        <w:rPr>
          <w:sz w:val="28"/>
          <w:u w:color="auto"/>
        </w:rPr>
        <w:t>0.00</w:t>
      </w:r>
      <w:r>
        <w:rPr>
          <w:rFonts w:hint="eastAsia"/>
          <w:b w:val="0"/>
          <w:bCs w:val="0"/>
          <w:sz w:val="28"/>
          <w:szCs w:val="28"/>
        </w:rPr>
        <w:t>万元，</w:t>
      </w:r>
      <w:r>
        <w:rPr>
          <w:sz w:val="28"/>
          <w:u w:color="auto"/>
        </w:rPr>
        <w:t>增长0.00</w:t>
      </w:r>
      <w:r>
        <w:rPr>
          <w:rFonts w:hint="eastAsia"/>
          <w:b w:val="0"/>
          <w:bCs w:val="0"/>
          <w:sz w:val="28"/>
          <w:szCs w:val="28"/>
        </w:rPr>
        <w:t>万元，</w:t>
      </w:r>
      <w:r>
        <w:rPr>
          <w:sz w:val="28"/>
          <w:u w:color="auto"/>
        </w:rPr>
        <w:t>增长0%</w:t>
      </w:r>
      <w:r>
        <w:rPr>
          <w:rFonts w:hint="eastAsia"/>
          <w:b w:val="0"/>
          <w:bCs w:val="0"/>
          <w:sz w:val="28"/>
          <w:szCs w:val="28"/>
        </w:rPr>
        <w:t>。</w:t>
      </w:r>
    </w:p>
    <w:p>
      <w:pPr>
        <w:pStyle w:val="7"/>
        <w:tabs>
          <w:tab w:val="left" w:pos="1253"/>
        </w:tabs>
        <w:spacing w:after="0" w:line="629" w:lineRule="exact"/>
        <w:ind w:firstLine="600"/>
        <w:jc w:val="left"/>
        <w:rPr>
          <w:rFonts w:hint="eastAsia" w:ascii="宋体" w:hAnsi="宋体" w:eastAsia="宋体" w:cs="宋体"/>
          <w:b w:val="0"/>
          <w:bCs w:val="0"/>
          <w:color w:val="000000" w:themeColor="text1"/>
          <w:sz w:val="28"/>
          <w:szCs w:val="28"/>
          <w:lang w:eastAsia="zh-CN"/>
          <w14:textFill>
            <w14:solidFill>
              <w14:schemeClr w14:val="tx1"/>
            </w14:solidFill>
          </w14:textFill>
        </w:rPr>
      </w:pPr>
      <w:r>
        <w:rPr>
          <w:rFonts w:hint="eastAsia"/>
          <w:b w:val="0"/>
          <w:bCs w:val="0"/>
          <w:sz w:val="28"/>
          <w:szCs w:val="28"/>
        </w:rPr>
        <w:t>2.公务接待费</w:t>
      </w:r>
      <w:r>
        <w:rPr>
          <w:rFonts w:hint="eastAsia"/>
          <w:b w:val="0"/>
          <w:bCs w:val="0"/>
          <w:sz w:val="28"/>
          <w:szCs w:val="28"/>
          <w:lang w:eastAsia="zh-CN"/>
        </w:rPr>
        <w:t>2024</w:t>
      </w:r>
      <w:r>
        <w:rPr>
          <w:rFonts w:hint="eastAsia"/>
          <w:b w:val="0"/>
          <w:bCs w:val="0"/>
          <w:sz w:val="28"/>
          <w:szCs w:val="28"/>
        </w:rPr>
        <w:t>年预算安排</w:t>
      </w:r>
      <w:r>
        <w:rPr>
          <w:sz w:val="28"/>
          <w:u w:color="auto"/>
        </w:rPr>
        <w:t>6.00</w:t>
      </w:r>
      <w:r>
        <w:rPr>
          <w:rFonts w:hint="eastAsia"/>
          <w:b w:val="0"/>
          <w:bCs w:val="0"/>
          <w:sz w:val="28"/>
          <w:szCs w:val="28"/>
        </w:rPr>
        <w:t>万元，较2023年度预算数</w:t>
      </w:r>
      <w:r>
        <w:rPr>
          <w:sz w:val="28"/>
          <w:u w:color="auto"/>
        </w:rPr>
        <w:t>3.65</w:t>
      </w:r>
      <w:r>
        <w:rPr>
          <w:rFonts w:hint="eastAsia"/>
          <w:b w:val="0"/>
          <w:bCs w:val="0"/>
          <w:sz w:val="28"/>
          <w:szCs w:val="28"/>
        </w:rPr>
        <w:t>万元，</w:t>
      </w:r>
      <w:r>
        <w:rPr>
          <w:sz w:val="28"/>
          <w:u w:color="auto"/>
        </w:rPr>
        <w:t>增长2.35</w:t>
      </w:r>
      <w:r>
        <w:rPr>
          <w:rFonts w:hint="eastAsia"/>
          <w:b w:val="0"/>
          <w:bCs w:val="0"/>
          <w:sz w:val="28"/>
          <w:szCs w:val="28"/>
        </w:rPr>
        <w:t>万元，</w:t>
      </w:r>
      <w:r>
        <w:rPr>
          <w:sz w:val="28"/>
          <w:u w:color="auto"/>
        </w:rPr>
        <w:t>增长64.38%</w:t>
      </w:r>
      <w:r>
        <w:rPr>
          <w:rFonts w:hint="eastAsia"/>
          <w:b w:val="0"/>
          <w:bCs w:val="0"/>
          <w:sz w:val="28"/>
          <w:szCs w:val="28"/>
        </w:rPr>
        <w:t>，</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认真贯彻厉行节约反对浪费的有关精神，从严控制支出</w:t>
      </w:r>
      <w:r>
        <w:rPr>
          <w:rFonts w:hint="eastAsia" w:ascii="宋体" w:hAnsi="宋体" w:eastAsia="宋体" w:cs="宋体"/>
          <w:b w:val="0"/>
          <w:bCs w:val="0"/>
          <w:color w:val="000000" w:themeColor="text1"/>
          <w:sz w:val="28"/>
          <w:szCs w:val="28"/>
          <w14:textFill>
            <w14:solidFill>
              <w14:schemeClr w14:val="tx1"/>
            </w14:solidFill>
          </w14:textFill>
        </w:rPr>
        <w:t>。</w:t>
      </w:r>
    </w:p>
    <w:p>
      <w:pPr>
        <w:pStyle w:val="7"/>
        <w:tabs>
          <w:tab w:val="left" w:pos="1253"/>
        </w:tabs>
        <w:spacing w:after="0" w:line="629" w:lineRule="exact"/>
        <w:ind w:firstLine="600"/>
        <w:jc w:val="left"/>
        <w:rPr>
          <w:rFonts w:hint="eastAsia"/>
          <w:b w:val="0"/>
          <w:bCs w:val="0"/>
          <w:sz w:val="28"/>
          <w:szCs w:val="28"/>
        </w:rPr>
      </w:pPr>
      <w:r>
        <w:rPr>
          <w:rFonts w:hint="eastAsia"/>
          <w:b w:val="0"/>
          <w:bCs w:val="0"/>
          <w:sz w:val="28"/>
          <w:szCs w:val="28"/>
        </w:rPr>
        <w:t>3.公务用车购置及运行费</w:t>
      </w:r>
      <w:r>
        <w:rPr>
          <w:rFonts w:hint="eastAsia"/>
          <w:b w:val="0"/>
          <w:bCs w:val="0"/>
          <w:sz w:val="28"/>
          <w:szCs w:val="28"/>
          <w:lang w:eastAsia="zh-CN"/>
        </w:rPr>
        <w:t>2024</w:t>
      </w:r>
      <w:r>
        <w:rPr>
          <w:rFonts w:hint="eastAsia"/>
          <w:b w:val="0"/>
          <w:bCs w:val="0"/>
          <w:sz w:val="28"/>
          <w:szCs w:val="28"/>
        </w:rPr>
        <w:t>年预算安排</w:t>
      </w:r>
      <w:r>
        <w:rPr>
          <w:sz w:val="28"/>
          <w:u w:color="auto"/>
        </w:rPr>
        <w:t>6.60</w:t>
      </w:r>
      <w:r>
        <w:rPr>
          <w:rFonts w:hint="eastAsia"/>
          <w:b w:val="0"/>
          <w:bCs w:val="0"/>
          <w:sz w:val="28"/>
          <w:szCs w:val="28"/>
        </w:rPr>
        <w:t>万元，较2023年度预算数</w:t>
      </w:r>
      <w:r>
        <w:rPr>
          <w:sz w:val="28"/>
          <w:u w:color="auto"/>
        </w:rPr>
        <w:t>5.83</w:t>
      </w:r>
      <w:r>
        <w:rPr>
          <w:rFonts w:hint="eastAsia"/>
          <w:b w:val="0"/>
          <w:bCs w:val="0"/>
          <w:sz w:val="28"/>
          <w:szCs w:val="28"/>
        </w:rPr>
        <w:t>万元，</w:t>
      </w:r>
      <w:r>
        <w:rPr>
          <w:sz w:val="28"/>
          <w:u w:color="auto"/>
        </w:rPr>
        <w:t>增长0.77</w:t>
      </w:r>
      <w:r>
        <w:rPr>
          <w:rFonts w:hint="eastAsia"/>
          <w:b w:val="0"/>
          <w:bCs w:val="0"/>
          <w:sz w:val="28"/>
          <w:szCs w:val="28"/>
        </w:rPr>
        <w:t>万元，</w:t>
      </w:r>
      <w:r>
        <w:rPr>
          <w:sz w:val="28"/>
          <w:u w:color="auto"/>
        </w:rPr>
        <w:t>增长13.21%</w:t>
      </w:r>
      <w:r>
        <w:rPr>
          <w:rFonts w:hint="eastAsia"/>
          <w:b w:val="0"/>
          <w:bCs w:val="0"/>
          <w:sz w:val="28"/>
          <w:szCs w:val="28"/>
        </w:rPr>
        <w:t>，其中：</w:t>
      </w:r>
    </w:p>
    <w:p>
      <w:pPr>
        <w:pStyle w:val="7"/>
        <w:tabs>
          <w:tab w:val="left" w:pos="1253"/>
        </w:tabs>
        <w:spacing w:after="0" w:line="629" w:lineRule="exact"/>
        <w:ind w:firstLine="600"/>
        <w:jc w:val="left"/>
        <w:rPr>
          <w:rFonts w:hint="eastAsia" w:eastAsia="宋体"/>
          <w:b w:val="0"/>
          <w:bCs w:val="0"/>
          <w:sz w:val="28"/>
          <w:szCs w:val="28"/>
          <w:lang w:eastAsia="zh-CN"/>
        </w:rPr>
      </w:pPr>
      <w:r>
        <w:rPr>
          <w:rFonts w:hint="eastAsia"/>
          <w:b w:val="0"/>
          <w:bCs w:val="0"/>
          <w:sz w:val="28"/>
          <w:szCs w:val="28"/>
        </w:rPr>
        <w:t>公务用车购置费</w:t>
      </w:r>
      <w:r>
        <w:rPr>
          <w:rFonts w:hint="eastAsia"/>
          <w:b w:val="0"/>
          <w:bCs w:val="0"/>
          <w:sz w:val="28"/>
          <w:szCs w:val="28"/>
          <w:lang w:eastAsia="zh-CN"/>
        </w:rPr>
        <w:t>2024</w:t>
      </w:r>
      <w:r>
        <w:rPr>
          <w:rFonts w:hint="eastAsia"/>
          <w:b w:val="0"/>
          <w:bCs w:val="0"/>
          <w:sz w:val="28"/>
          <w:szCs w:val="28"/>
        </w:rPr>
        <w:t>年预算安排</w:t>
      </w:r>
      <w:r>
        <w:rPr>
          <w:sz w:val="28"/>
          <w:u w:color="auto"/>
        </w:rPr>
        <w:t>0.00</w:t>
      </w:r>
      <w:r>
        <w:rPr>
          <w:rFonts w:hint="eastAsia"/>
          <w:b w:val="0"/>
          <w:bCs w:val="0"/>
          <w:sz w:val="28"/>
          <w:szCs w:val="28"/>
        </w:rPr>
        <w:t>万元，较2023年度预算数</w:t>
      </w:r>
      <w:r>
        <w:rPr>
          <w:sz w:val="28"/>
          <w:u w:color="auto"/>
        </w:rPr>
        <w:t>0.00</w:t>
      </w:r>
      <w:r>
        <w:rPr>
          <w:rFonts w:hint="eastAsia"/>
          <w:b w:val="0"/>
          <w:bCs w:val="0"/>
          <w:sz w:val="28"/>
          <w:szCs w:val="28"/>
        </w:rPr>
        <w:t>万元，</w:t>
      </w:r>
      <w:r>
        <w:rPr>
          <w:sz w:val="28"/>
          <w:u w:color="auto"/>
        </w:rPr>
        <w:t>增长0.00</w:t>
      </w:r>
      <w:r>
        <w:rPr>
          <w:rFonts w:hint="eastAsia"/>
          <w:b w:val="0"/>
          <w:bCs w:val="0"/>
          <w:sz w:val="28"/>
          <w:szCs w:val="28"/>
        </w:rPr>
        <w:t>万元，</w:t>
      </w:r>
      <w:r>
        <w:rPr>
          <w:sz w:val="28"/>
          <w:u w:color="auto"/>
        </w:rPr>
        <w:t>增长0%</w:t>
      </w:r>
      <w:r>
        <w:rPr>
          <w:rFonts w:hint="eastAsia"/>
          <w:b w:val="0"/>
          <w:bCs w:val="0"/>
          <w:sz w:val="28"/>
          <w:szCs w:val="28"/>
        </w:rPr>
        <w:t>。</w:t>
      </w:r>
    </w:p>
    <w:p>
      <w:pPr>
        <w:pStyle w:val="7"/>
        <w:tabs>
          <w:tab w:val="left" w:pos="1253"/>
        </w:tabs>
        <w:spacing w:after="0" w:line="629" w:lineRule="exact"/>
        <w:ind w:firstLine="600"/>
        <w:jc w:val="left"/>
        <w:rPr>
          <w:rFonts w:hint="eastAsia"/>
          <w:b w:val="0"/>
          <w:bCs w:val="0"/>
          <w:sz w:val="28"/>
          <w:szCs w:val="28"/>
        </w:rPr>
      </w:pPr>
      <w:r>
        <w:rPr>
          <w:rFonts w:hint="eastAsia"/>
          <w:b w:val="0"/>
          <w:bCs w:val="0"/>
          <w:sz w:val="28"/>
          <w:szCs w:val="28"/>
        </w:rPr>
        <w:t>公务用车运行维护费</w:t>
      </w:r>
      <w:r>
        <w:rPr>
          <w:rFonts w:hint="eastAsia"/>
          <w:b w:val="0"/>
          <w:bCs w:val="0"/>
          <w:sz w:val="28"/>
          <w:szCs w:val="28"/>
          <w:lang w:eastAsia="zh-CN"/>
        </w:rPr>
        <w:t>2024</w:t>
      </w:r>
      <w:r>
        <w:rPr>
          <w:rFonts w:hint="eastAsia"/>
          <w:b w:val="0"/>
          <w:bCs w:val="0"/>
          <w:sz w:val="28"/>
          <w:szCs w:val="28"/>
        </w:rPr>
        <w:t>年预算安排</w:t>
      </w:r>
      <w:r>
        <w:rPr>
          <w:sz w:val="28"/>
          <w:u w:color="auto"/>
        </w:rPr>
        <w:t>6.60</w:t>
      </w:r>
      <w:r>
        <w:rPr>
          <w:rFonts w:hint="eastAsia"/>
          <w:b w:val="0"/>
          <w:bCs w:val="0"/>
          <w:sz w:val="28"/>
          <w:szCs w:val="28"/>
        </w:rPr>
        <w:t>万元，较2023年度预算数</w:t>
      </w:r>
      <w:r>
        <w:rPr>
          <w:sz w:val="28"/>
          <w:u w:color="auto"/>
        </w:rPr>
        <w:t>5.83</w:t>
      </w:r>
      <w:r>
        <w:rPr>
          <w:rFonts w:hint="eastAsia"/>
          <w:b w:val="0"/>
          <w:bCs w:val="0"/>
          <w:sz w:val="28"/>
          <w:szCs w:val="28"/>
        </w:rPr>
        <w:t>万元，</w:t>
      </w:r>
      <w:r>
        <w:rPr>
          <w:sz w:val="28"/>
          <w:u w:color="auto"/>
        </w:rPr>
        <w:t>增长0.77</w:t>
      </w:r>
      <w:r>
        <w:rPr>
          <w:rFonts w:hint="eastAsia"/>
          <w:b w:val="0"/>
          <w:bCs w:val="0"/>
          <w:sz w:val="28"/>
          <w:szCs w:val="28"/>
        </w:rPr>
        <w:t>万元，</w:t>
      </w:r>
      <w:r>
        <w:rPr>
          <w:sz w:val="28"/>
          <w:u w:color="auto"/>
        </w:rPr>
        <w:t>增长13.21%</w:t>
      </w:r>
      <w:r>
        <w:rPr>
          <w:rFonts w:hint="eastAsia"/>
          <w:b w:val="0"/>
          <w:bCs w:val="0"/>
          <w:sz w:val="28"/>
          <w:szCs w:val="28"/>
        </w:rPr>
        <w:t>。</w:t>
      </w:r>
    </w:p>
    <w:p>
      <w:pPr>
        <w:pStyle w:val="7"/>
        <w:tabs>
          <w:tab w:val="left" w:pos="1235"/>
        </w:tabs>
        <w:spacing w:after="0" w:line="624" w:lineRule="exact"/>
        <w:ind w:firstLine="580"/>
        <w:jc w:val="left"/>
        <w:rPr>
          <w:b/>
          <w:bCs/>
        </w:rPr>
      </w:pPr>
      <w:r>
        <w:rPr>
          <w:b/>
          <w:bCs/>
        </w:rPr>
        <w:t>八</w:t>
      </w:r>
      <w:bookmarkEnd w:id="13"/>
      <w:r>
        <w:rPr>
          <w:b/>
          <w:bCs/>
        </w:rPr>
        <w:t>、</w:t>
      </w:r>
      <w:r>
        <w:rPr>
          <w:b/>
          <w:bCs/>
        </w:rPr>
        <w:tab/>
      </w:r>
      <w:r>
        <w:rPr>
          <w:b/>
          <w:bCs/>
        </w:rPr>
        <w:t>政府性基金预算支出情况说明</w:t>
      </w:r>
    </w:p>
    <w:p>
      <w:pPr>
        <w:pStyle w:val="8"/>
        <w:spacing w:line="629" w:lineRule="exact"/>
        <w:ind w:firstLine="600"/>
        <w:jc w:val="left"/>
        <w:rPr>
          <w:rFonts w:hint="eastAsia" w:eastAsia="宋体"/>
          <w:lang w:eastAsia="zh-CN"/>
        </w:rPr>
      </w:pPr>
      <w:r>
        <w:rPr>
          <w:rFonts w:hint="eastAsia"/>
        </w:rPr>
        <w:t>我部门</w:t>
      </w:r>
      <w:r>
        <w:rPr>
          <w:rFonts w:hint="eastAsia"/>
          <w:b w:val="0"/>
          <w:bCs w:val="0"/>
          <w:sz w:val="28"/>
          <w:szCs w:val="28"/>
          <w:lang w:eastAsia="zh-CN"/>
        </w:rPr>
        <w:t>2024</w:t>
      </w:r>
      <w:r>
        <w:rPr>
          <w:rFonts w:hint="eastAsia"/>
        </w:rPr>
        <w:t>年政府性基金预算支出共</w:t>
      </w:r>
      <w:r>
        <w:rPr>
          <w:rFonts w:hint="eastAsia"/>
          <w:b w:val="0"/>
          <w:bCs w:val="0"/>
          <w:sz w:val="28"/>
          <w:szCs w:val="28"/>
          <w:lang w:eastAsia="zh-CN"/>
        </w:rPr>
        <w:t>2.40</w:t>
      </w:r>
      <w:r>
        <w:rPr>
          <w:rFonts w:hint="eastAsia"/>
        </w:rPr>
        <w:t>万元，较2023年度预算数</w:t>
      </w:r>
      <w:r>
        <w:rPr>
          <w:rFonts w:hint="eastAsia"/>
          <w:b w:val="0"/>
          <w:bCs w:val="0"/>
          <w:sz w:val="28"/>
          <w:szCs w:val="28"/>
          <w:lang w:eastAsia="zh-CN"/>
        </w:rPr>
        <w:t>0.00</w:t>
      </w:r>
      <w:r>
        <w:rPr>
          <w:rFonts w:hint="eastAsia"/>
        </w:rPr>
        <w:t>万元，</w:t>
      </w:r>
      <w:r>
        <w:rPr>
          <w:rFonts w:hint="eastAsia"/>
          <w:b w:val="0"/>
          <w:bCs w:val="0"/>
          <w:sz w:val="28"/>
          <w:szCs w:val="28"/>
          <w:lang w:eastAsia="zh-CN"/>
        </w:rPr>
        <w:t>增加2.40</w:t>
      </w:r>
      <w:r>
        <w:rPr>
          <w:rFonts w:hint="eastAsia"/>
        </w:rPr>
        <w:t>万元，</w:t>
      </w:r>
      <w:r>
        <w:rPr>
          <w:rFonts w:hint="eastAsia"/>
          <w:b w:val="0"/>
          <w:bCs w:val="0"/>
          <w:sz w:val="28"/>
          <w:szCs w:val="28"/>
          <w:lang w:eastAsia="zh-CN"/>
        </w:rPr>
        <w:t>增长100%</w:t>
      </w:r>
      <w:r>
        <w:rPr>
          <w:rFonts w:hint="eastAsia"/>
          <w:lang w:eastAsia="zh-CN"/>
        </w:rPr>
        <w:t>。</w:t>
      </w:r>
    </w:p>
    <w:p>
      <w:pPr>
        <w:pStyle w:val="7"/>
        <w:tabs>
          <w:tab w:val="left" w:pos="1235"/>
        </w:tabs>
        <w:spacing w:after="0" w:line="624" w:lineRule="exact"/>
        <w:ind w:firstLine="580"/>
        <w:jc w:val="left"/>
        <w:rPr>
          <w:b/>
          <w:bCs/>
        </w:rPr>
      </w:pPr>
      <w:bookmarkStart w:id="14" w:name="bookmark91"/>
      <w:r>
        <w:rPr>
          <w:b/>
          <w:bCs/>
        </w:rPr>
        <w:t>九</w:t>
      </w:r>
      <w:bookmarkEnd w:id="14"/>
      <w:r>
        <w:rPr>
          <w:b/>
          <w:bCs/>
        </w:rPr>
        <w:t>、</w:t>
      </w:r>
      <w:r>
        <w:rPr>
          <w:b/>
          <w:bCs/>
        </w:rPr>
        <w:tab/>
      </w:r>
      <w:r>
        <w:rPr>
          <w:b/>
          <w:bCs/>
        </w:rPr>
        <w:t>国有资本经营预算支出情况说明</w:t>
      </w:r>
    </w:p>
    <w:p>
      <w:pPr>
        <w:pStyle w:val="8"/>
        <w:spacing w:line="437" w:lineRule="auto"/>
        <w:ind w:firstLine="600"/>
        <w:jc w:val="left"/>
        <w:rPr>
          <w:rFonts w:hint="eastAsia" w:eastAsia="宋体"/>
          <w:lang w:eastAsia="zh-CN"/>
        </w:rPr>
      </w:pPr>
      <w:r>
        <w:rPr>
          <w:rFonts w:hint="eastAsia"/>
        </w:rPr>
        <w:t>我部门</w:t>
      </w:r>
      <w:r>
        <w:rPr>
          <w:rFonts w:hint="eastAsia"/>
          <w:lang w:eastAsia="zh-CN"/>
        </w:rPr>
        <w:t>2024</w:t>
      </w:r>
      <w:r>
        <w:rPr>
          <w:rFonts w:hint="eastAsia"/>
        </w:rPr>
        <w:t>年国有资本经营预算支出共</w:t>
      </w:r>
      <w:r>
        <w:rPr>
          <w:rFonts w:hint="eastAsia"/>
          <w:lang w:eastAsia="zh-CN"/>
        </w:rPr>
        <w:t>0.00</w:t>
      </w:r>
      <w:r>
        <w:rPr>
          <w:rFonts w:hint="eastAsia"/>
        </w:rPr>
        <w:t>万元，较2023年度预算数</w:t>
      </w:r>
      <w:r>
        <w:rPr>
          <w:rFonts w:hint="eastAsia"/>
          <w:lang w:eastAsia="zh-CN"/>
        </w:rPr>
        <w:t>0.00</w:t>
      </w:r>
      <w:r>
        <w:rPr>
          <w:rFonts w:hint="eastAsia"/>
        </w:rPr>
        <w:t>万元，</w:t>
      </w:r>
      <w:r>
        <w:rPr>
          <w:rFonts w:hint="eastAsia"/>
          <w:lang w:eastAsia="zh-CN"/>
        </w:rPr>
        <w:t>增加0.00</w:t>
      </w:r>
      <w:r>
        <w:rPr>
          <w:rFonts w:hint="eastAsia"/>
        </w:rPr>
        <w:t>万元，</w:t>
      </w:r>
      <w:r>
        <w:rPr>
          <w:rFonts w:hint="eastAsia"/>
          <w:lang w:eastAsia="zh-CN"/>
        </w:rPr>
        <w:t>增长0%</w:t>
      </w:r>
      <w:r>
        <w:rPr>
          <w:rFonts w:hint="eastAsia"/>
        </w:rPr>
        <w:t>，主要原因是</w:t>
      </w:r>
      <w:r>
        <w:rPr>
          <w:rFonts w:hint="eastAsia"/>
          <w:lang w:val="en-US" w:eastAsia="zh-CN"/>
        </w:rPr>
        <w:t>我部门2024年部门预算无国有资本经营预算</w:t>
      </w:r>
      <w:r>
        <w:rPr>
          <w:rFonts w:hint="eastAsia"/>
        </w:rPr>
        <w:t>。</w:t>
      </w:r>
    </w:p>
    <w:p>
      <w:pPr>
        <w:pStyle w:val="7"/>
        <w:tabs>
          <w:tab w:val="left" w:pos="1235"/>
        </w:tabs>
        <w:spacing w:after="0" w:line="624" w:lineRule="exact"/>
        <w:ind w:firstLine="580"/>
        <w:jc w:val="left"/>
        <w:rPr>
          <w:b/>
          <w:bCs/>
        </w:rPr>
      </w:pPr>
      <w:r>
        <w:rPr>
          <w:b/>
          <w:bCs/>
        </w:rPr>
        <w:t>十、其他重要事项</w:t>
      </w:r>
      <w:r>
        <w:rPr>
          <w:rFonts w:hint="eastAsia"/>
          <w:b/>
          <w:bCs/>
          <w:lang w:val="en-US" w:eastAsia="zh-CN"/>
        </w:rPr>
        <w:t>情况</w:t>
      </w:r>
      <w:r>
        <w:rPr>
          <w:b/>
          <w:bCs/>
        </w:rPr>
        <w:t>说明</w:t>
      </w:r>
    </w:p>
    <w:p>
      <w:pPr>
        <w:pStyle w:val="8"/>
        <w:spacing w:line="624" w:lineRule="exact"/>
        <w:ind w:firstLine="600"/>
        <w:jc w:val="left"/>
        <w:rPr>
          <w:rFonts w:hint="eastAsia" w:ascii="宋体" w:hAnsi="宋体" w:eastAsia="宋体" w:cs="宋体"/>
          <w:sz w:val="28"/>
          <w:szCs w:val="28"/>
          <w:lang w:eastAsia="zh-CN"/>
        </w:rPr>
      </w:pPr>
      <w:r>
        <w:rPr>
          <w:rFonts w:hint="eastAsia" w:ascii="宋体" w:hAnsi="宋体" w:eastAsia="宋体" w:cs="宋体"/>
          <w:sz w:val="28"/>
          <w:szCs w:val="28"/>
          <w:lang w:eastAsia="zh-CN"/>
        </w:rPr>
        <w:t>（一）机关运行经费安排情况说明</w:t>
      </w:r>
    </w:p>
    <w:p>
      <w:pPr>
        <w:pStyle w:val="8"/>
        <w:spacing w:line="624" w:lineRule="exact"/>
        <w:ind w:firstLine="600"/>
        <w:jc w:val="left"/>
        <w:rPr>
          <w:rFonts w:hint="eastAsia" w:ascii="宋体" w:hAnsi="宋体" w:eastAsia="宋体" w:cs="宋体"/>
          <w:sz w:val="28"/>
          <w:szCs w:val="28"/>
          <w:lang w:eastAsia="zh-CN"/>
        </w:rPr>
      </w:pPr>
      <w:r>
        <w:rPr>
          <w:rFonts w:hint="eastAsia" w:ascii="宋体" w:hAnsi="宋体" w:eastAsia="宋体" w:cs="宋体"/>
          <w:b w:val="0"/>
          <w:bCs w:val="0"/>
          <w:sz w:val="28"/>
          <w:szCs w:val="28"/>
          <w:lang w:eastAsia="zh-CN"/>
        </w:rPr>
        <w:t>2024</w:t>
      </w:r>
      <w:r>
        <w:rPr>
          <w:rFonts w:hint="eastAsia" w:ascii="宋体" w:hAnsi="宋体" w:eastAsia="宋体" w:cs="宋体"/>
          <w:sz w:val="28"/>
          <w:szCs w:val="28"/>
          <w:lang w:eastAsia="zh-CN"/>
        </w:rPr>
        <w:t>年本部门机关运行经费预算</w:t>
      </w:r>
      <w:r>
        <w:rPr>
          <w:rFonts w:hint="eastAsia" w:ascii="宋体" w:hAnsi="宋体" w:eastAsia="宋体" w:cs="宋体"/>
          <w:sz w:val="28"/>
          <w:szCs w:val="28"/>
          <w:lang w:val="en-US" w:eastAsia="zh-CN"/>
        </w:rPr>
        <w:t>58.72</w:t>
      </w:r>
      <w:r>
        <w:rPr>
          <w:rFonts w:hint="eastAsia" w:ascii="宋体" w:hAnsi="宋体" w:eastAsia="宋体" w:cs="宋体"/>
          <w:sz w:val="28"/>
          <w:szCs w:val="28"/>
          <w:lang w:eastAsia="zh-CN"/>
        </w:rPr>
        <w:t>万元，较2023年度预算数</w:t>
      </w:r>
      <w:r>
        <w:rPr>
          <w:rFonts w:hint="eastAsia" w:ascii="宋体" w:hAnsi="宋体" w:eastAsia="宋体" w:cs="宋体"/>
          <w:sz w:val="28"/>
          <w:szCs w:val="28"/>
          <w:lang w:val="en-US" w:eastAsia="zh-CN"/>
        </w:rPr>
        <w:t>61.71</w:t>
      </w:r>
      <w:r>
        <w:rPr>
          <w:rFonts w:hint="eastAsia" w:ascii="宋体" w:hAnsi="宋体" w:eastAsia="宋体" w:cs="宋体"/>
          <w:sz w:val="28"/>
          <w:szCs w:val="28"/>
          <w:lang w:eastAsia="zh-CN"/>
        </w:rPr>
        <w:t>万元，</w:t>
      </w:r>
      <w:r>
        <w:rPr>
          <w:rFonts w:hint="eastAsia" w:ascii="宋体" w:hAnsi="宋体" w:eastAsia="宋体" w:cs="宋体"/>
          <w:sz w:val="28"/>
          <w:szCs w:val="28"/>
          <w:lang w:val="en-US" w:eastAsia="zh-CN"/>
        </w:rPr>
        <w:t>减少2.99</w:t>
      </w:r>
      <w:r>
        <w:rPr>
          <w:rFonts w:hint="eastAsia" w:ascii="宋体" w:hAnsi="宋体" w:eastAsia="宋体" w:cs="宋体"/>
          <w:sz w:val="28"/>
          <w:szCs w:val="28"/>
          <w:lang w:eastAsia="zh-CN"/>
        </w:rPr>
        <w:t>万元，</w:t>
      </w:r>
      <w:r>
        <w:rPr>
          <w:rFonts w:hint="eastAsia" w:ascii="宋体" w:hAnsi="宋体" w:eastAsia="宋体" w:cs="宋体"/>
          <w:sz w:val="28"/>
          <w:szCs w:val="28"/>
          <w:lang w:val="en-US" w:eastAsia="zh-CN"/>
        </w:rPr>
        <w:t>下降4.85%</w:t>
      </w:r>
      <w:r>
        <w:rPr>
          <w:rFonts w:hint="eastAsia" w:cs="宋体"/>
          <w:sz w:val="28"/>
          <w:szCs w:val="28"/>
          <w:lang w:val="en-US" w:eastAsia="zh-CN"/>
        </w:rPr>
        <w:t>，</w:t>
      </w:r>
      <w:r>
        <w:rPr>
          <w:rFonts w:hint="eastAsia"/>
          <w:highlight w:val="none"/>
          <w:lang w:val="en-US" w:eastAsia="zh-CN"/>
        </w:rPr>
        <w:t>主要用于本级为保证日常运转发生的基本支出</w:t>
      </w:r>
      <w:r>
        <w:rPr>
          <w:rFonts w:hint="eastAsia" w:ascii="宋体" w:hAnsi="宋体" w:eastAsia="宋体" w:cs="宋体"/>
          <w:sz w:val="28"/>
          <w:szCs w:val="28"/>
          <w:lang w:eastAsia="zh-CN"/>
        </w:rPr>
        <w:t>。</w:t>
      </w:r>
    </w:p>
    <w:p>
      <w:pPr>
        <w:pStyle w:val="8"/>
        <w:spacing w:line="624" w:lineRule="exact"/>
        <w:ind w:firstLine="600"/>
        <w:jc w:val="left"/>
        <w:rPr>
          <w:rFonts w:hint="eastAsia" w:ascii="宋体" w:hAnsi="宋体" w:eastAsia="宋体" w:cs="宋体"/>
          <w:sz w:val="28"/>
          <w:szCs w:val="28"/>
          <w:lang w:eastAsia="zh-CN"/>
        </w:rPr>
      </w:pPr>
      <w:r>
        <w:rPr>
          <w:rFonts w:hint="eastAsia" w:ascii="宋体" w:hAnsi="宋体" w:eastAsia="宋体" w:cs="宋体"/>
          <w:sz w:val="28"/>
          <w:szCs w:val="28"/>
          <w:lang w:eastAsia="zh-CN"/>
        </w:rPr>
        <w:t>（二）政府采购预算安排情况说明</w:t>
      </w:r>
    </w:p>
    <w:p>
      <w:pPr>
        <w:pStyle w:val="8"/>
        <w:spacing w:line="624" w:lineRule="exact"/>
        <w:ind w:firstLine="600"/>
        <w:jc w:val="left"/>
        <w:rPr>
          <w:rFonts w:hint="eastAsia" w:ascii="宋体" w:hAnsi="宋体" w:eastAsia="宋体" w:cs="宋体"/>
          <w:sz w:val="28"/>
          <w:szCs w:val="28"/>
          <w:lang w:eastAsia="zh-CN"/>
        </w:rPr>
      </w:pPr>
      <w:r>
        <w:rPr>
          <w:rFonts w:hint="eastAsia" w:ascii="宋体" w:hAnsi="宋体" w:eastAsia="宋体" w:cs="宋体"/>
          <w:sz w:val="28"/>
          <w:szCs w:val="28"/>
          <w:lang w:eastAsia="zh-CN"/>
        </w:rPr>
        <w:t>我部门2024年政府采购预算总金额</w:t>
      </w:r>
      <w:r>
        <w:rPr>
          <w:rFonts w:hint="eastAsia"/>
          <w:highlight w:val="none"/>
          <w:lang w:val="en-US" w:eastAsia="zh-CN"/>
        </w:rPr>
        <w:t>0</w:t>
      </w:r>
      <w:r>
        <w:rPr>
          <w:rFonts w:hint="eastAsia" w:ascii="宋体" w:hAnsi="宋体" w:eastAsia="宋体" w:cs="宋体"/>
          <w:sz w:val="28"/>
          <w:szCs w:val="28"/>
          <w:lang w:eastAsia="zh-CN"/>
        </w:rPr>
        <w:t>万元。其中：货物类采购</w:t>
      </w:r>
      <w:r>
        <w:rPr>
          <w:rFonts w:hint="eastAsia"/>
          <w:highlight w:val="none"/>
          <w:lang w:val="en-US" w:eastAsia="zh-CN"/>
        </w:rPr>
        <w:t>0</w:t>
      </w:r>
      <w:r>
        <w:rPr>
          <w:rFonts w:hint="eastAsia" w:ascii="宋体" w:hAnsi="宋体" w:eastAsia="宋体" w:cs="宋体"/>
          <w:sz w:val="28"/>
          <w:szCs w:val="28"/>
          <w:lang w:eastAsia="zh-CN"/>
        </w:rPr>
        <w:t>万元、工程类采购</w:t>
      </w:r>
      <w:r>
        <w:rPr>
          <w:rFonts w:hint="eastAsia"/>
          <w:highlight w:val="none"/>
          <w:lang w:val="en-US" w:eastAsia="zh-CN"/>
        </w:rPr>
        <w:t>0</w:t>
      </w:r>
      <w:r>
        <w:rPr>
          <w:rFonts w:hint="eastAsia" w:ascii="宋体" w:hAnsi="宋体" w:eastAsia="宋体" w:cs="宋体"/>
          <w:sz w:val="28"/>
          <w:szCs w:val="28"/>
          <w:lang w:eastAsia="zh-CN"/>
        </w:rPr>
        <w:t>万元、服务类采购</w:t>
      </w:r>
      <w:r>
        <w:rPr>
          <w:rFonts w:hint="eastAsia"/>
          <w:highlight w:val="none"/>
          <w:lang w:val="en-US" w:eastAsia="zh-CN"/>
        </w:rPr>
        <w:t>0</w:t>
      </w:r>
      <w:r>
        <w:rPr>
          <w:rFonts w:hint="eastAsia" w:ascii="宋体" w:hAnsi="宋体" w:eastAsia="宋体" w:cs="宋体"/>
          <w:sz w:val="28"/>
          <w:szCs w:val="28"/>
          <w:lang w:eastAsia="zh-CN"/>
        </w:rPr>
        <w:t>万元。</w:t>
      </w:r>
    </w:p>
    <w:p>
      <w:pPr>
        <w:pStyle w:val="8"/>
        <w:spacing w:line="624" w:lineRule="exact"/>
        <w:ind w:firstLine="600"/>
        <w:jc w:val="left"/>
        <w:rPr>
          <w:rFonts w:hint="eastAsia" w:ascii="宋体" w:hAnsi="宋体" w:eastAsia="宋体" w:cs="宋体"/>
          <w:sz w:val="28"/>
          <w:szCs w:val="28"/>
          <w:lang w:eastAsia="zh-CN"/>
        </w:rPr>
      </w:pPr>
      <w:r>
        <w:rPr>
          <w:rFonts w:hint="eastAsia" w:ascii="宋体" w:hAnsi="宋体" w:eastAsia="宋体" w:cs="宋体"/>
          <w:sz w:val="28"/>
          <w:szCs w:val="28"/>
          <w:lang w:eastAsia="zh-CN"/>
        </w:rPr>
        <w:t>（三）国有资产占用情况说明</w:t>
      </w:r>
    </w:p>
    <w:p>
      <w:pPr>
        <w:pStyle w:val="8"/>
        <w:spacing w:line="624" w:lineRule="exact"/>
        <w:ind w:firstLine="600"/>
        <w:jc w:val="left"/>
        <w:rPr>
          <w:rFonts w:hint="eastAsia" w:ascii="宋体" w:hAnsi="宋体" w:eastAsia="宋体" w:cs="宋体"/>
          <w:sz w:val="28"/>
          <w:szCs w:val="28"/>
          <w:lang w:eastAsia="zh-CN"/>
        </w:rPr>
      </w:pPr>
      <w:r>
        <w:rPr>
          <w:rFonts w:hint="eastAsia" w:ascii="宋体" w:hAnsi="宋体" w:eastAsia="宋体" w:cs="宋体"/>
          <w:sz w:val="28"/>
          <w:szCs w:val="28"/>
          <w:lang w:eastAsia="zh-CN"/>
        </w:rPr>
        <w:t>截至2023年12月31日，本部门共有车辆</w:t>
      </w:r>
      <w:r>
        <w:rPr>
          <w:rFonts w:hint="eastAsia"/>
          <w:highlight w:val="none"/>
          <w:lang w:val="en-US" w:eastAsia="zh-CN"/>
        </w:rPr>
        <w:t>2</w:t>
      </w:r>
      <w:r>
        <w:rPr>
          <w:rFonts w:hint="eastAsia" w:ascii="宋体" w:hAnsi="宋体" w:eastAsia="宋体" w:cs="宋体"/>
          <w:sz w:val="28"/>
          <w:szCs w:val="28"/>
          <w:lang w:eastAsia="zh-CN"/>
        </w:rPr>
        <w:t>辆，其中，应急机要通信用车</w:t>
      </w:r>
      <w:r>
        <w:rPr>
          <w:rFonts w:hint="eastAsia"/>
          <w:highlight w:val="none"/>
          <w:lang w:val="en-US" w:eastAsia="zh-CN"/>
        </w:rPr>
        <w:t>0</w:t>
      </w:r>
      <w:r>
        <w:rPr>
          <w:rFonts w:hint="eastAsia" w:ascii="宋体" w:hAnsi="宋体" w:eastAsia="宋体" w:cs="宋体"/>
          <w:sz w:val="28"/>
          <w:szCs w:val="28"/>
          <w:lang w:eastAsia="zh-CN"/>
        </w:rPr>
        <w:t>辆、一般执法执勤用车</w:t>
      </w:r>
      <w:r>
        <w:rPr>
          <w:rFonts w:hint="eastAsia"/>
          <w:highlight w:val="none"/>
          <w:lang w:val="en-US" w:eastAsia="zh-CN"/>
        </w:rPr>
        <w:t>0</w:t>
      </w:r>
      <w:r>
        <w:rPr>
          <w:rFonts w:hint="eastAsia" w:ascii="宋体" w:hAnsi="宋体" w:eastAsia="宋体" w:cs="宋体"/>
          <w:sz w:val="28"/>
          <w:szCs w:val="28"/>
          <w:lang w:eastAsia="zh-CN"/>
        </w:rPr>
        <w:t>辆、特种专业技术用车</w:t>
      </w:r>
      <w:r>
        <w:rPr>
          <w:rFonts w:hint="eastAsia"/>
          <w:highlight w:val="none"/>
          <w:lang w:val="en-US" w:eastAsia="zh-CN"/>
        </w:rPr>
        <w:t>0</w:t>
      </w:r>
      <w:r>
        <w:rPr>
          <w:rFonts w:hint="eastAsia" w:ascii="宋体" w:hAnsi="宋体" w:eastAsia="宋体" w:cs="宋体"/>
          <w:sz w:val="28"/>
          <w:szCs w:val="28"/>
          <w:lang w:eastAsia="zh-CN"/>
        </w:rPr>
        <w:t>辆、其他用车</w:t>
      </w:r>
      <w:r>
        <w:rPr>
          <w:rFonts w:hint="eastAsia"/>
          <w:highlight w:val="none"/>
          <w:lang w:val="en-US" w:eastAsia="zh-CN"/>
        </w:rPr>
        <w:t>2</w:t>
      </w:r>
      <w:r>
        <w:rPr>
          <w:rFonts w:hint="eastAsia" w:ascii="宋体" w:hAnsi="宋体" w:eastAsia="宋体" w:cs="宋体"/>
          <w:sz w:val="28"/>
          <w:szCs w:val="28"/>
          <w:lang w:eastAsia="zh-CN"/>
        </w:rPr>
        <w:t>辆，单位价值200万元以上大型设备</w:t>
      </w:r>
      <w:r>
        <w:rPr>
          <w:rFonts w:hint="eastAsia"/>
          <w:highlight w:val="none"/>
          <w:lang w:val="en-US" w:eastAsia="zh-CN"/>
        </w:rPr>
        <w:t>0</w:t>
      </w:r>
      <w:r>
        <w:rPr>
          <w:rFonts w:hint="eastAsia" w:ascii="宋体" w:hAnsi="宋体" w:eastAsia="宋体" w:cs="宋体"/>
          <w:sz w:val="28"/>
          <w:szCs w:val="28"/>
          <w:lang w:eastAsia="zh-CN"/>
        </w:rPr>
        <w:t>台（套）。</w:t>
      </w:r>
    </w:p>
    <w:p>
      <w:pPr>
        <w:pStyle w:val="8"/>
        <w:spacing w:line="624" w:lineRule="exact"/>
        <w:ind w:firstLine="600"/>
        <w:jc w:val="left"/>
        <w:rPr>
          <w:rFonts w:hint="eastAsia" w:ascii="宋体" w:hAnsi="宋体" w:eastAsia="宋体" w:cs="宋体"/>
          <w:sz w:val="28"/>
          <w:szCs w:val="28"/>
          <w:lang w:eastAsia="zh-CN"/>
        </w:rPr>
      </w:pPr>
      <w:r>
        <w:rPr>
          <w:rFonts w:hint="eastAsia" w:ascii="宋体" w:hAnsi="宋体" w:eastAsia="宋体" w:cs="宋体"/>
          <w:sz w:val="28"/>
          <w:szCs w:val="28"/>
          <w:lang w:eastAsia="zh-CN"/>
        </w:rPr>
        <w:t>（四）预算绩效目标情况说明</w:t>
      </w:r>
    </w:p>
    <w:p>
      <w:pPr>
        <w:pStyle w:val="8"/>
        <w:spacing w:line="624" w:lineRule="exact"/>
        <w:ind w:firstLine="600"/>
        <w:jc w:val="left"/>
        <w:rPr>
          <w:rFonts w:hint="eastAsia" w:ascii="宋体" w:hAnsi="宋体" w:eastAsia="宋体" w:cs="宋体"/>
          <w:sz w:val="28"/>
          <w:szCs w:val="28"/>
          <w:lang w:eastAsia="zh-CN"/>
        </w:rPr>
      </w:pPr>
      <w:r>
        <w:rPr>
          <w:rFonts w:hint="eastAsia" w:ascii="宋体" w:hAnsi="宋体" w:eastAsia="宋体" w:cs="宋体"/>
          <w:sz w:val="28"/>
          <w:szCs w:val="28"/>
          <w:lang w:eastAsia="zh-CN"/>
        </w:rPr>
        <w:t>1.我部门2024年所有项目支出全面实施绩效目标管理，涉及项目</w:t>
      </w:r>
      <w:r>
        <w:rPr>
          <w:rFonts w:hint="eastAsia"/>
          <w:highlight w:val="none"/>
          <w:lang w:val="en-US" w:eastAsia="zh-CN"/>
        </w:rPr>
        <w:t>32</w:t>
      </w:r>
      <w:r>
        <w:rPr>
          <w:rFonts w:hint="eastAsia" w:ascii="宋体" w:hAnsi="宋体" w:eastAsia="宋体" w:cs="宋体"/>
          <w:sz w:val="28"/>
          <w:szCs w:val="28"/>
          <w:lang w:eastAsia="zh-CN"/>
        </w:rPr>
        <w:t>个，预算资金</w:t>
      </w:r>
      <w:r>
        <w:rPr>
          <w:rFonts w:hint="eastAsia"/>
          <w:highlight w:val="none"/>
          <w:lang w:val="en-US" w:eastAsia="zh-CN"/>
        </w:rPr>
        <w:t>564</w:t>
      </w:r>
      <w:r>
        <w:rPr>
          <w:rFonts w:hint="eastAsia" w:ascii="宋体" w:hAnsi="宋体" w:eastAsia="宋体" w:cs="宋体"/>
          <w:sz w:val="28"/>
          <w:szCs w:val="28"/>
          <w:lang w:eastAsia="zh-CN"/>
        </w:rPr>
        <w:t>万元。绩效目标情况详见报表（日常运转类项目、工资类人员经费项目和涉密项目等除外）。</w:t>
      </w:r>
    </w:p>
    <w:p>
      <w:pPr>
        <w:pStyle w:val="8"/>
        <w:spacing w:line="624" w:lineRule="exact"/>
        <w:ind w:firstLine="600"/>
        <w:jc w:val="left"/>
        <w:rPr>
          <w:rFonts w:hint="eastAsia" w:ascii="宋体" w:hAnsi="宋体" w:eastAsia="宋体" w:cs="宋体"/>
          <w:sz w:val="28"/>
          <w:szCs w:val="28"/>
          <w:lang w:eastAsia="zh-CN"/>
        </w:rPr>
      </w:pPr>
      <w:r>
        <w:rPr>
          <w:rFonts w:hint="eastAsia" w:ascii="宋体" w:hAnsi="宋体" w:eastAsia="宋体" w:cs="宋体"/>
          <w:sz w:val="28"/>
          <w:szCs w:val="28"/>
          <w:lang w:eastAsia="zh-CN"/>
        </w:rPr>
        <w:t>2.重点项目预算绩效目标说明。</w:t>
      </w:r>
    </w:p>
    <w:p>
      <w:pPr>
        <w:pStyle w:val="8"/>
        <w:spacing w:line="624" w:lineRule="exact"/>
        <w:ind w:firstLine="600"/>
        <w:jc w:val="left"/>
        <w:rPr>
          <w:rFonts w:hint="eastAsia"/>
          <w:highlight w:val="none"/>
          <w:lang w:val="en-US" w:eastAsia="zh-CN"/>
        </w:rPr>
      </w:pPr>
      <w:r>
        <w:rPr>
          <w:rFonts w:hint="eastAsia"/>
          <w:highlight w:val="none"/>
          <w:lang w:val="en-US" w:eastAsia="zh-CN"/>
        </w:rPr>
        <w:t>我部门2024年无重点项目预算相关情况</w:t>
      </w:r>
    </w:p>
    <w:p>
      <w:pPr>
        <w:pStyle w:val="8"/>
        <w:spacing w:line="624" w:lineRule="exact"/>
        <w:ind w:firstLine="600"/>
        <w:jc w:val="left"/>
        <w:rPr>
          <w:rFonts w:hint="eastAsia"/>
          <w:highlight w:val="none"/>
          <w:lang w:val="en-US" w:eastAsia="zh-CN"/>
        </w:rPr>
      </w:pPr>
    </w:p>
    <w:p>
      <w:pPr>
        <w:pStyle w:val="8"/>
        <w:spacing w:line="624" w:lineRule="exact"/>
        <w:ind w:firstLine="600"/>
        <w:jc w:val="left"/>
        <w:rPr>
          <w:rFonts w:hint="default"/>
          <w:highlight w:val="none"/>
          <w:lang w:val="en-US" w:eastAsia="zh-CN"/>
        </w:rPr>
        <w:sectPr>
          <w:headerReference r:id="rId4" w:type="default"/>
          <w:footerReference r:id="rId5" w:type="default"/>
          <w:pgSz w:w="11900" w:h="16840"/>
          <w:pgMar w:top="1440" w:right="1800" w:bottom="1440" w:left="1800" w:header="0" w:footer="3" w:gutter="0"/>
          <w:pgBorders>
            <w:top w:val="none" w:sz="0" w:space="0"/>
            <w:left w:val="none" w:sz="0" w:space="0"/>
            <w:bottom w:val="none" w:sz="0" w:space="0"/>
            <w:right w:val="none" w:sz="0" w:space="0"/>
          </w:pgBorders>
          <w:cols w:space="720" w:num="1"/>
          <w:docGrid w:linePitch="360" w:charSpace="0"/>
        </w:sectPr>
      </w:pPr>
    </w:p>
    <w:bookmarkEnd w:id="9"/>
    <w:bookmarkEnd w:id="10"/>
    <w:bookmarkEnd w:id="11"/>
    <w:p>
      <w:pPr>
        <w:pStyle w:val="6"/>
        <w:keepNext/>
        <w:keepLines/>
        <w:spacing w:after="980"/>
        <w:jc w:val="center"/>
        <w:rPr>
          <w:rFonts w:hint="eastAsia" w:ascii="宋体" w:hAnsi="宋体" w:eastAsia="宋体" w:cs="宋体"/>
          <w:b/>
          <w:bCs/>
          <w:sz w:val="36"/>
          <w:szCs w:val="36"/>
        </w:rPr>
      </w:pPr>
      <w:r>
        <w:rPr>
          <w:rFonts w:hint="eastAsia" w:ascii="宋体" w:hAnsi="宋体" w:eastAsia="宋体" w:cs="宋体"/>
          <w:b/>
          <w:bCs/>
          <w:sz w:val="36"/>
          <w:szCs w:val="36"/>
        </w:rPr>
        <w:t>第</w:t>
      </w:r>
      <w:r>
        <w:rPr>
          <w:rFonts w:hint="eastAsia" w:ascii="宋体" w:hAnsi="宋体" w:eastAsia="宋体" w:cs="宋体"/>
          <w:b/>
          <w:bCs/>
          <w:sz w:val="36"/>
          <w:szCs w:val="36"/>
          <w:lang w:val="en-US" w:eastAsia="zh-CN"/>
        </w:rPr>
        <w:t>三</w:t>
      </w:r>
      <w:r>
        <w:rPr>
          <w:rFonts w:hint="eastAsia" w:ascii="宋体" w:hAnsi="宋体" w:eastAsia="宋体" w:cs="宋体"/>
          <w:b/>
          <w:bCs/>
          <w:sz w:val="36"/>
          <w:szCs w:val="36"/>
        </w:rPr>
        <w:t>部分</w:t>
      </w:r>
      <w:r>
        <w:rPr>
          <w:rFonts w:hint="eastAsia" w:ascii="宋体" w:hAnsi="宋体" w:eastAsia="宋体" w:cs="宋体"/>
          <w:b/>
          <w:bCs/>
          <w:sz w:val="36"/>
          <w:szCs w:val="36"/>
          <w:lang w:eastAsia="zh-CN"/>
        </w:rPr>
        <w:t>环江毛南族自治县川山镇人民政府</w:t>
      </w:r>
      <w:r>
        <w:rPr>
          <w:rFonts w:ascii="宋体" w:hAnsi="宋体" w:eastAsia="宋体" w:cs="宋体"/>
          <w:b/>
          <w:sz w:val="36"/>
          <w:u w:color="auto"/>
        </w:rPr>
        <w:t>2024年</w:t>
      </w:r>
      <w:r>
        <w:rPr>
          <w:rFonts w:hint="eastAsia" w:ascii="宋体" w:hAnsi="宋体" w:eastAsia="宋体" w:cs="宋体"/>
          <w:b/>
          <w:bCs/>
          <w:sz w:val="36"/>
          <w:szCs w:val="36"/>
        </w:rPr>
        <w:t>部门预算表</w:t>
      </w:r>
    </w:p>
    <w:p>
      <w:pPr>
        <w:pStyle w:val="10"/>
        <w:keepNext/>
        <w:keepLines/>
        <w:spacing w:after="240"/>
        <w:jc w:val="center"/>
      </w:pPr>
      <w:bookmarkStart w:id="15" w:name="bookmark31"/>
      <w:bookmarkStart w:id="16" w:name="bookmark29"/>
      <w:bookmarkStart w:id="17" w:name="bookmark30"/>
      <w:r>
        <w:t>收支总体情况表</w:t>
      </w:r>
      <w:bookmarkEnd w:id="15"/>
      <w:bookmarkEnd w:id="16"/>
      <w:bookmarkEnd w:id="17"/>
    </w:p>
    <w:tbl>
      <w:tblPr>
        <w:tblStyle w:val="2"/>
        <w:tblW w:w="0" w:type="auto"/>
        <w:tblInd w:w="0" w:type="dxa"/>
        <w:tblLayout w:type="fixed"/>
        <w:tblCellMar>
          <w:top w:w="0" w:type="dxa"/>
          <w:left w:w="10" w:type="dxa"/>
          <w:bottom w:w="0" w:type="dxa"/>
          <w:right w:w="10" w:type="dxa"/>
        </w:tblCellMar>
      </w:tblPr>
      <w:tblGrid>
        <w:gridCol w:w="3339"/>
        <w:gridCol w:w="3760"/>
        <w:gridCol w:w="3542"/>
        <w:gridCol w:w="3571"/>
      </w:tblGrid>
      <w:tr>
        <w:tblPrEx>
          <w:tblCellMar>
            <w:top w:w="0" w:type="dxa"/>
            <w:left w:w="10" w:type="dxa"/>
            <w:bottom w:w="0" w:type="dxa"/>
            <w:right w:w="10" w:type="dxa"/>
          </w:tblCellMar>
        </w:tblPrEx>
        <w:trPr>
          <w:trHeight w:val="331" w:hRule="exact"/>
        </w:trPr>
        <w:tc>
          <w:tcPr>
            <w:tcW w:w="10641" w:type="dxa"/>
            <w:gridSpan w:val="3"/>
            <w:tcBorders>
              <w:bottom w:val="single" w:color="auto" w:sz="4" w:space="0"/>
            </w:tcBorders>
            <w:shd w:val="clear" w:color="auto" w:fill="FFFFFF"/>
          </w:tcPr>
          <w:p>
            <w:pPr>
              <w:pStyle w:val="11"/>
              <w:spacing w:line="240" w:lineRule="auto"/>
              <w:ind w:firstLine="0"/>
              <w:jc w:val="left"/>
              <w:rPr>
                <w:sz w:val="17"/>
                <w:szCs w:val="17"/>
              </w:rPr>
            </w:pPr>
            <w:r>
              <w:rPr>
                <w:sz w:val="17"/>
                <w:szCs w:val="17"/>
              </w:rPr>
              <w:t>单位名称：</w:t>
            </w:r>
            <w:r>
              <w:rPr>
                <w:rFonts w:hint="eastAsia"/>
                <w:sz w:val="17"/>
                <w:szCs w:val="17"/>
                <w:lang w:eastAsia="zh-CN"/>
              </w:rPr>
              <w:t>环江毛南族自治县川山镇人民政府</w:t>
            </w:r>
          </w:p>
        </w:tc>
        <w:tc>
          <w:tcPr>
            <w:tcW w:w="3571" w:type="dxa"/>
            <w:tcBorders>
              <w:bottom w:val="single" w:color="auto" w:sz="4" w:space="0"/>
            </w:tcBorders>
            <w:shd w:val="clear" w:color="auto" w:fill="FFFFFF"/>
          </w:tcPr>
          <w:p>
            <w:pPr>
              <w:pStyle w:val="11"/>
              <w:spacing w:line="240" w:lineRule="auto"/>
              <w:ind w:firstLine="2380" w:firstLineChars="1400"/>
              <w:jc w:val="left"/>
              <w:rPr>
                <w:sz w:val="17"/>
                <w:szCs w:val="17"/>
              </w:rPr>
            </w:pPr>
            <w:r>
              <w:rPr>
                <w:sz w:val="17"/>
                <w:szCs w:val="17"/>
              </w:rPr>
              <w:t>单位：万元</w:t>
            </w:r>
          </w:p>
        </w:tc>
      </w:tr>
      <w:tr>
        <w:tblPrEx>
          <w:tblCellMar>
            <w:top w:w="0" w:type="dxa"/>
            <w:left w:w="10" w:type="dxa"/>
            <w:bottom w:w="0" w:type="dxa"/>
            <w:right w:w="10" w:type="dxa"/>
          </w:tblCellMar>
        </w:tblPrEx>
        <w:trPr>
          <w:trHeight w:val="456" w:hRule="exact"/>
        </w:trPr>
        <w:tc>
          <w:tcPr>
            <w:tcW w:w="70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2890" w:firstLineChars="1700"/>
              <w:jc w:val="both"/>
              <w:rPr>
                <w:sz w:val="17"/>
                <w:szCs w:val="17"/>
              </w:rPr>
            </w:pPr>
            <w:r>
              <w:rPr>
                <w:sz w:val="17"/>
                <w:szCs w:val="17"/>
              </w:rPr>
              <w:t>收入</w:t>
            </w:r>
          </w:p>
        </w:tc>
        <w:tc>
          <w:tcPr>
            <w:tcW w:w="71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right="340" w:firstLine="2890" w:firstLineChars="1700"/>
              <w:jc w:val="both"/>
              <w:rPr>
                <w:sz w:val="17"/>
                <w:szCs w:val="17"/>
              </w:rPr>
            </w:pPr>
            <w:r>
              <w:rPr>
                <w:sz w:val="17"/>
                <w:szCs w:val="17"/>
              </w:rPr>
              <w:t>支出</w:t>
            </w:r>
          </w:p>
        </w:tc>
      </w:tr>
      <w:tr>
        <w:tblPrEx>
          <w:tblCellMar>
            <w:top w:w="0" w:type="dxa"/>
            <w:left w:w="10" w:type="dxa"/>
            <w:bottom w:w="0" w:type="dxa"/>
            <w:right w:w="10" w:type="dxa"/>
          </w:tblCellMar>
        </w:tblPrEx>
        <w:trPr>
          <w:trHeight w:val="432"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sz w:val="17"/>
                <w:szCs w:val="17"/>
              </w:rPr>
            </w:pPr>
            <w:r>
              <w:rPr>
                <w:sz w:val="17"/>
                <w:szCs w:val="17"/>
              </w:rPr>
              <w:t>项目</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sz w:val="17"/>
                <w:szCs w:val="17"/>
              </w:rPr>
            </w:pPr>
            <w:r>
              <w:rPr>
                <w:sz w:val="17"/>
                <w:szCs w:val="17"/>
              </w:rPr>
              <w:t>预算数</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tabs>
                <w:tab w:val="left" w:pos="894"/>
              </w:tabs>
              <w:spacing w:line="240" w:lineRule="auto"/>
              <w:jc w:val="left"/>
              <w:rPr>
                <w:sz w:val="17"/>
                <w:szCs w:val="17"/>
              </w:rPr>
            </w:pPr>
            <w:r>
              <w:rPr>
                <w:sz w:val="17"/>
                <w:szCs w:val="17"/>
              </w:rPr>
              <w:t>项</w:t>
            </w:r>
            <w:r>
              <w:rPr>
                <w:sz w:val="17"/>
                <w:szCs w:val="17"/>
              </w:rPr>
              <w:tab/>
            </w:r>
            <w:r>
              <w:rPr>
                <w:sz w:val="17"/>
                <w:szCs w:val="17"/>
              </w:rPr>
              <w:t>目（按支出功能科目分类）</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sz w:val="17"/>
                <w:szCs w:val="17"/>
              </w:rPr>
            </w:pPr>
            <w:r>
              <w:rPr>
                <w:sz w:val="17"/>
                <w:szCs w:val="17"/>
              </w:rPr>
              <w:t>预算数</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一、一般公共预算拨款</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1500.59</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一、一般公共服务支出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923.68</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 xml:space="preserve">     1、上级补助</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461.27</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二、外交支出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 xml:space="preserve">     2、本级</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1039.31</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三、国防支出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二、政府性基金预算拨款</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2.40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四、公共安全支出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 xml:space="preserve">     1、上级补助</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2.40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五、教育支出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 xml:space="preserve">     2、本级</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六、科学技术支出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三、国有资本经营预算拨款</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七、文化旅游体育与传媒支出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1、上级补助</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八、社会保障和就业支出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68.04</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2、本级</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九、卫生健康支出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四、财政专户管理资金收入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十、节能环保支出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85.74</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五、事业收入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十一、城乡社区支出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2.40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六、事业单位经营收入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十二、农林水支出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22.31</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七、上级补助收入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十三、交通运输支出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345.07</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八、附属单位上缴收入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十四、资源勘探工业信息等支出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九、其他收入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十五、商业服务业等支出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十六、金融支出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十七、援助其他地区支出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十八、自然资源海洋气象等支出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十九、住房保障支出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55.75</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二十、粮油物资储备支出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二十一、国有资本经营预算支出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二十二、灾害防治及应急管理支出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二十三、其他支出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二十四、债务还本支出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二十五、债务付息支出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二十六、债务发行费用支出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本年收入合计</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1502.98</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本年支出合计</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1502.98</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上年结转结余</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结转下年支出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收入总计</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1502.98</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支出总计</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1502.98</w:t>
            </w:r>
          </w:p>
        </w:tc>
      </w:tr>
    </w:tbl>
    <w:p>
      <w:pPr>
        <w:pStyle w:val="12"/>
        <w:ind w:left="101"/>
        <w:jc w:val="left"/>
      </w:pPr>
      <w:r>
        <w:t>注：报表金额单位转换时可能存在四舍五入尾数误差。</w:t>
      </w: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sectPr>
          <w:headerReference r:id="rId6" w:type="default"/>
          <w:footerReference r:id="rId7" w:type="default"/>
          <w:pgSz w:w="16840" w:h="11900" w:orient="landscape"/>
          <w:pgMar w:top="2397" w:right="761" w:bottom="1966" w:left="739" w:header="0" w:footer="3" w:gutter="0"/>
          <w:pgBorders>
            <w:top w:val="none" w:sz="0" w:space="0"/>
            <w:left w:val="none" w:sz="0" w:space="0"/>
            <w:bottom w:val="none" w:sz="0" w:space="0"/>
            <w:right w:val="none" w:sz="0" w:space="0"/>
          </w:pgBorders>
          <w:cols w:space="720" w:num="1"/>
          <w:docGrid w:linePitch="360" w:charSpace="0"/>
        </w:sectPr>
      </w:pPr>
    </w:p>
    <w:p>
      <w:pPr>
        <w:tabs>
          <w:tab w:val="left" w:pos="859"/>
        </w:tabs>
        <w:jc w:val="left"/>
        <w:rPr>
          <w:rFonts w:eastAsia="宋体"/>
          <w:lang w:eastAsia="zh-CN"/>
        </w:rPr>
      </w:pPr>
    </w:p>
    <w:p>
      <w:pPr>
        <w:tabs>
          <w:tab w:val="left" w:pos="859"/>
        </w:tabs>
        <w:jc w:val="center"/>
        <w:rPr>
          <w:rFonts w:hint="eastAsia" w:eastAsia="宋体"/>
          <w:lang w:val="en-US" w:eastAsia="zh-CN"/>
        </w:rPr>
      </w:pPr>
    </w:p>
    <w:p>
      <w:pPr>
        <w:tabs>
          <w:tab w:val="left" w:pos="859"/>
        </w:tabs>
        <w:jc w:val="center"/>
        <w:rPr>
          <w:rFonts w:hint="eastAsia" w:eastAsia="宋体"/>
          <w:lang w:val="en-US" w:eastAsia="zh-CN"/>
        </w:rPr>
      </w:pPr>
      <w:r>
        <w:rPr>
          <w:rFonts w:hint="eastAsia" w:eastAsia="宋体"/>
          <w:lang w:val="en-US" w:eastAsia="zh-CN"/>
        </w:rPr>
        <w:t>收入总体情况表</w:t>
      </w:r>
    </w:p>
    <w:p>
      <w:pPr>
        <w:tabs>
          <w:tab w:val="left" w:pos="859"/>
        </w:tabs>
        <w:jc w:val="center"/>
        <w:rPr>
          <w:rFonts w:hint="eastAsia" w:eastAsia="宋体"/>
          <w:lang w:val="en-US" w:eastAsia="zh-CN"/>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6"/>
        <w:gridCol w:w="1279"/>
        <w:gridCol w:w="990"/>
        <w:gridCol w:w="926"/>
        <w:gridCol w:w="909"/>
        <w:gridCol w:w="1161"/>
        <w:gridCol w:w="1031"/>
        <w:gridCol w:w="844"/>
        <w:gridCol w:w="856"/>
        <w:gridCol w:w="1035"/>
        <w:gridCol w:w="1011"/>
        <w:gridCol w:w="859"/>
        <w:gridCol w:w="944"/>
        <w:gridCol w:w="150"/>
        <w:gridCol w:w="872"/>
        <w:gridCol w:w="1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481" w:type="dxa"/>
            <w:gridSpan w:val="13"/>
            <w:tcBorders>
              <w:top w:val="nil"/>
              <w:left w:val="nil"/>
              <w:right w:val="nil"/>
            </w:tcBorders>
          </w:tcPr>
          <w:p>
            <w:pPr>
              <w:pStyle w:val="12"/>
              <w:jc w:val="both"/>
              <w:rPr>
                <w:rFonts w:hint="eastAsia"/>
                <w:lang w:val="en-US" w:eastAsia="zh-CN"/>
              </w:rPr>
            </w:pPr>
            <w:r>
              <w:rPr>
                <w:sz w:val="17"/>
                <w:szCs w:val="17"/>
              </w:rPr>
              <w:t>单位名称：</w:t>
            </w:r>
            <w:r>
              <w:rPr>
                <w:rFonts w:hint="eastAsia"/>
                <w:sz w:val="17"/>
                <w:szCs w:val="17"/>
                <w:lang w:eastAsia="zh-CN"/>
              </w:rPr>
              <w:t>环江毛南族自治县川山镇人民政府</w:t>
            </w:r>
            <w:r>
              <w:rPr>
                <w:rFonts w:hint="eastAsia"/>
                <w:lang w:val="en-US" w:eastAsia="zh-CN"/>
              </w:rPr>
              <w:t xml:space="preserve">                                                                                  </w:t>
            </w:r>
          </w:p>
        </w:tc>
        <w:tc>
          <w:tcPr>
            <w:tcW w:w="2076" w:type="dxa"/>
            <w:gridSpan w:val="3"/>
            <w:tcBorders>
              <w:top w:val="nil"/>
              <w:left w:val="nil"/>
              <w:right w:val="nil"/>
            </w:tcBorders>
          </w:tcPr>
          <w:p>
            <w:pPr>
              <w:pStyle w:val="12"/>
              <w:ind w:firstLine="340" w:firstLineChars="200"/>
              <w:jc w:val="left"/>
              <w:rPr>
                <w:rFonts w:hint="eastAsia"/>
                <w:lang w:val="en-US" w:eastAsia="zh-CN"/>
              </w:rPr>
            </w:pPr>
            <w:r>
              <w:rPr>
                <w:sz w:val="17"/>
                <w:szCs w:val="17"/>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6" w:type="dxa"/>
            <w:vMerge w:val="restart"/>
          </w:tcPr>
          <w:p>
            <w:pPr>
              <w:tabs>
                <w:tab w:val="left" w:pos="859"/>
              </w:tabs>
              <w:jc w:val="both"/>
              <w:rPr>
                <w:rFonts w:hint="eastAsia" w:eastAsia="宋体"/>
                <w:vertAlign w:val="baseline"/>
                <w:lang w:val="en-US" w:eastAsia="zh-CN"/>
              </w:rPr>
            </w:pPr>
            <w:r>
              <w:rPr>
                <w:sz w:val="17"/>
                <w:szCs w:val="17"/>
              </w:rPr>
              <w:t>部门（单位）代码</w:t>
            </w:r>
          </w:p>
        </w:tc>
        <w:tc>
          <w:tcPr>
            <w:tcW w:w="1279" w:type="dxa"/>
            <w:vMerge w:val="restart"/>
          </w:tcPr>
          <w:p>
            <w:pPr>
              <w:tabs>
                <w:tab w:val="left" w:pos="859"/>
              </w:tabs>
              <w:jc w:val="both"/>
              <w:rPr>
                <w:rFonts w:hint="eastAsia" w:eastAsia="宋体"/>
                <w:vertAlign w:val="baseline"/>
                <w:lang w:val="en-US" w:eastAsia="zh-CN"/>
              </w:rPr>
            </w:pPr>
            <w:r>
              <w:rPr>
                <w:sz w:val="17"/>
                <w:szCs w:val="17"/>
              </w:rPr>
              <w:t>部门（单位）名称</w:t>
            </w:r>
          </w:p>
        </w:tc>
        <w:tc>
          <w:tcPr>
            <w:tcW w:w="990" w:type="dxa"/>
            <w:vMerge w:val="restart"/>
          </w:tcPr>
          <w:p>
            <w:pPr>
              <w:pStyle w:val="11"/>
              <w:spacing w:line="240" w:lineRule="auto"/>
              <w:ind w:firstLine="300" w:firstLineChars="0"/>
              <w:jc w:val="left"/>
              <w:rPr>
                <w:rFonts w:hint="eastAsia" w:eastAsia="宋体"/>
                <w:vertAlign w:val="baseline"/>
                <w:lang w:val="en-US" w:eastAsia="zh-CN"/>
              </w:rPr>
            </w:pPr>
            <w:r>
              <w:rPr>
                <w:rFonts w:hint="eastAsia"/>
                <w:sz w:val="17"/>
                <w:szCs w:val="17"/>
                <w:lang w:val="en-US" w:eastAsia="zh-CN"/>
              </w:rPr>
              <w:t>合</w:t>
            </w:r>
            <w:r>
              <w:rPr>
                <w:sz w:val="17"/>
                <w:szCs w:val="17"/>
              </w:rPr>
              <w:t>计</w:t>
            </w:r>
          </w:p>
        </w:tc>
        <w:tc>
          <w:tcPr>
            <w:tcW w:w="4871" w:type="dxa"/>
            <w:gridSpan w:val="5"/>
          </w:tcPr>
          <w:p>
            <w:pPr>
              <w:tabs>
                <w:tab w:val="left" w:pos="859"/>
              </w:tabs>
              <w:jc w:val="both"/>
              <w:rPr>
                <w:rFonts w:hint="eastAsia" w:eastAsia="宋体"/>
                <w:vertAlign w:val="baseline"/>
                <w:lang w:val="en-US" w:eastAsia="zh-CN"/>
              </w:rPr>
            </w:pPr>
            <w:r>
              <w:rPr>
                <w:sz w:val="17"/>
                <w:szCs w:val="17"/>
              </w:rPr>
              <w:t>本年收入</w:t>
            </w:r>
          </w:p>
        </w:tc>
        <w:tc>
          <w:tcPr>
            <w:tcW w:w="6781" w:type="dxa"/>
            <w:gridSpan w:val="8"/>
          </w:tcPr>
          <w:p>
            <w:pPr>
              <w:tabs>
                <w:tab w:val="left" w:pos="859"/>
              </w:tabs>
              <w:jc w:val="both"/>
              <w:rPr>
                <w:rFonts w:hint="eastAsia" w:eastAsia="宋体"/>
                <w:vertAlign w:val="baseline"/>
                <w:lang w:val="en-US" w:eastAsia="zh-CN"/>
              </w:rPr>
            </w:pPr>
            <w:r>
              <w:rPr>
                <w:sz w:val="17"/>
                <w:szCs w:val="17"/>
              </w:rPr>
              <w:t>上年结转结余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1636" w:type="dxa"/>
            <w:vMerge w:val="continue"/>
          </w:tcPr>
          <w:p>
            <w:pPr>
              <w:tabs>
                <w:tab w:val="left" w:pos="859"/>
              </w:tabs>
              <w:jc w:val="both"/>
              <w:rPr>
                <w:rFonts w:hint="eastAsia" w:eastAsia="宋体"/>
                <w:vertAlign w:val="baseline"/>
                <w:lang w:val="en-US" w:eastAsia="zh-CN"/>
              </w:rPr>
            </w:pPr>
          </w:p>
        </w:tc>
        <w:tc>
          <w:tcPr>
            <w:tcW w:w="1279" w:type="dxa"/>
            <w:vMerge w:val="continue"/>
          </w:tcPr>
          <w:p>
            <w:pPr>
              <w:tabs>
                <w:tab w:val="left" w:pos="859"/>
              </w:tabs>
              <w:jc w:val="both"/>
              <w:rPr>
                <w:rFonts w:hint="eastAsia" w:eastAsia="宋体"/>
                <w:vertAlign w:val="baseline"/>
                <w:lang w:val="en-US" w:eastAsia="zh-CN"/>
              </w:rPr>
            </w:pPr>
          </w:p>
        </w:tc>
        <w:tc>
          <w:tcPr>
            <w:tcW w:w="990" w:type="dxa"/>
            <w:vMerge w:val="continue"/>
            <w:vAlign w:val="center"/>
          </w:tcPr>
          <w:p>
            <w:pPr>
              <w:pStyle w:val="11"/>
              <w:spacing w:line="240" w:lineRule="auto"/>
              <w:ind w:firstLine="300" w:firstLineChars="0"/>
              <w:jc w:val="left"/>
              <w:rPr>
                <w:rFonts w:hint="eastAsia" w:eastAsia="宋体"/>
                <w:vertAlign w:val="baseline"/>
                <w:lang w:val="en-US" w:eastAsia="zh-CN"/>
              </w:rPr>
            </w:pPr>
          </w:p>
        </w:tc>
        <w:tc>
          <w:tcPr>
            <w:tcW w:w="926" w:type="dxa"/>
            <w:vAlign w:val="center"/>
          </w:tcPr>
          <w:p>
            <w:pPr>
              <w:pStyle w:val="11"/>
              <w:spacing w:line="240" w:lineRule="auto"/>
              <w:ind w:firstLine="300" w:firstLineChars="0"/>
              <w:jc w:val="left"/>
              <w:rPr>
                <w:rFonts w:hint="eastAsia" w:eastAsia="宋体"/>
                <w:vertAlign w:val="baseline"/>
                <w:lang w:val="en-US" w:eastAsia="zh-CN"/>
              </w:rPr>
            </w:pPr>
            <w:r>
              <w:rPr>
                <w:sz w:val="17"/>
                <w:szCs w:val="17"/>
              </w:rPr>
              <w:t>小计</w:t>
            </w:r>
          </w:p>
        </w:tc>
        <w:tc>
          <w:tcPr>
            <w:tcW w:w="909" w:type="dxa"/>
            <w:vAlign w:val="center"/>
          </w:tcPr>
          <w:p>
            <w:pPr>
              <w:pStyle w:val="11"/>
              <w:spacing w:line="317" w:lineRule="exact"/>
              <w:ind w:firstLine="0" w:firstLineChars="0"/>
              <w:jc w:val="left"/>
              <w:rPr>
                <w:rFonts w:hint="eastAsia" w:eastAsia="宋体"/>
                <w:vertAlign w:val="baseline"/>
                <w:lang w:val="en-US" w:eastAsia="zh-CN"/>
              </w:rPr>
            </w:pPr>
            <w:r>
              <w:rPr>
                <w:sz w:val="17"/>
                <w:szCs w:val="17"/>
              </w:rPr>
              <w:t>一般公共预算</w:t>
            </w:r>
          </w:p>
        </w:tc>
        <w:tc>
          <w:tcPr>
            <w:tcW w:w="1161" w:type="dxa"/>
            <w:vAlign w:val="center"/>
          </w:tcPr>
          <w:p>
            <w:pPr>
              <w:pStyle w:val="11"/>
              <w:spacing w:line="317" w:lineRule="exact"/>
              <w:ind w:firstLine="0" w:firstLineChars="0"/>
              <w:jc w:val="left"/>
              <w:rPr>
                <w:rFonts w:hint="eastAsia" w:eastAsia="宋体"/>
                <w:vertAlign w:val="baseline"/>
                <w:lang w:val="en-US" w:eastAsia="zh-CN"/>
              </w:rPr>
            </w:pPr>
            <w:r>
              <w:rPr>
                <w:sz w:val="17"/>
                <w:szCs w:val="17"/>
              </w:rPr>
              <w:t>政府性基金预算</w:t>
            </w:r>
          </w:p>
        </w:tc>
        <w:tc>
          <w:tcPr>
            <w:tcW w:w="1031" w:type="dxa"/>
            <w:vAlign w:val="center"/>
          </w:tcPr>
          <w:p>
            <w:pPr>
              <w:pStyle w:val="11"/>
              <w:spacing w:line="317" w:lineRule="exact"/>
              <w:ind w:firstLine="0" w:firstLineChars="0"/>
              <w:jc w:val="left"/>
              <w:rPr>
                <w:rFonts w:hint="eastAsia" w:eastAsia="宋体"/>
                <w:vertAlign w:val="baseline"/>
                <w:lang w:val="en-US" w:eastAsia="zh-CN"/>
              </w:rPr>
            </w:pPr>
            <w:r>
              <w:rPr>
                <w:sz w:val="17"/>
                <w:szCs w:val="17"/>
              </w:rPr>
              <w:t>国有资本经营预算</w:t>
            </w:r>
          </w:p>
        </w:tc>
        <w:tc>
          <w:tcPr>
            <w:tcW w:w="844" w:type="dxa"/>
          </w:tcPr>
          <w:p>
            <w:pPr>
              <w:pStyle w:val="11"/>
              <w:spacing w:line="312" w:lineRule="exact"/>
              <w:ind w:firstLine="0"/>
              <w:jc w:val="left"/>
              <w:rPr>
                <w:sz w:val="17"/>
                <w:szCs w:val="17"/>
              </w:rPr>
            </w:pPr>
            <w:r>
              <w:rPr>
                <w:sz w:val="17"/>
                <w:szCs w:val="17"/>
              </w:rPr>
              <w:t>财政专户管理资金</w:t>
            </w:r>
          </w:p>
          <w:p>
            <w:pPr>
              <w:pStyle w:val="11"/>
              <w:spacing w:line="312" w:lineRule="exact"/>
              <w:ind w:firstLine="0" w:firstLineChars="0"/>
              <w:jc w:val="left"/>
              <w:rPr>
                <w:rFonts w:hint="eastAsia" w:eastAsia="宋体"/>
                <w:vertAlign w:val="baseline"/>
                <w:lang w:val="en-US" w:eastAsia="zh-CN"/>
              </w:rPr>
            </w:pPr>
            <w:r>
              <w:rPr>
                <w:sz w:val="17"/>
                <w:szCs w:val="17"/>
              </w:rPr>
              <w:t>收入</w:t>
            </w:r>
          </w:p>
        </w:tc>
        <w:tc>
          <w:tcPr>
            <w:tcW w:w="856" w:type="dxa"/>
            <w:vAlign w:val="center"/>
          </w:tcPr>
          <w:p>
            <w:pPr>
              <w:pStyle w:val="11"/>
              <w:spacing w:line="240" w:lineRule="auto"/>
              <w:ind w:firstLine="0" w:firstLineChars="0"/>
              <w:jc w:val="left"/>
              <w:rPr>
                <w:rFonts w:hint="eastAsia" w:eastAsia="宋体"/>
                <w:vertAlign w:val="baseline"/>
                <w:lang w:val="en-US" w:eastAsia="zh-CN"/>
              </w:rPr>
            </w:pPr>
            <w:r>
              <w:rPr>
                <w:sz w:val="17"/>
                <w:szCs w:val="17"/>
              </w:rPr>
              <w:t>单位资金</w:t>
            </w:r>
          </w:p>
        </w:tc>
        <w:tc>
          <w:tcPr>
            <w:tcW w:w="1035" w:type="dxa"/>
            <w:vAlign w:val="center"/>
          </w:tcPr>
          <w:p>
            <w:pPr>
              <w:pStyle w:val="11"/>
              <w:spacing w:line="240" w:lineRule="auto"/>
              <w:ind w:firstLine="300" w:firstLineChars="0"/>
              <w:jc w:val="left"/>
              <w:rPr>
                <w:rFonts w:hint="eastAsia" w:eastAsia="宋体"/>
                <w:vertAlign w:val="baseline"/>
                <w:lang w:val="en-US" w:eastAsia="zh-CN"/>
              </w:rPr>
            </w:pPr>
            <w:r>
              <w:rPr>
                <w:sz w:val="17"/>
                <w:szCs w:val="17"/>
              </w:rPr>
              <w:t>小计</w:t>
            </w:r>
          </w:p>
        </w:tc>
        <w:tc>
          <w:tcPr>
            <w:tcW w:w="1011" w:type="dxa"/>
            <w:vAlign w:val="center"/>
          </w:tcPr>
          <w:p>
            <w:pPr>
              <w:pStyle w:val="11"/>
              <w:spacing w:line="317" w:lineRule="exact"/>
              <w:ind w:firstLine="0" w:firstLineChars="0"/>
              <w:jc w:val="left"/>
              <w:rPr>
                <w:rFonts w:hint="eastAsia" w:eastAsia="宋体"/>
                <w:vertAlign w:val="baseline"/>
                <w:lang w:val="en-US" w:eastAsia="zh-CN"/>
              </w:rPr>
            </w:pPr>
            <w:r>
              <w:rPr>
                <w:sz w:val="17"/>
                <w:szCs w:val="17"/>
              </w:rPr>
              <w:t>一般公共预算</w:t>
            </w:r>
          </w:p>
        </w:tc>
        <w:tc>
          <w:tcPr>
            <w:tcW w:w="859" w:type="dxa"/>
            <w:vAlign w:val="center"/>
          </w:tcPr>
          <w:p>
            <w:pPr>
              <w:pStyle w:val="11"/>
              <w:spacing w:line="317" w:lineRule="exact"/>
              <w:ind w:firstLine="0" w:firstLineChars="0"/>
              <w:jc w:val="left"/>
              <w:rPr>
                <w:rFonts w:hint="eastAsia" w:eastAsia="宋体"/>
                <w:vertAlign w:val="baseline"/>
                <w:lang w:val="en-US" w:eastAsia="zh-CN"/>
              </w:rPr>
            </w:pPr>
            <w:r>
              <w:rPr>
                <w:sz w:val="17"/>
                <w:szCs w:val="17"/>
              </w:rPr>
              <w:t>政府性基金预算</w:t>
            </w:r>
          </w:p>
        </w:tc>
        <w:tc>
          <w:tcPr>
            <w:tcW w:w="1094" w:type="dxa"/>
            <w:gridSpan w:val="2"/>
            <w:vAlign w:val="center"/>
          </w:tcPr>
          <w:p>
            <w:pPr>
              <w:pStyle w:val="11"/>
              <w:spacing w:line="317" w:lineRule="exact"/>
              <w:ind w:firstLine="0" w:firstLineChars="0"/>
              <w:jc w:val="left"/>
              <w:rPr>
                <w:rFonts w:hint="eastAsia" w:eastAsia="宋体"/>
                <w:vertAlign w:val="baseline"/>
                <w:lang w:val="en-US" w:eastAsia="zh-CN"/>
              </w:rPr>
            </w:pPr>
            <w:r>
              <w:rPr>
                <w:sz w:val="17"/>
                <w:szCs w:val="17"/>
              </w:rPr>
              <w:t>国有资本经营预算</w:t>
            </w:r>
          </w:p>
        </w:tc>
        <w:tc>
          <w:tcPr>
            <w:tcW w:w="872" w:type="dxa"/>
          </w:tcPr>
          <w:p>
            <w:pPr>
              <w:pStyle w:val="11"/>
              <w:spacing w:line="312" w:lineRule="exact"/>
              <w:ind w:firstLine="0"/>
              <w:jc w:val="left"/>
              <w:rPr>
                <w:sz w:val="17"/>
                <w:szCs w:val="17"/>
              </w:rPr>
            </w:pPr>
            <w:r>
              <w:rPr>
                <w:sz w:val="17"/>
                <w:szCs w:val="17"/>
              </w:rPr>
              <w:t>财政专户管理资金</w:t>
            </w:r>
          </w:p>
          <w:p>
            <w:pPr>
              <w:pStyle w:val="11"/>
              <w:spacing w:line="312" w:lineRule="exact"/>
              <w:ind w:right="280" w:rightChars="0" w:firstLine="0" w:firstLineChars="0"/>
              <w:jc w:val="left"/>
              <w:rPr>
                <w:rFonts w:hint="eastAsia" w:eastAsia="宋体"/>
                <w:vertAlign w:val="baseline"/>
                <w:lang w:val="en-US" w:eastAsia="zh-CN"/>
              </w:rPr>
            </w:pPr>
            <w:r>
              <w:rPr>
                <w:sz w:val="17"/>
                <w:szCs w:val="17"/>
              </w:rPr>
              <w:t>收入</w:t>
            </w:r>
          </w:p>
        </w:tc>
        <w:tc>
          <w:tcPr>
            <w:tcW w:w="1054" w:type="dxa"/>
            <w:vAlign w:val="center"/>
          </w:tcPr>
          <w:p>
            <w:pPr>
              <w:pStyle w:val="11"/>
              <w:spacing w:line="240" w:lineRule="auto"/>
              <w:ind w:firstLine="140" w:firstLineChars="0"/>
              <w:jc w:val="left"/>
              <w:rPr>
                <w:rFonts w:hint="eastAsia" w:eastAsia="宋体"/>
                <w:vertAlign w:val="baseline"/>
                <w:lang w:val="en-US" w:eastAsia="zh-CN"/>
              </w:rPr>
            </w:pPr>
            <w:r>
              <w:rPr>
                <w:sz w:val="17"/>
                <w:szCs w:val="17"/>
              </w:rPr>
              <w:t>单位资金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6" w:type="dxa"/>
          </w:tcPr>
          <w:p>
            <w:pPr>
              <w:tabs>
                <w:tab w:val="left" w:pos="859"/>
              </w:tabs>
              <w:jc w:val="both"/>
              <w:rPr>
                <w:rFonts w:hint="eastAsia" w:eastAsia="宋体"/>
                <w:vertAlign w:val="baseline"/>
                <w:lang w:val="en-US" w:eastAsia="zh-CN"/>
              </w:rPr>
            </w:pPr>
          </w:p>
        </w:tc>
        <w:tc>
          <w:tcPr>
            <w:tcW w:w="1279" w:type="dxa"/>
          </w:tcPr>
          <w:p>
            <w:pPr>
              <w:tabs>
                <w:tab w:val="left" w:pos="859"/>
              </w:tabs>
              <w:jc w:val="both"/>
              <w:rPr>
                <w:rFonts w:hint="eastAsia" w:eastAsia="宋体"/>
                <w:vertAlign w:val="baseline"/>
                <w:lang w:val="en-US" w:eastAsia="zh-CN"/>
              </w:rPr>
            </w:pPr>
          </w:p>
        </w:tc>
        <w:tc>
          <w:tcPr>
            <w:tcW w:w="990" w:type="dxa"/>
            <w:vAlign w:val="center"/>
          </w:tcPr>
          <w:p>
            <w:pPr>
              <w:pStyle w:val="11"/>
              <w:spacing w:line="240" w:lineRule="auto"/>
              <w:ind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1</w:t>
            </w:r>
          </w:p>
        </w:tc>
        <w:tc>
          <w:tcPr>
            <w:tcW w:w="926" w:type="dxa"/>
            <w:vAlign w:val="center"/>
          </w:tcPr>
          <w:p>
            <w:pPr>
              <w:pStyle w:val="11"/>
              <w:spacing w:line="240" w:lineRule="auto"/>
              <w:ind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2</w:t>
            </w:r>
          </w:p>
        </w:tc>
        <w:tc>
          <w:tcPr>
            <w:tcW w:w="909" w:type="dxa"/>
            <w:vAlign w:val="center"/>
          </w:tcPr>
          <w:p>
            <w:pPr>
              <w:pStyle w:val="11"/>
              <w:spacing w:line="240" w:lineRule="auto"/>
              <w:ind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3</w:t>
            </w:r>
          </w:p>
        </w:tc>
        <w:tc>
          <w:tcPr>
            <w:tcW w:w="1161" w:type="dxa"/>
            <w:vAlign w:val="center"/>
          </w:tcPr>
          <w:p>
            <w:pPr>
              <w:pStyle w:val="11"/>
              <w:spacing w:line="240" w:lineRule="auto"/>
              <w:ind w:firstLine="44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4</w:t>
            </w:r>
          </w:p>
        </w:tc>
        <w:tc>
          <w:tcPr>
            <w:tcW w:w="1031" w:type="dxa"/>
            <w:vAlign w:val="center"/>
          </w:tcPr>
          <w:p>
            <w:pPr>
              <w:pStyle w:val="11"/>
              <w:spacing w:line="240" w:lineRule="auto"/>
              <w:ind w:firstLine="42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5</w:t>
            </w:r>
          </w:p>
        </w:tc>
        <w:tc>
          <w:tcPr>
            <w:tcW w:w="844" w:type="dxa"/>
            <w:vAlign w:val="center"/>
          </w:tcPr>
          <w:p>
            <w:pPr>
              <w:pStyle w:val="11"/>
              <w:spacing w:line="240" w:lineRule="auto"/>
              <w:ind w:firstLine="42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6</w:t>
            </w:r>
          </w:p>
        </w:tc>
        <w:tc>
          <w:tcPr>
            <w:tcW w:w="856" w:type="dxa"/>
            <w:vAlign w:val="center"/>
          </w:tcPr>
          <w:p>
            <w:pPr>
              <w:pStyle w:val="11"/>
              <w:spacing w:line="240" w:lineRule="auto"/>
              <w:ind w:firstLine="44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7</w:t>
            </w:r>
          </w:p>
        </w:tc>
        <w:tc>
          <w:tcPr>
            <w:tcW w:w="1035" w:type="dxa"/>
            <w:vAlign w:val="center"/>
          </w:tcPr>
          <w:p>
            <w:pPr>
              <w:pStyle w:val="11"/>
              <w:spacing w:line="240" w:lineRule="auto"/>
              <w:ind w:firstLine="44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8</w:t>
            </w:r>
          </w:p>
        </w:tc>
        <w:tc>
          <w:tcPr>
            <w:tcW w:w="1011" w:type="dxa"/>
            <w:vAlign w:val="center"/>
          </w:tcPr>
          <w:p>
            <w:pPr>
              <w:pStyle w:val="11"/>
              <w:spacing w:line="240" w:lineRule="auto"/>
              <w:ind w:firstLine="42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9</w:t>
            </w:r>
          </w:p>
        </w:tc>
        <w:tc>
          <w:tcPr>
            <w:tcW w:w="859" w:type="dxa"/>
            <w:vAlign w:val="center"/>
          </w:tcPr>
          <w:p>
            <w:pPr>
              <w:pStyle w:val="11"/>
              <w:spacing w:line="240" w:lineRule="auto"/>
              <w:ind w:right="360" w:rightChars="0"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10</w:t>
            </w:r>
          </w:p>
        </w:tc>
        <w:tc>
          <w:tcPr>
            <w:tcW w:w="1094" w:type="dxa"/>
            <w:gridSpan w:val="2"/>
            <w:vAlign w:val="center"/>
          </w:tcPr>
          <w:p>
            <w:pPr>
              <w:pStyle w:val="11"/>
              <w:spacing w:line="240" w:lineRule="auto"/>
              <w:ind w:firstLine="44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11</w:t>
            </w:r>
          </w:p>
        </w:tc>
        <w:tc>
          <w:tcPr>
            <w:tcW w:w="872" w:type="dxa"/>
            <w:vAlign w:val="center"/>
          </w:tcPr>
          <w:p>
            <w:pPr>
              <w:pStyle w:val="11"/>
              <w:spacing w:line="240" w:lineRule="auto"/>
              <w:ind w:right="380" w:rightChars="0"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12</w:t>
            </w:r>
          </w:p>
        </w:tc>
        <w:tc>
          <w:tcPr>
            <w:tcW w:w="1054" w:type="dxa"/>
            <w:vAlign w:val="center"/>
          </w:tcPr>
          <w:p>
            <w:pPr>
              <w:pStyle w:val="11"/>
              <w:spacing w:line="240" w:lineRule="auto"/>
              <w:ind w:right="420" w:rightChars="0"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6" w:type="dxa"/>
            <w:vAlign w:val="center"/>
          </w:tcPr>
          <w:p>
            <w:pPr>
              <w:pStyle w:val="11"/>
              <w:spacing w:line="240" w:lineRule="auto"/>
              <w:ind w:firstLine="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rPr>
              <w:t xml:space="preserve"> </w:t>
            </w:r>
          </w:p>
        </w:tc>
        <w:tc>
          <w:tcPr>
            <w:tcW w:w="1279" w:type="dxa"/>
          </w:tcPr>
          <w:p>
            <w:pPr>
              <w:pStyle w:val="11"/>
              <w:spacing w:line="326" w:lineRule="exact"/>
              <w:ind w:firstLine="0" w:firstLineChars="0"/>
              <w:jc w:val="left"/>
              <w:rPr>
                <w:rFonts w:hint="eastAsia" w:eastAsia="宋体"/>
                <w:vertAlign w:val="baseline"/>
                <w:lang w:val="en-US" w:eastAsia="zh-CN"/>
              </w:rPr>
            </w:pPr>
            <w:r>
              <w:rPr>
                <w:rFonts w:hint="eastAsia"/>
                <w:sz w:val="17"/>
                <w:szCs w:val="17"/>
                <w:lang w:val="en-US" w:eastAsia="zh-CN"/>
              </w:rPr>
              <w:t>合计</w:t>
            </w:r>
          </w:p>
        </w:tc>
        <w:tc>
          <w:tcPr>
            <w:tcW w:w="990" w:type="dxa"/>
            <w:vAlign w:val="center"/>
          </w:tcPr>
          <w:p>
            <w:pPr>
              <w:pStyle w:val="11"/>
              <w:spacing w:line="240" w:lineRule="auto"/>
              <w:ind w:firstLine="48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1502.98</w:t>
            </w:r>
          </w:p>
        </w:tc>
        <w:tc>
          <w:tcPr>
            <w:tcW w:w="926" w:type="dxa"/>
            <w:vAlign w:val="center"/>
          </w:tcPr>
          <w:p>
            <w:pPr>
              <w:pStyle w:val="11"/>
              <w:spacing w:line="240" w:lineRule="auto"/>
              <w:ind w:firstLine="300" w:firstLineChars="0"/>
              <w:jc w:val="left"/>
              <w:rPr>
                <w:rFonts w:hint="eastAsia" w:eastAsia="宋体"/>
                <w:vertAlign w:val="baseline"/>
                <w:lang w:val="en-US" w:eastAsia="zh-CN"/>
              </w:rPr>
            </w:pPr>
            <w:r>
              <w:rPr>
                <w:rFonts w:hint="eastAsia"/>
                <w:sz w:val="17"/>
                <w:szCs w:val="17"/>
                <w:lang w:val="en-US" w:eastAsia="zh-CN"/>
              </w:rPr>
              <w:t>1502.98</w:t>
            </w:r>
          </w:p>
        </w:tc>
        <w:tc>
          <w:tcPr>
            <w:tcW w:w="909" w:type="dxa"/>
            <w:vAlign w:val="center"/>
          </w:tcPr>
          <w:p>
            <w:pPr>
              <w:pStyle w:val="11"/>
              <w:spacing w:line="240" w:lineRule="auto"/>
              <w:ind w:firstLine="28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1500.59</w:t>
            </w:r>
          </w:p>
        </w:tc>
        <w:tc>
          <w:tcPr>
            <w:tcW w:w="1161" w:type="dxa"/>
            <w:vAlign w:val="center"/>
          </w:tcPr>
          <w:p>
            <w:pPr>
              <w:pStyle w:val="11"/>
              <w:spacing w:line="240" w:lineRule="auto"/>
              <w:ind w:firstLine="520" w:firstLineChars="0"/>
              <w:jc w:val="left"/>
              <w:rPr>
                <w:rFonts w:hint="eastAsia" w:eastAsia="宋体"/>
                <w:vertAlign w:val="baseline"/>
                <w:lang w:val="en-US" w:eastAsia="zh-CN"/>
              </w:rPr>
            </w:pPr>
            <w:r>
              <w:rPr>
                <w:rFonts w:hint="eastAsia"/>
                <w:sz w:val="17"/>
                <w:szCs w:val="17"/>
                <w:lang w:val="en-US" w:eastAsia="zh-CN"/>
              </w:rPr>
              <w:t>2.40</w:t>
            </w:r>
          </w:p>
        </w:tc>
        <w:tc>
          <w:tcPr>
            <w:tcW w:w="1031" w:type="dxa"/>
            <w:vAlign w:val="center"/>
          </w:tcPr>
          <w:p>
            <w:pPr>
              <w:pStyle w:val="11"/>
              <w:spacing w:line="240" w:lineRule="auto"/>
              <w:ind w:firstLine="48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844" w:type="dxa"/>
            <w:vAlign w:val="center"/>
          </w:tcPr>
          <w:p>
            <w:pPr>
              <w:pStyle w:val="11"/>
              <w:spacing w:line="240" w:lineRule="auto"/>
              <w:ind w:firstLine="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856" w:type="dxa"/>
            <w:vAlign w:val="center"/>
          </w:tcPr>
          <w:p>
            <w:pPr>
              <w:pStyle w:val="11"/>
              <w:spacing w:line="240" w:lineRule="auto"/>
              <w:ind w:firstLine="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1035" w:type="dxa"/>
            <w:vAlign w:val="center"/>
          </w:tcPr>
          <w:p>
            <w:pPr>
              <w:pStyle w:val="11"/>
              <w:spacing w:line="240" w:lineRule="auto"/>
              <w:ind w:firstLine="52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1011" w:type="dxa"/>
            <w:vAlign w:val="center"/>
          </w:tcPr>
          <w:p>
            <w:pPr>
              <w:pStyle w:val="11"/>
              <w:spacing w:line="240" w:lineRule="auto"/>
              <w:ind w:firstLine="48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859" w:type="dxa"/>
            <w:vAlign w:val="center"/>
          </w:tcPr>
          <w:p>
            <w:pPr>
              <w:pStyle w:val="11"/>
              <w:spacing w:line="240" w:lineRule="auto"/>
              <w:ind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1094" w:type="dxa"/>
            <w:gridSpan w:val="2"/>
            <w:vAlign w:val="center"/>
          </w:tcPr>
          <w:p>
            <w:pPr>
              <w:pStyle w:val="11"/>
              <w:spacing w:line="240" w:lineRule="auto"/>
              <w:ind w:firstLine="58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872" w:type="dxa"/>
            <w:vAlign w:val="center"/>
          </w:tcPr>
          <w:p>
            <w:pPr>
              <w:pStyle w:val="11"/>
              <w:spacing w:line="240" w:lineRule="auto"/>
              <w:ind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1054" w:type="dxa"/>
            <w:vAlign w:val="center"/>
          </w:tcPr>
          <w:p>
            <w:pPr>
              <w:pStyle w:val="11"/>
              <w:spacing w:line="240" w:lineRule="auto"/>
              <w:ind w:firstLine="54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6" w:type="dxa"/>
            <w:vAlign w:val="center"/>
          </w:tcPr>
          <w:p>
            <w:pPr>
              <w:pStyle w:val="11"/>
              <w:spacing w:line="240" w:lineRule="auto"/>
              <w:ind w:firstLine="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rPr>
              <w:t>705001</w:t>
            </w:r>
          </w:p>
        </w:tc>
        <w:tc>
          <w:tcPr>
            <w:tcW w:w="1279" w:type="dxa"/>
          </w:tcPr>
          <w:p>
            <w:pPr>
              <w:pStyle w:val="11"/>
              <w:spacing w:line="326" w:lineRule="exact"/>
              <w:ind w:firstLine="0" w:firstLineChars="0"/>
              <w:jc w:val="left"/>
              <w:rPr>
                <w:rFonts w:hint="eastAsia" w:eastAsia="宋体"/>
                <w:vertAlign w:val="baseline"/>
                <w:lang w:val="en-US" w:eastAsia="zh-CN"/>
              </w:rPr>
            </w:pPr>
          </w:p>
        </w:tc>
        <w:tc>
          <w:tcPr>
            <w:tcW w:w="990" w:type="dxa"/>
            <w:vAlign w:val="center"/>
          </w:tcPr>
          <w:p>
            <w:pPr>
              <w:pStyle w:val="11"/>
              <w:spacing w:line="240" w:lineRule="auto"/>
              <w:ind w:firstLine="48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1502.98</w:t>
            </w:r>
          </w:p>
        </w:tc>
        <w:tc>
          <w:tcPr>
            <w:tcW w:w="926" w:type="dxa"/>
            <w:vAlign w:val="center"/>
          </w:tcPr>
          <w:p>
            <w:pPr>
              <w:pStyle w:val="11"/>
              <w:spacing w:line="240" w:lineRule="auto"/>
              <w:ind w:firstLine="300" w:firstLineChars="0"/>
              <w:jc w:val="left"/>
              <w:rPr>
                <w:rFonts w:hint="eastAsia" w:eastAsia="宋体"/>
                <w:vertAlign w:val="baseline"/>
                <w:lang w:val="en-US" w:eastAsia="zh-CN"/>
              </w:rPr>
            </w:pPr>
            <w:r>
              <w:rPr>
                <w:rFonts w:hint="eastAsia"/>
                <w:sz w:val="17"/>
                <w:szCs w:val="17"/>
                <w:lang w:val="en-US" w:eastAsia="zh-CN"/>
              </w:rPr>
              <w:t>1502.98</w:t>
            </w:r>
          </w:p>
        </w:tc>
        <w:tc>
          <w:tcPr>
            <w:tcW w:w="909" w:type="dxa"/>
            <w:vAlign w:val="center"/>
          </w:tcPr>
          <w:p>
            <w:pPr>
              <w:pStyle w:val="11"/>
              <w:spacing w:line="240" w:lineRule="auto"/>
              <w:ind w:firstLine="28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1500.59</w:t>
            </w:r>
          </w:p>
        </w:tc>
        <w:tc>
          <w:tcPr>
            <w:tcW w:w="1161" w:type="dxa"/>
            <w:vAlign w:val="center"/>
          </w:tcPr>
          <w:p>
            <w:pPr>
              <w:pStyle w:val="11"/>
              <w:spacing w:line="240" w:lineRule="auto"/>
              <w:ind w:firstLine="520" w:firstLineChars="0"/>
              <w:jc w:val="left"/>
              <w:rPr>
                <w:rFonts w:hint="eastAsia" w:eastAsia="宋体"/>
                <w:vertAlign w:val="baseline"/>
                <w:lang w:val="en-US" w:eastAsia="zh-CN"/>
              </w:rPr>
            </w:pPr>
            <w:r>
              <w:rPr>
                <w:rFonts w:hint="eastAsia"/>
                <w:sz w:val="17"/>
                <w:szCs w:val="17"/>
                <w:lang w:val="en-US" w:eastAsia="zh-CN"/>
              </w:rPr>
              <w:t>2.40</w:t>
            </w:r>
          </w:p>
        </w:tc>
        <w:tc>
          <w:tcPr>
            <w:tcW w:w="1031" w:type="dxa"/>
            <w:vAlign w:val="center"/>
          </w:tcPr>
          <w:p>
            <w:pPr>
              <w:pStyle w:val="11"/>
              <w:spacing w:line="240" w:lineRule="auto"/>
              <w:ind w:firstLine="48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844" w:type="dxa"/>
            <w:vAlign w:val="center"/>
          </w:tcPr>
          <w:p>
            <w:pPr>
              <w:pStyle w:val="11"/>
              <w:spacing w:line="240" w:lineRule="auto"/>
              <w:ind w:firstLine="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856" w:type="dxa"/>
            <w:vAlign w:val="center"/>
          </w:tcPr>
          <w:p>
            <w:pPr>
              <w:pStyle w:val="11"/>
              <w:spacing w:line="240" w:lineRule="auto"/>
              <w:ind w:firstLine="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1035" w:type="dxa"/>
            <w:vAlign w:val="center"/>
          </w:tcPr>
          <w:p>
            <w:pPr>
              <w:pStyle w:val="11"/>
              <w:spacing w:line="240" w:lineRule="auto"/>
              <w:ind w:firstLine="52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1011" w:type="dxa"/>
            <w:vAlign w:val="center"/>
          </w:tcPr>
          <w:p>
            <w:pPr>
              <w:pStyle w:val="11"/>
              <w:spacing w:line="240" w:lineRule="auto"/>
              <w:ind w:firstLine="48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859" w:type="dxa"/>
            <w:vAlign w:val="center"/>
          </w:tcPr>
          <w:p>
            <w:pPr>
              <w:pStyle w:val="11"/>
              <w:spacing w:line="240" w:lineRule="auto"/>
              <w:ind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1094" w:type="dxa"/>
            <w:gridSpan w:val="2"/>
            <w:vAlign w:val="center"/>
          </w:tcPr>
          <w:p>
            <w:pPr>
              <w:pStyle w:val="11"/>
              <w:spacing w:line="240" w:lineRule="auto"/>
              <w:ind w:firstLine="58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872" w:type="dxa"/>
            <w:vAlign w:val="center"/>
          </w:tcPr>
          <w:p>
            <w:pPr>
              <w:pStyle w:val="11"/>
              <w:spacing w:line="240" w:lineRule="auto"/>
              <w:ind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1054" w:type="dxa"/>
            <w:vAlign w:val="center"/>
          </w:tcPr>
          <w:p>
            <w:pPr>
              <w:pStyle w:val="11"/>
              <w:spacing w:line="240" w:lineRule="auto"/>
              <w:ind w:firstLine="54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7" w:type="dxa"/>
            <w:gridSpan w:val="16"/>
            <w:tcBorders>
              <w:left w:val="nil"/>
              <w:bottom w:val="nil"/>
              <w:right w:val="nil"/>
            </w:tcBorders>
          </w:tcPr>
          <w:p>
            <w:pPr>
              <w:pStyle w:val="12"/>
              <w:jc w:val="left"/>
              <w:rPr>
                <w:rFonts w:hint="eastAsia" w:eastAsia="宋体"/>
                <w:vertAlign w:val="baseline"/>
                <w:lang w:val="en-US" w:eastAsia="zh-CN"/>
              </w:rPr>
            </w:pPr>
            <w:r>
              <w:t>注：本报表金额单位转换时可能存在四舍五入尾数误差。</w:t>
            </w:r>
          </w:p>
        </w:tc>
      </w:tr>
    </w:tbl>
    <w:p>
      <w:pPr>
        <w:tabs>
          <w:tab w:val="left" w:pos="859"/>
        </w:tabs>
        <w:jc w:val="both"/>
        <w:rPr>
          <w:rFonts w:hint="eastAsia" w:eastAsia="宋体"/>
          <w:lang w:val="en-US" w:eastAsia="zh-CN"/>
        </w:rPr>
      </w:pPr>
    </w:p>
    <w:p>
      <w:pPr>
        <w:tabs>
          <w:tab w:val="left" w:pos="859"/>
        </w:tabs>
        <w:jc w:val="center"/>
        <w:rPr>
          <w:rFonts w:hint="eastAsia" w:eastAsia="宋体"/>
          <w:lang w:val="en-US" w:eastAsia="zh-CN"/>
        </w:rPr>
      </w:pPr>
    </w:p>
    <w:p>
      <w:pPr>
        <w:tabs>
          <w:tab w:val="left" w:pos="859"/>
        </w:tabs>
        <w:jc w:val="both"/>
        <w:rPr>
          <w:rFonts w:hint="eastAsia" w:eastAsia="宋体"/>
          <w:lang w:val="en-US" w:eastAsia="zh-CN"/>
        </w:rPr>
      </w:pPr>
    </w:p>
    <w:p>
      <w:pPr>
        <w:spacing w:line="1" w:lineRule="exact"/>
        <w:jc w:val="left"/>
        <w:rPr>
          <w:lang w:eastAsia="zh-CN"/>
        </w:rPr>
        <w:sectPr>
          <w:headerReference r:id="rId8" w:type="default"/>
          <w:footerReference r:id="rId9" w:type="default"/>
          <w:pgSz w:w="16840" w:h="11900" w:orient="landscape"/>
          <w:pgMar w:top="2709" w:right="764" w:bottom="2709" w:left="735" w:header="2281" w:footer="3" w:gutter="0"/>
          <w:pgBorders>
            <w:top w:val="none" w:sz="0" w:space="0"/>
            <w:left w:val="none" w:sz="0" w:space="0"/>
            <w:bottom w:val="none" w:sz="0" w:space="0"/>
            <w:right w:val="none" w:sz="0" w:space="0"/>
          </w:pgBorders>
          <w:cols w:space="720" w:num="1"/>
          <w:docGrid w:linePitch="360" w:charSpace="0"/>
        </w:sectPr>
      </w:pPr>
    </w:p>
    <w:p>
      <w:pPr>
        <w:pStyle w:val="10"/>
        <w:keepNext/>
        <w:keepLines/>
        <w:spacing w:after="240"/>
        <w:jc w:val="center"/>
      </w:pPr>
      <w:bookmarkStart w:id="18" w:name="bookmark41"/>
      <w:bookmarkStart w:id="19" w:name="bookmark42"/>
      <w:bookmarkStart w:id="20" w:name="bookmark43"/>
      <w:r>
        <w:t>支出总体情况表</w:t>
      </w:r>
      <w:bookmarkEnd w:id="18"/>
      <w:bookmarkEnd w:id="19"/>
      <w:bookmarkEnd w:id="20"/>
    </w:p>
    <w:tbl>
      <w:tblPr>
        <w:tblStyle w:val="2"/>
        <w:tblW w:w="0" w:type="auto"/>
        <w:tblInd w:w="0" w:type="dxa"/>
        <w:tblLayout w:type="fixed"/>
        <w:tblCellMar>
          <w:top w:w="0" w:type="dxa"/>
          <w:left w:w="10" w:type="dxa"/>
          <w:bottom w:w="0" w:type="dxa"/>
          <w:right w:w="10" w:type="dxa"/>
        </w:tblCellMar>
      </w:tblPr>
      <w:tblGrid>
        <w:gridCol w:w="1843"/>
        <w:gridCol w:w="1934"/>
        <w:gridCol w:w="2390"/>
        <w:gridCol w:w="2280"/>
        <w:gridCol w:w="2299"/>
        <w:gridCol w:w="2222"/>
        <w:gridCol w:w="2371"/>
      </w:tblGrid>
      <w:tr>
        <w:tblPrEx>
          <w:tblCellMar>
            <w:top w:w="0" w:type="dxa"/>
            <w:left w:w="10" w:type="dxa"/>
            <w:bottom w:w="0" w:type="dxa"/>
            <w:right w:w="10" w:type="dxa"/>
          </w:tblCellMar>
        </w:tblPrEx>
        <w:trPr>
          <w:trHeight w:val="346" w:hRule="exact"/>
        </w:trPr>
        <w:tc>
          <w:tcPr>
            <w:tcW w:w="12968" w:type="dxa"/>
            <w:gridSpan w:val="6"/>
            <w:shd w:val="clear" w:color="auto" w:fill="FFFFFF"/>
          </w:tcPr>
          <w:p>
            <w:pPr>
              <w:pStyle w:val="11"/>
              <w:spacing w:line="240" w:lineRule="auto"/>
              <w:ind w:firstLine="0"/>
              <w:jc w:val="left"/>
              <w:rPr>
                <w:sz w:val="17"/>
                <w:szCs w:val="17"/>
              </w:rPr>
            </w:pPr>
            <w:r>
              <w:rPr>
                <w:sz w:val="17"/>
                <w:szCs w:val="17"/>
              </w:rPr>
              <w:t>单位名称：</w:t>
            </w:r>
            <w:r>
              <w:rPr>
                <w:rFonts w:hint="eastAsia"/>
                <w:sz w:val="17"/>
                <w:szCs w:val="17"/>
                <w:lang w:eastAsia="zh-CN"/>
              </w:rPr>
              <w:t>环江毛南族自治县川山镇人民政府</w:t>
            </w:r>
          </w:p>
        </w:tc>
        <w:tc>
          <w:tcPr>
            <w:tcW w:w="2371" w:type="dxa"/>
            <w:shd w:val="clear" w:color="auto" w:fill="FFFFFF"/>
          </w:tcPr>
          <w:p>
            <w:pPr>
              <w:pStyle w:val="11"/>
              <w:spacing w:line="240" w:lineRule="auto"/>
              <w:ind w:firstLine="1190" w:firstLineChars="700"/>
              <w:jc w:val="left"/>
              <w:rPr>
                <w:sz w:val="17"/>
                <w:szCs w:val="17"/>
              </w:rPr>
            </w:pPr>
            <w:r>
              <w:rPr>
                <w:sz w:val="17"/>
                <w:szCs w:val="17"/>
              </w:rPr>
              <w:t>单位：万元</w:t>
            </w:r>
          </w:p>
        </w:tc>
      </w:tr>
      <w:tr>
        <w:tblPrEx>
          <w:tblCellMar>
            <w:top w:w="0" w:type="dxa"/>
            <w:left w:w="10" w:type="dxa"/>
            <w:bottom w:w="0" w:type="dxa"/>
            <w:right w:w="10" w:type="dxa"/>
          </w:tblCellMar>
        </w:tblPrEx>
        <w:trPr>
          <w:trHeight w:val="854" w:hRule="exact"/>
        </w:trPr>
        <w:tc>
          <w:tcPr>
            <w:tcW w:w="1843"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0"/>
              <w:jc w:val="left"/>
              <w:rPr>
                <w:sz w:val="17"/>
                <w:szCs w:val="17"/>
              </w:rPr>
            </w:pPr>
            <w:r>
              <w:rPr>
                <w:sz w:val="17"/>
                <w:szCs w:val="17"/>
              </w:rPr>
              <w:t>科目编码</w:t>
            </w:r>
          </w:p>
        </w:tc>
        <w:tc>
          <w:tcPr>
            <w:tcW w:w="1934"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40"/>
              <w:jc w:val="left"/>
              <w:rPr>
                <w:sz w:val="17"/>
                <w:szCs w:val="17"/>
              </w:rPr>
            </w:pPr>
            <w:r>
              <w:rPr>
                <w:sz w:val="17"/>
                <w:szCs w:val="17"/>
              </w:rPr>
              <w:t>部门（单位）代码</w:t>
            </w:r>
          </w:p>
        </w:tc>
        <w:tc>
          <w:tcPr>
            <w:tcW w:w="2390" w:type="dxa"/>
            <w:tcBorders>
              <w:top w:val="single" w:color="auto" w:sz="4" w:space="0"/>
              <w:left w:val="single" w:color="auto" w:sz="4" w:space="0"/>
              <w:bottom w:val="single" w:color="auto" w:sz="4" w:space="0"/>
            </w:tcBorders>
            <w:shd w:val="clear" w:color="auto" w:fill="FFFFFF"/>
            <w:vAlign w:val="center"/>
          </w:tcPr>
          <w:p>
            <w:pPr>
              <w:pStyle w:val="11"/>
              <w:spacing w:after="120" w:line="240" w:lineRule="auto"/>
              <w:ind w:firstLine="0"/>
              <w:jc w:val="left"/>
              <w:rPr>
                <w:sz w:val="17"/>
                <w:szCs w:val="17"/>
              </w:rPr>
            </w:pPr>
            <w:r>
              <w:rPr>
                <w:sz w:val="17"/>
                <w:szCs w:val="17"/>
              </w:rPr>
              <w:t>部门（单位）名称</w:t>
            </w:r>
          </w:p>
          <w:p>
            <w:pPr>
              <w:pStyle w:val="11"/>
              <w:spacing w:line="240" w:lineRule="auto"/>
              <w:ind w:firstLine="0"/>
              <w:jc w:val="left"/>
              <w:rPr>
                <w:sz w:val="17"/>
                <w:szCs w:val="17"/>
              </w:rPr>
            </w:pPr>
            <w:r>
              <w:rPr>
                <w:sz w:val="17"/>
                <w:szCs w:val="17"/>
              </w:rPr>
              <w:t>（功能分类科目名称）</w:t>
            </w:r>
          </w:p>
        </w:tc>
        <w:tc>
          <w:tcPr>
            <w:tcW w:w="228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0"/>
              <w:jc w:val="left"/>
              <w:rPr>
                <w:sz w:val="17"/>
                <w:szCs w:val="17"/>
              </w:rPr>
            </w:pPr>
            <w:r>
              <w:rPr>
                <w:sz w:val="17"/>
                <w:szCs w:val="17"/>
              </w:rPr>
              <w:t>合计</w:t>
            </w:r>
          </w:p>
        </w:tc>
        <w:tc>
          <w:tcPr>
            <w:tcW w:w="2299"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0"/>
              <w:jc w:val="left"/>
              <w:rPr>
                <w:sz w:val="17"/>
                <w:szCs w:val="17"/>
              </w:rPr>
            </w:pPr>
            <w:r>
              <w:rPr>
                <w:sz w:val="17"/>
                <w:szCs w:val="17"/>
              </w:rPr>
              <w:t>基本支出</w:t>
            </w:r>
          </w:p>
        </w:tc>
        <w:tc>
          <w:tcPr>
            <w:tcW w:w="2222"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0"/>
              <w:jc w:val="left"/>
              <w:rPr>
                <w:sz w:val="17"/>
                <w:szCs w:val="17"/>
              </w:rPr>
            </w:pPr>
            <w:r>
              <w:rPr>
                <w:sz w:val="17"/>
                <w:szCs w:val="17"/>
              </w:rPr>
              <w:t>项目支出</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sz w:val="17"/>
                <w:szCs w:val="17"/>
              </w:rPr>
            </w:pPr>
            <w:r>
              <w:rPr>
                <w:sz w:val="17"/>
                <w:szCs w:val="17"/>
              </w:rPr>
              <w:t>结转下年支出</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 xml:space="preserve"> </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 xml:space="preserve"> </w:t>
            </w: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合计</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1502.98</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939.31</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563.67</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default" w:ascii="Times New Roman" w:hAnsi="Times New Roman" w:eastAsia="Times New Roman" w:cs="Times New Roman"/>
                <w:b/>
                <w:bCs/>
                <w:sz w:val="17"/>
                <w:szCs w:val="17"/>
                <w:lang w:val="en-US" w:eastAsia="zh-CN"/>
              </w:rPr>
            </w:pP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705001</w:t>
            </w: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1502.98</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939.31</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563.67</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2010301</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行政运行</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913.98</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813.98</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100.00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2012999</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其他群众团体事务支出</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5.51</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5.51</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2013202</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一般行政管理事务</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4.19</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4.19</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2079999</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其他文化旅游体育与传媒支出</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2080199</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其他人力资源和社会保障管理事务支出</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3.75</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3.75</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2080505</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机关事业单位基本养老保险缴费支出</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64.07</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64.07</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2082001</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临时救助支出</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0.22</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0.22</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2110401</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生态保护</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85.74</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85.74</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2121903</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城市建设支出</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2.40</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2.40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2130205</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森林资源培育</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20.05</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20.05</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2130599</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其他巩固脱贫攻坚成果衔接乡村振兴支出</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2.26</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2.26</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2140104</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公路建设</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339.00</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339.00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2140106</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公路养护</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6.07</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6.07</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2210201</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住房公积金</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55.75</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55.75</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bl>
    <w:p>
      <w:pPr>
        <w:pStyle w:val="12"/>
        <w:ind w:left="672"/>
        <w:jc w:val="left"/>
      </w:pPr>
      <w:r>
        <w:t>注：本报表金额单位转换时可能存在四舍五入尾数误差。</w:t>
      </w:r>
      <w:r>
        <w:br w:type="page"/>
      </w:r>
    </w:p>
    <w:p>
      <w:pPr>
        <w:pStyle w:val="10"/>
        <w:keepNext/>
        <w:keepLines/>
        <w:spacing w:after="240"/>
        <w:jc w:val="center"/>
      </w:pPr>
      <w:bookmarkStart w:id="21" w:name="bookmark46"/>
      <w:bookmarkStart w:id="22" w:name="bookmark45"/>
      <w:bookmarkStart w:id="23" w:name="bookmark44"/>
      <w:r>
        <w:t>财政拨款收支总体情况表</w:t>
      </w:r>
      <w:bookmarkEnd w:id="21"/>
      <w:bookmarkEnd w:id="22"/>
      <w:bookmarkEnd w:id="23"/>
    </w:p>
    <w:tbl>
      <w:tblPr>
        <w:tblStyle w:val="2"/>
        <w:tblW w:w="0" w:type="auto"/>
        <w:tblInd w:w="0" w:type="dxa"/>
        <w:tblLayout w:type="fixed"/>
        <w:tblCellMar>
          <w:top w:w="0" w:type="dxa"/>
          <w:left w:w="10" w:type="dxa"/>
          <w:bottom w:w="0" w:type="dxa"/>
          <w:right w:w="10" w:type="dxa"/>
        </w:tblCellMar>
      </w:tblPr>
      <w:tblGrid>
        <w:gridCol w:w="2885"/>
        <w:gridCol w:w="955"/>
        <w:gridCol w:w="3830"/>
        <w:gridCol w:w="3826"/>
        <w:gridCol w:w="3845"/>
        <w:gridCol w:w="1"/>
      </w:tblGrid>
      <w:tr>
        <w:tblPrEx>
          <w:tblCellMar>
            <w:top w:w="0" w:type="dxa"/>
            <w:left w:w="10" w:type="dxa"/>
            <w:bottom w:w="0" w:type="dxa"/>
            <w:right w:w="10" w:type="dxa"/>
          </w:tblCellMar>
        </w:tblPrEx>
        <w:trPr>
          <w:gridAfter w:val="1"/>
          <w:wAfter w:w="1" w:type="dxa"/>
          <w:trHeight w:val="346" w:hRule="exact"/>
        </w:trPr>
        <w:tc>
          <w:tcPr>
            <w:tcW w:w="11496" w:type="dxa"/>
            <w:gridSpan w:val="4"/>
            <w:shd w:val="clear" w:color="auto" w:fill="FFFFFF"/>
          </w:tcPr>
          <w:p>
            <w:pPr>
              <w:pStyle w:val="11"/>
              <w:spacing w:line="240" w:lineRule="auto"/>
              <w:ind w:firstLine="0"/>
              <w:jc w:val="left"/>
              <w:rPr>
                <w:rFonts w:hint="default"/>
                <w:sz w:val="17"/>
                <w:szCs w:val="17"/>
                <w:lang w:val="en-US"/>
              </w:rPr>
            </w:pPr>
            <w:r>
              <w:rPr>
                <w:sz w:val="17"/>
                <w:szCs w:val="17"/>
              </w:rPr>
              <w:t>单位名称：</w:t>
            </w:r>
            <w:r>
              <w:rPr>
                <w:rFonts w:hint="eastAsia"/>
                <w:sz w:val="17"/>
                <w:szCs w:val="17"/>
                <w:lang w:eastAsia="zh-CN"/>
              </w:rPr>
              <w:t>环江毛南族自治县川山镇人民政府</w:t>
            </w:r>
            <w:r>
              <w:rPr>
                <w:rFonts w:hint="eastAsia"/>
                <w:sz w:val="17"/>
                <w:szCs w:val="17"/>
                <w:lang w:val="en-US" w:eastAsia="zh-CN"/>
              </w:rPr>
              <w:t xml:space="preserve">                         </w:t>
            </w:r>
          </w:p>
        </w:tc>
        <w:tc>
          <w:tcPr>
            <w:tcW w:w="3845" w:type="dxa"/>
            <w:shd w:val="clear" w:color="auto" w:fill="FFFFFF"/>
          </w:tcPr>
          <w:p>
            <w:pPr>
              <w:pStyle w:val="11"/>
              <w:spacing w:line="240" w:lineRule="auto"/>
              <w:jc w:val="left"/>
              <w:rPr>
                <w:sz w:val="17"/>
                <w:szCs w:val="17"/>
              </w:rPr>
            </w:pPr>
            <w:r>
              <w:rPr>
                <w:sz w:val="17"/>
                <w:szCs w:val="17"/>
              </w:rPr>
              <w:t>单位：万元</w:t>
            </w:r>
          </w:p>
        </w:tc>
      </w:tr>
      <w:tr>
        <w:tblPrEx>
          <w:tblCellMar>
            <w:top w:w="0" w:type="dxa"/>
            <w:left w:w="10" w:type="dxa"/>
            <w:bottom w:w="0" w:type="dxa"/>
            <w:right w:w="10" w:type="dxa"/>
          </w:tblCellMar>
        </w:tblPrEx>
        <w:trPr>
          <w:gridAfter w:val="1"/>
          <w:wAfter w:w="1" w:type="dxa"/>
          <w:trHeight w:val="437" w:hRule="exact"/>
        </w:trPr>
        <w:tc>
          <w:tcPr>
            <w:tcW w:w="2885" w:type="dxa"/>
            <w:tcBorders>
              <w:top w:val="single" w:color="auto" w:sz="4" w:space="0"/>
              <w:left w:val="single" w:color="auto" w:sz="4" w:space="0"/>
            </w:tcBorders>
            <w:shd w:val="clear" w:color="auto" w:fill="FFFFFF"/>
          </w:tcPr>
          <w:p>
            <w:pPr>
              <w:jc w:val="left"/>
              <w:rPr>
                <w:sz w:val="10"/>
                <w:szCs w:val="10"/>
              </w:rPr>
            </w:pPr>
          </w:p>
        </w:tc>
        <w:tc>
          <w:tcPr>
            <w:tcW w:w="955" w:type="dxa"/>
            <w:tcBorders>
              <w:top w:val="single" w:color="auto" w:sz="4" w:space="0"/>
            </w:tcBorders>
            <w:shd w:val="clear" w:color="auto" w:fill="FFFFFF"/>
            <w:vAlign w:val="center"/>
          </w:tcPr>
          <w:p>
            <w:pPr>
              <w:pStyle w:val="11"/>
              <w:spacing w:line="240" w:lineRule="auto"/>
              <w:ind w:firstLine="0"/>
              <w:jc w:val="left"/>
              <w:rPr>
                <w:sz w:val="17"/>
                <w:szCs w:val="17"/>
              </w:rPr>
            </w:pPr>
            <w:r>
              <w:rPr>
                <w:sz w:val="17"/>
                <w:szCs w:val="17"/>
              </w:rPr>
              <w:t>收</w:t>
            </w:r>
          </w:p>
        </w:tc>
        <w:tc>
          <w:tcPr>
            <w:tcW w:w="3830" w:type="dxa"/>
            <w:tcBorders>
              <w:top w:val="single" w:color="auto" w:sz="4" w:space="0"/>
            </w:tcBorders>
            <w:shd w:val="clear" w:color="auto" w:fill="FFFFFF"/>
            <w:vAlign w:val="center"/>
          </w:tcPr>
          <w:p>
            <w:pPr>
              <w:pStyle w:val="11"/>
              <w:spacing w:line="240" w:lineRule="auto"/>
              <w:ind w:firstLine="340"/>
              <w:jc w:val="left"/>
              <w:rPr>
                <w:sz w:val="17"/>
                <w:szCs w:val="17"/>
              </w:rPr>
            </w:pPr>
            <w:r>
              <w:rPr>
                <w:sz w:val="17"/>
                <w:szCs w:val="17"/>
              </w:rPr>
              <w:t>入</w:t>
            </w:r>
          </w:p>
        </w:tc>
        <w:tc>
          <w:tcPr>
            <w:tcW w:w="3826" w:type="dxa"/>
            <w:tcBorders>
              <w:top w:val="single" w:color="auto" w:sz="4" w:space="0"/>
              <w:left w:val="single" w:color="auto" w:sz="4" w:space="0"/>
            </w:tcBorders>
            <w:shd w:val="clear" w:color="auto" w:fill="FFFFFF"/>
            <w:vAlign w:val="center"/>
          </w:tcPr>
          <w:p>
            <w:pPr>
              <w:pStyle w:val="11"/>
              <w:spacing w:line="240" w:lineRule="auto"/>
              <w:ind w:right="340" w:firstLine="2720" w:firstLineChars="1600"/>
              <w:jc w:val="left"/>
              <w:rPr>
                <w:sz w:val="17"/>
                <w:szCs w:val="17"/>
              </w:rPr>
            </w:pPr>
            <w:r>
              <w:rPr>
                <w:sz w:val="17"/>
                <w:szCs w:val="17"/>
              </w:rPr>
              <w:t>支</w:t>
            </w:r>
          </w:p>
        </w:tc>
        <w:tc>
          <w:tcPr>
            <w:tcW w:w="3845" w:type="dxa"/>
            <w:tcBorders>
              <w:top w:val="single" w:color="auto" w:sz="4" w:space="0"/>
              <w:right w:val="single" w:color="auto" w:sz="4" w:space="0"/>
            </w:tcBorders>
            <w:shd w:val="clear" w:color="auto" w:fill="FFFFFF"/>
            <w:vAlign w:val="center"/>
          </w:tcPr>
          <w:p>
            <w:pPr>
              <w:pStyle w:val="11"/>
              <w:spacing w:line="240" w:lineRule="auto"/>
              <w:ind w:firstLine="935" w:firstLineChars="550"/>
              <w:jc w:val="left"/>
              <w:rPr>
                <w:sz w:val="17"/>
                <w:szCs w:val="17"/>
              </w:rPr>
            </w:pPr>
            <w:r>
              <w:rPr>
                <w:sz w:val="17"/>
                <w:szCs w:val="17"/>
              </w:rPr>
              <w:t>出</w:t>
            </w:r>
          </w:p>
        </w:tc>
      </w:tr>
      <w:tr>
        <w:tblPrEx>
          <w:tblCellMar>
            <w:top w:w="0" w:type="dxa"/>
            <w:left w:w="10" w:type="dxa"/>
            <w:bottom w:w="0" w:type="dxa"/>
            <w:right w:w="10" w:type="dxa"/>
          </w:tblCellMar>
        </w:tblPrEx>
        <w:trPr>
          <w:gridAfter w:val="1"/>
          <w:wAfter w:w="1" w:type="dxa"/>
          <w:trHeight w:val="451" w:hRule="exact"/>
        </w:trPr>
        <w:tc>
          <w:tcPr>
            <w:tcW w:w="3840" w:type="dxa"/>
            <w:gridSpan w:val="2"/>
            <w:tcBorders>
              <w:top w:val="single" w:color="auto" w:sz="4" w:space="0"/>
              <w:left w:val="single" w:color="auto" w:sz="4" w:space="0"/>
            </w:tcBorders>
            <w:shd w:val="clear" w:color="auto" w:fill="FFFFFF"/>
            <w:vAlign w:val="center"/>
          </w:tcPr>
          <w:p>
            <w:pPr>
              <w:pStyle w:val="11"/>
              <w:spacing w:line="240" w:lineRule="auto"/>
              <w:ind w:firstLine="0"/>
              <w:jc w:val="center"/>
              <w:rPr>
                <w:sz w:val="17"/>
                <w:szCs w:val="17"/>
              </w:rPr>
            </w:pPr>
            <w:r>
              <w:rPr>
                <w:sz w:val="17"/>
                <w:szCs w:val="17"/>
              </w:rPr>
              <w:t>项目</w:t>
            </w:r>
          </w:p>
        </w:tc>
        <w:tc>
          <w:tcPr>
            <w:tcW w:w="3830" w:type="dxa"/>
            <w:tcBorders>
              <w:top w:val="single" w:color="auto" w:sz="4" w:space="0"/>
              <w:left w:val="single" w:color="auto" w:sz="4" w:space="0"/>
            </w:tcBorders>
            <w:shd w:val="clear" w:color="auto" w:fill="FFFFFF"/>
            <w:vAlign w:val="center"/>
          </w:tcPr>
          <w:p>
            <w:pPr>
              <w:pStyle w:val="11"/>
              <w:spacing w:line="240" w:lineRule="auto"/>
              <w:ind w:firstLine="0"/>
              <w:jc w:val="center"/>
              <w:rPr>
                <w:sz w:val="17"/>
                <w:szCs w:val="17"/>
              </w:rPr>
            </w:pPr>
            <w:r>
              <w:rPr>
                <w:sz w:val="17"/>
                <w:szCs w:val="17"/>
              </w:rPr>
              <w:t>预算数</w:t>
            </w:r>
          </w:p>
        </w:tc>
        <w:tc>
          <w:tcPr>
            <w:tcW w:w="3826" w:type="dxa"/>
            <w:tcBorders>
              <w:top w:val="single" w:color="auto" w:sz="4" w:space="0"/>
              <w:left w:val="single" w:color="auto" w:sz="4" w:space="0"/>
            </w:tcBorders>
            <w:shd w:val="clear" w:color="auto" w:fill="FFFFFF"/>
            <w:vAlign w:val="center"/>
          </w:tcPr>
          <w:p>
            <w:pPr>
              <w:pStyle w:val="11"/>
              <w:tabs>
                <w:tab w:val="left" w:pos="1034"/>
              </w:tabs>
              <w:spacing w:line="240" w:lineRule="auto"/>
              <w:ind w:firstLine="540"/>
              <w:jc w:val="center"/>
              <w:rPr>
                <w:sz w:val="17"/>
                <w:szCs w:val="17"/>
              </w:rPr>
            </w:pPr>
            <w:r>
              <w:rPr>
                <w:sz w:val="17"/>
                <w:szCs w:val="17"/>
              </w:rPr>
              <w:t>项</w:t>
            </w:r>
            <w:r>
              <w:rPr>
                <w:sz w:val="17"/>
                <w:szCs w:val="17"/>
              </w:rPr>
              <w:tab/>
            </w:r>
            <w:r>
              <w:rPr>
                <w:sz w:val="17"/>
                <w:szCs w:val="17"/>
              </w:rPr>
              <w:t>目（按支出功能科目分类）</w:t>
            </w:r>
          </w:p>
        </w:tc>
        <w:tc>
          <w:tcPr>
            <w:tcW w:w="3845" w:type="dxa"/>
            <w:tcBorders>
              <w:top w:val="single" w:color="auto" w:sz="4" w:space="0"/>
              <w:left w:val="single" w:color="auto" w:sz="4" w:space="0"/>
              <w:right w:val="single" w:color="auto" w:sz="4" w:space="0"/>
            </w:tcBorders>
            <w:shd w:val="clear" w:color="auto" w:fill="FFFFFF"/>
            <w:vAlign w:val="center"/>
          </w:tcPr>
          <w:p>
            <w:pPr>
              <w:pStyle w:val="11"/>
              <w:spacing w:line="240" w:lineRule="auto"/>
              <w:ind w:firstLine="0"/>
              <w:jc w:val="center"/>
              <w:rPr>
                <w:sz w:val="17"/>
                <w:szCs w:val="17"/>
              </w:rPr>
            </w:pPr>
            <w:r>
              <w:rPr>
                <w:sz w:val="17"/>
                <w:szCs w:val="17"/>
              </w:rPr>
              <w:t>预算数</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一、一般公共预算拨款</w:t>
            </w: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1500.59</w:t>
            </w: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一、一般公共服务支出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923.68</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 xml:space="preserve">     1、上级补助</w:t>
            </w: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461.27</w:t>
            </w: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二、外交支出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 xml:space="preserve">     2、本级</w:t>
            </w: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1039.31</w:t>
            </w: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三、国防支出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二、政府性基金预算拨款</w:t>
            </w: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2.40</w:t>
            </w: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四、公共安全支出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 xml:space="preserve">     1、上级补助</w:t>
            </w: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2.40</w:t>
            </w: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五、教育支出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 xml:space="preserve">     2、本级</w:t>
            </w: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六、科学技术支出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三、国有资本经营预算拨款</w:t>
            </w: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七、文化旅游体育与传媒支出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1、上级补助</w:t>
            </w: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八、社会保障和就业支出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68.04</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2、本级</w:t>
            </w: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九、卫生健康支出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十、节能环保支出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85.74</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十一、城乡社区支出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2.40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十二、农林水支出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22.31</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十三、交通运输支出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345.07</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十四、资源勘探工业信息等支出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十五、商业服务业等支出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十六、金融支出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十七、援助其他地区支出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十八、自然资源海洋气象等支出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十九、住房保障支出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55.75</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二十、粮油物资储备支出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二十一、国有资本经营预算支出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二十二、灾害防治及应急管理支出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二十三、其他支出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二十四、债务还本支出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二十五、债务付息支出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二十六、债务发行费用支出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本年收入合计</w:t>
            </w: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1502.98</w:t>
            </w: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本年支出合计</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1502.98</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上年结转结余</w:t>
            </w: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结转下年支出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收入总计</w:t>
            </w: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1502.98</w:t>
            </w: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支出总计</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1502.98</w:t>
            </w:r>
          </w:p>
        </w:tc>
      </w:tr>
      <w:tr>
        <w:tblPrEx>
          <w:tblCellMar>
            <w:top w:w="0" w:type="dxa"/>
            <w:left w:w="10" w:type="dxa"/>
            <w:bottom w:w="0" w:type="dxa"/>
            <w:right w:w="10" w:type="dxa"/>
          </w:tblCellMar>
        </w:tblPrEx>
        <w:trPr>
          <w:trHeight w:val="352" w:hRule="exact"/>
        </w:trPr>
        <w:tc>
          <w:tcPr>
            <w:tcW w:w="15342" w:type="dxa"/>
            <w:gridSpan w:val="6"/>
            <w:tcBorders>
              <w:top w:val="single" w:color="auto" w:sz="4" w:space="0"/>
            </w:tcBorders>
            <w:shd w:val="clear" w:color="auto" w:fill="FFFFFF"/>
          </w:tcPr>
          <w:p>
            <w:pPr>
              <w:jc w:val="left"/>
              <w:rPr>
                <w:sz w:val="10"/>
                <w:szCs w:val="10"/>
                <w:lang w:eastAsia="zh-CN"/>
              </w:rPr>
            </w:pPr>
            <w:r>
              <w:rPr>
                <w:sz w:val="17"/>
                <w:szCs w:val="17"/>
              </w:rPr>
              <w:t>注：表中功能分类科目，根据各部门实际预算编制情况编列。</w:t>
            </w:r>
          </w:p>
        </w:tc>
      </w:tr>
      <w:tr>
        <w:tblPrEx>
          <w:tblCellMar>
            <w:top w:w="0" w:type="dxa"/>
            <w:left w:w="10" w:type="dxa"/>
            <w:bottom w:w="0" w:type="dxa"/>
            <w:right w:w="10" w:type="dxa"/>
          </w:tblCellMar>
        </w:tblPrEx>
        <w:trPr>
          <w:trHeight w:val="274" w:hRule="exact"/>
        </w:trPr>
        <w:tc>
          <w:tcPr>
            <w:tcW w:w="15342" w:type="dxa"/>
            <w:gridSpan w:val="6"/>
            <w:shd w:val="clear" w:color="auto" w:fill="FFFFFF"/>
            <w:vAlign w:val="bottom"/>
          </w:tcPr>
          <w:p>
            <w:pPr>
              <w:jc w:val="left"/>
              <w:rPr>
                <w:sz w:val="10"/>
                <w:szCs w:val="10"/>
                <w:lang w:eastAsia="zh-CN"/>
              </w:rPr>
            </w:pPr>
            <w:r>
              <w:rPr>
                <w:sz w:val="17"/>
                <w:szCs w:val="17"/>
              </w:rPr>
              <w:t>报表金额单位转换时可能存在四舍五入尾数误差。</w:t>
            </w:r>
          </w:p>
        </w:tc>
      </w:tr>
    </w:tbl>
    <w:p>
      <w:pPr>
        <w:jc w:val="left"/>
        <w:rPr>
          <w:lang w:eastAsia="zh-CN"/>
        </w:rPr>
      </w:pPr>
      <w:r>
        <w:br w:type="page"/>
      </w:r>
    </w:p>
    <w:p>
      <w:pPr>
        <w:jc w:val="center"/>
        <w:rPr>
          <w:rFonts w:hint="eastAsia"/>
          <w:lang w:eastAsia="zh-CN"/>
        </w:rPr>
      </w:pPr>
      <w:r>
        <w:rPr>
          <w:rFonts w:hint="eastAsia"/>
          <w:lang w:eastAsia="zh-CN"/>
        </w:rPr>
        <w:t>一般公共预算支出情况表</w:t>
      </w:r>
    </w:p>
    <w:p>
      <w:pPr>
        <w:jc w:val="center"/>
        <w:rPr>
          <w:rFonts w:hint="eastAsia"/>
          <w:lang w:eastAsia="zh-CN"/>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0"/>
        <w:gridCol w:w="1577"/>
        <w:gridCol w:w="1547"/>
        <w:gridCol w:w="1829"/>
        <w:gridCol w:w="2050"/>
        <w:gridCol w:w="1804"/>
        <w:gridCol w:w="1711"/>
        <w:gridCol w:w="70"/>
        <w:gridCol w:w="1679"/>
        <w:gridCol w:w="1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6" w:type="dxa"/>
            <w:gridSpan w:val="7"/>
            <w:tcBorders>
              <w:top w:val="nil"/>
              <w:left w:val="nil"/>
              <w:right w:val="nil"/>
            </w:tcBorders>
          </w:tcPr>
          <w:p>
            <w:pPr>
              <w:jc w:val="left"/>
              <w:rPr>
                <w:rFonts w:hint="eastAsia"/>
                <w:vertAlign w:val="baseline"/>
                <w:lang w:eastAsia="zh-CN"/>
              </w:rPr>
            </w:pPr>
            <w:r>
              <w:rPr>
                <w:rFonts w:hint="eastAsia" w:ascii="宋体" w:hAnsi="宋体" w:eastAsia="宋体" w:cs="宋体"/>
                <w:sz w:val="16"/>
                <w:szCs w:val="16"/>
                <w:vertAlign w:val="baseline"/>
                <w:lang w:eastAsia="zh-CN"/>
              </w:rPr>
              <w:t>单位名称：</w:t>
            </w:r>
            <w:r>
              <w:rPr>
                <w:rFonts w:ascii="宋体" w:hAnsi="宋体" w:eastAsia="宋体" w:cs="宋体"/>
                <w:sz w:val="16"/>
                <w:u w:color="auto"/>
              </w:rPr>
              <w:t xml:space="preserve">环江毛南族自治县川山镇人民政府                                                            </w:t>
            </w:r>
            <w:r>
              <w:rPr>
                <w:rFonts w:hint="eastAsia" w:ascii="宋体" w:hAnsi="宋体" w:eastAsia="宋体" w:cs="宋体"/>
                <w:sz w:val="16"/>
                <w:szCs w:val="16"/>
                <w:vertAlign w:val="baseline"/>
                <w:lang w:val="en-US" w:eastAsia="zh-CN"/>
              </w:rPr>
              <w:t xml:space="preserve">                    </w:t>
            </w:r>
            <w:r>
              <w:rPr>
                <w:rFonts w:hint="eastAsia" w:ascii="宋体" w:hAnsi="宋体" w:eastAsia="宋体" w:cs="宋体"/>
                <w:sz w:val="16"/>
                <w:szCs w:val="16"/>
                <w:vertAlign w:val="baseline"/>
                <w:lang w:eastAsia="zh-CN"/>
              </w:rPr>
              <w:t xml:space="preserve">                                                                  </w:t>
            </w:r>
          </w:p>
        </w:tc>
        <w:tc>
          <w:tcPr>
            <w:tcW w:w="3461" w:type="dxa"/>
            <w:gridSpan w:val="3"/>
            <w:tcBorders>
              <w:top w:val="nil"/>
              <w:left w:val="nil"/>
              <w:right w:val="nil"/>
            </w:tcBorders>
          </w:tcPr>
          <w:p>
            <w:pPr>
              <w:ind w:firstLine="1760" w:firstLineChars="1100"/>
              <w:jc w:val="left"/>
              <w:rPr>
                <w:rFonts w:hint="eastAsia"/>
                <w:vertAlign w:val="baseline"/>
                <w:lang w:eastAsia="zh-CN"/>
              </w:rPr>
            </w:pPr>
            <w:r>
              <w:rPr>
                <w:rFonts w:hint="eastAsia" w:ascii="宋体" w:hAnsi="宋体" w:eastAsia="宋体" w:cs="宋体"/>
                <w:sz w:val="16"/>
                <w:szCs w:val="16"/>
                <w:vertAlign w:val="baseline"/>
                <w:lang w:eastAsia="zh-CN"/>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Merge w:val="restart"/>
          </w:tcPr>
          <w:p>
            <w:pPr>
              <w:jc w:val="center"/>
              <w:rPr>
                <w:rFonts w:hint="eastAsia"/>
                <w:vertAlign w:val="baseline"/>
                <w:lang w:eastAsia="zh-CN"/>
              </w:rPr>
            </w:pPr>
            <w:r>
              <w:rPr>
                <w:sz w:val="17"/>
                <w:szCs w:val="17"/>
              </w:rPr>
              <w:t>科目编码</w:t>
            </w:r>
          </w:p>
        </w:tc>
        <w:tc>
          <w:tcPr>
            <w:tcW w:w="1676" w:type="dxa"/>
            <w:vMerge w:val="restart"/>
          </w:tcPr>
          <w:p>
            <w:pPr>
              <w:jc w:val="center"/>
              <w:rPr>
                <w:rFonts w:hint="eastAsia"/>
                <w:vertAlign w:val="baseline"/>
                <w:lang w:eastAsia="zh-CN"/>
              </w:rPr>
            </w:pPr>
            <w:r>
              <w:rPr>
                <w:sz w:val="17"/>
                <w:szCs w:val="17"/>
              </w:rPr>
              <w:t>部门（单位）代码</w:t>
            </w:r>
          </w:p>
        </w:tc>
        <w:tc>
          <w:tcPr>
            <w:tcW w:w="1662" w:type="dxa"/>
            <w:vMerge w:val="restart"/>
          </w:tcPr>
          <w:p>
            <w:pPr>
              <w:pStyle w:val="11"/>
              <w:spacing w:after="120" w:line="240" w:lineRule="auto"/>
              <w:ind w:firstLine="0"/>
              <w:jc w:val="center"/>
              <w:rPr>
                <w:sz w:val="17"/>
                <w:szCs w:val="17"/>
              </w:rPr>
            </w:pPr>
            <w:r>
              <w:rPr>
                <w:sz w:val="17"/>
                <w:szCs w:val="17"/>
              </w:rPr>
              <w:t>部门（单位）名称</w:t>
            </w:r>
          </w:p>
          <w:p>
            <w:pPr>
              <w:jc w:val="center"/>
              <w:rPr>
                <w:rFonts w:hint="eastAsia"/>
                <w:vertAlign w:val="baseline"/>
                <w:lang w:eastAsia="zh-CN"/>
              </w:rPr>
            </w:pPr>
            <w:r>
              <w:rPr>
                <w:sz w:val="17"/>
                <w:szCs w:val="17"/>
              </w:rPr>
              <w:t>（功能分类科目名称）</w:t>
            </w:r>
          </w:p>
        </w:tc>
        <w:tc>
          <w:tcPr>
            <w:tcW w:w="1717" w:type="dxa"/>
            <w:vMerge w:val="restart"/>
          </w:tcPr>
          <w:p>
            <w:pPr>
              <w:jc w:val="center"/>
              <w:rPr>
                <w:rFonts w:hint="eastAsia"/>
                <w:vertAlign w:val="baseline"/>
                <w:lang w:eastAsia="zh-CN"/>
              </w:rPr>
            </w:pPr>
            <w:r>
              <w:rPr>
                <w:sz w:val="17"/>
                <w:szCs w:val="17"/>
              </w:rPr>
              <w:t>合计</w:t>
            </w:r>
          </w:p>
        </w:tc>
        <w:tc>
          <w:tcPr>
            <w:tcW w:w="5398" w:type="dxa"/>
            <w:gridSpan w:val="4"/>
          </w:tcPr>
          <w:p>
            <w:pPr>
              <w:jc w:val="center"/>
              <w:rPr>
                <w:rFonts w:hint="eastAsia"/>
                <w:vertAlign w:val="baseline"/>
                <w:lang w:eastAsia="zh-CN"/>
              </w:rPr>
            </w:pPr>
            <w:r>
              <w:rPr>
                <w:sz w:val="17"/>
                <w:szCs w:val="17"/>
              </w:rPr>
              <w:t>基本支出</w:t>
            </w:r>
          </w:p>
        </w:tc>
        <w:tc>
          <w:tcPr>
            <w:tcW w:w="1694" w:type="dxa"/>
            <w:vMerge w:val="restart"/>
          </w:tcPr>
          <w:p>
            <w:pPr>
              <w:jc w:val="center"/>
              <w:rPr>
                <w:rFonts w:hint="eastAsia"/>
                <w:vertAlign w:val="baseline"/>
                <w:lang w:eastAsia="zh-CN"/>
              </w:rPr>
            </w:pPr>
            <w:r>
              <w:rPr>
                <w:sz w:val="17"/>
                <w:szCs w:val="17"/>
              </w:rPr>
              <w:t>项目支出</w:t>
            </w:r>
          </w:p>
        </w:tc>
        <w:tc>
          <w:tcPr>
            <w:tcW w:w="1695" w:type="dxa"/>
            <w:vMerge w:val="restart"/>
          </w:tcPr>
          <w:p>
            <w:pPr>
              <w:jc w:val="center"/>
              <w:rPr>
                <w:rFonts w:hint="eastAsia"/>
                <w:vertAlign w:val="baseline"/>
                <w:lang w:eastAsia="zh-CN"/>
              </w:rPr>
            </w:pPr>
            <w:r>
              <w:rPr>
                <w:sz w:val="17"/>
                <w:szCs w:val="17"/>
              </w:rPr>
              <w:t>结转下年支出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Merge w:val="continue"/>
          </w:tcPr>
          <w:p>
            <w:pPr>
              <w:jc w:val="center"/>
              <w:rPr>
                <w:rFonts w:hint="eastAsia"/>
                <w:vertAlign w:val="baseline"/>
                <w:lang w:eastAsia="zh-CN"/>
              </w:rPr>
            </w:pPr>
          </w:p>
        </w:tc>
        <w:tc>
          <w:tcPr>
            <w:tcW w:w="1676" w:type="dxa"/>
            <w:vMerge w:val="continue"/>
          </w:tcPr>
          <w:p>
            <w:pPr>
              <w:jc w:val="center"/>
              <w:rPr>
                <w:rFonts w:hint="eastAsia"/>
                <w:vertAlign w:val="baseline"/>
                <w:lang w:eastAsia="zh-CN"/>
              </w:rPr>
            </w:pPr>
          </w:p>
        </w:tc>
        <w:tc>
          <w:tcPr>
            <w:tcW w:w="1662" w:type="dxa"/>
            <w:vMerge w:val="continue"/>
          </w:tcPr>
          <w:p>
            <w:pPr>
              <w:jc w:val="center"/>
              <w:rPr>
                <w:rFonts w:hint="eastAsia"/>
                <w:vertAlign w:val="baseline"/>
                <w:lang w:eastAsia="zh-CN"/>
              </w:rPr>
            </w:pPr>
          </w:p>
        </w:tc>
        <w:tc>
          <w:tcPr>
            <w:tcW w:w="1717" w:type="dxa"/>
            <w:vMerge w:val="continue"/>
          </w:tcPr>
          <w:p>
            <w:pPr>
              <w:jc w:val="center"/>
              <w:rPr>
                <w:rFonts w:hint="eastAsia"/>
                <w:vertAlign w:val="baseline"/>
                <w:lang w:eastAsia="zh-CN"/>
              </w:rPr>
            </w:pPr>
          </w:p>
        </w:tc>
        <w:tc>
          <w:tcPr>
            <w:tcW w:w="1879" w:type="dxa"/>
            <w:vAlign w:val="center"/>
          </w:tcPr>
          <w:p>
            <w:pPr>
              <w:pStyle w:val="11"/>
              <w:spacing w:line="240" w:lineRule="auto"/>
              <w:ind w:firstLine="0" w:firstLineChars="0"/>
              <w:jc w:val="center"/>
              <w:rPr>
                <w:rFonts w:hint="eastAsia"/>
                <w:vertAlign w:val="baseline"/>
                <w:lang w:eastAsia="zh-CN"/>
              </w:rPr>
            </w:pPr>
            <w:r>
              <w:rPr>
                <w:sz w:val="17"/>
                <w:szCs w:val="17"/>
              </w:rPr>
              <w:t>小计</w:t>
            </w:r>
          </w:p>
        </w:tc>
        <w:tc>
          <w:tcPr>
            <w:tcW w:w="1729" w:type="dxa"/>
            <w:vAlign w:val="center"/>
          </w:tcPr>
          <w:p>
            <w:pPr>
              <w:pStyle w:val="11"/>
              <w:spacing w:line="240" w:lineRule="auto"/>
              <w:ind w:firstLine="0" w:firstLineChars="0"/>
              <w:jc w:val="center"/>
              <w:rPr>
                <w:rFonts w:hint="eastAsia"/>
                <w:vertAlign w:val="baseline"/>
                <w:lang w:eastAsia="zh-CN"/>
              </w:rPr>
            </w:pPr>
            <w:r>
              <w:rPr>
                <w:sz w:val="17"/>
                <w:szCs w:val="17"/>
              </w:rPr>
              <w:t>人员经费</w:t>
            </w:r>
          </w:p>
        </w:tc>
        <w:tc>
          <w:tcPr>
            <w:tcW w:w="1790" w:type="dxa"/>
            <w:gridSpan w:val="2"/>
            <w:vAlign w:val="center"/>
          </w:tcPr>
          <w:p>
            <w:pPr>
              <w:pStyle w:val="11"/>
              <w:spacing w:line="240" w:lineRule="auto"/>
              <w:ind w:firstLine="440" w:firstLineChars="0"/>
              <w:jc w:val="center"/>
              <w:rPr>
                <w:rFonts w:hint="eastAsia"/>
                <w:vertAlign w:val="baseline"/>
                <w:lang w:eastAsia="zh-CN"/>
              </w:rPr>
            </w:pPr>
            <w:r>
              <w:rPr>
                <w:sz w:val="17"/>
                <w:szCs w:val="17"/>
              </w:rPr>
              <w:t>公用经费</w:t>
            </w:r>
          </w:p>
        </w:tc>
        <w:tc>
          <w:tcPr>
            <w:tcW w:w="1694" w:type="dxa"/>
            <w:vMerge w:val="continue"/>
          </w:tcPr>
          <w:p>
            <w:pPr>
              <w:jc w:val="center"/>
              <w:rPr>
                <w:rFonts w:hint="eastAsia"/>
                <w:vertAlign w:val="baseline"/>
                <w:lang w:eastAsia="zh-CN"/>
              </w:rPr>
            </w:pPr>
          </w:p>
        </w:tc>
        <w:tc>
          <w:tcPr>
            <w:tcW w:w="1695" w:type="dxa"/>
            <w:vMerge w:val="continue"/>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jc w:val="center"/>
              <w:rPr>
                <w:rFonts w:hint="eastAsia"/>
                <w:vertAlign w:val="baseline"/>
                <w:lang w:eastAsia="zh-CN"/>
              </w:rPr>
            </w:pPr>
          </w:p>
        </w:tc>
        <w:tc>
          <w:tcPr>
            <w:tcW w:w="1676" w:type="dxa"/>
            <w:vAlign w:val="center"/>
          </w:tcPr>
          <w:p>
            <w:pPr>
              <w:jc w:val="center"/>
              <w:rPr>
                <w:rFonts w:hint="eastAsia"/>
                <w:vertAlign w:val="baseline"/>
                <w:lang w:eastAsia="zh-CN"/>
              </w:rPr>
            </w:pPr>
          </w:p>
        </w:tc>
        <w:tc>
          <w:tcPr>
            <w:tcW w:w="1662" w:type="dxa"/>
            <w:vAlign w:val="center"/>
          </w:tcPr>
          <w:p>
            <w:pPr>
              <w:jc w:val="center"/>
              <w:rPr>
                <w:rFonts w:hint="eastAsia"/>
                <w:vertAlign w:val="baseline"/>
                <w:lang w:eastAsia="zh-CN"/>
              </w:rPr>
            </w:pPr>
          </w:p>
        </w:tc>
        <w:tc>
          <w:tcPr>
            <w:tcW w:w="1717" w:type="dxa"/>
            <w:vAlign w:val="center"/>
          </w:tcPr>
          <w:p>
            <w:pPr>
              <w:pStyle w:val="11"/>
              <w:spacing w:line="240" w:lineRule="auto"/>
              <w:ind w:firstLine="0" w:firstLineChars="0"/>
              <w:jc w:val="center"/>
              <w:rPr>
                <w:rFonts w:hint="eastAsia"/>
                <w:vertAlign w:val="baseline"/>
                <w:lang w:eastAsia="zh-CN"/>
              </w:rPr>
            </w:pPr>
            <w:r>
              <w:rPr>
                <w:rFonts w:ascii="Times New Roman" w:hAnsi="Times New Roman" w:eastAsia="Times New Roman" w:cs="Times New Roman"/>
                <w:b/>
                <w:bCs/>
                <w:sz w:val="17"/>
                <w:szCs w:val="17"/>
              </w:rPr>
              <w:t>1</w:t>
            </w:r>
          </w:p>
        </w:tc>
        <w:tc>
          <w:tcPr>
            <w:tcW w:w="1879" w:type="dxa"/>
            <w:vAlign w:val="center"/>
          </w:tcPr>
          <w:p>
            <w:pPr>
              <w:pStyle w:val="11"/>
              <w:spacing w:line="240" w:lineRule="auto"/>
              <w:ind w:firstLine="0" w:firstLineChars="0"/>
              <w:jc w:val="center"/>
              <w:rPr>
                <w:rFonts w:hint="eastAsia"/>
                <w:vertAlign w:val="baseline"/>
                <w:lang w:eastAsia="zh-CN"/>
              </w:rPr>
            </w:pPr>
            <w:r>
              <w:rPr>
                <w:rFonts w:ascii="Times New Roman" w:hAnsi="Times New Roman" w:eastAsia="Times New Roman" w:cs="Times New Roman"/>
                <w:b/>
                <w:bCs/>
                <w:sz w:val="17"/>
                <w:szCs w:val="17"/>
              </w:rPr>
              <w:t>2</w:t>
            </w:r>
          </w:p>
        </w:tc>
        <w:tc>
          <w:tcPr>
            <w:tcW w:w="1729" w:type="dxa"/>
            <w:vAlign w:val="center"/>
          </w:tcPr>
          <w:p>
            <w:pPr>
              <w:pStyle w:val="11"/>
              <w:spacing w:line="240" w:lineRule="auto"/>
              <w:ind w:firstLine="0" w:firstLineChars="0"/>
              <w:jc w:val="center"/>
              <w:rPr>
                <w:rFonts w:hint="eastAsia"/>
                <w:vertAlign w:val="baseline"/>
                <w:lang w:eastAsia="zh-CN"/>
              </w:rPr>
            </w:pPr>
            <w:r>
              <w:rPr>
                <w:rFonts w:ascii="Times New Roman" w:hAnsi="Times New Roman" w:eastAsia="Times New Roman" w:cs="Times New Roman"/>
                <w:b/>
                <w:bCs/>
                <w:sz w:val="17"/>
                <w:szCs w:val="17"/>
              </w:rPr>
              <w:t>3</w:t>
            </w:r>
          </w:p>
        </w:tc>
        <w:tc>
          <w:tcPr>
            <w:tcW w:w="1790" w:type="dxa"/>
            <w:gridSpan w:val="2"/>
            <w:vAlign w:val="center"/>
          </w:tcPr>
          <w:p>
            <w:pPr>
              <w:pStyle w:val="11"/>
              <w:spacing w:line="240" w:lineRule="auto"/>
              <w:ind w:firstLine="0" w:firstLineChars="0"/>
              <w:jc w:val="center"/>
              <w:rPr>
                <w:rFonts w:hint="eastAsia"/>
                <w:vertAlign w:val="baseline"/>
                <w:lang w:eastAsia="zh-CN"/>
              </w:rPr>
            </w:pPr>
            <w:r>
              <w:rPr>
                <w:rFonts w:ascii="Times New Roman" w:hAnsi="Times New Roman" w:eastAsia="Times New Roman" w:cs="Times New Roman"/>
                <w:b/>
                <w:bCs/>
                <w:sz w:val="17"/>
                <w:szCs w:val="17"/>
              </w:rPr>
              <w:t>4</w:t>
            </w:r>
          </w:p>
        </w:tc>
        <w:tc>
          <w:tcPr>
            <w:tcW w:w="1694" w:type="dxa"/>
            <w:vAlign w:val="center"/>
          </w:tcPr>
          <w:p>
            <w:pPr>
              <w:pStyle w:val="11"/>
              <w:spacing w:line="240" w:lineRule="auto"/>
              <w:ind w:firstLine="660" w:firstLineChars="0"/>
              <w:jc w:val="center"/>
              <w:rPr>
                <w:rFonts w:hint="eastAsia"/>
                <w:vertAlign w:val="baseline"/>
                <w:lang w:eastAsia="zh-CN"/>
              </w:rPr>
            </w:pPr>
            <w:r>
              <w:rPr>
                <w:rFonts w:ascii="Times New Roman" w:hAnsi="Times New Roman" w:eastAsia="Times New Roman" w:cs="Times New Roman"/>
                <w:b/>
                <w:bCs/>
                <w:sz w:val="17"/>
                <w:szCs w:val="17"/>
              </w:rPr>
              <w:t>5</w:t>
            </w:r>
          </w:p>
        </w:tc>
        <w:tc>
          <w:tcPr>
            <w:tcW w:w="1695" w:type="dxa"/>
            <w:vAlign w:val="center"/>
          </w:tcPr>
          <w:p>
            <w:pPr>
              <w:pStyle w:val="11"/>
              <w:spacing w:line="240" w:lineRule="auto"/>
              <w:ind w:right="700" w:rightChars="0" w:firstLine="0" w:firstLineChars="0"/>
              <w:jc w:val="center"/>
              <w:rPr>
                <w:rFonts w:hint="eastAsia"/>
                <w:vertAlign w:val="baseline"/>
                <w:lang w:eastAsia="zh-CN"/>
              </w:rPr>
            </w:pPr>
            <w:r>
              <w:rPr>
                <w:rFonts w:ascii="Times New Roman" w:hAnsi="Times New Roman" w:eastAsia="Times New Roman" w:cs="Times New Roman"/>
                <w:b/>
                <w:bCs/>
                <w:sz w:val="17"/>
                <w:szCs w:val="17"/>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11"/>
              <w:spacing w:line="240" w:lineRule="auto"/>
              <w:ind w:firstLine="0" w:firstLineChars="0"/>
              <w:jc w:val="center"/>
              <w:rPr>
                <w:rFonts w:hint="eastAsia"/>
                <w:vertAlign w:val="baseline"/>
                <w:lang w:eastAsia="zh-CN"/>
              </w:rPr>
            </w:pPr>
          </w:p>
        </w:tc>
        <w:tc>
          <w:tcPr>
            <w:tcW w:w="1676" w:type="dxa"/>
            <w:vAlign w:val="center"/>
          </w:tcPr>
          <w:p>
            <w:pPr>
              <w:pStyle w:val="11"/>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705001</w:t>
            </w:r>
          </w:p>
        </w:tc>
        <w:tc>
          <w:tcPr>
            <w:tcW w:w="1662" w:type="dxa"/>
            <w:vAlign w:val="center"/>
          </w:tcPr>
          <w:p>
            <w:pPr>
              <w:pStyle w:val="11"/>
              <w:spacing w:line="240" w:lineRule="auto"/>
              <w:ind w:firstLine="0" w:firstLineChars="0"/>
              <w:jc w:val="center"/>
              <w:rPr>
                <w:rFonts w:hint="eastAsia"/>
                <w:vertAlign w:val="baseline"/>
                <w:lang w:eastAsia="zh-CN"/>
              </w:rPr>
            </w:pPr>
          </w:p>
        </w:tc>
        <w:tc>
          <w:tcPr>
            <w:tcW w:w="1717" w:type="dxa"/>
            <w:vAlign w:val="center"/>
          </w:tcPr>
          <w:p>
            <w:pPr>
              <w:pStyle w:val="11"/>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1500.59</w:t>
            </w:r>
          </w:p>
        </w:tc>
        <w:tc>
          <w:tcPr>
            <w:tcW w:w="1879" w:type="dxa"/>
            <w:vAlign w:val="center"/>
          </w:tcPr>
          <w:p>
            <w:pPr>
              <w:pStyle w:val="11"/>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939.32</w:t>
            </w:r>
          </w:p>
        </w:tc>
        <w:tc>
          <w:tcPr>
            <w:tcW w:w="1729" w:type="dxa"/>
            <w:vAlign w:val="center"/>
          </w:tcPr>
          <w:p>
            <w:pPr>
              <w:pStyle w:val="11"/>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880.60</w:t>
            </w:r>
          </w:p>
        </w:tc>
        <w:tc>
          <w:tcPr>
            <w:tcW w:w="1790" w:type="dxa"/>
            <w:gridSpan w:val="2"/>
            <w:vAlign w:val="center"/>
          </w:tcPr>
          <w:p>
            <w:pPr>
              <w:pStyle w:val="11"/>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58.72</w:t>
            </w:r>
          </w:p>
        </w:tc>
        <w:tc>
          <w:tcPr>
            <w:tcW w:w="1694" w:type="dxa"/>
            <w:vAlign w:val="center"/>
          </w:tcPr>
          <w:p>
            <w:pPr>
              <w:pStyle w:val="11"/>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561.27</w:t>
            </w:r>
          </w:p>
        </w:tc>
        <w:tc>
          <w:tcPr>
            <w:tcW w:w="1695" w:type="dxa"/>
            <w:vAlign w:val="center"/>
          </w:tcPr>
          <w:p>
            <w:pPr>
              <w:pStyle w:val="11"/>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11"/>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2010301</w:t>
            </w:r>
          </w:p>
        </w:tc>
        <w:tc>
          <w:tcPr>
            <w:tcW w:w="1676" w:type="dxa"/>
            <w:vAlign w:val="center"/>
          </w:tcPr>
          <w:p>
            <w:pPr>
              <w:pStyle w:val="11"/>
              <w:spacing w:line="240" w:lineRule="auto"/>
              <w:ind w:firstLine="0" w:firstLineChars="0"/>
              <w:jc w:val="center"/>
              <w:rPr>
                <w:rFonts w:hint="eastAsia"/>
                <w:vertAlign w:val="baseline"/>
                <w:lang w:eastAsia="zh-CN"/>
              </w:rPr>
            </w:pPr>
          </w:p>
        </w:tc>
        <w:tc>
          <w:tcPr>
            <w:tcW w:w="1662" w:type="dxa"/>
            <w:vAlign w:val="center"/>
          </w:tcPr>
          <w:p>
            <w:pPr>
              <w:pStyle w:val="11"/>
              <w:spacing w:line="240" w:lineRule="auto"/>
              <w:ind w:firstLine="0" w:firstLineChars="0"/>
              <w:jc w:val="center"/>
              <w:rPr>
                <w:rFonts w:hint="eastAsia"/>
                <w:vertAlign w:val="baseline"/>
                <w:lang w:eastAsia="zh-CN"/>
              </w:rPr>
            </w:pPr>
            <w:r>
              <w:rPr>
                <w:rFonts w:hint="eastAsia"/>
                <w:sz w:val="17"/>
                <w:szCs w:val="17"/>
                <w:lang w:val="en-US" w:eastAsia="zh-CN"/>
              </w:rPr>
              <w:t>行政运行</w:t>
            </w:r>
          </w:p>
        </w:tc>
        <w:tc>
          <w:tcPr>
            <w:tcW w:w="1717" w:type="dxa"/>
            <w:vAlign w:val="center"/>
          </w:tcPr>
          <w:p>
            <w:pPr>
              <w:pStyle w:val="11"/>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913.98</w:t>
            </w:r>
          </w:p>
        </w:tc>
        <w:tc>
          <w:tcPr>
            <w:tcW w:w="1879" w:type="dxa"/>
            <w:vAlign w:val="center"/>
          </w:tcPr>
          <w:p>
            <w:pPr>
              <w:pStyle w:val="11"/>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813.98</w:t>
            </w:r>
          </w:p>
        </w:tc>
        <w:tc>
          <w:tcPr>
            <w:tcW w:w="1729" w:type="dxa"/>
            <w:vAlign w:val="center"/>
          </w:tcPr>
          <w:p>
            <w:pPr>
              <w:pStyle w:val="11"/>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760.77</w:t>
            </w:r>
          </w:p>
        </w:tc>
        <w:tc>
          <w:tcPr>
            <w:tcW w:w="1790" w:type="dxa"/>
            <w:gridSpan w:val="2"/>
            <w:vAlign w:val="center"/>
          </w:tcPr>
          <w:p>
            <w:pPr>
              <w:pStyle w:val="11"/>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53.21</w:t>
            </w:r>
          </w:p>
        </w:tc>
        <w:tc>
          <w:tcPr>
            <w:tcW w:w="1694" w:type="dxa"/>
            <w:vAlign w:val="center"/>
          </w:tcPr>
          <w:p>
            <w:pPr>
              <w:pStyle w:val="11"/>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100.00</w:t>
            </w:r>
          </w:p>
        </w:tc>
        <w:tc>
          <w:tcPr>
            <w:tcW w:w="1695" w:type="dxa"/>
            <w:vAlign w:val="center"/>
          </w:tcPr>
          <w:p>
            <w:pPr>
              <w:pStyle w:val="11"/>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11"/>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2012999</w:t>
            </w:r>
          </w:p>
        </w:tc>
        <w:tc>
          <w:tcPr>
            <w:tcW w:w="1676" w:type="dxa"/>
            <w:vAlign w:val="center"/>
          </w:tcPr>
          <w:p>
            <w:pPr>
              <w:pStyle w:val="11"/>
              <w:spacing w:line="240" w:lineRule="auto"/>
              <w:ind w:firstLine="0" w:firstLineChars="0"/>
              <w:jc w:val="center"/>
              <w:rPr>
                <w:rFonts w:hint="eastAsia"/>
                <w:vertAlign w:val="baseline"/>
                <w:lang w:eastAsia="zh-CN"/>
              </w:rPr>
            </w:pPr>
          </w:p>
        </w:tc>
        <w:tc>
          <w:tcPr>
            <w:tcW w:w="1662" w:type="dxa"/>
            <w:vAlign w:val="center"/>
          </w:tcPr>
          <w:p>
            <w:pPr>
              <w:pStyle w:val="11"/>
              <w:spacing w:line="240" w:lineRule="auto"/>
              <w:ind w:firstLine="0" w:firstLineChars="0"/>
              <w:jc w:val="center"/>
              <w:rPr>
                <w:rFonts w:hint="eastAsia"/>
                <w:vertAlign w:val="baseline"/>
                <w:lang w:eastAsia="zh-CN"/>
              </w:rPr>
            </w:pPr>
            <w:r>
              <w:rPr>
                <w:rFonts w:hint="eastAsia"/>
                <w:sz w:val="17"/>
                <w:szCs w:val="17"/>
                <w:lang w:val="en-US" w:eastAsia="zh-CN"/>
              </w:rPr>
              <w:t>其他群众团体事务支出</w:t>
            </w:r>
          </w:p>
        </w:tc>
        <w:tc>
          <w:tcPr>
            <w:tcW w:w="1717" w:type="dxa"/>
            <w:vAlign w:val="center"/>
          </w:tcPr>
          <w:p>
            <w:pPr>
              <w:pStyle w:val="11"/>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5.51</w:t>
            </w:r>
          </w:p>
        </w:tc>
        <w:tc>
          <w:tcPr>
            <w:tcW w:w="1879" w:type="dxa"/>
            <w:vAlign w:val="center"/>
          </w:tcPr>
          <w:p>
            <w:pPr>
              <w:pStyle w:val="11"/>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5.51</w:t>
            </w:r>
          </w:p>
        </w:tc>
        <w:tc>
          <w:tcPr>
            <w:tcW w:w="1729" w:type="dxa"/>
            <w:vAlign w:val="center"/>
          </w:tcPr>
          <w:p>
            <w:pPr>
              <w:pStyle w:val="11"/>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790" w:type="dxa"/>
            <w:gridSpan w:val="2"/>
            <w:vAlign w:val="center"/>
          </w:tcPr>
          <w:p>
            <w:pPr>
              <w:pStyle w:val="11"/>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5.51</w:t>
            </w:r>
          </w:p>
        </w:tc>
        <w:tc>
          <w:tcPr>
            <w:tcW w:w="1694" w:type="dxa"/>
            <w:vAlign w:val="center"/>
          </w:tcPr>
          <w:p>
            <w:pPr>
              <w:pStyle w:val="11"/>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695" w:type="dxa"/>
            <w:vAlign w:val="center"/>
          </w:tcPr>
          <w:p>
            <w:pPr>
              <w:pStyle w:val="11"/>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11"/>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2013202</w:t>
            </w:r>
          </w:p>
        </w:tc>
        <w:tc>
          <w:tcPr>
            <w:tcW w:w="1676" w:type="dxa"/>
            <w:vAlign w:val="center"/>
          </w:tcPr>
          <w:p>
            <w:pPr>
              <w:pStyle w:val="11"/>
              <w:spacing w:line="240" w:lineRule="auto"/>
              <w:ind w:firstLine="0" w:firstLineChars="0"/>
              <w:jc w:val="center"/>
              <w:rPr>
                <w:rFonts w:hint="eastAsia"/>
                <w:vertAlign w:val="baseline"/>
                <w:lang w:eastAsia="zh-CN"/>
              </w:rPr>
            </w:pPr>
          </w:p>
        </w:tc>
        <w:tc>
          <w:tcPr>
            <w:tcW w:w="1662" w:type="dxa"/>
            <w:vAlign w:val="center"/>
          </w:tcPr>
          <w:p>
            <w:pPr>
              <w:pStyle w:val="11"/>
              <w:spacing w:line="240" w:lineRule="auto"/>
              <w:ind w:firstLine="0" w:firstLineChars="0"/>
              <w:jc w:val="center"/>
              <w:rPr>
                <w:rFonts w:hint="eastAsia"/>
                <w:vertAlign w:val="baseline"/>
                <w:lang w:eastAsia="zh-CN"/>
              </w:rPr>
            </w:pPr>
            <w:r>
              <w:rPr>
                <w:rFonts w:hint="eastAsia"/>
                <w:sz w:val="17"/>
                <w:szCs w:val="17"/>
                <w:lang w:val="en-US" w:eastAsia="zh-CN"/>
              </w:rPr>
              <w:t>一般行政管理事务</w:t>
            </w:r>
          </w:p>
        </w:tc>
        <w:tc>
          <w:tcPr>
            <w:tcW w:w="1717" w:type="dxa"/>
            <w:vAlign w:val="center"/>
          </w:tcPr>
          <w:p>
            <w:pPr>
              <w:pStyle w:val="11"/>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4.19</w:t>
            </w:r>
          </w:p>
        </w:tc>
        <w:tc>
          <w:tcPr>
            <w:tcW w:w="1879" w:type="dxa"/>
            <w:vAlign w:val="center"/>
          </w:tcPr>
          <w:p>
            <w:pPr>
              <w:pStyle w:val="11"/>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0.00</w:t>
            </w:r>
          </w:p>
        </w:tc>
        <w:tc>
          <w:tcPr>
            <w:tcW w:w="1729" w:type="dxa"/>
            <w:vAlign w:val="center"/>
          </w:tcPr>
          <w:p>
            <w:pPr>
              <w:pStyle w:val="11"/>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790" w:type="dxa"/>
            <w:gridSpan w:val="2"/>
            <w:vAlign w:val="center"/>
          </w:tcPr>
          <w:p>
            <w:pPr>
              <w:pStyle w:val="11"/>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0.00</w:t>
            </w:r>
          </w:p>
        </w:tc>
        <w:tc>
          <w:tcPr>
            <w:tcW w:w="1694" w:type="dxa"/>
            <w:vAlign w:val="center"/>
          </w:tcPr>
          <w:p>
            <w:pPr>
              <w:pStyle w:val="11"/>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4.19</w:t>
            </w:r>
          </w:p>
        </w:tc>
        <w:tc>
          <w:tcPr>
            <w:tcW w:w="1695" w:type="dxa"/>
            <w:vAlign w:val="center"/>
          </w:tcPr>
          <w:p>
            <w:pPr>
              <w:pStyle w:val="11"/>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11"/>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2079999</w:t>
            </w:r>
          </w:p>
        </w:tc>
        <w:tc>
          <w:tcPr>
            <w:tcW w:w="1676" w:type="dxa"/>
            <w:vAlign w:val="center"/>
          </w:tcPr>
          <w:p>
            <w:pPr>
              <w:pStyle w:val="11"/>
              <w:spacing w:line="240" w:lineRule="auto"/>
              <w:ind w:firstLine="0" w:firstLineChars="0"/>
              <w:jc w:val="center"/>
              <w:rPr>
                <w:rFonts w:hint="eastAsia"/>
                <w:vertAlign w:val="baseline"/>
                <w:lang w:eastAsia="zh-CN"/>
              </w:rPr>
            </w:pPr>
          </w:p>
        </w:tc>
        <w:tc>
          <w:tcPr>
            <w:tcW w:w="1662" w:type="dxa"/>
            <w:vAlign w:val="center"/>
          </w:tcPr>
          <w:p>
            <w:pPr>
              <w:pStyle w:val="11"/>
              <w:spacing w:line="240" w:lineRule="auto"/>
              <w:ind w:firstLine="0" w:firstLineChars="0"/>
              <w:jc w:val="center"/>
              <w:rPr>
                <w:rFonts w:hint="eastAsia"/>
                <w:vertAlign w:val="baseline"/>
                <w:lang w:eastAsia="zh-CN"/>
              </w:rPr>
            </w:pPr>
            <w:r>
              <w:rPr>
                <w:rFonts w:hint="eastAsia"/>
                <w:sz w:val="17"/>
                <w:szCs w:val="17"/>
                <w:lang w:val="en-US" w:eastAsia="zh-CN"/>
              </w:rPr>
              <w:t>其他文化旅游体育与传媒支出</w:t>
            </w:r>
          </w:p>
        </w:tc>
        <w:tc>
          <w:tcPr>
            <w:tcW w:w="1717" w:type="dxa"/>
            <w:vAlign w:val="center"/>
          </w:tcPr>
          <w:p>
            <w:pPr>
              <w:pStyle w:val="11"/>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879" w:type="dxa"/>
            <w:vAlign w:val="center"/>
          </w:tcPr>
          <w:p>
            <w:pPr>
              <w:pStyle w:val="11"/>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0.00</w:t>
            </w:r>
          </w:p>
        </w:tc>
        <w:tc>
          <w:tcPr>
            <w:tcW w:w="1729" w:type="dxa"/>
            <w:vAlign w:val="center"/>
          </w:tcPr>
          <w:p>
            <w:pPr>
              <w:pStyle w:val="11"/>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790" w:type="dxa"/>
            <w:gridSpan w:val="2"/>
            <w:vAlign w:val="center"/>
          </w:tcPr>
          <w:p>
            <w:pPr>
              <w:pStyle w:val="11"/>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0.00</w:t>
            </w:r>
          </w:p>
        </w:tc>
        <w:tc>
          <w:tcPr>
            <w:tcW w:w="1694" w:type="dxa"/>
            <w:vAlign w:val="center"/>
          </w:tcPr>
          <w:p>
            <w:pPr>
              <w:pStyle w:val="11"/>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695" w:type="dxa"/>
            <w:vAlign w:val="center"/>
          </w:tcPr>
          <w:p>
            <w:pPr>
              <w:pStyle w:val="11"/>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11"/>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2080199</w:t>
            </w:r>
          </w:p>
        </w:tc>
        <w:tc>
          <w:tcPr>
            <w:tcW w:w="1676" w:type="dxa"/>
            <w:vAlign w:val="center"/>
          </w:tcPr>
          <w:p>
            <w:pPr>
              <w:pStyle w:val="11"/>
              <w:spacing w:line="240" w:lineRule="auto"/>
              <w:ind w:firstLine="0" w:firstLineChars="0"/>
              <w:jc w:val="center"/>
              <w:rPr>
                <w:rFonts w:hint="eastAsia"/>
                <w:vertAlign w:val="baseline"/>
                <w:lang w:eastAsia="zh-CN"/>
              </w:rPr>
            </w:pPr>
          </w:p>
        </w:tc>
        <w:tc>
          <w:tcPr>
            <w:tcW w:w="1662" w:type="dxa"/>
            <w:vAlign w:val="center"/>
          </w:tcPr>
          <w:p>
            <w:pPr>
              <w:pStyle w:val="11"/>
              <w:spacing w:line="240" w:lineRule="auto"/>
              <w:ind w:firstLine="0" w:firstLineChars="0"/>
              <w:jc w:val="center"/>
              <w:rPr>
                <w:rFonts w:hint="eastAsia"/>
                <w:vertAlign w:val="baseline"/>
                <w:lang w:eastAsia="zh-CN"/>
              </w:rPr>
            </w:pPr>
            <w:r>
              <w:rPr>
                <w:rFonts w:hint="eastAsia"/>
                <w:sz w:val="17"/>
                <w:szCs w:val="17"/>
                <w:lang w:val="en-US" w:eastAsia="zh-CN"/>
              </w:rPr>
              <w:t>其他人力资源和社会保障管理事务支出</w:t>
            </w:r>
          </w:p>
        </w:tc>
        <w:tc>
          <w:tcPr>
            <w:tcW w:w="1717" w:type="dxa"/>
            <w:vAlign w:val="center"/>
          </w:tcPr>
          <w:p>
            <w:pPr>
              <w:pStyle w:val="11"/>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3.75</w:t>
            </w:r>
          </w:p>
        </w:tc>
        <w:tc>
          <w:tcPr>
            <w:tcW w:w="1879" w:type="dxa"/>
            <w:vAlign w:val="center"/>
          </w:tcPr>
          <w:p>
            <w:pPr>
              <w:pStyle w:val="11"/>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0.00</w:t>
            </w:r>
          </w:p>
        </w:tc>
        <w:tc>
          <w:tcPr>
            <w:tcW w:w="1729" w:type="dxa"/>
            <w:vAlign w:val="center"/>
          </w:tcPr>
          <w:p>
            <w:pPr>
              <w:pStyle w:val="11"/>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790" w:type="dxa"/>
            <w:gridSpan w:val="2"/>
            <w:vAlign w:val="center"/>
          </w:tcPr>
          <w:p>
            <w:pPr>
              <w:pStyle w:val="11"/>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0.00</w:t>
            </w:r>
          </w:p>
        </w:tc>
        <w:tc>
          <w:tcPr>
            <w:tcW w:w="1694" w:type="dxa"/>
            <w:vAlign w:val="center"/>
          </w:tcPr>
          <w:p>
            <w:pPr>
              <w:pStyle w:val="11"/>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3.75</w:t>
            </w:r>
          </w:p>
        </w:tc>
        <w:tc>
          <w:tcPr>
            <w:tcW w:w="1695" w:type="dxa"/>
            <w:vAlign w:val="center"/>
          </w:tcPr>
          <w:p>
            <w:pPr>
              <w:pStyle w:val="11"/>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11"/>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2080505</w:t>
            </w:r>
          </w:p>
        </w:tc>
        <w:tc>
          <w:tcPr>
            <w:tcW w:w="1676" w:type="dxa"/>
            <w:vAlign w:val="center"/>
          </w:tcPr>
          <w:p>
            <w:pPr>
              <w:pStyle w:val="11"/>
              <w:spacing w:line="240" w:lineRule="auto"/>
              <w:ind w:firstLine="0" w:firstLineChars="0"/>
              <w:jc w:val="center"/>
              <w:rPr>
                <w:rFonts w:hint="eastAsia"/>
                <w:vertAlign w:val="baseline"/>
                <w:lang w:eastAsia="zh-CN"/>
              </w:rPr>
            </w:pPr>
          </w:p>
        </w:tc>
        <w:tc>
          <w:tcPr>
            <w:tcW w:w="1662" w:type="dxa"/>
            <w:vAlign w:val="center"/>
          </w:tcPr>
          <w:p>
            <w:pPr>
              <w:pStyle w:val="11"/>
              <w:spacing w:line="240" w:lineRule="auto"/>
              <w:ind w:firstLine="0" w:firstLineChars="0"/>
              <w:jc w:val="center"/>
              <w:rPr>
                <w:rFonts w:hint="eastAsia"/>
                <w:vertAlign w:val="baseline"/>
                <w:lang w:eastAsia="zh-CN"/>
              </w:rPr>
            </w:pPr>
            <w:r>
              <w:rPr>
                <w:rFonts w:hint="eastAsia"/>
                <w:sz w:val="17"/>
                <w:szCs w:val="17"/>
                <w:lang w:val="en-US" w:eastAsia="zh-CN"/>
              </w:rPr>
              <w:t>机关事业单位基本养老保险缴费支出</w:t>
            </w:r>
          </w:p>
        </w:tc>
        <w:tc>
          <w:tcPr>
            <w:tcW w:w="1717" w:type="dxa"/>
            <w:vAlign w:val="center"/>
          </w:tcPr>
          <w:p>
            <w:pPr>
              <w:pStyle w:val="11"/>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64.07</w:t>
            </w:r>
          </w:p>
        </w:tc>
        <w:tc>
          <w:tcPr>
            <w:tcW w:w="1879" w:type="dxa"/>
            <w:vAlign w:val="center"/>
          </w:tcPr>
          <w:p>
            <w:pPr>
              <w:pStyle w:val="11"/>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64.07</w:t>
            </w:r>
          </w:p>
        </w:tc>
        <w:tc>
          <w:tcPr>
            <w:tcW w:w="1729" w:type="dxa"/>
            <w:vAlign w:val="center"/>
          </w:tcPr>
          <w:p>
            <w:pPr>
              <w:pStyle w:val="11"/>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64.07</w:t>
            </w:r>
          </w:p>
        </w:tc>
        <w:tc>
          <w:tcPr>
            <w:tcW w:w="1790" w:type="dxa"/>
            <w:gridSpan w:val="2"/>
            <w:vAlign w:val="center"/>
          </w:tcPr>
          <w:p>
            <w:pPr>
              <w:pStyle w:val="11"/>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0.00</w:t>
            </w:r>
          </w:p>
        </w:tc>
        <w:tc>
          <w:tcPr>
            <w:tcW w:w="1694" w:type="dxa"/>
            <w:vAlign w:val="center"/>
          </w:tcPr>
          <w:p>
            <w:pPr>
              <w:pStyle w:val="11"/>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695" w:type="dxa"/>
            <w:vAlign w:val="center"/>
          </w:tcPr>
          <w:p>
            <w:pPr>
              <w:pStyle w:val="11"/>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11"/>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2082001</w:t>
            </w:r>
          </w:p>
        </w:tc>
        <w:tc>
          <w:tcPr>
            <w:tcW w:w="1676" w:type="dxa"/>
            <w:vAlign w:val="center"/>
          </w:tcPr>
          <w:p>
            <w:pPr>
              <w:pStyle w:val="11"/>
              <w:spacing w:line="240" w:lineRule="auto"/>
              <w:ind w:firstLine="0" w:firstLineChars="0"/>
              <w:jc w:val="center"/>
              <w:rPr>
                <w:rFonts w:hint="eastAsia"/>
                <w:vertAlign w:val="baseline"/>
                <w:lang w:eastAsia="zh-CN"/>
              </w:rPr>
            </w:pPr>
          </w:p>
        </w:tc>
        <w:tc>
          <w:tcPr>
            <w:tcW w:w="1662" w:type="dxa"/>
            <w:vAlign w:val="center"/>
          </w:tcPr>
          <w:p>
            <w:pPr>
              <w:pStyle w:val="11"/>
              <w:spacing w:line="240" w:lineRule="auto"/>
              <w:ind w:firstLine="0" w:firstLineChars="0"/>
              <w:jc w:val="center"/>
              <w:rPr>
                <w:rFonts w:hint="eastAsia"/>
                <w:vertAlign w:val="baseline"/>
                <w:lang w:eastAsia="zh-CN"/>
              </w:rPr>
            </w:pPr>
            <w:r>
              <w:rPr>
                <w:rFonts w:hint="eastAsia"/>
                <w:sz w:val="17"/>
                <w:szCs w:val="17"/>
                <w:lang w:val="en-US" w:eastAsia="zh-CN"/>
              </w:rPr>
              <w:t>临时救助支出</w:t>
            </w:r>
          </w:p>
        </w:tc>
        <w:tc>
          <w:tcPr>
            <w:tcW w:w="1717" w:type="dxa"/>
            <w:vAlign w:val="center"/>
          </w:tcPr>
          <w:p>
            <w:pPr>
              <w:pStyle w:val="11"/>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0.22</w:t>
            </w:r>
          </w:p>
        </w:tc>
        <w:tc>
          <w:tcPr>
            <w:tcW w:w="1879" w:type="dxa"/>
            <w:vAlign w:val="center"/>
          </w:tcPr>
          <w:p>
            <w:pPr>
              <w:pStyle w:val="11"/>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0.00</w:t>
            </w:r>
          </w:p>
        </w:tc>
        <w:tc>
          <w:tcPr>
            <w:tcW w:w="1729" w:type="dxa"/>
            <w:vAlign w:val="center"/>
          </w:tcPr>
          <w:p>
            <w:pPr>
              <w:pStyle w:val="11"/>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790" w:type="dxa"/>
            <w:gridSpan w:val="2"/>
            <w:vAlign w:val="center"/>
          </w:tcPr>
          <w:p>
            <w:pPr>
              <w:pStyle w:val="11"/>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0.00</w:t>
            </w:r>
          </w:p>
        </w:tc>
        <w:tc>
          <w:tcPr>
            <w:tcW w:w="1694" w:type="dxa"/>
            <w:vAlign w:val="center"/>
          </w:tcPr>
          <w:p>
            <w:pPr>
              <w:pStyle w:val="11"/>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0.22</w:t>
            </w:r>
          </w:p>
        </w:tc>
        <w:tc>
          <w:tcPr>
            <w:tcW w:w="1695" w:type="dxa"/>
            <w:vAlign w:val="center"/>
          </w:tcPr>
          <w:p>
            <w:pPr>
              <w:pStyle w:val="11"/>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11"/>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2110401</w:t>
            </w:r>
          </w:p>
        </w:tc>
        <w:tc>
          <w:tcPr>
            <w:tcW w:w="1676" w:type="dxa"/>
            <w:vAlign w:val="center"/>
          </w:tcPr>
          <w:p>
            <w:pPr>
              <w:pStyle w:val="11"/>
              <w:spacing w:line="240" w:lineRule="auto"/>
              <w:ind w:firstLine="0" w:firstLineChars="0"/>
              <w:jc w:val="center"/>
              <w:rPr>
                <w:rFonts w:hint="eastAsia"/>
                <w:vertAlign w:val="baseline"/>
                <w:lang w:eastAsia="zh-CN"/>
              </w:rPr>
            </w:pPr>
          </w:p>
        </w:tc>
        <w:tc>
          <w:tcPr>
            <w:tcW w:w="1662" w:type="dxa"/>
            <w:vAlign w:val="center"/>
          </w:tcPr>
          <w:p>
            <w:pPr>
              <w:pStyle w:val="11"/>
              <w:spacing w:line="240" w:lineRule="auto"/>
              <w:ind w:firstLine="0" w:firstLineChars="0"/>
              <w:jc w:val="center"/>
              <w:rPr>
                <w:rFonts w:hint="eastAsia"/>
                <w:vertAlign w:val="baseline"/>
                <w:lang w:eastAsia="zh-CN"/>
              </w:rPr>
            </w:pPr>
            <w:r>
              <w:rPr>
                <w:rFonts w:hint="eastAsia"/>
                <w:sz w:val="17"/>
                <w:szCs w:val="17"/>
                <w:lang w:val="en-US" w:eastAsia="zh-CN"/>
              </w:rPr>
              <w:t>生态保护</w:t>
            </w:r>
          </w:p>
        </w:tc>
        <w:tc>
          <w:tcPr>
            <w:tcW w:w="1717" w:type="dxa"/>
            <w:vAlign w:val="center"/>
          </w:tcPr>
          <w:p>
            <w:pPr>
              <w:pStyle w:val="11"/>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85.74</w:t>
            </w:r>
          </w:p>
        </w:tc>
        <w:tc>
          <w:tcPr>
            <w:tcW w:w="1879" w:type="dxa"/>
            <w:vAlign w:val="center"/>
          </w:tcPr>
          <w:p>
            <w:pPr>
              <w:pStyle w:val="11"/>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0.00</w:t>
            </w:r>
          </w:p>
        </w:tc>
        <w:tc>
          <w:tcPr>
            <w:tcW w:w="1729" w:type="dxa"/>
            <w:vAlign w:val="center"/>
          </w:tcPr>
          <w:p>
            <w:pPr>
              <w:pStyle w:val="11"/>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790" w:type="dxa"/>
            <w:gridSpan w:val="2"/>
            <w:vAlign w:val="center"/>
          </w:tcPr>
          <w:p>
            <w:pPr>
              <w:pStyle w:val="11"/>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0.00</w:t>
            </w:r>
          </w:p>
        </w:tc>
        <w:tc>
          <w:tcPr>
            <w:tcW w:w="1694" w:type="dxa"/>
            <w:vAlign w:val="center"/>
          </w:tcPr>
          <w:p>
            <w:pPr>
              <w:pStyle w:val="11"/>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85.74</w:t>
            </w:r>
          </w:p>
        </w:tc>
        <w:tc>
          <w:tcPr>
            <w:tcW w:w="1695" w:type="dxa"/>
            <w:vAlign w:val="center"/>
          </w:tcPr>
          <w:p>
            <w:pPr>
              <w:pStyle w:val="11"/>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11"/>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2130205</w:t>
            </w:r>
          </w:p>
        </w:tc>
        <w:tc>
          <w:tcPr>
            <w:tcW w:w="1676" w:type="dxa"/>
            <w:vAlign w:val="center"/>
          </w:tcPr>
          <w:p>
            <w:pPr>
              <w:pStyle w:val="11"/>
              <w:spacing w:line="240" w:lineRule="auto"/>
              <w:ind w:firstLine="0" w:firstLineChars="0"/>
              <w:jc w:val="center"/>
              <w:rPr>
                <w:rFonts w:hint="eastAsia"/>
                <w:vertAlign w:val="baseline"/>
                <w:lang w:eastAsia="zh-CN"/>
              </w:rPr>
            </w:pPr>
          </w:p>
        </w:tc>
        <w:tc>
          <w:tcPr>
            <w:tcW w:w="1662" w:type="dxa"/>
            <w:vAlign w:val="center"/>
          </w:tcPr>
          <w:p>
            <w:pPr>
              <w:pStyle w:val="11"/>
              <w:spacing w:line="240" w:lineRule="auto"/>
              <w:ind w:firstLine="0" w:firstLineChars="0"/>
              <w:jc w:val="center"/>
              <w:rPr>
                <w:rFonts w:hint="eastAsia"/>
                <w:vertAlign w:val="baseline"/>
                <w:lang w:eastAsia="zh-CN"/>
              </w:rPr>
            </w:pPr>
            <w:r>
              <w:rPr>
                <w:rFonts w:hint="eastAsia"/>
                <w:sz w:val="17"/>
                <w:szCs w:val="17"/>
                <w:lang w:val="en-US" w:eastAsia="zh-CN"/>
              </w:rPr>
              <w:t>森林资源培育</w:t>
            </w:r>
          </w:p>
        </w:tc>
        <w:tc>
          <w:tcPr>
            <w:tcW w:w="1717" w:type="dxa"/>
            <w:vAlign w:val="center"/>
          </w:tcPr>
          <w:p>
            <w:pPr>
              <w:pStyle w:val="11"/>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20.05</w:t>
            </w:r>
          </w:p>
        </w:tc>
        <w:tc>
          <w:tcPr>
            <w:tcW w:w="1879" w:type="dxa"/>
            <w:vAlign w:val="center"/>
          </w:tcPr>
          <w:p>
            <w:pPr>
              <w:pStyle w:val="11"/>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0.00</w:t>
            </w:r>
          </w:p>
        </w:tc>
        <w:tc>
          <w:tcPr>
            <w:tcW w:w="1729" w:type="dxa"/>
            <w:vAlign w:val="center"/>
          </w:tcPr>
          <w:p>
            <w:pPr>
              <w:pStyle w:val="11"/>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790" w:type="dxa"/>
            <w:gridSpan w:val="2"/>
            <w:vAlign w:val="center"/>
          </w:tcPr>
          <w:p>
            <w:pPr>
              <w:pStyle w:val="11"/>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0.00</w:t>
            </w:r>
          </w:p>
        </w:tc>
        <w:tc>
          <w:tcPr>
            <w:tcW w:w="1694" w:type="dxa"/>
            <w:vAlign w:val="center"/>
          </w:tcPr>
          <w:p>
            <w:pPr>
              <w:pStyle w:val="11"/>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20.05</w:t>
            </w:r>
          </w:p>
        </w:tc>
        <w:tc>
          <w:tcPr>
            <w:tcW w:w="1695" w:type="dxa"/>
            <w:vAlign w:val="center"/>
          </w:tcPr>
          <w:p>
            <w:pPr>
              <w:pStyle w:val="11"/>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11"/>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2130599</w:t>
            </w:r>
          </w:p>
        </w:tc>
        <w:tc>
          <w:tcPr>
            <w:tcW w:w="1676" w:type="dxa"/>
            <w:vAlign w:val="center"/>
          </w:tcPr>
          <w:p>
            <w:pPr>
              <w:pStyle w:val="11"/>
              <w:spacing w:line="240" w:lineRule="auto"/>
              <w:ind w:firstLine="0" w:firstLineChars="0"/>
              <w:jc w:val="center"/>
              <w:rPr>
                <w:rFonts w:hint="eastAsia"/>
                <w:vertAlign w:val="baseline"/>
                <w:lang w:eastAsia="zh-CN"/>
              </w:rPr>
            </w:pPr>
          </w:p>
        </w:tc>
        <w:tc>
          <w:tcPr>
            <w:tcW w:w="1662" w:type="dxa"/>
            <w:vAlign w:val="center"/>
          </w:tcPr>
          <w:p>
            <w:pPr>
              <w:pStyle w:val="11"/>
              <w:spacing w:line="240" w:lineRule="auto"/>
              <w:ind w:firstLine="0" w:firstLineChars="0"/>
              <w:jc w:val="center"/>
              <w:rPr>
                <w:rFonts w:hint="eastAsia"/>
                <w:vertAlign w:val="baseline"/>
                <w:lang w:eastAsia="zh-CN"/>
              </w:rPr>
            </w:pPr>
            <w:r>
              <w:rPr>
                <w:rFonts w:hint="eastAsia"/>
                <w:sz w:val="17"/>
                <w:szCs w:val="17"/>
                <w:lang w:val="en-US" w:eastAsia="zh-CN"/>
              </w:rPr>
              <w:t>其他巩固脱贫攻坚成果衔接乡村振兴支出</w:t>
            </w:r>
          </w:p>
        </w:tc>
        <w:tc>
          <w:tcPr>
            <w:tcW w:w="1717" w:type="dxa"/>
            <w:vAlign w:val="center"/>
          </w:tcPr>
          <w:p>
            <w:pPr>
              <w:pStyle w:val="11"/>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2.26</w:t>
            </w:r>
          </w:p>
        </w:tc>
        <w:tc>
          <w:tcPr>
            <w:tcW w:w="1879" w:type="dxa"/>
            <w:vAlign w:val="center"/>
          </w:tcPr>
          <w:p>
            <w:pPr>
              <w:pStyle w:val="11"/>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0.00</w:t>
            </w:r>
          </w:p>
        </w:tc>
        <w:tc>
          <w:tcPr>
            <w:tcW w:w="1729" w:type="dxa"/>
            <w:vAlign w:val="center"/>
          </w:tcPr>
          <w:p>
            <w:pPr>
              <w:pStyle w:val="11"/>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790" w:type="dxa"/>
            <w:gridSpan w:val="2"/>
            <w:vAlign w:val="center"/>
          </w:tcPr>
          <w:p>
            <w:pPr>
              <w:pStyle w:val="11"/>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0.00</w:t>
            </w:r>
          </w:p>
        </w:tc>
        <w:tc>
          <w:tcPr>
            <w:tcW w:w="1694" w:type="dxa"/>
            <w:vAlign w:val="center"/>
          </w:tcPr>
          <w:p>
            <w:pPr>
              <w:pStyle w:val="11"/>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2.26</w:t>
            </w:r>
          </w:p>
        </w:tc>
        <w:tc>
          <w:tcPr>
            <w:tcW w:w="1695" w:type="dxa"/>
            <w:vAlign w:val="center"/>
          </w:tcPr>
          <w:p>
            <w:pPr>
              <w:pStyle w:val="11"/>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11"/>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2140104</w:t>
            </w:r>
          </w:p>
        </w:tc>
        <w:tc>
          <w:tcPr>
            <w:tcW w:w="1676" w:type="dxa"/>
            <w:vAlign w:val="center"/>
          </w:tcPr>
          <w:p>
            <w:pPr>
              <w:pStyle w:val="11"/>
              <w:spacing w:line="240" w:lineRule="auto"/>
              <w:ind w:firstLine="0" w:firstLineChars="0"/>
              <w:jc w:val="center"/>
              <w:rPr>
                <w:rFonts w:hint="eastAsia"/>
                <w:vertAlign w:val="baseline"/>
                <w:lang w:eastAsia="zh-CN"/>
              </w:rPr>
            </w:pPr>
          </w:p>
        </w:tc>
        <w:tc>
          <w:tcPr>
            <w:tcW w:w="1662" w:type="dxa"/>
            <w:vAlign w:val="center"/>
          </w:tcPr>
          <w:p>
            <w:pPr>
              <w:pStyle w:val="11"/>
              <w:spacing w:line="240" w:lineRule="auto"/>
              <w:ind w:firstLine="0" w:firstLineChars="0"/>
              <w:jc w:val="center"/>
              <w:rPr>
                <w:rFonts w:hint="eastAsia"/>
                <w:vertAlign w:val="baseline"/>
                <w:lang w:eastAsia="zh-CN"/>
              </w:rPr>
            </w:pPr>
            <w:r>
              <w:rPr>
                <w:rFonts w:hint="eastAsia"/>
                <w:sz w:val="17"/>
                <w:szCs w:val="17"/>
                <w:lang w:val="en-US" w:eastAsia="zh-CN"/>
              </w:rPr>
              <w:t>公路建设</w:t>
            </w:r>
          </w:p>
        </w:tc>
        <w:tc>
          <w:tcPr>
            <w:tcW w:w="1717" w:type="dxa"/>
            <w:vAlign w:val="center"/>
          </w:tcPr>
          <w:p>
            <w:pPr>
              <w:pStyle w:val="11"/>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339.00</w:t>
            </w:r>
          </w:p>
        </w:tc>
        <w:tc>
          <w:tcPr>
            <w:tcW w:w="1879" w:type="dxa"/>
            <w:vAlign w:val="center"/>
          </w:tcPr>
          <w:p>
            <w:pPr>
              <w:pStyle w:val="11"/>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0.00</w:t>
            </w:r>
          </w:p>
        </w:tc>
        <w:tc>
          <w:tcPr>
            <w:tcW w:w="1729" w:type="dxa"/>
            <w:vAlign w:val="center"/>
          </w:tcPr>
          <w:p>
            <w:pPr>
              <w:pStyle w:val="11"/>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790" w:type="dxa"/>
            <w:gridSpan w:val="2"/>
            <w:vAlign w:val="center"/>
          </w:tcPr>
          <w:p>
            <w:pPr>
              <w:pStyle w:val="11"/>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0.00</w:t>
            </w:r>
          </w:p>
        </w:tc>
        <w:tc>
          <w:tcPr>
            <w:tcW w:w="1694" w:type="dxa"/>
            <w:vAlign w:val="center"/>
          </w:tcPr>
          <w:p>
            <w:pPr>
              <w:pStyle w:val="11"/>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339.00</w:t>
            </w:r>
          </w:p>
        </w:tc>
        <w:tc>
          <w:tcPr>
            <w:tcW w:w="1695" w:type="dxa"/>
            <w:vAlign w:val="center"/>
          </w:tcPr>
          <w:p>
            <w:pPr>
              <w:pStyle w:val="11"/>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11"/>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2140106</w:t>
            </w:r>
          </w:p>
        </w:tc>
        <w:tc>
          <w:tcPr>
            <w:tcW w:w="1676" w:type="dxa"/>
            <w:vAlign w:val="center"/>
          </w:tcPr>
          <w:p>
            <w:pPr>
              <w:pStyle w:val="11"/>
              <w:spacing w:line="240" w:lineRule="auto"/>
              <w:ind w:firstLine="0" w:firstLineChars="0"/>
              <w:jc w:val="center"/>
              <w:rPr>
                <w:rFonts w:hint="eastAsia"/>
                <w:vertAlign w:val="baseline"/>
                <w:lang w:eastAsia="zh-CN"/>
              </w:rPr>
            </w:pPr>
          </w:p>
        </w:tc>
        <w:tc>
          <w:tcPr>
            <w:tcW w:w="1662" w:type="dxa"/>
            <w:vAlign w:val="center"/>
          </w:tcPr>
          <w:p>
            <w:pPr>
              <w:pStyle w:val="11"/>
              <w:spacing w:line="240" w:lineRule="auto"/>
              <w:ind w:firstLine="0" w:firstLineChars="0"/>
              <w:jc w:val="center"/>
              <w:rPr>
                <w:rFonts w:hint="eastAsia"/>
                <w:vertAlign w:val="baseline"/>
                <w:lang w:eastAsia="zh-CN"/>
              </w:rPr>
            </w:pPr>
            <w:r>
              <w:rPr>
                <w:rFonts w:hint="eastAsia"/>
                <w:sz w:val="17"/>
                <w:szCs w:val="17"/>
                <w:lang w:val="en-US" w:eastAsia="zh-CN"/>
              </w:rPr>
              <w:t>公路养护</w:t>
            </w:r>
          </w:p>
        </w:tc>
        <w:tc>
          <w:tcPr>
            <w:tcW w:w="1717" w:type="dxa"/>
            <w:vAlign w:val="center"/>
          </w:tcPr>
          <w:p>
            <w:pPr>
              <w:pStyle w:val="11"/>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6.07</w:t>
            </w:r>
          </w:p>
        </w:tc>
        <w:tc>
          <w:tcPr>
            <w:tcW w:w="1879" w:type="dxa"/>
            <w:vAlign w:val="center"/>
          </w:tcPr>
          <w:p>
            <w:pPr>
              <w:pStyle w:val="11"/>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0.00</w:t>
            </w:r>
          </w:p>
        </w:tc>
        <w:tc>
          <w:tcPr>
            <w:tcW w:w="1729" w:type="dxa"/>
            <w:vAlign w:val="center"/>
          </w:tcPr>
          <w:p>
            <w:pPr>
              <w:pStyle w:val="11"/>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790" w:type="dxa"/>
            <w:gridSpan w:val="2"/>
            <w:vAlign w:val="center"/>
          </w:tcPr>
          <w:p>
            <w:pPr>
              <w:pStyle w:val="11"/>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0.00</w:t>
            </w:r>
          </w:p>
        </w:tc>
        <w:tc>
          <w:tcPr>
            <w:tcW w:w="1694" w:type="dxa"/>
            <w:vAlign w:val="center"/>
          </w:tcPr>
          <w:p>
            <w:pPr>
              <w:pStyle w:val="11"/>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6.07</w:t>
            </w:r>
          </w:p>
        </w:tc>
        <w:tc>
          <w:tcPr>
            <w:tcW w:w="1695" w:type="dxa"/>
            <w:vAlign w:val="center"/>
          </w:tcPr>
          <w:p>
            <w:pPr>
              <w:pStyle w:val="11"/>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11"/>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2210201</w:t>
            </w:r>
          </w:p>
        </w:tc>
        <w:tc>
          <w:tcPr>
            <w:tcW w:w="1676" w:type="dxa"/>
            <w:vAlign w:val="center"/>
          </w:tcPr>
          <w:p>
            <w:pPr>
              <w:pStyle w:val="11"/>
              <w:spacing w:line="240" w:lineRule="auto"/>
              <w:ind w:firstLine="0" w:firstLineChars="0"/>
              <w:jc w:val="center"/>
              <w:rPr>
                <w:rFonts w:hint="eastAsia"/>
                <w:vertAlign w:val="baseline"/>
                <w:lang w:eastAsia="zh-CN"/>
              </w:rPr>
            </w:pPr>
          </w:p>
        </w:tc>
        <w:tc>
          <w:tcPr>
            <w:tcW w:w="1662" w:type="dxa"/>
            <w:vAlign w:val="center"/>
          </w:tcPr>
          <w:p>
            <w:pPr>
              <w:pStyle w:val="11"/>
              <w:spacing w:line="240" w:lineRule="auto"/>
              <w:ind w:firstLine="0" w:firstLineChars="0"/>
              <w:jc w:val="center"/>
              <w:rPr>
                <w:rFonts w:hint="eastAsia"/>
                <w:vertAlign w:val="baseline"/>
                <w:lang w:eastAsia="zh-CN"/>
              </w:rPr>
            </w:pPr>
            <w:r>
              <w:rPr>
                <w:rFonts w:hint="eastAsia"/>
                <w:sz w:val="17"/>
                <w:szCs w:val="17"/>
                <w:lang w:val="en-US" w:eastAsia="zh-CN"/>
              </w:rPr>
              <w:t>住房公积金</w:t>
            </w:r>
          </w:p>
        </w:tc>
        <w:tc>
          <w:tcPr>
            <w:tcW w:w="1717" w:type="dxa"/>
            <w:vAlign w:val="center"/>
          </w:tcPr>
          <w:p>
            <w:pPr>
              <w:pStyle w:val="11"/>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55.75</w:t>
            </w:r>
          </w:p>
        </w:tc>
        <w:tc>
          <w:tcPr>
            <w:tcW w:w="1879" w:type="dxa"/>
            <w:vAlign w:val="center"/>
          </w:tcPr>
          <w:p>
            <w:pPr>
              <w:pStyle w:val="11"/>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55.75</w:t>
            </w:r>
          </w:p>
        </w:tc>
        <w:tc>
          <w:tcPr>
            <w:tcW w:w="1729" w:type="dxa"/>
            <w:vAlign w:val="center"/>
          </w:tcPr>
          <w:p>
            <w:pPr>
              <w:pStyle w:val="11"/>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55.75</w:t>
            </w:r>
          </w:p>
        </w:tc>
        <w:tc>
          <w:tcPr>
            <w:tcW w:w="1790" w:type="dxa"/>
            <w:gridSpan w:val="2"/>
            <w:vAlign w:val="center"/>
          </w:tcPr>
          <w:p>
            <w:pPr>
              <w:pStyle w:val="11"/>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0.00</w:t>
            </w:r>
          </w:p>
        </w:tc>
        <w:tc>
          <w:tcPr>
            <w:tcW w:w="1694" w:type="dxa"/>
            <w:vAlign w:val="center"/>
          </w:tcPr>
          <w:p>
            <w:pPr>
              <w:pStyle w:val="11"/>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695" w:type="dxa"/>
            <w:vAlign w:val="center"/>
          </w:tcPr>
          <w:p>
            <w:pPr>
              <w:pStyle w:val="11"/>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7" w:type="dxa"/>
            <w:gridSpan w:val="10"/>
            <w:tcBorders>
              <w:left w:val="nil"/>
              <w:bottom w:val="nil"/>
              <w:right w:val="nil"/>
            </w:tcBorders>
          </w:tcPr>
          <w:p>
            <w:pPr>
              <w:jc w:val="left"/>
              <w:rPr>
                <w:rFonts w:hint="eastAsia"/>
                <w:vertAlign w:val="baseline"/>
                <w:lang w:eastAsia="zh-CN"/>
              </w:rPr>
            </w:pPr>
            <w:r>
              <w:rPr>
                <w:sz w:val="16"/>
                <w:szCs w:val="16"/>
              </w:rPr>
              <w:t>注：本报表金额单位转换时可能存在四舍五入尾数误差。</w:t>
            </w:r>
          </w:p>
        </w:tc>
      </w:tr>
    </w:tbl>
    <w:p>
      <w:pPr>
        <w:jc w:val="left"/>
        <w:rPr>
          <w:rFonts w:hint="eastAsia"/>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10"/>
        <w:keepNext/>
        <w:keepLines/>
        <w:spacing w:after="240"/>
        <w:jc w:val="center"/>
      </w:pPr>
      <w:bookmarkStart w:id="24" w:name="bookmark57"/>
      <w:bookmarkStart w:id="25" w:name="bookmark56"/>
      <w:bookmarkStart w:id="26" w:name="bookmark58"/>
      <w:r>
        <w:t>一般公共预算基本支出情况表</w:t>
      </w:r>
      <w:bookmarkEnd w:id="24"/>
      <w:bookmarkEnd w:id="25"/>
      <w:bookmarkEnd w:id="26"/>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10"/>
        <w:gridCol w:w="3111"/>
        <w:gridCol w:w="3111"/>
        <w:gridCol w:w="3112"/>
        <w:gridCol w:w="3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44" w:type="dxa"/>
            <w:gridSpan w:val="4"/>
            <w:tcBorders>
              <w:top w:val="nil"/>
              <w:left w:val="nil"/>
              <w:right w:val="nil"/>
            </w:tcBorders>
          </w:tcPr>
          <w:p>
            <w:pPr>
              <w:jc w:val="left"/>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单位名称：</w:t>
            </w:r>
            <w:r>
              <w:rPr>
                <w:rFonts w:ascii="宋体" w:hAnsi="宋体" w:eastAsia="宋体" w:cs="宋体"/>
                <w:sz w:val="16"/>
                <w:u w:color="auto"/>
              </w:rPr>
              <w:t xml:space="preserve">环江毛南族自治县川山镇人民政府                                                          </w:t>
            </w:r>
            <w:r>
              <w:rPr>
                <w:rFonts w:hint="eastAsia" w:ascii="宋体" w:hAnsi="宋体" w:eastAsia="宋体" w:cs="宋体"/>
                <w:sz w:val="16"/>
                <w:szCs w:val="16"/>
                <w:vertAlign w:val="baseline"/>
                <w:lang w:val="en-US" w:eastAsia="zh-CN"/>
              </w:rPr>
              <w:t xml:space="preserve">                    </w:t>
            </w:r>
            <w:r>
              <w:rPr>
                <w:rFonts w:hint="eastAsia" w:ascii="宋体" w:hAnsi="宋体" w:eastAsia="宋体" w:cs="宋体"/>
                <w:sz w:val="16"/>
                <w:szCs w:val="16"/>
                <w:vertAlign w:val="baseline"/>
                <w:lang w:eastAsia="zh-CN"/>
              </w:rPr>
              <w:t xml:space="preserve">                                                                    </w:t>
            </w:r>
          </w:p>
        </w:tc>
        <w:tc>
          <w:tcPr>
            <w:tcW w:w="3113" w:type="dxa"/>
            <w:tcBorders>
              <w:top w:val="nil"/>
              <w:left w:val="nil"/>
              <w:right w:val="nil"/>
            </w:tcBorders>
          </w:tcPr>
          <w:p>
            <w:pPr>
              <w:ind w:firstLine="1760" w:firstLineChars="1100"/>
              <w:jc w:val="left"/>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 xml:space="preserve">单位：万元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221" w:type="dxa"/>
            <w:gridSpan w:val="2"/>
          </w:tcPr>
          <w:p>
            <w:pPr>
              <w:jc w:val="left"/>
              <w:rPr>
                <w:vertAlign w:val="baseline"/>
                <w:lang w:eastAsia="zh-CN"/>
              </w:rPr>
            </w:pPr>
            <w:r>
              <w:rPr>
                <w:sz w:val="17"/>
                <w:szCs w:val="17"/>
              </w:rPr>
              <w:t>部门预算支出经济分类科目</w:t>
            </w:r>
          </w:p>
        </w:tc>
        <w:tc>
          <w:tcPr>
            <w:tcW w:w="9336" w:type="dxa"/>
            <w:gridSpan w:val="3"/>
          </w:tcPr>
          <w:p>
            <w:pPr>
              <w:jc w:val="left"/>
              <w:rPr>
                <w:vertAlign w:val="baseline"/>
                <w:lang w:eastAsia="zh-CN"/>
              </w:rPr>
            </w:pPr>
            <w:r>
              <w:rPr>
                <w:sz w:val="17"/>
                <w:szCs w:val="17"/>
              </w:rPr>
              <w:t>本年一般公共预算基本支出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110" w:type="dxa"/>
            <w:vAlign w:val="center"/>
          </w:tcPr>
          <w:p>
            <w:pPr>
              <w:pStyle w:val="11"/>
              <w:spacing w:line="240" w:lineRule="auto"/>
              <w:ind w:firstLine="0" w:firstLineChars="0"/>
              <w:jc w:val="center"/>
              <w:rPr>
                <w:vertAlign w:val="baseline"/>
                <w:lang w:eastAsia="zh-CN"/>
              </w:rPr>
            </w:pPr>
            <w:r>
              <w:rPr>
                <w:sz w:val="17"/>
                <w:szCs w:val="17"/>
              </w:rPr>
              <w:t>科目编码</w:t>
            </w:r>
          </w:p>
        </w:tc>
        <w:tc>
          <w:tcPr>
            <w:tcW w:w="3111" w:type="dxa"/>
            <w:vAlign w:val="center"/>
          </w:tcPr>
          <w:p>
            <w:pPr>
              <w:pStyle w:val="11"/>
              <w:spacing w:line="240" w:lineRule="auto"/>
              <w:ind w:firstLine="0" w:firstLineChars="0"/>
              <w:jc w:val="center"/>
              <w:rPr>
                <w:vertAlign w:val="baseline"/>
                <w:lang w:eastAsia="zh-CN"/>
              </w:rPr>
            </w:pPr>
            <w:r>
              <w:rPr>
                <w:sz w:val="17"/>
                <w:szCs w:val="17"/>
              </w:rPr>
              <w:t>科目名称</w:t>
            </w:r>
          </w:p>
        </w:tc>
        <w:tc>
          <w:tcPr>
            <w:tcW w:w="3111" w:type="dxa"/>
            <w:vAlign w:val="center"/>
          </w:tcPr>
          <w:p>
            <w:pPr>
              <w:pStyle w:val="11"/>
              <w:spacing w:line="240" w:lineRule="auto"/>
              <w:ind w:firstLine="0" w:firstLineChars="0"/>
              <w:jc w:val="center"/>
              <w:rPr>
                <w:vertAlign w:val="baseline"/>
                <w:lang w:eastAsia="zh-CN"/>
              </w:rPr>
            </w:pPr>
            <w:r>
              <w:rPr>
                <w:sz w:val="17"/>
                <w:szCs w:val="17"/>
              </w:rPr>
              <w:t>合计</w:t>
            </w:r>
          </w:p>
        </w:tc>
        <w:tc>
          <w:tcPr>
            <w:tcW w:w="3112" w:type="dxa"/>
            <w:vAlign w:val="center"/>
          </w:tcPr>
          <w:p>
            <w:pPr>
              <w:pStyle w:val="11"/>
              <w:spacing w:line="240" w:lineRule="auto"/>
              <w:ind w:firstLine="0" w:firstLineChars="0"/>
              <w:jc w:val="center"/>
              <w:rPr>
                <w:vertAlign w:val="baseline"/>
                <w:lang w:eastAsia="zh-CN"/>
              </w:rPr>
            </w:pPr>
            <w:r>
              <w:rPr>
                <w:sz w:val="17"/>
                <w:szCs w:val="17"/>
              </w:rPr>
              <w:t>人员经费</w:t>
            </w:r>
          </w:p>
        </w:tc>
        <w:tc>
          <w:tcPr>
            <w:tcW w:w="3113" w:type="dxa"/>
            <w:vAlign w:val="center"/>
          </w:tcPr>
          <w:p>
            <w:pPr>
              <w:pStyle w:val="11"/>
              <w:spacing w:line="240" w:lineRule="auto"/>
              <w:ind w:firstLine="0" w:firstLineChars="0"/>
              <w:jc w:val="center"/>
              <w:rPr>
                <w:vertAlign w:val="baseline"/>
                <w:lang w:eastAsia="zh-CN"/>
              </w:rPr>
            </w:pPr>
            <w:r>
              <w:rPr>
                <w:sz w:val="17"/>
                <w:szCs w:val="17"/>
              </w:rPr>
              <w:t>公用经费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 xml:space="preserve"> </w:t>
            </w:r>
          </w:p>
        </w:tc>
        <w:tc>
          <w:tcPr>
            <w:tcW w:w="3111" w:type="dxa"/>
            <w:vAlign w:val="center"/>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合计</w:t>
            </w:r>
          </w:p>
        </w:tc>
        <w:tc>
          <w:tcPr>
            <w:tcW w:w="3111"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939.32</w:t>
            </w:r>
          </w:p>
        </w:tc>
        <w:tc>
          <w:tcPr>
            <w:tcW w:w="3112"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880.60</w:t>
            </w:r>
          </w:p>
        </w:tc>
        <w:tc>
          <w:tcPr>
            <w:tcW w:w="3113"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58.72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w:t>
            </w:r>
          </w:p>
        </w:tc>
        <w:tc>
          <w:tcPr>
            <w:tcW w:w="3111" w:type="dxa"/>
            <w:vAlign w:val="center"/>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工资福利支出</w:t>
            </w:r>
          </w:p>
        </w:tc>
        <w:tc>
          <w:tcPr>
            <w:tcW w:w="3111"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827.36</w:t>
            </w:r>
          </w:p>
        </w:tc>
        <w:tc>
          <w:tcPr>
            <w:tcW w:w="3112"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827.36</w:t>
            </w:r>
          </w:p>
        </w:tc>
        <w:tc>
          <w:tcPr>
            <w:tcW w:w="3113"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30101</w:t>
            </w:r>
          </w:p>
        </w:tc>
        <w:tc>
          <w:tcPr>
            <w:tcW w:w="3111" w:type="dxa"/>
            <w:vAlign w:val="center"/>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基本工资</w:t>
            </w:r>
          </w:p>
        </w:tc>
        <w:tc>
          <w:tcPr>
            <w:tcW w:w="3111"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167.63</w:t>
            </w:r>
          </w:p>
        </w:tc>
        <w:tc>
          <w:tcPr>
            <w:tcW w:w="3112"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167.63</w:t>
            </w:r>
          </w:p>
        </w:tc>
        <w:tc>
          <w:tcPr>
            <w:tcW w:w="3113"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30102</w:t>
            </w:r>
          </w:p>
        </w:tc>
        <w:tc>
          <w:tcPr>
            <w:tcW w:w="3111" w:type="dxa"/>
            <w:vAlign w:val="center"/>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津贴补贴</w:t>
            </w:r>
          </w:p>
        </w:tc>
        <w:tc>
          <w:tcPr>
            <w:tcW w:w="3111"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115.91</w:t>
            </w:r>
          </w:p>
        </w:tc>
        <w:tc>
          <w:tcPr>
            <w:tcW w:w="3112"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115.91</w:t>
            </w:r>
          </w:p>
        </w:tc>
        <w:tc>
          <w:tcPr>
            <w:tcW w:w="3113"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30103</w:t>
            </w:r>
          </w:p>
        </w:tc>
        <w:tc>
          <w:tcPr>
            <w:tcW w:w="3111" w:type="dxa"/>
            <w:vAlign w:val="center"/>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奖金</w:t>
            </w:r>
          </w:p>
        </w:tc>
        <w:tc>
          <w:tcPr>
            <w:tcW w:w="3111"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143.44</w:t>
            </w:r>
          </w:p>
        </w:tc>
        <w:tc>
          <w:tcPr>
            <w:tcW w:w="3112"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143.44</w:t>
            </w:r>
          </w:p>
        </w:tc>
        <w:tc>
          <w:tcPr>
            <w:tcW w:w="3113"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30107</w:t>
            </w:r>
          </w:p>
        </w:tc>
        <w:tc>
          <w:tcPr>
            <w:tcW w:w="3111" w:type="dxa"/>
            <w:vAlign w:val="center"/>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绩效工资</w:t>
            </w:r>
          </w:p>
        </w:tc>
        <w:tc>
          <w:tcPr>
            <w:tcW w:w="3111"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6.33</w:t>
            </w:r>
          </w:p>
        </w:tc>
        <w:tc>
          <w:tcPr>
            <w:tcW w:w="3112"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6.33</w:t>
            </w:r>
          </w:p>
        </w:tc>
        <w:tc>
          <w:tcPr>
            <w:tcW w:w="3113"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30108</w:t>
            </w:r>
          </w:p>
        </w:tc>
        <w:tc>
          <w:tcPr>
            <w:tcW w:w="3111" w:type="dxa"/>
            <w:vAlign w:val="center"/>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机关事业单位基本养老保险缴费</w:t>
            </w:r>
          </w:p>
        </w:tc>
        <w:tc>
          <w:tcPr>
            <w:tcW w:w="3111"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77.16</w:t>
            </w:r>
          </w:p>
        </w:tc>
        <w:tc>
          <w:tcPr>
            <w:tcW w:w="3112"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77.16</w:t>
            </w:r>
          </w:p>
        </w:tc>
        <w:tc>
          <w:tcPr>
            <w:tcW w:w="3113"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30110</w:t>
            </w:r>
          </w:p>
        </w:tc>
        <w:tc>
          <w:tcPr>
            <w:tcW w:w="3111" w:type="dxa"/>
            <w:vAlign w:val="center"/>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职工基本医疗保险缴费</w:t>
            </w:r>
          </w:p>
        </w:tc>
        <w:tc>
          <w:tcPr>
            <w:tcW w:w="3111"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31.66</w:t>
            </w:r>
          </w:p>
        </w:tc>
        <w:tc>
          <w:tcPr>
            <w:tcW w:w="3112"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31.66</w:t>
            </w:r>
          </w:p>
        </w:tc>
        <w:tc>
          <w:tcPr>
            <w:tcW w:w="3113"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30112</w:t>
            </w:r>
          </w:p>
        </w:tc>
        <w:tc>
          <w:tcPr>
            <w:tcW w:w="3111" w:type="dxa"/>
            <w:vAlign w:val="center"/>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其他社会保障缴费</w:t>
            </w:r>
          </w:p>
        </w:tc>
        <w:tc>
          <w:tcPr>
            <w:tcW w:w="3111"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1.15</w:t>
            </w:r>
          </w:p>
        </w:tc>
        <w:tc>
          <w:tcPr>
            <w:tcW w:w="3112"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1.15</w:t>
            </w:r>
          </w:p>
        </w:tc>
        <w:tc>
          <w:tcPr>
            <w:tcW w:w="3113"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30113</w:t>
            </w:r>
          </w:p>
        </w:tc>
        <w:tc>
          <w:tcPr>
            <w:tcW w:w="3111" w:type="dxa"/>
            <w:vAlign w:val="center"/>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住房公积金</w:t>
            </w:r>
          </w:p>
        </w:tc>
        <w:tc>
          <w:tcPr>
            <w:tcW w:w="3111"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63.27</w:t>
            </w:r>
          </w:p>
        </w:tc>
        <w:tc>
          <w:tcPr>
            <w:tcW w:w="3112"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63.27</w:t>
            </w:r>
          </w:p>
        </w:tc>
        <w:tc>
          <w:tcPr>
            <w:tcW w:w="3113"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30199</w:t>
            </w:r>
          </w:p>
        </w:tc>
        <w:tc>
          <w:tcPr>
            <w:tcW w:w="3111" w:type="dxa"/>
            <w:vAlign w:val="center"/>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其他工资福利支出</w:t>
            </w:r>
          </w:p>
        </w:tc>
        <w:tc>
          <w:tcPr>
            <w:tcW w:w="3111"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220.82</w:t>
            </w:r>
          </w:p>
        </w:tc>
        <w:tc>
          <w:tcPr>
            <w:tcW w:w="3112"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220.82</w:t>
            </w:r>
          </w:p>
        </w:tc>
        <w:tc>
          <w:tcPr>
            <w:tcW w:w="3113"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w:t>
            </w:r>
          </w:p>
        </w:tc>
        <w:tc>
          <w:tcPr>
            <w:tcW w:w="3111" w:type="dxa"/>
            <w:vAlign w:val="center"/>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商品和服务支出</w:t>
            </w:r>
          </w:p>
        </w:tc>
        <w:tc>
          <w:tcPr>
            <w:tcW w:w="3111"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58.72</w:t>
            </w:r>
          </w:p>
        </w:tc>
        <w:tc>
          <w:tcPr>
            <w:tcW w:w="3112"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58.72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30201</w:t>
            </w:r>
          </w:p>
        </w:tc>
        <w:tc>
          <w:tcPr>
            <w:tcW w:w="3111" w:type="dxa"/>
            <w:vAlign w:val="center"/>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办公费</w:t>
            </w:r>
          </w:p>
        </w:tc>
        <w:tc>
          <w:tcPr>
            <w:tcW w:w="3111"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2.00</w:t>
            </w:r>
          </w:p>
        </w:tc>
        <w:tc>
          <w:tcPr>
            <w:tcW w:w="3112"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30202</w:t>
            </w:r>
          </w:p>
        </w:tc>
        <w:tc>
          <w:tcPr>
            <w:tcW w:w="3111" w:type="dxa"/>
            <w:vAlign w:val="center"/>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印刷费</w:t>
            </w:r>
          </w:p>
        </w:tc>
        <w:tc>
          <w:tcPr>
            <w:tcW w:w="3111"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2"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30205</w:t>
            </w:r>
          </w:p>
        </w:tc>
        <w:tc>
          <w:tcPr>
            <w:tcW w:w="3111" w:type="dxa"/>
            <w:vAlign w:val="center"/>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水费</w:t>
            </w:r>
          </w:p>
        </w:tc>
        <w:tc>
          <w:tcPr>
            <w:tcW w:w="3111"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0.12</w:t>
            </w:r>
          </w:p>
        </w:tc>
        <w:tc>
          <w:tcPr>
            <w:tcW w:w="3112"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30206</w:t>
            </w:r>
          </w:p>
        </w:tc>
        <w:tc>
          <w:tcPr>
            <w:tcW w:w="3111" w:type="dxa"/>
            <w:vAlign w:val="center"/>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电费</w:t>
            </w:r>
          </w:p>
        </w:tc>
        <w:tc>
          <w:tcPr>
            <w:tcW w:w="3111"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1.20</w:t>
            </w:r>
          </w:p>
        </w:tc>
        <w:tc>
          <w:tcPr>
            <w:tcW w:w="3112"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30207</w:t>
            </w:r>
          </w:p>
        </w:tc>
        <w:tc>
          <w:tcPr>
            <w:tcW w:w="3111" w:type="dxa"/>
            <w:vAlign w:val="center"/>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邮电费</w:t>
            </w:r>
          </w:p>
        </w:tc>
        <w:tc>
          <w:tcPr>
            <w:tcW w:w="3111"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8.04</w:t>
            </w:r>
          </w:p>
        </w:tc>
        <w:tc>
          <w:tcPr>
            <w:tcW w:w="3112"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30211</w:t>
            </w:r>
          </w:p>
        </w:tc>
        <w:tc>
          <w:tcPr>
            <w:tcW w:w="3111" w:type="dxa"/>
            <w:vAlign w:val="center"/>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差旅费</w:t>
            </w:r>
          </w:p>
        </w:tc>
        <w:tc>
          <w:tcPr>
            <w:tcW w:w="3111"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3.00</w:t>
            </w:r>
          </w:p>
        </w:tc>
        <w:tc>
          <w:tcPr>
            <w:tcW w:w="3112"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30213</w:t>
            </w:r>
          </w:p>
        </w:tc>
        <w:tc>
          <w:tcPr>
            <w:tcW w:w="3111" w:type="dxa"/>
            <w:vAlign w:val="center"/>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维修（护）费</w:t>
            </w:r>
          </w:p>
        </w:tc>
        <w:tc>
          <w:tcPr>
            <w:tcW w:w="3111"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2"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30215</w:t>
            </w:r>
          </w:p>
        </w:tc>
        <w:tc>
          <w:tcPr>
            <w:tcW w:w="3111" w:type="dxa"/>
            <w:vAlign w:val="center"/>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会议费</w:t>
            </w:r>
          </w:p>
        </w:tc>
        <w:tc>
          <w:tcPr>
            <w:tcW w:w="3111"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2"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30216</w:t>
            </w:r>
          </w:p>
        </w:tc>
        <w:tc>
          <w:tcPr>
            <w:tcW w:w="3111" w:type="dxa"/>
            <w:vAlign w:val="center"/>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培训费</w:t>
            </w:r>
          </w:p>
        </w:tc>
        <w:tc>
          <w:tcPr>
            <w:tcW w:w="3111"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2"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30217</w:t>
            </w:r>
          </w:p>
        </w:tc>
        <w:tc>
          <w:tcPr>
            <w:tcW w:w="3111" w:type="dxa"/>
            <w:vAlign w:val="center"/>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公务接待费</w:t>
            </w:r>
          </w:p>
        </w:tc>
        <w:tc>
          <w:tcPr>
            <w:tcW w:w="3111"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2"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30226</w:t>
            </w:r>
          </w:p>
        </w:tc>
        <w:tc>
          <w:tcPr>
            <w:tcW w:w="3111" w:type="dxa"/>
            <w:vAlign w:val="center"/>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劳务费</w:t>
            </w:r>
          </w:p>
        </w:tc>
        <w:tc>
          <w:tcPr>
            <w:tcW w:w="3111"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2"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30228</w:t>
            </w:r>
          </w:p>
        </w:tc>
        <w:tc>
          <w:tcPr>
            <w:tcW w:w="3111" w:type="dxa"/>
            <w:vAlign w:val="center"/>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工会经费</w:t>
            </w:r>
          </w:p>
        </w:tc>
        <w:tc>
          <w:tcPr>
            <w:tcW w:w="3111"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5.51</w:t>
            </w:r>
          </w:p>
        </w:tc>
        <w:tc>
          <w:tcPr>
            <w:tcW w:w="3112"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5.51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30231</w:t>
            </w:r>
          </w:p>
        </w:tc>
        <w:tc>
          <w:tcPr>
            <w:tcW w:w="3111" w:type="dxa"/>
            <w:vAlign w:val="center"/>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公务用车运行维护费</w:t>
            </w:r>
          </w:p>
        </w:tc>
        <w:tc>
          <w:tcPr>
            <w:tcW w:w="3111"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4.60</w:t>
            </w:r>
          </w:p>
        </w:tc>
        <w:tc>
          <w:tcPr>
            <w:tcW w:w="3112"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30239</w:t>
            </w:r>
          </w:p>
        </w:tc>
        <w:tc>
          <w:tcPr>
            <w:tcW w:w="3111" w:type="dxa"/>
            <w:vAlign w:val="center"/>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其他交通费用</w:t>
            </w:r>
          </w:p>
        </w:tc>
        <w:tc>
          <w:tcPr>
            <w:tcW w:w="3111"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31.68</w:t>
            </w:r>
          </w:p>
        </w:tc>
        <w:tc>
          <w:tcPr>
            <w:tcW w:w="3112"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31.68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30299</w:t>
            </w:r>
          </w:p>
        </w:tc>
        <w:tc>
          <w:tcPr>
            <w:tcW w:w="3111" w:type="dxa"/>
            <w:vAlign w:val="center"/>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其他商品和服务支出</w:t>
            </w:r>
          </w:p>
        </w:tc>
        <w:tc>
          <w:tcPr>
            <w:tcW w:w="3111"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2.57</w:t>
            </w:r>
          </w:p>
        </w:tc>
        <w:tc>
          <w:tcPr>
            <w:tcW w:w="3112"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303</w:t>
            </w:r>
          </w:p>
        </w:tc>
        <w:tc>
          <w:tcPr>
            <w:tcW w:w="3111" w:type="dxa"/>
            <w:vAlign w:val="center"/>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对个人和家庭的补助</w:t>
            </w:r>
          </w:p>
        </w:tc>
        <w:tc>
          <w:tcPr>
            <w:tcW w:w="3111"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53.24</w:t>
            </w:r>
          </w:p>
        </w:tc>
        <w:tc>
          <w:tcPr>
            <w:tcW w:w="3112"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53.24</w:t>
            </w:r>
          </w:p>
        </w:tc>
        <w:tc>
          <w:tcPr>
            <w:tcW w:w="3113"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30302</w:t>
            </w:r>
          </w:p>
        </w:tc>
        <w:tc>
          <w:tcPr>
            <w:tcW w:w="3111" w:type="dxa"/>
            <w:vAlign w:val="center"/>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退休费</w:t>
            </w:r>
          </w:p>
        </w:tc>
        <w:tc>
          <w:tcPr>
            <w:tcW w:w="3111"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34.72</w:t>
            </w:r>
          </w:p>
        </w:tc>
        <w:tc>
          <w:tcPr>
            <w:tcW w:w="3112"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34.72</w:t>
            </w:r>
          </w:p>
        </w:tc>
        <w:tc>
          <w:tcPr>
            <w:tcW w:w="3113"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30305</w:t>
            </w:r>
          </w:p>
        </w:tc>
        <w:tc>
          <w:tcPr>
            <w:tcW w:w="3111" w:type="dxa"/>
            <w:vAlign w:val="center"/>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生活补助</w:t>
            </w:r>
          </w:p>
        </w:tc>
        <w:tc>
          <w:tcPr>
            <w:tcW w:w="3111"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17.51</w:t>
            </w:r>
          </w:p>
        </w:tc>
        <w:tc>
          <w:tcPr>
            <w:tcW w:w="3112"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17.51</w:t>
            </w:r>
          </w:p>
        </w:tc>
        <w:tc>
          <w:tcPr>
            <w:tcW w:w="3113"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30306</w:t>
            </w:r>
          </w:p>
        </w:tc>
        <w:tc>
          <w:tcPr>
            <w:tcW w:w="3111" w:type="dxa"/>
            <w:vAlign w:val="center"/>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救济费</w:t>
            </w:r>
          </w:p>
        </w:tc>
        <w:tc>
          <w:tcPr>
            <w:tcW w:w="3111"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2"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30310</w:t>
            </w:r>
          </w:p>
        </w:tc>
        <w:tc>
          <w:tcPr>
            <w:tcW w:w="3111" w:type="dxa"/>
            <w:vAlign w:val="center"/>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个人农业生产补贴</w:t>
            </w:r>
          </w:p>
        </w:tc>
        <w:tc>
          <w:tcPr>
            <w:tcW w:w="3111"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2"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30399</w:t>
            </w:r>
          </w:p>
        </w:tc>
        <w:tc>
          <w:tcPr>
            <w:tcW w:w="3111" w:type="dxa"/>
            <w:vAlign w:val="center"/>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其他对个人和家庭的补助</w:t>
            </w:r>
          </w:p>
        </w:tc>
        <w:tc>
          <w:tcPr>
            <w:tcW w:w="3111"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1.00</w:t>
            </w:r>
          </w:p>
        </w:tc>
        <w:tc>
          <w:tcPr>
            <w:tcW w:w="3112"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1.00</w:t>
            </w:r>
          </w:p>
        </w:tc>
        <w:tc>
          <w:tcPr>
            <w:tcW w:w="3113"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310</w:t>
            </w:r>
          </w:p>
        </w:tc>
        <w:tc>
          <w:tcPr>
            <w:tcW w:w="3111" w:type="dxa"/>
            <w:vAlign w:val="center"/>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资本性支出</w:t>
            </w:r>
          </w:p>
        </w:tc>
        <w:tc>
          <w:tcPr>
            <w:tcW w:w="3111"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2"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31099</w:t>
            </w:r>
          </w:p>
        </w:tc>
        <w:tc>
          <w:tcPr>
            <w:tcW w:w="3111" w:type="dxa"/>
            <w:vAlign w:val="center"/>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其他资本性支出</w:t>
            </w:r>
          </w:p>
        </w:tc>
        <w:tc>
          <w:tcPr>
            <w:tcW w:w="3111"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2"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399</w:t>
            </w:r>
          </w:p>
        </w:tc>
        <w:tc>
          <w:tcPr>
            <w:tcW w:w="3111" w:type="dxa"/>
            <w:vAlign w:val="center"/>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其他支出</w:t>
            </w:r>
          </w:p>
        </w:tc>
        <w:tc>
          <w:tcPr>
            <w:tcW w:w="3111"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2"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39999</w:t>
            </w:r>
          </w:p>
        </w:tc>
        <w:tc>
          <w:tcPr>
            <w:tcW w:w="3111" w:type="dxa"/>
            <w:vAlign w:val="center"/>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其他支出</w:t>
            </w:r>
          </w:p>
        </w:tc>
        <w:tc>
          <w:tcPr>
            <w:tcW w:w="3111"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2"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5557" w:type="dxa"/>
            <w:gridSpan w:val="5"/>
            <w:tcBorders>
              <w:left w:val="nil"/>
              <w:bottom w:val="nil"/>
              <w:right w:val="nil"/>
            </w:tcBorders>
          </w:tcPr>
          <w:p>
            <w:pPr>
              <w:jc w:val="left"/>
              <w:rPr>
                <w:sz w:val="16"/>
                <w:szCs w:val="16"/>
              </w:rPr>
            </w:pPr>
          </w:p>
          <w:p>
            <w:pPr>
              <w:jc w:val="left"/>
              <w:rPr>
                <w:vertAlign w:val="baseline"/>
                <w:lang w:eastAsia="zh-CN"/>
              </w:rPr>
            </w:pPr>
            <w:r>
              <w:rPr>
                <w:sz w:val="16"/>
                <w:szCs w:val="16"/>
              </w:rPr>
              <w:t>注：本报表金额单位转换时可能存在四舍五入尾数误差。</w:t>
            </w:r>
          </w:p>
        </w:tc>
      </w:tr>
    </w:tbl>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10"/>
        <w:keepNext/>
        <w:keepLines/>
        <w:spacing w:after="240"/>
        <w:jc w:val="center"/>
        <w:rPr>
          <w:rFonts w:hint="default"/>
          <w:sz w:val="28"/>
          <w:szCs w:val="28"/>
          <w:lang w:val="en-US" w:eastAsia="zh-CN"/>
        </w:rPr>
      </w:pPr>
      <w:bookmarkStart w:id="27" w:name="bookmark65"/>
      <w:bookmarkStart w:id="28" w:name="bookmark66"/>
      <w:bookmarkStart w:id="29" w:name="bookmark67"/>
      <w:r>
        <w:rPr>
          <w:rFonts w:hint="default"/>
          <w:sz w:val="28"/>
          <w:szCs w:val="28"/>
          <w:lang w:val="en-US" w:eastAsia="zh-CN"/>
        </w:rPr>
        <w:t>一般公共预算“三公”经费预算表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6"/>
        <w:gridCol w:w="1918"/>
        <w:gridCol w:w="1884"/>
        <w:gridCol w:w="1895"/>
        <w:gridCol w:w="1888"/>
        <w:gridCol w:w="1890"/>
        <w:gridCol w:w="1895"/>
        <w:gridCol w:w="2"/>
        <w:gridCol w:w="1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6" w:type="dxa"/>
            <w:gridSpan w:val="7"/>
            <w:tcBorders>
              <w:top w:val="nil"/>
              <w:left w:val="nil"/>
              <w:right w:val="nil"/>
            </w:tcBorders>
          </w:tcPr>
          <w:p>
            <w:pPr>
              <w:pStyle w:val="12"/>
              <w:bidi w:val="0"/>
              <w:jc w:val="both"/>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单位名称：</w:t>
            </w:r>
            <w:r>
              <w:rPr>
                <w:rFonts w:ascii="宋体" w:hAnsi="宋体" w:eastAsia="宋体" w:cs="宋体"/>
                <w:sz w:val="16"/>
                <w:u w:color="auto"/>
              </w:rPr>
              <w:t xml:space="preserve">环江毛南族自治县川山镇人民政府                                           </w:t>
            </w:r>
            <w:r>
              <w:rPr>
                <w:rFonts w:hint="eastAsia" w:cs="宋体"/>
                <w:sz w:val="16"/>
                <w:szCs w:val="16"/>
                <w:vertAlign w:val="baseline"/>
                <w:lang w:val="en-US" w:eastAsia="zh-CN"/>
              </w:rPr>
              <w:t xml:space="preserve">                    </w:t>
            </w:r>
            <w:r>
              <w:rPr>
                <w:rFonts w:hint="eastAsia" w:ascii="宋体" w:hAnsi="宋体" w:eastAsia="宋体" w:cs="宋体"/>
                <w:sz w:val="16"/>
                <w:szCs w:val="16"/>
                <w:vertAlign w:val="baseline"/>
                <w:lang w:eastAsia="zh-CN"/>
              </w:rPr>
              <w:t xml:space="preserve">                                                                                   </w:t>
            </w:r>
          </w:p>
        </w:tc>
        <w:tc>
          <w:tcPr>
            <w:tcW w:w="1891" w:type="dxa"/>
            <w:gridSpan w:val="2"/>
            <w:tcBorders>
              <w:top w:val="nil"/>
              <w:left w:val="nil"/>
              <w:right w:val="nil"/>
            </w:tcBorders>
          </w:tcPr>
          <w:p>
            <w:pPr>
              <w:pStyle w:val="12"/>
              <w:bidi w:val="0"/>
              <w:ind w:firstLine="480" w:firstLineChars="300"/>
              <w:jc w:val="both"/>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 xml:space="preserve">单位：万元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vMerge w:val="restart"/>
          </w:tcPr>
          <w:p>
            <w:pPr>
              <w:pStyle w:val="12"/>
              <w:bidi w:val="0"/>
              <w:jc w:val="center"/>
              <w:rPr>
                <w:rFonts w:hint="eastAsia"/>
                <w:vertAlign w:val="baseline"/>
                <w:lang w:val="en-US" w:eastAsia="zh-CN"/>
              </w:rPr>
            </w:pPr>
            <w:r>
              <w:rPr>
                <w:sz w:val="17"/>
                <w:szCs w:val="17"/>
              </w:rPr>
              <w:t>门（单位）代码</w:t>
            </w:r>
          </w:p>
        </w:tc>
        <w:tc>
          <w:tcPr>
            <w:tcW w:w="1918" w:type="dxa"/>
            <w:vMerge w:val="restart"/>
          </w:tcPr>
          <w:p>
            <w:pPr>
              <w:pStyle w:val="12"/>
              <w:bidi w:val="0"/>
              <w:jc w:val="center"/>
              <w:rPr>
                <w:rFonts w:hint="eastAsia"/>
                <w:vertAlign w:val="baseline"/>
                <w:lang w:val="en-US" w:eastAsia="zh-CN"/>
              </w:rPr>
            </w:pPr>
            <w:r>
              <w:rPr>
                <w:sz w:val="17"/>
                <w:szCs w:val="17"/>
              </w:rPr>
              <w:t>部门（单位）名称</w:t>
            </w:r>
          </w:p>
        </w:tc>
        <w:tc>
          <w:tcPr>
            <w:tcW w:w="11343" w:type="dxa"/>
            <w:gridSpan w:val="7"/>
          </w:tcPr>
          <w:p>
            <w:pPr>
              <w:pStyle w:val="12"/>
              <w:bidi w:val="0"/>
              <w:jc w:val="center"/>
              <w:rPr>
                <w:rFonts w:hint="eastAsia"/>
                <w:vertAlign w:val="baseline"/>
                <w:lang w:val="en-US" w:eastAsia="zh-CN"/>
              </w:rPr>
            </w:pPr>
            <w:r>
              <w:rPr>
                <w:sz w:val="17"/>
                <w:szCs w:val="17"/>
                <w:lang w:val="zh-CN" w:eastAsia="zh-CN" w:bidi="zh-CN"/>
              </w:rPr>
              <w:t>“三</w:t>
            </w:r>
            <w:r>
              <w:rPr>
                <w:sz w:val="17"/>
                <w:szCs w:val="17"/>
              </w:rPr>
              <w:t>公”经费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vMerge w:val="continue"/>
          </w:tcPr>
          <w:p>
            <w:pPr>
              <w:pStyle w:val="12"/>
              <w:bidi w:val="0"/>
              <w:jc w:val="center"/>
              <w:rPr>
                <w:rFonts w:hint="eastAsia"/>
                <w:vertAlign w:val="baseline"/>
                <w:lang w:val="en-US" w:eastAsia="zh-CN"/>
              </w:rPr>
            </w:pPr>
          </w:p>
        </w:tc>
        <w:tc>
          <w:tcPr>
            <w:tcW w:w="1918" w:type="dxa"/>
            <w:vMerge w:val="continue"/>
          </w:tcPr>
          <w:p>
            <w:pPr>
              <w:pStyle w:val="12"/>
              <w:bidi w:val="0"/>
              <w:jc w:val="center"/>
              <w:rPr>
                <w:rFonts w:hint="eastAsia"/>
                <w:vertAlign w:val="baseline"/>
                <w:lang w:val="en-US" w:eastAsia="zh-CN"/>
              </w:rPr>
            </w:pPr>
          </w:p>
        </w:tc>
        <w:tc>
          <w:tcPr>
            <w:tcW w:w="1884" w:type="dxa"/>
            <w:vMerge w:val="restart"/>
          </w:tcPr>
          <w:p>
            <w:pPr>
              <w:pStyle w:val="12"/>
              <w:bidi w:val="0"/>
              <w:jc w:val="center"/>
              <w:rPr>
                <w:rFonts w:hint="eastAsia"/>
                <w:vertAlign w:val="baseline"/>
                <w:lang w:val="en-US" w:eastAsia="zh-CN"/>
              </w:rPr>
            </w:pPr>
            <w:r>
              <w:rPr>
                <w:sz w:val="17"/>
                <w:szCs w:val="17"/>
              </w:rPr>
              <w:t>合计</w:t>
            </w:r>
          </w:p>
        </w:tc>
        <w:tc>
          <w:tcPr>
            <w:tcW w:w="1895" w:type="dxa"/>
            <w:vMerge w:val="restart"/>
          </w:tcPr>
          <w:p>
            <w:pPr>
              <w:pStyle w:val="12"/>
              <w:bidi w:val="0"/>
              <w:jc w:val="center"/>
              <w:rPr>
                <w:rFonts w:hint="eastAsia"/>
                <w:vertAlign w:val="baseline"/>
                <w:lang w:val="en-US" w:eastAsia="zh-CN"/>
              </w:rPr>
            </w:pPr>
            <w:r>
              <w:rPr>
                <w:sz w:val="17"/>
                <w:szCs w:val="17"/>
              </w:rPr>
              <w:t>因公出国（境）费</w:t>
            </w:r>
          </w:p>
        </w:tc>
        <w:tc>
          <w:tcPr>
            <w:tcW w:w="5675" w:type="dxa"/>
            <w:gridSpan w:val="4"/>
          </w:tcPr>
          <w:p>
            <w:pPr>
              <w:pStyle w:val="12"/>
              <w:bidi w:val="0"/>
              <w:jc w:val="center"/>
              <w:rPr>
                <w:rFonts w:hint="eastAsia"/>
                <w:vertAlign w:val="baseline"/>
                <w:lang w:val="en-US" w:eastAsia="zh-CN"/>
              </w:rPr>
            </w:pPr>
            <w:r>
              <w:rPr>
                <w:sz w:val="17"/>
                <w:szCs w:val="17"/>
              </w:rPr>
              <w:t>公务用车购置及运行维护费</w:t>
            </w:r>
          </w:p>
        </w:tc>
        <w:tc>
          <w:tcPr>
            <w:tcW w:w="1889" w:type="dxa"/>
            <w:vMerge w:val="restart"/>
          </w:tcPr>
          <w:p>
            <w:pPr>
              <w:pStyle w:val="12"/>
              <w:bidi w:val="0"/>
              <w:jc w:val="center"/>
              <w:rPr>
                <w:rFonts w:hint="eastAsia"/>
                <w:vertAlign w:val="baseline"/>
                <w:lang w:val="en-US" w:eastAsia="zh-CN"/>
              </w:rPr>
            </w:pPr>
            <w:r>
              <w:rPr>
                <w:sz w:val="17"/>
                <w:szCs w:val="17"/>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vMerge w:val="continue"/>
          </w:tcPr>
          <w:p>
            <w:pPr>
              <w:pStyle w:val="12"/>
              <w:bidi w:val="0"/>
              <w:jc w:val="center"/>
              <w:rPr>
                <w:rFonts w:hint="eastAsia"/>
                <w:vertAlign w:val="baseline"/>
                <w:lang w:val="en-US" w:eastAsia="zh-CN"/>
              </w:rPr>
            </w:pPr>
          </w:p>
        </w:tc>
        <w:tc>
          <w:tcPr>
            <w:tcW w:w="1918" w:type="dxa"/>
            <w:vMerge w:val="continue"/>
          </w:tcPr>
          <w:p>
            <w:pPr>
              <w:pStyle w:val="12"/>
              <w:bidi w:val="0"/>
              <w:jc w:val="center"/>
              <w:rPr>
                <w:rFonts w:hint="eastAsia"/>
                <w:vertAlign w:val="baseline"/>
                <w:lang w:val="en-US" w:eastAsia="zh-CN"/>
              </w:rPr>
            </w:pPr>
          </w:p>
        </w:tc>
        <w:tc>
          <w:tcPr>
            <w:tcW w:w="1884" w:type="dxa"/>
            <w:vMerge w:val="continue"/>
          </w:tcPr>
          <w:p>
            <w:pPr>
              <w:pStyle w:val="12"/>
              <w:bidi w:val="0"/>
              <w:jc w:val="center"/>
              <w:rPr>
                <w:rFonts w:hint="eastAsia"/>
                <w:vertAlign w:val="baseline"/>
                <w:lang w:val="en-US" w:eastAsia="zh-CN"/>
              </w:rPr>
            </w:pPr>
          </w:p>
        </w:tc>
        <w:tc>
          <w:tcPr>
            <w:tcW w:w="1895" w:type="dxa"/>
            <w:vMerge w:val="continue"/>
          </w:tcPr>
          <w:p>
            <w:pPr>
              <w:pStyle w:val="12"/>
              <w:bidi w:val="0"/>
              <w:jc w:val="center"/>
              <w:rPr>
                <w:rFonts w:hint="eastAsia"/>
                <w:vertAlign w:val="baseline"/>
                <w:lang w:val="en-US" w:eastAsia="zh-CN"/>
              </w:rPr>
            </w:pPr>
          </w:p>
        </w:tc>
        <w:tc>
          <w:tcPr>
            <w:tcW w:w="1888" w:type="dxa"/>
            <w:vAlign w:val="center"/>
          </w:tcPr>
          <w:p>
            <w:pPr>
              <w:pStyle w:val="11"/>
              <w:spacing w:line="240" w:lineRule="auto"/>
              <w:ind w:firstLine="0" w:firstLineChars="0"/>
              <w:jc w:val="center"/>
              <w:rPr>
                <w:rFonts w:hint="eastAsia"/>
                <w:vertAlign w:val="baseline"/>
                <w:lang w:val="en-US" w:eastAsia="zh-CN"/>
              </w:rPr>
            </w:pPr>
            <w:r>
              <w:rPr>
                <w:sz w:val="17"/>
                <w:szCs w:val="17"/>
              </w:rPr>
              <w:t>小计</w:t>
            </w:r>
          </w:p>
        </w:tc>
        <w:tc>
          <w:tcPr>
            <w:tcW w:w="1890" w:type="dxa"/>
            <w:vAlign w:val="center"/>
          </w:tcPr>
          <w:p>
            <w:pPr>
              <w:pStyle w:val="11"/>
              <w:spacing w:line="240" w:lineRule="auto"/>
              <w:ind w:firstLine="220" w:firstLineChars="0"/>
              <w:jc w:val="center"/>
              <w:rPr>
                <w:rFonts w:hint="eastAsia"/>
                <w:vertAlign w:val="baseline"/>
                <w:lang w:val="en-US" w:eastAsia="zh-CN"/>
              </w:rPr>
            </w:pPr>
            <w:r>
              <w:rPr>
                <w:sz w:val="17"/>
                <w:szCs w:val="17"/>
              </w:rPr>
              <w:t>公务用车运行维护费</w:t>
            </w:r>
          </w:p>
        </w:tc>
        <w:tc>
          <w:tcPr>
            <w:tcW w:w="1897" w:type="dxa"/>
            <w:gridSpan w:val="2"/>
            <w:vAlign w:val="center"/>
          </w:tcPr>
          <w:p>
            <w:pPr>
              <w:pStyle w:val="11"/>
              <w:spacing w:line="240" w:lineRule="auto"/>
              <w:ind w:firstLine="400" w:firstLineChars="0"/>
              <w:jc w:val="center"/>
              <w:rPr>
                <w:rFonts w:hint="eastAsia"/>
                <w:vertAlign w:val="baseline"/>
                <w:lang w:val="en-US" w:eastAsia="zh-CN"/>
              </w:rPr>
            </w:pPr>
            <w:r>
              <w:rPr>
                <w:sz w:val="17"/>
                <w:szCs w:val="17"/>
              </w:rPr>
              <w:t>公务用车购置费</w:t>
            </w:r>
          </w:p>
        </w:tc>
        <w:tc>
          <w:tcPr>
            <w:tcW w:w="1889" w:type="dxa"/>
            <w:vMerge w:val="continue"/>
          </w:tcPr>
          <w:p>
            <w:pPr>
              <w:pStyle w:val="12"/>
              <w:bidi w:val="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vAlign w:val="center"/>
          </w:tcPr>
          <w:p>
            <w:pPr>
              <w:jc w:val="center"/>
              <w:rPr>
                <w:rFonts w:hint="eastAsia"/>
                <w:vertAlign w:val="baseline"/>
                <w:lang w:val="en-US" w:eastAsia="zh-CN"/>
              </w:rPr>
            </w:pPr>
          </w:p>
        </w:tc>
        <w:tc>
          <w:tcPr>
            <w:tcW w:w="1918" w:type="dxa"/>
            <w:vAlign w:val="center"/>
          </w:tcPr>
          <w:p>
            <w:pPr>
              <w:jc w:val="center"/>
              <w:rPr>
                <w:rFonts w:hint="eastAsia"/>
                <w:vertAlign w:val="baseline"/>
                <w:lang w:val="en-US" w:eastAsia="zh-CN"/>
              </w:rPr>
            </w:pPr>
          </w:p>
        </w:tc>
        <w:tc>
          <w:tcPr>
            <w:tcW w:w="1884" w:type="dxa"/>
            <w:vAlign w:val="center"/>
          </w:tcPr>
          <w:p>
            <w:pPr>
              <w:pStyle w:val="11"/>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1</w:t>
            </w:r>
          </w:p>
        </w:tc>
        <w:tc>
          <w:tcPr>
            <w:tcW w:w="1895" w:type="dxa"/>
            <w:vAlign w:val="center"/>
          </w:tcPr>
          <w:p>
            <w:pPr>
              <w:pStyle w:val="11"/>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2</w:t>
            </w:r>
          </w:p>
        </w:tc>
        <w:tc>
          <w:tcPr>
            <w:tcW w:w="1888" w:type="dxa"/>
            <w:vAlign w:val="center"/>
          </w:tcPr>
          <w:p>
            <w:pPr>
              <w:pStyle w:val="11"/>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3</w:t>
            </w:r>
          </w:p>
        </w:tc>
        <w:tc>
          <w:tcPr>
            <w:tcW w:w="1890" w:type="dxa"/>
            <w:vAlign w:val="center"/>
          </w:tcPr>
          <w:p>
            <w:pPr>
              <w:pStyle w:val="11"/>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4</w:t>
            </w:r>
          </w:p>
        </w:tc>
        <w:tc>
          <w:tcPr>
            <w:tcW w:w="1897" w:type="dxa"/>
            <w:gridSpan w:val="2"/>
            <w:vAlign w:val="center"/>
          </w:tcPr>
          <w:p>
            <w:pPr>
              <w:pStyle w:val="11"/>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5</w:t>
            </w:r>
          </w:p>
        </w:tc>
        <w:tc>
          <w:tcPr>
            <w:tcW w:w="1889" w:type="dxa"/>
            <w:vAlign w:val="center"/>
          </w:tcPr>
          <w:p>
            <w:pPr>
              <w:pStyle w:val="11"/>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vAlign w:val="center"/>
          </w:tcPr>
          <w:p>
            <w:pPr>
              <w:pStyle w:val="11"/>
              <w:spacing w:line="240" w:lineRule="auto"/>
              <w:ind w:firstLine="0" w:firstLineChars="0"/>
              <w:jc w:val="left"/>
              <w:rPr>
                <w:rFonts w:hint="eastAsia"/>
                <w:vertAlign w:val="baseline"/>
                <w:lang w:val="en-US" w:eastAsia="zh-CN"/>
              </w:rPr>
            </w:pPr>
            <w:r>
              <w:rPr>
                <w:rFonts w:hint="eastAsia" w:ascii="Times New Roman" w:hAnsi="Times New Roman" w:eastAsia="Times New Roman" w:cs="Times New Roman"/>
                <w:b/>
                <w:bCs/>
                <w:sz w:val="17"/>
                <w:szCs w:val="17"/>
                <w:lang w:val="en-US" w:eastAsia="zh-CN"/>
              </w:rPr>
              <w:t>705001</w:t>
            </w:r>
          </w:p>
        </w:tc>
        <w:tc>
          <w:tcPr>
            <w:tcW w:w="1918" w:type="dxa"/>
            <w:vAlign w:val="center"/>
          </w:tcPr>
          <w:p>
            <w:pPr>
              <w:pStyle w:val="11"/>
              <w:spacing w:line="240" w:lineRule="auto"/>
              <w:ind w:firstLine="0" w:firstLineChars="0"/>
              <w:jc w:val="left"/>
              <w:rPr>
                <w:rFonts w:hint="eastAsia"/>
                <w:vertAlign w:val="baseline"/>
                <w:lang w:val="en-US" w:eastAsia="zh-CN"/>
              </w:rPr>
            </w:pPr>
          </w:p>
        </w:tc>
        <w:tc>
          <w:tcPr>
            <w:tcW w:w="1884" w:type="dxa"/>
            <w:vAlign w:val="center"/>
          </w:tcPr>
          <w:p>
            <w:pPr>
              <w:pStyle w:val="11"/>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12.60</w:t>
            </w:r>
          </w:p>
        </w:tc>
        <w:tc>
          <w:tcPr>
            <w:tcW w:w="1895" w:type="dxa"/>
            <w:vAlign w:val="center"/>
          </w:tcPr>
          <w:p>
            <w:pPr>
              <w:pStyle w:val="11"/>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c>
          <w:tcPr>
            <w:tcW w:w="1888" w:type="dxa"/>
            <w:vAlign w:val="center"/>
          </w:tcPr>
          <w:p>
            <w:pPr>
              <w:pStyle w:val="11"/>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6.60</w:t>
            </w:r>
          </w:p>
        </w:tc>
        <w:tc>
          <w:tcPr>
            <w:tcW w:w="1890" w:type="dxa"/>
            <w:vAlign w:val="center"/>
          </w:tcPr>
          <w:p>
            <w:pPr>
              <w:pStyle w:val="11"/>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6.60</w:t>
            </w:r>
          </w:p>
        </w:tc>
        <w:tc>
          <w:tcPr>
            <w:tcW w:w="1897" w:type="dxa"/>
            <w:gridSpan w:val="2"/>
            <w:vAlign w:val="center"/>
          </w:tcPr>
          <w:p>
            <w:pPr>
              <w:pStyle w:val="11"/>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c>
          <w:tcPr>
            <w:tcW w:w="1889" w:type="dxa"/>
            <w:vAlign w:val="center"/>
          </w:tcPr>
          <w:p>
            <w:pPr>
              <w:pStyle w:val="11"/>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5557" w:type="dxa"/>
            <w:gridSpan w:val="9"/>
            <w:tcBorders>
              <w:left w:val="nil"/>
              <w:bottom w:val="nil"/>
              <w:right w:val="nil"/>
            </w:tcBorders>
          </w:tcPr>
          <w:p>
            <w:pPr>
              <w:pStyle w:val="12"/>
              <w:bidi w:val="0"/>
              <w:jc w:val="both"/>
              <w:rPr>
                <w:rFonts w:hint="eastAsia"/>
                <w:vertAlign w:val="baseline"/>
                <w:lang w:val="en-US" w:eastAsia="zh-CN"/>
              </w:rPr>
            </w:pPr>
            <w:r>
              <w:rPr>
                <w:rFonts w:hint="eastAsia" w:ascii="宋体" w:hAnsi="宋体" w:eastAsia="宋体" w:cs="宋体"/>
                <w:sz w:val="16"/>
                <w:szCs w:val="16"/>
              </w:rPr>
              <w:t>注：本报表金额单位转换时可能存在四舍五入尾数误差</w:t>
            </w:r>
          </w:p>
        </w:tc>
      </w:tr>
    </w:tbl>
    <w:p>
      <w:pPr>
        <w:pStyle w:val="12"/>
        <w:bidi w:val="0"/>
        <w:rPr>
          <w:rFonts w:hint="eastAsia"/>
          <w:lang w:val="en-US" w:eastAsia="zh-CN"/>
        </w:rPr>
      </w:pPr>
    </w:p>
    <w:p>
      <w:pPr>
        <w:pStyle w:val="12"/>
        <w:bidi w:val="0"/>
      </w:pPr>
    </w:p>
    <w:p>
      <w:pPr>
        <w:pStyle w:val="10"/>
        <w:keepNext/>
        <w:keepLines/>
        <w:spacing w:after="240"/>
        <w:jc w:val="center"/>
      </w:pPr>
      <w:r>
        <w:t>政府性基金预算支出情况表</w:t>
      </w:r>
      <w:bookmarkEnd w:id="27"/>
      <w:bookmarkEnd w:id="28"/>
      <w:bookmarkEnd w:id="29"/>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7"/>
        <w:gridCol w:w="2161"/>
        <w:gridCol w:w="2162"/>
        <w:gridCol w:w="2222"/>
        <w:gridCol w:w="2161"/>
        <w:gridCol w:w="2161"/>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394" w:type="dxa"/>
            <w:gridSpan w:val="6"/>
            <w:tcBorders>
              <w:top w:val="nil"/>
              <w:left w:val="nil"/>
              <w:right w:val="nil"/>
            </w:tcBorders>
          </w:tcPr>
          <w:p>
            <w:pPr>
              <w:pStyle w:val="12"/>
              <w:tabs>
                <w:tab w:val="left" w:pos="14213"/>
              </w:tabs>
              <w:ind w:left="101"/>
              <w:jc w:val="left"/>
            </w:pPr>
            <w:r>
              <w:t>单位名称：</w:t>
            </w:r>
            <w:r>
              <w:rPr>
                <w:rFonts w:hint="eastAsia"/>
                <w:lang w:eastAsia="zh-CN"/>
              </w:rPr>
              <w:t>环江毛南族自治县川山镇人民政府</w:t>
            </w:r>
            <w:r>
              <w:tab/>
            </w:r>
            <w:r>
              <w:t>单位：万元</w:t>
            </w:r>
          </w:p>
        </w:tc>
        <w:tc>
          <w:tcPr>
            <w:tcW w:w="2163" w:type="dxa"/>
            <w:tcBorders>
              <w:top w:val="nil"/>
              <w:left w:val="nil"/>
              <w:right w:val="nil"/>
            </w:tcBorders>
          </w:tcPr>
          <w:p>
            <w:pPr>
              <w:pStyle w:val="12"/>
              <w:tabs>
                <w:tab w:val="left" w:pos="14213"/>
              </w:tabs>
              <w:ind w:left="101" w:firstLine="680" w:firstLineChars="400"/>
              <w:jc w:val="left"/>
            </w:pPr>
            <w:r>
              <w:rPr>
                <w:rFonts w:hint="eastAsia"/>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tcPr>
          <w:p>
            <w:pPr>
              <w:pStyle w:val="12"/>
              <w:bidi w:val="0"/>
              <w:jc w:val="center"/>
              <w:rPr>
                <w:vertAlign w:val="baseline"/>
              </w:rPr>
            </w:pPr>
            <w:r>
              <w:rPr>
                <w:sz w:val="17"/>
                <w:szCs w:val="17"/>
              </w:rPr>
              <w:t>科目编码</w:t>
            </w:r>
          </w:p>
        </w:tc>
        <w:tc>
          <w:tcPr>
            <w:tcW w:w="2161" w:type="dxa"/>
          </w:tcPr>
          <w:p>
            <w:pPr>
              <w:pStyle w:val="12"/>
              <w:bidi w:val="0"/>
              <w:jc w:val="center"/>
              <w:rPr>
                <w:vertAlign w:val="baseline"/>
              </w:rPr>
            </w:pPr>
            <w:r>
              <w:rPr>
                <w:sz w:val="17"/>
                <w:szCs w:val="17"/>
              </w:rPr>
              <w:t>部门（单位）代码</w:t>
            </w:r>
          </w:p>
        </w:tc>
        <w:tc>
          <w:tcPr>
            <w:tcW w:w="2162" w:type="dxa"/>
          </w:tcPr>
          <w:p>
            <w:pPr>
              <w:pStyle w:val="12"/>
              <w:bidi w:val="0"/>
              <w:jc w:val="center"/>
              <w:rPr>
                <w:vertAlign w:val="baseline"/>
              </w:rPr>
            </w:pPr>
            <w:r>
              <w:rPr>
                <w:sz w:val="17"/>
                <w:szCs w:val="17"/>
              </w:rPr>
              <w:t>部门（单位）名称（功能分类科目名称）</w:t>
            </w:r>
          </w:p>
        </w:tc>
        <w:tc>
          <w:tcPr>
            <w:tcW w:w="2222" w:type="dxa"/>
            <w:vAlign w:val="center"/>
          </w:tcPr>
          <w:p>
            <w:pPr>
              <w:pStyle w:val="11"/>
              <w:spacing w:line="240" w:lineRule="auto"/>
              <w:ind w:firstLine="0" w:firstLineChars="0"/>
              <w:jc w:val="center"/>
              <w:rPr>
                <w:vertAlign w:val="baseline"/>
              </w:rPr>
            </w:pPr>
            <w:r>
              <w:rPr>
                <w:sz w:val="17"/>
                <w:szCs w:val="17"/>
              </w:rPr>
              <w:t>合计</w:t>
            </w:r>
          </w:p>
        </w:tc>
        <w:tc>
          <w:tcPr>
            <w:tcW w:w="2161" w:type="dxa"/>
            <w:vAlign w:val="center"/>
          </w:tcPr>
          <w:p>
            <w:pPr>
              <w:pStyle w:val="11"/>
              <w:spacing w:line="240" w:lineRule="auto"/>
              <w:ind w:firstLine="0" w:firstLineChars="0"/>
              <w:jc w:val="center"/>
              <w:rPr>
                <w:vertAlign w:val="baseline"/>
              </w:rPr>
            </w:pPr>
            <w:r>
              <w:rPr>
                <w:sz w:val="17"/>
                <w:szCs w:val="17"/>
              </w:rPr>
              <w:t>基本支出</w:t>
            </w:r>
          </w:p>
        </w:tc>
        <w:tc>
          <w:tcPr>
            <w:tcW w:w="2161" w:type="dxa"/>
            <w:vAlign w:val="center"/>
          </w:tcPr>
          <w:p>
            <w:pPr>
              <w:pStyle w:val="11"/>
              <w:spacing w:line="240" w:lineRule="auto"/>
              <w:ind w:firstLine="0" w:firstLineChars="0"/>
              <w:jc w:val="center"/>
              <w:rPr>
                <w:vertAlign w:val="baseline"/>
              </w:rPr>
            </w:pPr>
            <w:r>
              <w:rPr>
                <w:sz w:val="17"/>
                <w:szCs w:val="17"/>
              </w:rPr>
              <w:t>项目支出</w:t>
            </w:r>
          </w:p>
        </w:tc>
        <w:tc>
          <w:tcPr>
            <w:tcW w:w="2163" w:type="dxa"/>
            <w:vAlign w:val="center"/>
          </w:tcPr>
          <w:p>
            <w:pPr>
              <w:pStyle w:val="11"/>
              <w:spacing w:line="240" w:lineRule="auto"/>
              <w:ind w:firstLine="0" w:firstLineChars="0"/>
              <w:jc w:val="center"/>
              <w:rPr>
                <w:vertAlign w:val="baseline"/>
              </w:rPr>
            </w:pPr>
            <w:r>
              <w:rPr>
                <w:sz w:val="17"/>
                <w:szCs w:val="17"/>
              </w:rPr>
              <w:t>结转下年支出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527" w:type="dxa"/>
            <w:vAlign w:val="center"/>
          </w:tcPr>
          <w:p>
            <w:pPr>
              <w:pStyle w:val="11"/>
              <w:spacing w:line="240" w:lineRule="auto"/>
              <w:ind w:firstLine="0" w:firstLineChars="0"/>
              <w:jc w:val="left"/>
              <w:rPr>
                <w:b w:val="0"/>
                <w:bCs w:val="0"/>
                <w:vertAlign w:val="baseline"/>
              </w:rPr>
            </w:pPr>
          </w:p>
        </w:tc>
        <w:tc>
          <w:tcPr>
            <w:tcW w:w="2161" w:type="dxa"/>
            <w:vAlign w:val="center"/>
          </w:tcPr>
          <w:p>
            <w:pPr>
              <w:pStyle w:val="11"/>
              <w:spacing w:line="240" w:lineRule="auto"/>
              <w:ind w:firstLine="0" w:firstLineChars="0"/>
              <w:jc w:val="left"/>
              <w:rPr>
                <w:b w:val="0"/>
                <w:bCs w:val="0"/>
                <w:vertAlign w:val="baseline"/>
              </w:rPr>
            </w:pPr>
            <w:r>
              <w:rPr>
                <w:rFonts w:hint="eastAsia" w:ascii="Times New Roman" w:hAnsi="Times New Roman" w:cs="Times New Roman"/>
                <w:b w:val="0"/>
                <w:bCs w:val="0"/>
                <w:sz w:val="17"/>
                <w:szCs w:val="17"/>
                <w:lang w:val="en-US" w:eastAsia="zh-CN"/>
              </w:rPr>
              <w:t>705001</w:t>
            </w:r>
          </w:p>
        </w:tc>
        <w:tc>
          <w:tcPr>
            <w:tcW w:w="2162" w:type="dxa"/>
            <w:vAlign w:val="center"/>
          </w:tcPr>
          <w:p>
            <w:pPr>
              <w:pStyle w:val="11"/>
              <w:spacing w:line="240" w:lineRule="auto"/>
              <w:ind w:firstLine="0" w:firstLineChars="0"/>
              <w:jc w:val="left"/>
              <w:rPr>
                <w:b w:val="0"/>
                <w:bCs w:val="0"/>
                <w:vertAlign w:val="baseline"/>
              </w:rPr>
            </w:pPr>
          </w:p>
        </w:tc>
        <w:tc>
          <w:tcPr>
            <w:tcW w:w="2222" w:type="dxa"/>
            <w:vAlign w:val="center"/>
          </w:tcPr>
          <w:p>
            <w:pPr>
              <w:pStyle w:val="11"/>
              <w:spacing w:line="240" w:lineRule="auto"/>
              <w:ind w:left="1060" w:leftChars="0"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2.40</w:t>
            </w:r>
          </w:p>
        </w:tc>
        <w:tc>
          <w:tcPr>
            <w:tcW w:w="2161" w:type="dxa"/>
            <w:vAlign w:val="center"/>
          </w:tcPr>
          <w:p>
            <w:pPr>
              <w:pStyle w:val="11"/>
              <w:spacing w:line="240" w:lineRule="auto"/>
              <w:ind w:firstLine="0" w:firstLineChars="0"/>
              <w:jc w:val="right"/>
              <w:rPr>
                <w:b w:val="0"/>
                <w:bCs w:val="0"/>
                <w:vertAlign w:val="baseline"/>
              </w:rPr>
            </w:pPr>
            <w:r>
              <w:rPr>
                <w:rFonts w:hint="eastAsia"/>
                <w:b w:val="0"/>
                <w:bCs w:val="0"/>
                <w:sz w:val="17"/>
                <w:szCs w:val="17"/>
                <w:lang w:val="en-US" w:eastAsia="zh-CN"/>
              </w:rPr>
              <w:t>0.00</w:t>
            </w:r>
          </w:p>
        </w:tc>
        <w:tc>
          <w:tcPr>
            <w:tcW w:w="2161" w:type="dxa"/>
            <w:vAlign w:val="center"/>
          </w:tcPr>
          <w:p>
            <w:pPr>
              <w:pStyle w:val="11"/>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2.40</w:t>
            </w:r>
          </w:p>
        </w:tc>
        <w:tc>
          <w:tcPr>
            <w:tcW w:w="2163" w:type="dxa"/>
            <w:vAlign w:val="center"/>
          </w:tcPr>
          <w:p>
            <w:pPr>
              <w:pStyle w:val="11"/>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527" w:type="dxa"/>
            <w:vAlign w:val="center"/>
          </w:tcPr>
          <w:p>
            <w:pPr>
              <w:pStyle w:val="11"/>
              <w:spacing w:line="240" w:lineRule="auto"/>
              <w:ind w:firstLine="0" w:firstLineChars="0"/>
              <w:jc w:val="left"/>
              <w:rPr>
                <w:b w:val="0"/>
                <w:bCs w:val="0"/>
                <w:vertAlign w:val="baseline"/>
              </w:rPr>
            </w:pPr>
            <w:r>
              <w:rPr>
                <w:rFonts w:hint="eastAsia" w:ascii="Times New Roman" w:hAnsi="Times New Roman" w:cs="Times New Roman"/>
                <w:b w:val="0"/>
                <w:bCs w:val="0"/>
                <w:sz w:val="17"/>
                <w:szCs w:val="17"/>
                <w:lang w:val="en-US" w:eastAsia="zh-CN"/>
              </w:rPr>
              <w:t>2121903</w:t>
            </w:r>
          </w:p>
        </w:tc>
        <w:tc>
          <w:tcPr>
            <w:tcW w:w="2161" w:type="dxa"/>
            <w:vAlign w:val="center"/>
          </w:tcPr>
          <w:p>
            <w:pPr>
              <w:pStyle w:val="11"/>
              <w:spacing w:line="240" w:lineRule="auto"/>
              <w:ind w:firstLine="0" w:firstLineChars="0"/>
              <w:jc w:val="left"/>
              <w:rPr>
                <w:b w:val="0"/>
                <w:bCs w:val="0"/>
                <w:vertAlign w:val="baseline"/>
              </w:rPr>
            </w:pPr>
          </w:p>
        </w:tc>
        <w:tc>
          <w:tcPr>
            <w:tcW w:w="2162" w:type="dxa"/>
            <w:vAlign w:val="center"/>
          </w:tcPr>
          <w:p>
            <w:pPr>
              <w:pStyle w:val="11"/>
              <w:spacing w:line="240" w:lineRule="auto"/>
              <w:ind w:firstLine="0" w:firstLineChars="0"/>
              <w:jc w:val="left"/>
              <w:rPr>
                <w:b w:val="0"/>
                <w:bCs w:val="0"/>
                <w:vertAlign w:val="baseline"/>
              </w:rPr>
            </w:pPr>
            <w:r>
              <w:rPr>
                <w:rFonts w:hint="eastAsia"/>
                <w:b w:val="0"/>
                <w:bCs w:val="0"/>
                <w:sz w:val="17"/>
                <w:szCs w:val="17"/>
                <w:lang w:val="en-US" w:eastAsia="zh-CN"/>
              </w:rPr>
              <w:t>城市建设支出</w:t>
            </w:r>
          </w:p>
        </w:tc>
        <w:tc>
          <w:tcPr>
            <w:tcW w:w="2222" w:type="dxa"/>
            <w:vAlign w:val="center"/>
          </w:tcPr>
          <w:p>
            <w:pPr>
              <w:pStyle w:val="11"/>
              <w:spacing w:line="240" w:lineRule="auto"/>
              <w:ind w:left="1060" w:leftChars="0"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2.40</w:t>
            </w:r>
          </w:p>
        </w:tc>
        <w:tc>
          <w:tcPr>
            <w:tcW w:w="2161" w:type="dxa"/>
            <w:vAlign w:val="center"/>
          </w:tcPr>
          <w:p>
            <w:pPr>
              <w:pStyle w:val="11"/>
              <w:spacing w:line="240" w:lineRule="auto"/>
              <w:ind w:firstLine="0" w:firstLineChars="0"/>
              <w:jc w:val="right"/>
              <w:rPr>
                <w:b w:val="0"/>
                <w:bCs w:val="0"/>
                <w:vertAlign w:val="baseline"/>
              </w:rPr>
            </w:pPr>
            <w:r>
              <w:rPr>
                <w:rFonts w:hint="eastAsia"/>
                <w:b w:val="0"/>
                <w:bCs w:val="0"/>
                <w:sz w:val="17"/>
                <w:szCs w:val="17"/>
                <w:lang w:val="en-US" w:eastAsia="zh-CN"/>
              </w:rPr>
              <w:t>0.00</w:t>
            </w:r>
          </w:p>
        </w:tc>
        <w:tc>
          <w:tcPr>
            <w:tcW w:w="2161" w:type="dxa"/>
            <w:vAlign w:val="center"/>
          </w:tcPr>
          <w:p>
            <w:pPr>
              <w:pStyle w:val="11"/>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2.40</w:t>
            </w:r>
          </w:p>
        </w:tc>
        <w:tc>
          <w:tcPr>
            <w:tcW w:w="2163" w:type="dxa"/>
            <w:vAlign w:val="center"/>
          </w:tcPr>
          <w:p>
            <w:pPr>
              <w:pStyle w:val="11"/>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7" w:type="dxa"/>
            <w:gridSpan w:val="7"/>
            <w:tcBorders>
              <w:left w:val="nil"/>
              <w:bottom w:val="nil"/>
              <w:right w:val="nil"/>
            </w:tcBorders>
          </w:tcPr>
          <w:p>
            <w:pPr>
              <w:pStyle w:val="12"/>
              <w:bidi w:val="0"/>
              <w:jc w:val="both"/>
              <w:rPr>
                <w:vertAlign w:val="baseline"/>
              </w:rPr>
            </w:pPr>
            <w:r>
              <w:t>注：本报表金额单位转换时可能存在四舍五入尾数误差</w:t>
            </w:r>
          </w:p>
        </w:tc>
      </w:tr>
    </w:tbl>
    <w:p>
      <w:pPr>
        <w:pStyle w:val="12"/>
        <w:bidi w:val="0"/>
      </w:pPr>
    </w:p>
    <w:p>
      <w:pPr>
        <w:pStyle w:val="12"/>
        <w:bidi w:val="0"/>
      </w:pPr>
    </w:p>
    <w:p>
      <w:pPr>
        <w:pStyle w:val="12"/>
        <w:bidi w:val="0"/>
      </w:pPr>
    </w:p>
    <w:p>
      <w:pPr>
        <w:pStyle w:val="12"/>
        <w:bidi w:val="0"/>
      </w:pPr>
    </w:p>
    <w:p>
      <w:pPr>
        <w:pStyle w:val="12"/>
        <w:bidi w:val="0"/>
        <w:jc w:val="center"/>
        <w:rPr>
          <w:sz w:val="28"/>
          <w:szCs w:val="28"/>
        </w:rPr>
      </w:pPr>
      <w:r>
        <w:rPr>
          <w:sz w:val="28"/>
          <w:szCs w:val="28"/>
        </w:rPr>
        <w:t>国有资本经营预算支出情况表</w:t>
      </w:r>
    </w:p>
    <w:p>
      <w:pPr>
        <w:pStyle w:val="12"/>
        <w:bidi w:val="0"/>
        <w:jc w:val="center"/>
        <w:rPr>
          <w:sz w:val="28"/>
          <w:szCs w:val="28"/>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7"/>
        <w:gridCol w:w="2161"/>
        <w:gridCol w:w="2162"/>
        <w:gridCol w:w="2222"/>
        <w:gridCol w:w="2161"/>
        <w:gridCol w:w="2161"/>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4" w:type="dxa"/>
            <w:gridSpan w:val="6"/>
            <w:tcBorders>
              <w:top w:val="nil"/>
              <w:left w:val="nil"/>
              <w:right w:val="nil"/>
            </w:tcBorders>
          </w:tcPr>
          <w:p>
            <w:pPr>
              <w:pStyle w:val="12"/>
              <w:tabs>
                <w:tab w:val="left" w:pos="14213"/>
              </w:tabs>
              <w:ind w:left="101"/>
              <w:jc w:val="left"/>
            </w:pPr>
            <w:r>
              <w:t>单位名称：</w:t>
            </w:r>
            <w:r>
              <w:rPr>
                <w:rFonts w:hint="eastAsia"/>
                <w:lang w:eastAsia="zh-CN"/>
              </w:rPr>
              <w:t>环江毛南族自治县川山镇人民政府</w:t>
            </w:r>
            <w:r>
              <w:tab/>
            </w:r>
            <w:r>
              <w:t>单位：万元</w:t>
            </w:r>
          </w:p>
        </w:tc>
        <w:tc>
          <w:tcPr>
            <w:tcW w:w="2163" w:type="dxa"/>
            <w:tcBorders>
              <w:top w:val="nil"/>
              <w:left w:val="nil"/>
              <w:right w:val="nil"/>
            </w:tcBorders>
          </w:tcPr>
          <w:p>
            <w:pPr>
              <w:pStyle w:val="12"/>
              <w:tabs>
                <w:tab w:val="left" w:pos="14213"/>
              </w:tabs>
              <w:ind w:left="101"/>
              <w:jc w:val="left"/>
            </w:pPr>
            <w:r>
              <w:rPr>
                <w:rFonts w:hint="eastAsia" w:ascii="宋体" w:hAnsi="宋体" w:eastAsia="宋体" w:cs="宋体"/>
                <w:sz w:val="17"/>
                <w:szCs w:val="17"/>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vMerge w:val="restart"/>
          </w:tcPr>
          <w:p>
            <w:pPr>
              <w:pStyle w:val="12"/>
              <w:bidi w:val="0"/>
              <w:jc w:val="center"/>
              <w:rPr>
                <w:vertAlign w:val="baseline"/>
              </w:rPr>
            </w:pPr>
            <w:r>
              <w:rPr>
                <w:sz w:val="17"/>
                <w:szCs w:val="17"/>
              </w:rPr>
              <w:t>科目编码</w:t>
            </w:r>
          </w:p>
        </w:tc>
        <w:tc>
          <w:tcPr>
            <w:tcW w:w="2161" w:type="dxa"/>
            <w:vMerge w:val="restart"/>
          </w:tcPr>
          <w:p>
            <w:pPr>
              <w:pStyle w:val="12"/>
              <w:bidi w:val="0"/>
              <w:jc w:val="center"/>
              <w:rPr>
                <w:vertAlign w:val="baseline"/>
              </w:rPr>
            </w:pPr>
            <w:r>
              <w:rPr>
                <w:sz w:val="17"/>
                <w:szCs w:val="17"/>
              </w:rPr>
              <w:t>部门（单位）代码</w:t>
            </w:r>
          </w:p>
        </w:tc>
        <w:tc>
          <w:tcPr>
            <w:tcW w:w="2162" w:type="dxa"/>
            <w:vMerge w:val="restart"/>
          </w:tcPr>
          <w:p>
            <w:pPr>
              <w:pStyle w:val="12"/>
              <w:bidi w:val="0"/>
              <w:jc w:val="center"/>
              <w:rPr>
                <w:vertAlign w:val="baseline"/>
              </w:rPr>
            </w:pPr>
            <w:r>
              <w:rPr>
                <w:sz w:val="17"/>
                <w:szCs w:val="17"/>
              </w:rPr>
              <w:t>部门（单位）名称（功能分类科目名称）</w:t>
            </w:r>
          </w:p>
        </w:tc>
        <w:tc>
          <w:tcPr>
            <w:tcW w:w="2222" w:type="dxa"/>
            <w:vAlign w:val="center"/>
          </w:tcPr>
          <w:p>
            <w:pPr>
              <w:pStyle w:val="11"/>
              <w:spacing w:line="240" w:lineRule="auto"/>
              <w:ind w:firstLine="0" w:firstLineChars="0"/>
              <w:jc w:val="center"/>
              <w:rPr>
                <w:vertAlign w:val="baseline"/>
              </w:rPr>
            </w:pPr>
            <w:r>
              <w:rPr>
                <w:sz w:val="17"/>
                <w:szCs w:val="17"/>
              </w:rPr>
              <w:t>合计</w:t>
            </w:r>
          </w:p>
        </w:tc>
        <w:tc>
          <w:tcPr>
            <w:tcW w:w="2161" w:type="dxa"/>
            <w:vAlign w:val="center"/>
          </w:tcPr>
          <w:p>
            <w:pPr>
              <w:pStyle w:val="11"/>
              <w:spacing w:line="240" w:lineRule="auto"/>
              <w:ind w:firstLine="0" w:firstLineChars="0"/>
              <w:jc w:val="center"/>
              <w:rPr>
                <w:vertAlign w:val="baseline"/>
              </w:rPr>
            </w:pPr>
            <w:r>
              <w:rPr>
                <w:sz w:val="17"/>
                <w:szCs w:val="17"/>
              </w:rPr>
              <w:t>基本支出</w:t>
            </w:r>
          </w:p>
        </w:tc>
        <w:tc>
          <w:tcPr>
            <w:tcW w:w="2161" w:type="dxa"/>
            <w:vAlign w:val="center"/>
          </w:tcPr>
          <w:p>
            <w:pPr>
              <w:pStyle w:val="11"/>
              <w:spacing w:line="240" w:lineRule="auto"/>
              <w:ind w:firstLine="0" w:firstLineChars="0"/>
              <w:jc w:val="center"/>
              <w:rPr>
                <w:vertAlign w:val="baseline"/>
              </w:rPr>
            </w:pPr>
            <w:r>
              <w:rPr>
                <w:sz w:val="17"/>
                <w:szCs w:val="17"/>
              </w:rPr>
              <w:t>项目支出</w:t>
            </w:r>
          </w:p>
        </w:tc>
        <w:tc>
          <w:tcPr>
            <w:tcW w:w="2163" w:type="dxa"/>
            <w:vAlign w:val="center"/>
          </w:tcPr>
          <w:p>
            <w:pPr>
              <w:pStyle w:val="11"/>
              <w:spacing w:line="240" w:lineRule="auto"/>
              <w:ind w:firstLine="0" w:firstLineChars="0"/>
              <w:jc w:val="center"/>
              <w:rPr>
                <w:vertAlign w:val="baseline"/>
              </w:rPr>
            </w:pPr>
            <w:r>
              <w:rPr>
                <w:sz w:val="17"/>
                <w:szCs w:val="17"/>
              </w:rPr>
              <w:t>结转下年支出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vMerge w:val="continue"/>
          </w:tcPr>
          <w:p>
            <w:pPr>
              <w:pStyle w:val="12"/>
              <w:bidi w:val="0"/>
              <w:jc w:val="both"/>
              <w:rPr>
                <w:vertAlign w:val="baseline"/>
              </w:rPr>
            </w:pPr>
          </w:p>
        </w:tc>
        <w:tc>
          <w:tcPr>
            <w:tcW w:w="2161" w:type="dxa"/>
            <w:vMerge w:val="continue"/>
          </w:tcPr>
          <w:p>
            <w:pPr>
              <w:pStyle w:val="12"/>
              <w:bidi w:val="0"/>
              <w:jc w:val="both"/>
              <w:rPr>
                <w:vertAlign w:val="baseline"/>
              </w:rPr>
            </w:pPr>
          </w:p>
        </w:tc>
        <w:tc>
          <w:tcPr>
            <w:tcW w:w="2162" w:type="dxa"/>
            <w:vMerge w:val="continue"/>
          </w:tcPr>
          <w:p>
            <w:pPr>
              <w:pStyle w:val="12"/>
              <w:bidi w:val="0"/>
              <w:jc w:val="both"/>
              <w:rPr>
                <w:vertAlign w:val="baseline"/>
              </w:rPr>
            </w:pPr>
          </w:p>
        </w:tc>
        <w:tc>
          <w:tcPr>
            <w:tcW w:w="2222" w:type="dxa"/>
            <w:vAlign w:val="center"/>
          </w:tcPr>
          <w:p>
            <w:pPr>
              <w:pStyle w:val="11"/>
              <w:spacing w:line="240" w:lineRule="auto"/>
              <w:ind w:firstLine="0" w:firstLineChars="0"/>
              <w:jc w:val="center"/>
              <w:rPr>
                <w:vertAlign w:val="baseline"/>
              </w:rPr>
            </w:pPr>
            <w:r>
              <w:rPr>
                <w:rFonts w:ascii="Times New Roman" w:hAnsi="Times New Roman" w:eastAsia="Times New Roman" w:cs="Times New Roman"/>
                <w:b/>
                <w:bCs/>
                <w:sz w:val="17"/>
                <w:szCs w:val="17"/>
              </w:rPr>
              <w:t>1</w:t>
            </w:r>
          </w:p>
        </w:tc>
        <w:tc>
          <w:tcPr>
            <w:tcW w:w="2161" w:type="dxa"/>
            <w:vAlign w:val="center"/>
          </w:tcPr>
          <w:p>
            <w:pPr>
              <w:pStyle w:val="11"/>
              <w:spacing w:line="240" w:lineRule="auto"/>
              <w:ind w:firstLine="0" w:firstLineChars="0"/>
              <w:jc w:val="center"/>
              <w:rPr>
                <w:vertAlign w:val="baseline"/>
              </w:rPr>
            </w:pPr>
            <w:r>
              <w:rPr>
                <w:rFonts w:ascii="Times New Roman" w:hAnsi="Times New Roman" w:eastAsia="Times New Roman" w:cs="Times New Roman"/>
                <w:b/>
                <w:bCs/>
                <w:sz w:val="17"/>
                <w:szCs w:val="17"/>
              </w:rPr>
              <w:t>2</w:t>
            </w:r>
          </w:p>
        </w:tc>
        <w:tc>
          <w:tcPr>
            <w:tcW w:w="2161" w:type="dxa"/>
            <w:vAlign w:val="center"/>
          </w:tcPr>
          <w:p>
            <w:pPr>
              <w:pStyle w:val="11"/>
              <w:spacing w:line="240" w:lineRule="auto"/>
              <w:ind w:firstLine="0" w:firstLineChars="0"/>
              <w:jc w:val="center"/>
              <w:rPr>
                <w:vertAlign w:val="baseline"/>
              </w:rPr>
            </w:pPr>
            <w:r>
              <w:rPr>
                <w:rFonts w:ascii="Times New Roman" w:hAnsi="Times New Roman" w:eastAsia="Times New Roman" w:cs="Times New Roman"/>
                <w:b/>
                <w:bCs/>
                <w:sz w:val="17"/>
                <w:szCs w:val="17"/>
              </w:rPr>
              <w:t>3</w:t>
            </w:r>
          </w:p>
        </w:tc>
        <w:tc>
          <w:tcPr>
            <w:tcW w:w="2163" w:type="dxa"/>
            <w:vAlign w:val="center"/>
          </w:tcPr>
          <w:p>
            <w:pPr>
              <w:pStyle w:val="11"/>
              <w:spacing w:line="240" w:lineRule="auto"/>
              <w:ind w:firstLine="0" w:firstLineChars="0"/>
              <w:jc w:val="center"/>
              <w:rPr>
                <w:vertAlign w:val="baseline"/>
              </w:rPr>
            </w:pPr>
            <w:r>
              <w:rPr>
                <w:rFonts w:ascii="Times New Roman" w:hAnsi="Times New Roman" w:eastAsia="Times New Roman" w:cs="Times New Roman"/>
                <w:b/>
                <w:bCs/>
                <w:sz w:val="17"/>
                <w:szCs w:val="17"/>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tcPr>
          <w:p>
            <w:pPr>
              <w:jc w:val="left"/>
              <w:rPr>
                <w:vertAlign w:val="baseline"/>
              </w:rPr>
            </w:pPr>
          </w:p>
        </w:tc>
        <w:tc>
          <w:tcPr>
            <w:tcW w:w="2161" w:type="dxa"/>
          </w:tcPr>
          <w:p>
            <w:pPr>
              <w:jc w:val="left"/>
              <w:rPr>
                <w:vertAlign w:val="baseline"/>
              </w:rPr>
            </w:pPr>
          </w:p>
        </w:tc>
        <w:tc>
          <w:tcPr>
            <w:tcW w:w="2162" w:type="dxa"/>
            <w:vAlign w:val="center"/>
          </w:tcPr>
          <w:p>
            <w:pPr>
              <w:pStyle w:val="11"/>
              <w:spacing w:line="240" w:lineRule="auto"/>
              <w:ind w:firstLine="0" w:firstLineChars="0"/>
              <w:jc w:val="left"/>
              <w:rPr>
                <w:vertAlign w:val="baseline"/>
              </w:rPr>
            </w:pPr>
            <w:r>
              <w:rPr>
                <w:sz w:val="17"/>
                <w:szCs w:val="17"/>
              </w:rPr>
              <w:t>合计</w:t>
            </w:r>
          </w:p>
        </w:tc>
        <w:tc>
          <w:tcPr>
            <w:tcW w:w="2222" w:type="dxa"/>
            <w:vAlign w:val="center"/>
          </w:tcPr>
          <w:p>
            <w:pPr>
              <w:pStyle w:val="11"/>
              <w:spacing w:line="240" w:lineRule="auto"/>
              <w:ind w:left="1700" w:leftChars="0" w:firstLine="0" w:firstLineChars="0"/>
              <w:jc w:val="right"/>
              <w:rPr>
                <w:vertAlign w:val="baseline"/>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2161" w:type="dxa"/>
            <w:vAlign w:val="center"/>
          </w:tcPr>
          <w:p>
            <w:pPr>
              <w:pStyle w:val="11"/>
              <w:spacing w:line="240" w:lineRule="auto"/>
              <w:ind w:firstLine="0" w:firstLineChars="0"/>
              <w:jc w:val="right"/>
              <w:rPr>
                <w:vertAlign w:val="baseline"/>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2161" w:type="dxa"/>
            <w:vAlign w:val="center"/>
          </w:tcPr>
          <w:p>
            <w:pPr>
              <w:pStyle w:val="11"/>
              <w:spacing w:line="240" w:lineRule="auto"/>
              <w:ind w:firstLine="0" w:firstLineChars="0"/>
              <w:jc w:val="right"/>
              <w:rPr>
                <w:vertAlign w:val="baseline"/>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2163" w:type="dxa"/>
            <w:vAlign w:val="center"/>
          </w:tcPr>
          <w:p>
            <w:pPr>
              <w:pStyle w:val="11"/>
              <w:spacing w:line="240" w:lineRule="auto"/>
              <w:ind w:firstLine="0" w:firstLineChars="0"/>
              <w:jc w:val="right"/>
              <w:rPr>
                <w:vertAlign w:val="baseline"/>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7" w:type="dxa"/>
            <w:gridSpan w:val="7"/>
            <w:tcBorders>
              <w:left w:val="nil"/>
              <w:bottom w:val="nil"/>
              <w:right w:val="nil"/>
            </w:tcBorders>
          </w:tcPr>
          <w:p>
            <w:pPr>
              <w:pStyle w:val="12"/>
              <w:spacing w:line="302" w:lineRule="exact"/>
              <w:ind w:left="672"/>
              <w:jc w:val="left"/>
            </w:pPr>
            <w:r>
              <w:t>注：本报表金额单位转换时可能存在四舍五入尾数误差。本部门</w:t>
            </w:r>
            <w:r>
              <w:rPr>
                <w:rFonts w:hint="eastAsia" w:ascii="Times New Roman" w:hAnsi="Times New Roman" w:cs="Times New Roman"/>
                <w:b/>
                <w:bCs/>
                <w:lang w:eastAsia="zh-CN"/>
              </w:rPr>
              <w:t>2024</w:t>
            </w:r>
            <w:r>
              <w:rPr>
                <w:rFonts w:ascii="Times New Roman" w:hAnsi="Times New Roman" w:cs="Times New Roman"/>
                <w:b/>
                <w:u w:color="auto"/>
              </w:rPr>
              <w:t>年</w:t>
            </w:r>
            <w:r>
              <w:t>度没有国有资本经营预算支出，故本表无数据</w:t>
            </w:r>
          </w:p>
          <w:p>
            <w:pPr>
              <w:pStyle w:val="12"/>
              <w:bidi w:val="0"/>
              <w:jc w:val="both"/>
              <w:rPr>
                <w:vertAlign w:val="baseline"/>
              </w:rPr>
            </w:pPr>
          </w:p>
        </w:tc>
      </w:tr>
    </w:tbl>
    <w:p>
      <w:pPr>
        <w:pStyle w:val="12"/>
        <w:bidi w:val="0"/>
      </w:pPr>
    </w:p>
    <w:p>
      <w:r>
        <w:br w:type="page"/>
      </w:r>
    </w:p>
    <w:p>
      <w:pPr>
        <w:pStyle w:val="10"/>
        <w:keepNext/>
        <w:keepLines/>
        <w:spacing w:after="240"/>
        <w:jc w:val="center"/>
        <w:rPr>
          <w:rFonts w:hint="default" w:eastAsia="宋体"/>
          <w:lang w:val="en-US" w:eastAsia="zh-CN"/>
        </w:rPr>
      </w:pPr>
      <w:r>
        <w:rPr>
          <w:rFonts w:hint="eastAsia"/>
          <w:lang w:val="en-US" w:eastAsia="zh-CN"/>
        </w:rPr>
        <w:t>2024年度预算项目绩效目标公开表</w:t>
      </w:r>
    </w:p>
    <w:tbl>
      <w:tblPr>
        <w:tblStyle w:val="2"/>
        <w:tblW w:w="0" w:type="auto"/>
        <w:tblInd w:w="0" w:type="dxa"/>
        <w:tblLayout w:type="fixed"/>
        <w:tblCellMar>
          <w:top w:w="0" w:type="dxa"/>
          <w:left w:w="10" w:type="dxa"/>
          <w:bottom w:w="0" w:type="dxa"/>
          <w:right w:w="10" w:type="dxa"/>
        </w:tblCellMar>
      </w:tblPr>
      <w:tblGrid>
        <w:gridCol w:w="1843"/>
        <w:gridCol w:w="2559"/>
        <w:gridCol w:w="3350"/>
        <w:gridCol w:w="1511"/>
        <w:gridCol w:w="6076"/>
      </w:tblGrid>
      <w:tr>
        <w:tblPrEx>
          <w:tblCellMar>
            <w:top w:w="0" w:type="dxa"/>
            <w:left w:w="10" w:type="dxa"/>
            <w:bottom w:w="0" w:type="dxa"/>
            <w:right w:w="10" w:type="dxa"/>
          </w:tblCellMar>
        </w:tblPrEx>
        <w:trPr>
          <w:trHeight w:val="346" w:hRule="exact"/>
        </w:trPr>
        <w:tc>
          <w:tcPr>
            <w:tcW w:w="9263" w:type="dxa"/>
            <w:gridSpan w:val="4"/>
            <w:shd w:val="clear" w:color="auto" w:fill="FFFFFF"/>
          </w:tcPr>
          <w:p>
            <w:pPr>
              <w:pStyle w:val="11"/>
              <w:spacing w:line="240" w:lineRule="auto"/>
              <w:ind w:firstLine="0"/>
              <w:jc w:val="left"/>
              <w:rPr>
                <w:rFonts w:hint="default" w:ascii="宋体" w:hAnsi="宋体" w:eastAsia="宋体" w:cs="宋体"/>
                <w:sz w:val="17"/>
                <w:szCs w:val="17"/>
                <w:lang w:val="en-US"/>
              </w:rPr>
            </w:pPr>
            <w:r>
              <w:rPr>
                <w:rFonts w:hint="eastAsia" w:ascii="宋体" w:hAnsi="宋体" w:eastAsia="宋体" w:cs="宋体"/>
                <w:sz w:val="17"/>
                <w:szCs w:val="17"/>
              </w:rPr>
              <w:t>单位名称：</w:t>
            </w:r>
            <w:r>
              <w:rPr>
                <w:rFonts w:hint="eastAsia" w:ascii="宋体" w:hAnsi="宋体" w:eastAsia="宋体" w:cs="宋体"/>
                <w:sz w:val="17"/>
                <w:szCs w:val="17"/>
                <w:lang w:eastAsia="zh-CN"/>
              </w:rPr>
              <w:t>环江毛南族自治县川山镇人民政府</w:t>
            </w:r>
            <w:r>
              <w:rPr>
                <w:rFonts w:hint="eastAsia" w:cs="宋体"/>
                <w:sz w:val="17"/>
                <w:szCs w:val="17"/>
                <w:lang w:val="en-US" w:eastAsia="zh-CN"/>
              </w:rPr>
              <w:t xml:space="preserve">            </w:t>
            </w:r>
          </w:p>
        </w:tc>
        <w:tc>
          <w:tcPr>
            <w:tcW w:w="6076" w:type="dxa"/>
            <w:shd w:val="clear" w:color="auto" w:fill="FFFFFF"/>
          </w:tcPr>
          <w:p>
            <w:pPr>
              <w:pStyle w:val="11"/>
              <w:spacing w:line="240" w:lineRule="auto"/>
              <w:ind w:firstLine="4760" w:firstLineChars="2800"/>
              <w:jc w:val="left"/>
              <w:rPr>
                <w:rFonts w:hint="eastAsia" w:ascii="宋体" w:hAnsi="宋体" w:eastAsia="宋体" w:cs="宋体"/>
                <w:sz w:val="17"/>
                <w:szCs w:val="17"/>
              </w:rPr>
            </w:pPr>
            <w:r>
              <w:rPr>
                <w:rFonts w:hint="eastAsia" w:ascii="宋体" w:hAnsi="宋体" w:eastAsia="宋体" w:cs="宋体"/>
                <w:sz w:val="17"/>
                <w:szCs w:val="17"/>
              </w:rPr>
              <w:t>单位：万元</w:t>
            </w:r>
          </w:p>
        </w:tc>
      </w:tr>
      <w:tr>
        <w:tblPrEx>
          <w:tblCellMar>
            <w:top w:w="0" w:type="dxa"/>
            <w:left w:w="10" w:type="dxa"/>
            <w:bottom w:w="0" w:type="dxa"/>
            <w:right w:w="10" w:type="dxa"/>
          </w:tblCellMar>
        </w:tblPrEx>
        <w:trPr>
          <w:trHeight w:val="854" w:hRule="exact"/>
        </w:trPr>
        <w:tc>
          <w:tcPr>
            <w:tcW w:w="1843"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0"/>
              <w:jc w:val="center"/>
              <w:rPr>
                <w:rFonts w:hint="eastAsia" w:ascii="宋体" w:hAnsi="宋体" w:eastAsia="宋体" w:cs="宋体"/>
                <w:sz w:val="17"/>
                <w:szCs w:val="17"/>
                <w:lang w:val="en-US" w:eastAsia="zh-CN"/>
              </w:rPr>
            </w:pPr>
            <w:r>
              <w:rPr>
                <w:rFonts w:ascii="宋体" w:hAnsi="宋体" w:eastAsia="宋体" w:cs="宋体"/>
                <w:sz w:val="17"/>
                <w:u w:color="auto"/>
              </w:rPr>
              <w:t>单位代码</w:t>
            </w:r>
          </w:p>
        </w:tc>
        <w:tc>
          <w:tcPr>
            <w:tcW w:w="2559"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40"/>
              <w:jc w:val="center"/>
              <w:rPr>
                <w:rFonts w:hint="eastAsia" w:ascii="宋体" w:hAnsi="宋体" w:eastAsia="宋体" w:cs="宋体"/>
                <w:sz w:val="17"/>
                <w:szCs w:val="17"/>
                <w:lang w:val="en-US" w:eastAsia="zh-CN"/>
              </w:rPr>
            </w:pPr>
            <w:r>
              <w:rPr>
                <w:rFonts w:hint="eastAsia" w:ascii="宋体" w:hAnsi="宋体" w:eastAsia="宋体" w:cs="宋体"/>
                <w:sz w:val="17"/>
                <w:szCs w:val="17"/>
                <w:lang w:val="en-US" w:eastAsia="zh-CN"/>
              </w:rPr>
              <w:t>单位名称</w:t>
            </w:r>
          </w:p>
        </w:tc>
        <w:tc>
          <w:tcPr>
            <w:tcW w:w="335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0"/>
              <w:jc w:val="center"/>
              <w:rPr>
                <w:rFonts w:hint="eastAsia" w:ascii="宋体" w:hAnsi="宋体" w:eastAsia="宋体" w:cs="宋体"/>
                <w:sz w:val="17"/>
                <w:szCs w:val="17"/>
                <w:lang w:val="en-US" w:eastAsia="zh-CN"/>
              </w:rPr>
            </w:pPr>
            <w:r>
              <w:rPr>
                <w:rFonts w:hint="eastAsia" w:ascii="宋体" w:hAnsi="宋体" w:eastAsia="宋体" w:cs="宋体"/>
                <w:sz w:val="17"/>
                <w:szCs w:val="17"/>
                <w:lang w:val="en-US" w:eastAsia="zh-CN"/>
              </w:rPr>
              <w:t>项目名称</w:t>
            </w:r>
          </w:p>
        </w:tc>
        <w:tc>
          <w:tcPr>
            <w:tcW w:w="1511"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0"/>
              <w:jc w:val="center"/>
              <w:rPr>
                <w:rFonts w:hint="eastAsia" w:ascii="宋体" w:hAnsi="宋体" w:eastAsia="宋体" w:cs="宋体"/>
                <w:sz w:val="17"/>
                <w:szCs w:val="17"/>
                <w:lang w:val="en-US" w:eastAsia="zh-CN"/>
              </w:rPr>
            </w:pPr>
            <w:r>
              <w:rPr>
                <w:rFonts w:hint="eastAsia" w:ascii="宋体" w:hAnsi="宋体" w:eastAsia="宋体" w:cs="宋体"/>
                <w:sz w:val="17"/>
                <w:szCs w:val="17"/>
                <w:lang w:val="en-US" w:eastAsia="zh-CN"/>
              </w:rPr>
              <w:t>预算金额</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center"/>
              <w:rPr>
                <w:rFonts w:hint="eastAsia" w:ascii="宋体" w:hAnsi="宋体" w:eastAsia="宋体" w:cs="宋体"/>
                <w:sz w:val="17"/>
                <w:szCs w:val="17"/>
                <w:lang w:val="en-US" w:eastAsia="zh-CN"/>
              </w:rPr>
            </w:pPr>
            <w:r>
              <w:rPr>
                <w:rFonts w:hint="eastAsia" w:ascii="宋体" w:hAnsi="宋体" w:eastAsia="宋体" w:cs="宋体"/>
                <w:sz w:val="17"/>
                <w:szCs w:val="17"/>
                <w:lang w:val="en-US" w:eastAsia="zh-CN"/>
              </w:rPr>
              <w:t>年度绩效目标</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705001</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环江毛南族自治县川山镇人民政府</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易地扶贫搬迁拆旧复垦奖励金</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2.26</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及时支付易地扶贫搬迁拆旧复垦奖励金</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705001</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环江毛南族自治县川山镇人民政府</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困难群众</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0.22</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按时发放临时救助</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705001</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环江毛南族自治县川山镇人民政府</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公路养护</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6.07</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目标1：严格按照上级文件要求，依法依规，及时拨付专项资金。目标2：依法治路，进一步管理好农村公路。统筹管理，加大投入，做到有路必养。目标3：完善农村公路上安全警示标志标牌和防护栏杆等安保设施，确保道路安全畅通。目标4：定期开展对农村道路的日常养护与检查。目标5：加大对于农村公路养护的工作力度，提高群主出行安全力度，群众满意度≥95％</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705001</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环江毛南族自治县川山镇人民政府</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农村党员大培训经费</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4.19</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目标1：农村党员大培训次数≧1次；目标2：提高农村党员工作积极性；目标3：农村党员满意度达95％以上。</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705001</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环江毛南族自治县川山镇人民政府</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生态护林员劳务补助资金</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85.74</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按时足额发放生态护林员劳务补助资金，提高护林员工作积极性。</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705001</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环江毛南族自治县川山镇人民政府</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新时代文明实践建设相应项目</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0.00</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1.开展志愿服务活动》=1次；2.严格执行相关财经法规，及时拨付新时代文明实践建设相应项目经费。</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705001</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环江毛南族自治县川山镇人民政府</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服务惠民</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3.75</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1.及时拨付资金；2.提高村委服务群众质量，提高村干工作满意度。</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705001</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环江毛南族自治县川山镇人民政府</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农村乡村道路“三项工程”资金</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339.00</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目标1：按时按量完成三项工程建设</w:t>
            </w:r>
            <w:r>
              <w:rPr>
                <w:rFonts w:hint="eastAsia" w:ascii="宋体" w:hAnsi="宋体" w:eastAsia="宋体" w:cs="宋体"/>
                <w:b/>
                <w:bCs/>
                <w:sz w:val="17"/>
                <w:szCs w:val="17"/>
                <w:lang w:val="en-US" w:eastAsia="zh-CN"/>
              </w:rPr>
              <w:br w:type="textWrapping"/>
            </w:r>
            <w:r>
              <w:rPr>
                <w:rFonts w:hint="eastAsia" w:ascii="宋体" w:hAnsi="宋体" w:eastAsia="宋体" w:cs="宋体"/>
                <w:b/>
                <w:bCs/>
                <w:sz w:val="17"/>
                <w:szCs w:val="17"/>
                <w:lang w:val="en-US" w:eastAsia="zh-CN"/>
              </w:rPr>
              <w:t>目标2：提升乡村道路通行环境</w:t>
            </w:r>
            <w:r>
              <w:rPr>
                <w:rFonts w:hint="eastAsia" w:ascii="宋体" w:hAnsi="宋体" w:eastAsia="宋体" w:cs="宋体"/>
                <w:b/>
                <w:bCs/>
                <w:sz w:val="17"/>
                <w:szCs w:val="17"/>
                <w:lang w:val="en-US" w:eastAsia="zh-CN"/>
              </w:rPr>
              <w:br w:type="textWrapping"/>
            </w:r>
            <w:r>
              <w:rPr>
                <w:rFonts w:hint="eastAsia" w:ascii="宋体" w:hAnsi="宋体" w:eastAsia="宋体" w:cs="宋体"/>
                <w:b/>
                <w:bCs/>
                <w:sz w:val="17"/>
                <w:szCs w:val="17"/>
                <w:lang w:val="en-US" w:eastAsia="zh-CN"/>
              </w:rPr>
              <w:t>目标3：提高群众满意度</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705001</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环江毛南族自治县川山镇人民政府</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新一轮退耕还林还草延长期补助</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20.05</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目标1：及时拨付资金；目标2：通过退耕还林，改善生态环境，改变不合理的生产方式，优化农村产业结构，促进农村经济持续健康发展。</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705001</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环江毛南族自治县川山镇人民政府</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建设项目</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2.40</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目标1：项目验收质量达100％；目标2：及时拨付项目资金。</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705001</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环江毛南族自治县川山镇人民政府</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2024年其他日常业务费</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25.00</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严格按照财务制度，按时拨付资金，为各站所各部门日常工作提供资金保障。目标2：按照实际工作要求，认真规划日常工作经费的使用率、分配比例，控制成本，杜绝铺张浪费，使效率达到最高。目标3：各部门各站所相互监督，相互制约，根据实际报账。目标4：服务对象满意度达95％以上</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705001</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环江毛南族自治县川山镇人民政府</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2024年妇联工作经费</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1.00</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目标1：开展关爱妇女“两癌”保险宣传活动2次，使全乡妇女“两癌”保险的参保率达到95％以上；</w:t>
            </w:r>
            <w:r>
              <w:rPr>
                <w:rFonts w:hint="eastAsia" w:ascii="宋体" w:hAnsi="宋体" w:eastAsia="宋体" w:cs="宋体"/>
                <w:b/>
                <w:bCs/>
                <w:sz w:val="17"/>
                <w:szCs w:val="17"/>
                <w:lang w:val="en-US" w:eastAsia="zh-CN"/>
              </w:rPr>
              <w:br w:type="textWrapping"/>
            </w:r>
            <w:r>
              <w:rPr>
                <w:rFonts w:hint="eastAsia" w:ascii="宋体" w:hAnsi="宋体" w:eastAsia="宋体" w:cs="宋体"/>
                <w:b/>
                <w:bCs/>
                <w:sz w:val="17"/>
                <w:szCs w:val="17"/>
                <w:lang w:val="en-US" w:eastAsia="zh-CN"/>
              </w:rPr>
              <w:t>目标2：开展维护妇女儿童合法权益宣讲会1次，增强妇女儿童维护自身合法权益；</w:t>
            </w:r>
            <w:r>
              <w:rPr>
                <w:rFonts w:hint="eastAsia" w:ascii="宋体" w:hAnsi="宋体" w:eastAsia="宋体" w:cs="宋体"/>
                <w:b/>
                <w:bCs/>
                <w:sz w:val="17"/>
                <w:szCs w:val="17"/>
                <w:lang w:val="en-US" w:eastAsia="zh-CN"/>
              </w:rPr>
              <w:br w:type="textWrapping"/>
            </w:r>
            <w:r>
              <w:rPr>
                <w:rFonts w:hint="eastAsia" w:ascii="宋体" w:hAnsi="宋体" w:eastAsia="宋体" w:cs="宋体"/>
                <w:b/>
                <w:bCs/>
                <w:sz w:val="17"/>
                <w:szCs w:val="17"/>
                <w:lang w:val="en-US" w:eastAsia="zh-CN"/>
              </w:rPr>
              <w:t>目标3：提高妇女群众素质，提供妇女咨询服务2次；</w:t>
            </w:r>
            <w:r>
              <w:rPr>
                <w:rFonts w:hint="eastAsia" w:ascii="宋体" w:hAnsi="宋体" w:eastAsia="宋体" w:cs="宋体"/>
                <w:b/>
                <w:bCs/>
                <w:sz w:val="17"/>
                <w:szCs w:val="17"/>
                <w:lang w:val="en-US" w:eastAsia="zh-CN"/>
              </w:rPr>
              <w:br w:type="textWrapping"/>
            </w:r>
            <w:r>
              <w:rPr>
                <w:rFonts w:hint="eastAsia" w:ascii="宋体" w:hAnsi="宋体" w:eastAsia="宋体" w:cs="宋体"/>
                <w:b/>
                <w:bCs/>
                <w:sz w:val="17"/>
                <w:szCs w:val="17"/>
                <w:lang w:val="en-US" w:eastAsia="zh-CN"/>
              </w:rPr>
              <w:t>目标4：利用儿童之家开展青少年防溺水宣传工作1次，防止中小学生溺水事件发生。</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705001</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环江毛南族自治县川山镇人民政府</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2024年川山党支部组织生活经费</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0.39</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目标1：通过党建工作的开展，提高全镇党员工作意识，有效改善工作作风。维护全镇党员的基本利益。目标2：召开专项党员活动≥1次，如七一建党节，国庆节，春节前慰问老党员等专项活动，时刻不忘党恩，时刻向党靠拢。目标3：认真统计全乡党员人数，收缴党费，按时上缴，维护党员的根本利益。</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705001</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环江毛南族自治县川山镇人民政府</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2024年川山镇党代会经费</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1.70</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目标1：根据实际工作要求，认真召开党员代表大会≥1次。目标2：全年度工作中，认真组织召开党员代表大会，选取合适的领导班子， 认真听取来自各代表团的议题及建议。目标3：本年度按照实际工作情况，及时拨付工作相关费用，提供工作资金保障，为党代会正常开展提供资金保障。</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705001</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环江毛南族自治县川山镇人民政府</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2024年川山镇关爱党员经费(农村党员)</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9.14</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目标1.提升党员党性修养，提高工作积极性，更好服务群众。目标2.本年召开农村党员大会≥1次。目标3.农村党员服务群众满意度≥95％</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705001</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环江毛南族自治县川山镇人民政府</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2024年宣传工作经费</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6.00</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目标1：通过年内1次以上各类宣传工作的开展，有效改善全镇工作人员工作作风，目标2：年内1次以上及时宣传法制、防火、防溺水等相关重要工作；目标3：按时完成全年度精神文明建设、意识形态工作领域、社会宣传工作。</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705001</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环江毛南族自治县川山镇人民政府</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2024年预防青少年违法犯罪工作经费</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2.00</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目标1.建立健全预防青少年违法犯罪工作机制，落实预防青少年违法犯罪工作措施，集中力量解决一些突出问题，努力营造有利于青少年健康成长的良好气氛，最大限度地预防和减少青少年违法犯罪。</w:t>
            </w:r>
            <w:r>
              <w:rPr>
                <w:rFonts w:hint="eastAsia" w:ascii="宋体" w:hAnsi="宋体" w:eastAsia="宋体" w:cs="宋体"/>
                <w:b/>
                <w:bCs/>
                <w:sz w:val="17"/>
                <w:szCs w:val="17"/>
                <w:lang w:val="en-US" w:eastAsia="zh-CN"/>
              </w:rPr>
              <w:br w:type="textWrapping"/>
            </w:r>
            <w:r>
              <w:rPr>
                <w:rFonts w:hint="eastAsia" w:ascii="宋体" w:hAnsi="宋体" w:eastAsia="宋体" w:cs="宋体"/>
                <w:b/>
                <w:bCs/>
                <w:sz w:val="17"/>
                <w:szCs w:val="17"/>
                <w:lang w:val="en-US" w:eastAsia="zh-CN"/>
              </w:rPr>
              <w:t>目标2.联系派出所、司法所开展知识讲座≥1次，增强学生法律意识。</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705001</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环江毛南族自治县川山镇人民政府</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2024年安全生产及森林防火工作经费</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5.00</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目标1.开展消防知识讲座≥1次；目标2.开展消防演练≥1次；目标3控制火灾发生率，较去年同比减少10％；目标4.各项工作按计划开展，全年工作完成及时率达100％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705001</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环江毛南族自治县川山镇人民政府</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2024年清洁乡村工作经费</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1.00</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目标1.提高群众清洁意识、环保意识。</w:t>
            </w:r>
            <w:r>
              <w:rPr>
                <w:rFonts w:hint="eastAsia" w:ascii="宋体" w:hAnsi="宋体" w:eastAsia="宋体" w:cs="宋体"/>
                <w:b/>
                <w:bCs/>
                <w:sz w:val="17"/>
                <w:szCs w:val="17"/>
                <w:lang w:val="en-US" w:eastAsia="zh-CN"/>
              </w:rPr>
              <w:br w:type="textWrapping"/>
            </w:r>
            <w:r>
              <w:rPr>
                <w:rFonts w:hint="eastAsia" w:ascii="宋体" w:hAnsi="宋体" w:eastAsia="宋体" w:cs="宋体"/>
                <w:b/>
                <w:bCs/>
                <w:sz w:val="17"/>
                <w:szCs w:val="17"/>
                <w:lang w:val="en-US" w:eastAsia="zh-CN"/>
              </w:rPr>
              <w:t>目标2.通过至少1次宣传活动发动村民积极性、主动参与性，增强环保意识，改变乱扔垃圾的不良习惯，让居住环境更加优美、村容村貌变得美丽。</w:t>
            </w:r>
            <w:r>
              <w:rPr>
                <w:rFonts w:hint="eastAsia" w:ascii="宋体" w:hAnsi="宋体" w:eastAsia="宋体" w:cs="宋体"/>
                <w:b/>
                <w:bCs/>
                <w:sz w:val="17"/>
                <w:szCs w:val="17"/>
                <w:lang w:val="en-US" w:eastAsia="zh-CN"/>
              </w:rPr>
              <w:br w:type="textWrapping"/>
            </w:r>
            <w:r>
              <w:rPr>
                <w:rFonts w:hint="eastAsia" w:ascii="宋体" w:hAnsi="宋体" w:eastAsia="宋体" w:cs="宋体"/>
                <w:b/>
                <w:bCs/>
                <w:sz w:val="17"/>
                <w:szCs w:val="17"/>
                <w:lang w:val="en-US" w:eastAsia="zh-CN"/>
              </w:rPr>
              <w:t>目标3.各村焚烧炉维护≥1次，垃圾运转车维修≥1次，城乡清洁率达到85％</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705001</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环江毛南族自治县川山镇人民政府</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2024年法制宣传教育工作经费</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5.00</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目标1.开展法制宣传活动≥2次，目标2.通过宣传，让群众知晓政策率达95％，目标3群众满意度95％以上</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705001</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环江毛南族自治县川山镇人民政府</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2024年人大活动经费</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2.00</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目标1：全年度工作中，按时完成上级安排的工作目标。目标2：本年度中履行人大履职专项活动≥1次。目标3：切实听取人大代表提出的相关意见与建议，把人大代表的作用发挥最大化。目标4：人大代表满意度≥95％</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705001</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环江毛南族自治县川山镇人民政府</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2024年维稳工作经费</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3.00</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目标1.加强安全法制教育建设和宣传教育，为辖区经济建设又好又快发展提供了安全稳定环境。全面推进综治维稳防控体系建设，扎实开展基层基础工作，提升居民满意度确保我辖区维稳及安全生产工作任务顺利完成。</w:t>
            </w:r>
            <w:r>
              <w:rPr>
                <w:rFonts w:hint="eastAsia" w:ascii="宋体" w:hAnsi="宋体" w:eastAsia="宋体" w:cs="宋体"/>
                <w:b/>
                <w:bCs/>
                <w:sz w:val="17"/>
                <w:szCs w:val="17"/>
                <w:lang w:val="en-US" w:eastAsia="zh-CN"/>
              </w:rPr>
              <w:br w:type="textWrapping"/>
            </w:r>
            <w:r>
              <w:rPr>
                <w:rFonts w:hint="eastAsia" w:ascii="宋体" w:hAnsi="宋体" w:eastAsia="宋体" w:cs="宋体"/>
                <w:b/>
                <w:bCs/>
                <w:sz w:val="17"/>
                <w:szCs w:val="17"/>
                <w:lang w:val="en-US" w:eastAsia="zh-CN"/>
              </w:rPr>
              <w:t>目标2.各项工作按计划开展，全年工作完成及时率100％</w:t>
            </w:r>
            <w:r>
              <w:rPr>
                <w:rFonts w:hint="eastAsia" w:ascii="宋体" w:hAnsi="宋体" w:eastAsia="宋体" w:cs="宋体"/>
                <w:b/>
                <w:bCs/>
                <w:sz w:val="17"/>
                <w:szCs w:val="17"/>
                <w:lang w:val="en-US" w:eastAsia="zh-CN"/>
              </w:rPr>
              <w:br w:type="textWrapping"/>
            </w:r>
            <w:r>
              <w:rPr>
                <w:rFonts w:hint="eastAsia" w:ascii="宋体" w:hAnsi="宋体" w:eastAsia="宋体" w:cs="宋体"/>
                <w:b/>
                <w:bCs/>
                <w:sz w:val="17"/>
                <w:szCs w:val="17"/>
                <w:lang w:val="en-US" w:eastAsia="zh-CN"/>
              </w:rPr>
              <w:t>目标3.控制上访发生率，较去年同期下降5％</w:t>
            </w:r>
            <w:r>
              <w:rPr>
                <w:rFonts w:hint="eastAsia" w:ascii="宋体" w:hAnsi="宋体" w:eastAsia="宋体" w:cs="宋体"/>
                <w:b/>
                <w:bCs/>
                <w:sz w:val="17"/>
                <w:szCs w:val="17"/>
                <w:lang w:val="en-US" w:eastAsia="zh-CN"/>
              </w:rPr>
              <w:br w:type="textWrapping"/>
            </w:r>
            <w:r>
              <w:rPr>
                <w:rFonts w:hint="eastAsia" w:ascii="宋体" w:hAnsi="宋体" w:eastAsia="宋体" w:cs="宋体"/>
                <w:b/>
                <w:bCs/>
                <w:sz w:val="17"/>
                <w:szCs w:val="17"/>
                <w:lang w:val="en-US" w:eastAsia="zh-CN"/>
              </w:rPr>
              <w:t>目标4.服务对象满意度达90％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705001</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环江毛南族自治县川山镇人民政府</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2024年退役军人服务中心建设经费</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1.00</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目标1：本年度中，按时按量完成上级安排的工作任务。目标2：完成年度建档立卡退役军人帮扶援助工作任务。目标3：将退役军人相关补贴到位，群众对工作的满意度95％；目标4：召开关于退役军人相关工作,专项活动次数≥2次，如春节／八一建军节双军活动。</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705001</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环江毛南族自治县川山镇人民政府</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2024年统计工作经费</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1.00</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目标1：全年度工作中，统计数据达标格率≥90％，有效提高全乡工作人员工作效率，确保统计工作按时按量完成。目标2：完成本年度关于“稳粮食兴乡村攻坚战‘”目标任务，大力宣传“十大百万”相关指标任务，认真统计全乡数据，完成年度目标≥90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705001</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环江毛南族自治县川山镇人民政府</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2024年纪检监察办公经费</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2.00</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目标1.有效提高全员清正廉洁的良好作风、有效改善全乡的工作作风，.提高全员清正廉洁的良好作风。</w:t>
            </w:r>
            <w:r>
              <w:rPr>
                <w:rFonts w:hint="eastAsia" w:ascii="宋体" w:hAnsi="宋体" w:eastAsia="宋体" w:cs="宋体"/>
                <w:b/>
                <w:bCs/>
                <w:sz w:val="17"/>
                <w:szCs w:val="17"/>
                <w:lang w:val="en-US" w:eastAsia="zh-CN"/>
              </w:rPr>
              <w:br w:type="textWrapping"/>
            </w:r>
            <w:r>
              <w:rPr>
                <w:rFonts w:hint="eastAsia" w:ascii="宋体" w:hAnsi="宋体" w:eastAsia="宋体" w:cs="宋体"/>
                <w:b/>
                <w:bCs/>
                <w:sz w:val="17"/>
                <w:szCs w:val="17"/>
                <w:lang w:val="en-US" w:eastAsia="zh-CN"/>
              </w:rPr>
              <w:t>目标2..履行监督机制，达到长效机制。</w:t>
            </w:r>
            <w:r>
              <w:rPr>
                <w:rFonts w:hint="eastAsia" w:ascii="宋体" w:hAnsi="宋体" w:eastAsia="宋体" w:cs="宋体"/>
                <w:b/>
                <w:bCs/>
                <w:sz w:val="17"/>
                <w:szCs w:val="17"/>
                <w:lang w:val="en-US" w:eastAsia="zh-CN"/>
              </w:rPr>
              <w:br w:type="textWrapping"/>
            </w:r>
            <w:r>
              <w:rPr>
                <w:rFonts w:hint="eastAsia" w:ascii="宋体" w:hAnsi="宋体" w:eastAsia="宋体" w:cs="宋体"/>
                <w:b/>
                <w:bCs/>
                <w:sz w:val="17"/>
                <w:szCs w:val="17"/>
                <w:lang w:val="en-US" w:eastAsia="zh-CN"/>
              </w:rPr>
              <w:t>目标3..组织干部职工开展清正廉洁座谈会≥1次</w:t>
            </w:r>
            <w:r>
              <w:rPr>
                <w:rFonts w:hint="eastAsia" w:ascii="宋体" w:hAnsi="宋体" w:eastAsia="宋体" w:cs="宋体"/>
                <w:b/>
                <w:bCs/>
                <w:sz w:val="17"/>
                <w:szCs w:val="17"/>
                <w:lang w:val="en-US" w:eastAsia="zh-CN"/>
              </w:rPr>
              <w:br w:type="textWrapping"/>
            </w:r>
            <w:r>
              <w:rPr>
                <w:rFonts w:hint="eastAsia" w:ascii="宋体" w:hAnsi="宋体" w:eastAsia="宋体" w:cs="宋体"/>
                <w:b/>
                <w:bCs/>
                <w:sz w:val="17"/>
                <w:szCs w:val="17"/>
                <w:lang w:val="en-US" w:eastAsia="zh-CN"/>
              </w:rPr>
              <w:t>目标4.干部对象满意度95％</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705001</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环江毛南族自治县川山镇人民政府</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2024年武装、征兵及民兵预备役工作经费</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2.00</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 xml:space="preserve">目标1.高标准，高质量完成民兵训练≥1次，目标2.提高民兵思想素质和军事技能，目标3.按照时间节点，完成春秋季的招兵任务，为部队输送高素质兵源。 </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705001</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环江毛南族自治县川山镇人民政府</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2024年团委工作经费</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1.00</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目标1：通过团委工作的开展，提高全乡团员、团支书工作意识，全年度完成上级安排的工作。目标2：以培养和实践能力为目标，积极组织开展全镇共青团员和思想政治活动≥1次。目标3：在做好团员发展、团籍管理、团籍统计以及组织关系转接等相关工作。</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705001</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环江毛南族自治县川山镇人民政府</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2024年民族团结工作经费</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1.00</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目标1：通过民族团结工作的开展，有效控制关于民族团结纠纷、维护社会稳定，有效改善全乡各族团结和睦的良好社会风气。目标2：全年度中心组理论学习、宗教政策法规学习次数≥1次。目标3：全年度中认真监控宗教场所，减少宗教事件发生。</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705001</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环江毛南族自治县川山镇人民政府</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2024年川山关心下一代经费</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1.00</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目标1：广泛宣传国家有关保护未成年人权益、实施义务教育、预防未成年人犯罪的法律法规1次培训1次：</w:t>
            </w:r>
            <w:r>
              <w:rPr>
                <w:rFonts w:hint="eastAsia" w:ascii="宋体" w:hAnsi="宋体" w:eastAsia="宋体" w:cs="宋体"/>
                <w:b/>
                <w:bCs/>
                <w:sz w:val="17"/>
                <w:szCs w:val="17"/>
                <w:lang w:val="en-US" w:eastAsia="zh-CN"/>
              </w:rPr>
              <w:br w:type="textWrapping"/>
            </w:r>
            <w:r>
              <w:rPr>
                <w:rFonts w:hint="eastAsia" w:ascii="宋体" w:hAnsi="宋体" w:eastAsia="宋体" w:cs="宋体"/>
                <w:b/>
                <w:bCs/>
                <w:sz w:val="17"/>
                <w:szCs w:val="17"/>
                <w:lang w:val="en-US" w:eastAsia="zh-CN"/>
              </w:rPr>
              <w:t>目标2 ：开展活动所用资金不超过该项目预算总金额：</w:t>
            </w:r>
            <w:r>
              <w:rPr>
                <w:rFonts w:hint="eastAsia" w:ascii="宋体" w:hAnsi="宋体" w:eastAsia="宋体" w:cs="宋体"/>
                <w:b/>
                <w:bCs/>
                <w:sz w:val="17"/>
                <w:szCs w:val="17"/>
                <w:lang w:val="en-US" w:eastAsia="zh-CN"/>
              </w:rPr>
              <w:br w:type="textWrapping"/>
            </w:r>
            <w:r>
              <w:rPr>
                <w:rFonts w:hint="eastAsia" w:ascii="宋体" w:hAnsi="宋体" w:eastAsia="宋体" w:cs="宋体"/>
                <w:b/>
                <w:bCs/>
                <w:sz w:val="17"/>
                <w:szCs w:val="17"/>
                <w:lang w:val="en-US" w:eastAsia="zh-CN"/>
              </w:rPr>
              <w:t>目标3 ：服务青少年满意率超过95％</w:t>
            </w:r>
            <w:r>
              <w:rPr>
                <w:rFonts w:hint="eastAsia" w:ascii="宋体" w:hAnsi="宋体" w:eastAsia="宋体" w:cs="宋体"/>
                <w:b/>
                <w:bCs/>
                <w:sz w:val="17"/>
                <w:szCs w:val="17"/>
                <w:lang w:val="en-US" w:eastAsia="zh-CN"/>
              </w:rPr>
              <w:br w:type="textWrapping"/>
            </w:r>
            <w:r>
              <w:rPr>
                <w:rFonts w:hint="eastAsia" w:ascii="宋体" w:hAnsi="宋体" w:eastAsia="宋体" w:cs="宋体"/>
                <w:b/>
                <w:bCs/>
                <w:sz w:val="17"/>
                <w:szCs w:val="17"/>
                <w:lang w:val="en-US" w:eastAsia="zh-CN"/>
              </w:rPr>
              <w:t>目标4 ：保障单位关工委工作正常运转，促进青少年健康成长。</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705001</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环江毛南族自治县川山镇人民政府</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2024年政协工作联络站经费</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2.00</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目标1：合理使用政协工作联络站经费，更好的发挥政协职能</w:t>
            </w:r>
            <w:r>
              <w:rPr>
                <w:rFonts w:hint="eastAsia" w:ascii="宋体" w:hAnsi="宋体" w:eastAsia="宋体" w:cs="宋体"/>
                <w:b/>
                <w:bCs/>
                <w:sz w:val="17"/>
                <w:szCs w:val="17"/>
                <w:lang w:val="en-US" w:eastAsia="zh-CN"/>
              </w:rPr>
              <w:br w:type="textWrapping"/>
            </w:r>
            <w:r>
              <w:rPr>
                <w:rFonts w:hint="eastAsia" w:ascii="宋体" w:hAnsi="宋体" w:eastAsia="宋体" w:cs="宋体"/>
                <w:b/>
                <w:bCs/>
                <w:sz w:val="17"/>
                <w:szCs w:val="17"/>
                <w:lang w:val="en-US" w:eastAsia="zh-CN"/>
              </w:rPr>
              <w:t>目标2：提高政协委员履职水平及政协工作者业务水平</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705001</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环江毛南族自治县川山镇人民政府</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2024年林长办工作经费</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1.00</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目标1：年内至少召开林长制工作会议1次以上。</w:t>
            </w:r>
            <w:r>
              <w:rPr>
                <w:rFonts w:hint="eastAsia" w:ascii="宋体" w:hAnsi="宋体" w:eastAsia="宋体" w:cs="宋体"/>
                <w:b/>
                <w:bCs/>
                <w:sz w:val="17"/>
                <w:szCs w:val="17"/>
                <w:lang w:val="en-US" w:eastAsia="zh-CN"/>
              </w:rPr>
              <w:br w:type="textWrapping"/>
            </w:r>
            <w:r>
              <w:rPr>
                <w:rFonts w:hint="eastAsia" w:ascii="宋体" w:hAnsi="宋体" w:eastAsia="宋体" w:cs="宋体"/>
                <w:b/>
                <w:bCs/>
                <w:sz w:val="17"/>
                <w:szCs w:val="17"/>
                <w:lang w:val="en-US" w:eastAsia="zh-CN"/>
              </w:rPr>
              <w:t>目标2：全年辖区内森林火灾受害控制率不超过0.8‰。</w:t>
            </w:r>
            <w:r>
              <w:rPr>
                <w:rFonts w:hint="eastAsia" w:ascii="宋体" w:hAnsi="宋体" w:eastAsia="宋体" w:cs="宋体"/>
                <w:b/>
                <w:bCs/>
                <w:sz w:val="17"/>
                <w:szCs w:val="17"/>
                <w:lang w:val="en-US" w:eastAsia="zh-CN"/>
              </w:rPr>
              <w:br w:type="textWrapping"/>
            </w:r>
            <w:r>
              <w:rPr>
                <w:rFonts w:hint="eastAsia" w:ascii="宋体" w:hAnsi="宋体" w:eastAsia="宋体" w:cs="宋体"/>
                <w:b/>
                <w:bCs/>
                <w:sz w:val="17"/>
                <w:szCs w:val="17"/>
                <w:lang w:val="en-US" w:eastAsia="zh-CN"/>
              </w:rPr>
              <w:t>目标3：乡林长办主任向本级林长专题汇报林长制工作1次以上。</w:t>
            </w:r>
            <w:r>
              <w:rPr>
                <w:rFonts w:hint="eastAsia" w:ascii="宋体" w:hAnsi="宋体" w:eastAsia="宋体" w:cs="宋体"/>
                <w:b/>
                <w:bCs/>
                <w:sz w:val="17"/>
                <w:szCs w:val="17"/>
                <w:lang w:val="en-US" w:eastAsia="zh-CN"/>
              </w:rPr>
              <w:br w:type="textWrapping"/>
            </w:r>
            <w:r>
              <w:rPr>
                <w:rFonts w:hint="eastAsia" w:ascii="宋体" w:hAnsi="宋体" w:eastAsia="宋体" w:cs="宋体"/>
                <w:b/>
                <w:bCs/>
                <w:sz w:val="17"/>
                <w:szCs w:val="17"/>
                <w:lang w:val="en-US" w:eastAsia="zh-CN"/>
              </w:rPr>
              <w:t>目标4：服务对象满意度达90％以上。</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705001</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环江毛南族自治县川山镇人民政府</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2024年乡镇应急资金</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26.78</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目标1：处置应急事件≥1次；目标2：减少安全事故，避免事故造成损失；目标3：有利于提高群众安全意识，减少事故对环境的破坏；目标4：群众满意度达95％</w:t>
            </w:r>
          </w:p>
        </w:tc>
      </w:tr>
    </w:tbl>
    <w:p>
      <w:pPr>
        <w:jc w:val="left"/>
        <w:rPr>
          <w:rFonts w:hint="eastAsia"/>
        </w:rPr>
      </w:pPr>
      <w:r>
        <w:t>注：本报表金额单位转换时可能存在四舍五入尾数误差。</w:t>
      </w:r>
    </w:p>
    <w:p>
      <w:pPr>
        <w:jc w:val="left"/>
        <w:rPr>
          <w:rFonts w:hint="eastAsia"/>
          <w:lang w:eastAsia="zh-CN"/>
        </w:rPr>
        <w:sectPr>
          <w:headerReference r:id="rId10" w:type="default"/>
          <w:footerReference r:id="rId11" w:type="default"/>
          <w:pgSz w:w="16840" w:h="11900" w:orient="landscape"/>
          <w:pgMar w:top="2714" w:right="764" w:bottom="2714" w:left="735" w:header="2286" w:footer="3" w:gutter="0"/>
          <w:pgBorders>
            <w:top w:val="none" w:sz="0" w:space="0"/>
            <w:left w:val="none" w:sz="0" w:space="0"/>
            <w:bottom w:val="none" w:sz="0" w:space="0"/>
            <w:right w:val="none" w:sz="0" w:space="0"/>
          </w:pgBorders>
          <w:cols w:space="720" w:num="1"/>
          <w:docGrid w:linePitch="360" w:charSpace="0"/>
        </w:sectPr>
      </w:pPr>
    </w:p>
    <w:p>
      <w:pPr>
        <w:pStyle w:val="6"/>
        <w:keepNext/>
        <w:keepLines/>
        <w:spacing w:before="200" w:after="0"/>
        <w:jc w:val="center"/>
        <w:rPr>
          <w:sz w:val="40"/>
          <w:szCs w:val="40"/>
        </w:rPr>
      </w:pPr>
      <w:bookmarkStart w:id="30" w:name="bookmark96"/>
      <w:bookmarkStart w:id="31" w:name="bookmark95"/>
      <w:bookmarkStart w:id="32" w:name="bookmark94"/>
      <w:r>
        <w:rPr>
          <w:sz w:val="40"/>
          <w:szCs w:val="40"/>
        </w:rPr>
        <w:t>第四部</w:t>
      </w:r>
      <w:r>
        <w:rPr>
          <w:rFonts w:hint="eastAsia"/>
          <w:sz w:val="40"/>
          <w:szCs w:val="40"/>
          <w:lang w:val="en-US" w:eastAsia="zh-CN"/>
        </w:rPr>
        <w:t xml:space="preserve">  </w:t>
      </w:r>
      <w:r>
        <w:rPr>
          <w:sz w:val="40"/>
          <w:szCs w:val="40"/>
        </w:rPr>
        <w:t>分名词解释</w:t>
      </w:r>
      <w:bookmarkEnd w:id="30"/>
      <w:bookmarkEnd w:id="31"/>
      <w:bookmarkEnd w:id="32"/>
    </w:p>
    <w:p>
      <w:pPr>
        <w:pStyle w:val="8"/>
        <w:tabs>
          <w:tab w:val="left" w:pos="1270"/>
        </w:tabs>
        <w:spacing w:line="626" w:lineRule="exact"/>
        <w:ind w:firstLine="640"/>
        <w:jc w:val="left"/>
      </w:pPr>
      <w:bookmarkStart w:id="33" w:name="bookmark97"/>
      <w:r>
        <w:t>一</w:t>
      </w:r>
      <w:bookmarkEnd w:id="33"/>
      <w:r>
        <w:t>、</w:t>
      </w:r>
      <w:r>
        <w:tab/>
      </w:r>
      <w:r>
        <w:t>财政拨款收入：指预算单位从本级财政部门取得的财政预算资金收入。</w:t>
      </w:r>
    </w:p>
    <w:p>
      <w:pPr>
        <w:pStyle w:val="8"/>
        <w:tabs>
          <w:tab w:val="left" w:pos="1280"/>
        </w:tabs>
        <w:spacing w:line="626" w:lineRule="exact"/>
        <w:ind w:firstLine="640"/>
        <w:jc w:val="left"/>
      </w:pPr>
      <w:bookmarkStart w:id="34" w:name="bookmark98"/>
      <w:r>
        <w:t>二</w:t>
      </w:r>
      <w:bookmarkEnd w:id="34"/>
      <w:r>
        <w:t>、</w:t>
      </w:r>
      <w:r>
        <w:tab/>
      </w:r>
      <w:r>
        <w:t>事业收入：指事业单位开展专业业务活动及辅助活动所取得的收入。</w:t>
      </w:r>
    </w:p>
    <w:p>
      <w:pPr>
        <w:pStyle w:val="8"/>
        <w:tabs>
          <w:tab w:val="left" w:pos="1275"/>
        </w:tabs>
        <w:spacing w:line="626" w:lineRule="exact"/>
        <w:ind w:firstLine="640"/>
        <w:jc w:val="left"/>
      </w:pPr>
      <w:bookmarkStart w:id="35" w:name="bookmark99"/>
      <w:r>
        <w:t>三</w:t>
      </w:r>
      <w:bookmarkEnd w:id="35"/>
      <w:r>
        <w:t>、</w:t>
      </w:r>
      <w:r>
        <w:tab/>
      </w:r>
      <w:r>
        <w:t>经营收入：指事业单位在专业业务活动及其辅助活动之外开展非独立核算经营活动取得的收入。</w:t>
      </w:r>
    </w:p>
    <w:p>
      <w:pPr>
        <w:pStyle w:val="8"/>
        <w:tabs>
          <w:tab w:val="left" w:pos="1309"/>
        </w:tabs>
        <w:spacing w:line="626" w:lineRule="exact"/>
        <w:ind w:firstLine="640"/>
        <w:jc w:val="left"/>
      </w:pPr>
      <w:bookmarkStart w:id="36" w:name="bookmark100"/>
      <w:r>
        <w:t>四</w:t>
      </w:r>
      <w:bookmarkEnd w:id="36"/>
      <w:r>
        <w:t>、</w:t>
      </w:r>
      <w:r>
        <w:tab/>
      </w:r>
      <w:r>
        <w:t>其他收入：指除上述</w:t>
      </w:r>
      <w:r>
        <w:rPr>
          <w:lang w:val="zh-CN" w:eastAsia="zh-CN" w:bidi="zh-CN"/>
        </w:rPr>
        <w:t>“财</w:t>
      </w:r>
      <w:r>
        <w:t>政拨款收入”、</w:t>
      </w:r>
      <w:r>
        <w:rPr>
          <w:lang w:val="zh-CN" w:eastAsia="zh-CN" w:bidi="zh-CN"/>
        </w:rPr>
        <w:t>“事</w:t>
      </w:r>
      <w:r>
        <w:t>业收入"、</w:t>
      </w:r>
      <w:r>
        <w:rPr>
          <w:lang w:val="zh-CN" w:eastAsia="zh-CN" w:bidi="zh-CN"/>
        </w:rPr>
        <w:t>“经营</w:t>
      </w:r>
      <w:r>
        <w:t>收入"等以外的收入。主要是非本级财政拨款、存款利息收入、事业单位固定资产出租收入等。</w:t>
      </w:r>
    </w:p>
    <w:p>
      <w:pPr>
        <w:pStyle w:val="8"/>
        <w:tabs>
          <w:tab w:val="left" w:pos="1275"/>
        </w:tabs>
        <w:spacing w:line="626" w:lineRule="exact"/>
        <w:ind w:firstLine="640"/>
        <w:jc w:val="left"/>
      </w:pPr>
      <w:bookmarkStart w:id="37" w:name="bookmark101"/>
      <w:r>
        <w:t>五</w:t>
      </w:r>
      <w:bookmarkEnd w:id="37"/>
      <w:r>
        <w:t>、</w:t>
      </w:r>
      <w:r>
        <w:tab/>
      </w:r>
      <w:r>
        <w:t>用事业基金弥补收支差额：指事业单位在用当年的</w:t>
      </w:r>
      <w:r>
        <w:rPr>
          <w:lang w:val="zh-CN" w:eastAsia="zh-CN" w:bidi="zh-CN"/>
        </w:rPr>
        <w:t>“财</w:t>
      </w:r>
      <w:r>
        <w:t>政拨款收入"、</w:t>
      </w:r>
      <w:r>
        <w:rPr>
          <w:lang w:val="zh-CN" w:eastAsia="zh-CN" w:bidi="zh-CN"/>
        </w:rPr>
        <w:t>“事业</w:t>
      </w:r>
      <w:r>
        <w:t>收入"、</w:t>
      </w:r>
      <w:r>
        <w:rPr>
          <w:lang w:val="zh-CN" w:eastAsia="zh-CN" w:bidi="zh-CN"/>
        </w:rPr>
        <w:t>“经营</w:t>
      </w:r>
      <w:r>
        <w:t>收入"、</w:t>
      </w:r>
      <w:r>
        <w:rPr>
          <w:lang w:val="zh-CN" w:eastAsia="zh-CN" w:bidi="zh-CN"/>
        </w:rPr>
        <w:t>“其他</w:t>
      </w:r>
      <w:r>
        <w:t>收入"不足以安排当年支出的情况下，使用以前年度积累的事业基金（事业单位当年收支相抵后按国家规定提取、用于弥补以后年度收支差额的基金）弥补本年度收支缺口的资金。</w:t>
      </w:r>
    </w:p>
    <w:p>
      <w:pPr>
        <w:pStyle w:val="8"/>
        <w:tabs>
          <w:tab w:val="left" w:pos="1270"/>
        </w:tabs>
        <w:spacing w:line="626" w:lineRule="exact"/>
        <w:ind w:firstLine="640"/>
        <w:jc w:val="left"/>
      </w:pPr>
      <w:bookmarkStart w:id="38" w:name="bookmark102"/>
      <w:r>
        <w:t>六</w:t>
      </w:r>
      <w:bookmarkEnd w:id="38"/>
      <w:r>
        <w:t>、</w:t>
      </w:r>
      <w:r>
        <w:tab/>
      </w:r>
      <w:r>
        <w:t>年初结转和结余：指以前年度尚未完成、结转到本年按有关规定继续使用的资金。</w:t>
      </w:r>
    </w:p>
    <w:p>
      <w:pPr>
        <w:pStyle w:val="8"/>
        <w:tabs>
          <w:tab w:val="left" w:pos="1275"/>
        </w:tabs>
        <w:spacing w:line="626" w:lineRule="exact"/>
        <w:ind w:firstLine="640"/>
        <w:jc w:val="left"/>
      </w:pPr>
      <w:bookmarkStart w:id="39" w:name="bookmark103"/>
      <w:r>
        <w:t>七</w:t>
      </w:r>
      <w:bookmarkEnd w:id="39"/>
      <w:r>
        <w:t>、</w:t>
      </w:r>
      <w:r>
        <w:tab/>
      </w:r>
      <w:r>
        <w:t>结余分配：指事业单位按规定提取的职工福利基金、事业基金和缴纳的所得税，以及建设单位按规定应交回的基本建设竣工项目结余资金。</w:t>
      </w:r>
    </w:p>
    <w:p>
      <w:pPr>
        <w:pStyle w:val="8"/>
        <w:tabs>
          <w:tab w:val="left" w:pos="632"/>
        </w:tabs>
        <w:spacing w:line="626" w:lineRule="exact"/>
        <w:ind w:firstLine="640"/>
        <w:jc w:val="left"/>
      </w:pPr>
      <w:bookmarkStart w:id="40" w:name="bookmark104"/>
      <w:r>
        <w:t>八</w:t>
      </w:r>
      <w:bookmarkEnd w:id="40"/>
      <w:r>
        <w:t>、</w:t>
      </w:r>
      <w:r>
        <w:tab/>
      </w:r>
      <w:r>
        <w:t>年末结转和结余：指本年度或以前年度预算安排、因客观条件发生变化无法按原计划实施，需要延迟到以后年度按有关规定继续使用的资金。</w:t>
      </w:r>
    </w:p>
    <w:p>
      <w:pPr>
        <w:pStyle w:val="8"/>
        <w:spacing w:line="628" w:lineRule="exact"/>
        <w:ind w:firstLine="640"/>
        <w:jc w:val="left"/>
      </w:pPr>
      <w:bookmarkStart w:id="41" w:name="bookmark105"/>
      <w:r>
        <w:t>九</w:t>
      </w:r>
      <w:bookmarkEnd w:id="41"/>
      <w:r>
        <w:t>、基本支出：指为保障机构正常运转、完成日常工作任务而发生的人员支出和公用支出。</w:t>
      </w:r>
    </w:p>
    <w:p>
      <w:pPr>
        <w:pStyle w:val="8"/>
        <w:spacing w:line="628" w:lineRule="exact"/>
        <w:ind w:firstLine="640"/>
        <w:jc w:val="left"/>
      </w:pPr>
      <w:r>
        <w:t>十、项目支出：指在基本支出之外为完成特定行政任务和事业发展目标所发生的支出。</w:t>
      </w:r>
    </w:p>
    <w:p>
      <w:pPr>
        <w:pStyle w:val="8"/>
        <w:spacing w:line="628" w:lineRule="exact"/>
        <w:ind w:firstLine="640"/>
        <w:jc w:val="left"/>
      </w:pPr>
      <w:r>
        <w:t>十一、经营支出：指事业单位在专业业务活动及其辅助活动之外开展非独立核算经营活动所发生的支出。</w:t>
      </w:r>
    </w:p>
    <w:p>
      <w:pPr>
        <w:pStyle w:val="8"/>
        <w:spacing w:line="628" w:lineRule="exact"/>
        <w:ind w:firstLine="640"/>
        <w:jc w:val="left"/>
      </w:pPr>
      <w:r>
        <w:t>十二、</w:t>
      </w:r>
      <w:r>
        <w:rPr>
          <w:lang w:val="zh-CN" w:eastAsia="zh-CN" w:bidi="zh-CN"/>
        </w:rPr>
        <w:t>“三</w:t>
      </w:r>
      <w:r>
        <w:t>公”经费：纳入财政预决算管理的</w:t>
      </w:r>
      <w:r>
        <w:rPr>
          <w:lang w:val="zh-CN" w:eastAsia="zh-CN" w:bidi="zh-CN"/>
        </w:rPr>
        <w:t>“三公</w:t>
      </w:r>
      <w:r>
        <w:t>”经费，是指市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8"/>
        <w:spacing w:line="628" w:lineRule="exact"/>
        <w:ind w:firstLine="640"/>
        <w:jc w:val="left"/>
      </w:pPr>
      <w:r>
        <w:t>十三、机关运行经费：为保障行政单位（含参照公务员法管理的事业单位、机关服务中心）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sectPr>
      <w:headerReference r:id="rId12" w:type="default"/>
      <w:footerReference r:id="rId13" w:type="default"/>
      <w:type w:val="continuous"/>
      <w:pgSz w:w="11900" w:h="16840"/>
      <w:pgMar w:top="1302" w:right="1735" w:bottom="1568" w:left="1793" w:header="874" w:footer="3" w:gutter="0"/>
      <w:pgBorders>
        <w:top w:val="none" w:sz="0" w:space="0"/>
        <w:left w:val="none" w:sz="0" w:space="0"/>
        <w:bottom w:val="none" w:sz="0" w:space="0"/>
        <w:right w:val="none" w:sz="0" w:space="0"/>
      </w:pgBorder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59264"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6158" name="Shape 5"/>
              <wp:cNvGraphicFramePr/>
              <a:graphic xmlns:a="http://schemas.openxmlformats.org/drawingml/2006/main">
                <a:graphicData uri="http://schemas.microsoft.com/office/word/2010/wordprocessingShape">
                  <wps:wsp>
                    <wps:cNvSpPr/>
                    <wps:spPr>
                      <a:xfrm>
                        <a:off x="0" y="0"/>
                        <a:ext cx="581025" cy="109855"/>
                      </a:xfrm>
                      <a:prstGeom prst="rect">
                        <a:avLst/>
                      </a:prstGeom>
                      <a:noFill/>
                    </wps:spPr>
                    <wps:txbx>
                      <w:txbxContent>
                        <w:p>
                          <w:pPr>
                            <w:pStyle w:val="13"/>
                          </w:pPr>
                        </w:p>
                      </w:txbxContent>
                    </wps:txbx>
                    <wps:bodyPr rot="0" spcFirstLastPara="0" vertOverflow="overflow" horzOverflow="overflow" vert="horz" wrap="square" lIns="0" tIns="0" rIns="0" bIns="0" numCol="1" anchor="t" upright="0">
                      <a:spAutoFit/>
                    </wps:bodyPr>
                  </wps:wsp>
                </a:graphicData>
              </a:graphic>
            </wp:anchor>
          </w:drawing>
        </mc:Choice>
        <mc:Fallback>
          <w:pict>
            <v:rect id="Shape 5" o:spid="_x0000_s1026" o:spt="1" style="position:absolute;left:0pt;margin-left:717.9pt;margin-top:95.85pt;height:8.65pt;width:45.75pt;mso-position-horizontal-relative:page;mso-position-vertical-relative:page;z-index:-251657216;mso-width-relative:page;mso-height-relative:page;" filled="f" stroked="f" coordsize="21600,21600" o:gfxdata="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mMCLEdsAAAANAQAADwAAAAAAAAABACAAAAAiAAAAZHJzL2Rvd25yZXYueG1sUEsBAhQAFAAAAAgA&#10;h07iQKBWVwHpAQAA5QMAAA4AAAAAAAAAAQAgAAAAKgEAAGRycy9lMm9Eb2MueG1sUEsFBgAAAAAG&#10;AAYAWQEAAIUFAAAAAA==&#10;">
              <v:fill on="f" focussize="0,0"/>
              <v:stroke on="f"/>
              <v:imagedata o:title=""/>
              <o:lock v:ext="edit" aspectratio="f"/>
              <v:textbox inset="0mm,0mm,0mm,0mm" style="mso-fit-shape-to-text:t;">
                <w:txbxContent>
                  <w:p>
                    <w:pPr>
                      <w:pStyle w:val="13"/>
                    </w:pP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60288"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6159" name="Shape 5"/>
              <wp:cNvGraphicFramePr/>
              <a:graphic xmlns:a="http://schemas.openxmlformats.org/drawingml/2006/main">
                <a:graphicData uri="http://schemas.microsoft.com/office/word/2010/wordprocessingShape">
                  <wps:wsp>
                    <wps:cNvSpPr/>
                    <wps:spPr>
                      <a:xfrm>
                        <a:off x="0" y="0"/>
                        <a:ext cx="581025" cy="109855"/>
                      </a:xfrm>
                      <a:prstGeom prst="rect">
                        <a:avLst/>
                      </a:prstGeom>
                      <a:noFill/>
                    </wps:spPr>
                    <wps:txbx>
                      <w:txbxContent>
                        <w:p>
                          <w:pPr>
                            <w:pStyle w:val="13"/>
                          </w:pPr>
                        </w:p>
                      </w:txbxContent>
                    </wps:txbx>
                    <wps:bodyPr rot="0" spcFirstLastPara="0" vertOverflow="overflow" horzOverflow="overflow" vert="horz" wrap="square" lIns="0" tIns="0" rIns="0" bIns="0" numCol="1" anchor="t" upright="0">
                      <a:spAutoFit/>
                    </wps:bodyPr>
                  </wps:wsp>
                </a:graphicData>
              </a:graphic>
            </wp:anchor>
          </w:drawing>
        </mc:Choice>
        <mc:Fallback>
          <w:pict>
            <v:rect id="Shape 5" o:spid="_x0000_s1026" o:spt="1" style="position:absolute;left:0pt;margin-left:717.9pt;margin-top:95.85pt;height:8.65pt;width:45.75pt;mso-position-horizontal-relative:page;mso-position-vertical-relative:page;z-index:-251656192;mso-width-relative:page;mso-height-relative:page;" filled="f" stroked="f" coordsize="21600,21600" o:gfxdata="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jAixHbAAAADQEAAA8AAAAAAAAAAQAgAAAAIgAAAGRycy9kb3ducmV2LnhtbFBLAQIUABQAAAAI&#10;AIdO4kBLo4wH6gEAAOUDAAAOAAAAAAAAAAEAIAAAACoBAABkcnMvZTJvRG9jLnhtbFBLBQYAAAAA&#10;BgAGAFkBAACGBQAAAAA=&#10;">
              <v:fill on="f" focussize="0,0"/>
              <v:stroke on="f"/>
              <v:imagedata o:title=""/>
              <o:lock v:ext="edit" aspectratio="f"/>
              <v:textbox inset="0mm,0mm,0mm,0mm" style="mso-fit-shape-to-text:t;">
                <w:txbxContent>
                  <w:p>
                    <w:pPr>
                      <w:pStyle w:val="13"/>
                    </w:pP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15F4FE"/>
    <w:multiLevelType w:val="singleLevel"/>
    <w:tmpl w:val="3A15F4FE"/>
    <w:lvl w:ilvl="0" w:tentative="0">
      <w:start w:val="2"/>
      <w:numFmt w:val="chineseCounting"/>
      <w:lvlText w:val="%1、"/>
      <w:lvlJc w:val="left"/>
      <w:rPr>
        <w:rFonts w:hint="eastAsia"/>
      </w:rPr>
    </w:lvl>
  </w:abstractNum>
  <w:abstractNum w:abstractNumId="1">
    <w:nsid w:val="59ADCABA"/>
    <w:multiLevelType w:val="singleLevel"/>
    <w:tmpl w:val="59ADCABA"/>
    <w:lvl w:ilvl="0" w:tentative="0">
      <w:start w:val="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3ZDdmMjI3ZmNlY2QyNGRmZWNkMjU2YmJhNjVjZGQifQ=="/>
  </w:docVars>
  <w:rsids>
    <w:rsidRoot w:val="1D01628A"/>
    <w:rsid w:val="0A6B3D54"/>
    <w:rsid w:val="1D01628A"/>
    <w:rsid w:val="2DBC04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Body text|5"/>
    <w:basedOn w:val="1"/>
    <w:qFormat/>
    <w:uiPriority w:val="0"/>
    <w:pPr>
      <w:jc w:val="center"/>
    </w:pPr>
    <w:rPr>
      <w:rFonts w:ascii="宋体" w:hAnsi="宋体" w:eastAsia="宋体" w:cs="宋体"/>
      <w:sz w:val="54"/>
      <w:szCs w:val="54"/>
      <w:lang w:val="zh-TW" w:eastAsia="zh-TW" w:bidi="zh-TW"/>
    </w:rPr>
  </w:style>
  <w:style w:type="paragraph" w:customStyle="1" w:styleId="6">
    <w:name w:val="Heading #1|1"/>
    <w:basedOn w:val="1"/>
    <w:qFormat/>
    <w:uiPriority w:val="0"/>
    <w:pPr>
      <w:spacing w:after="400"/>
      <w:jc w:val="center"/>
      <w:outlineLvl w:val="0"/>
    </w:pPr>
    <w:rPr>
      <w:rFonts w:ascii="宋体" w:hAnsi="宋体" w:eastAsia="宋体" w:cs="宋体"/>
      <w:sz w:val="44"/>
      <w:szCs w:val="44"/>
      <w:lang w:val="zh-TW" w:eastAsia="zh-TW" w:bidi="zh-TW"/>
    </w:rPr>
  </w:style>
  <w:style w:type="paragraph" w:customStyle="1" w:styleId="7">
    <w:name w:val="Body text|2"/>
    <w:basedOn w:val="1"/>
    <w:qFormat/>
    <w:uiPriority w:val="0"/>
    <w:pPr>
      <w:spacing w:after="240"/>
      <w:ind w:firstLine="560"/>
    </w:pPr>
    <w:rPr>
      <w:rFonts w:ascii="宋体" w:hAnsi="宋体" w:eastAsia="宋体" w:cs="宋体"/>
      <w:sz w:val="32"/>
      <w:szCs w:val="32"/>
      <w:lang w:val="zh-TW" w:eastAsia="zh-TW" w:bidi="zh-TW"/>
    </w:rPr>
  </w:style>
  <w:style w:type="paragraph" w:customStyle="1" w:styleId="8">
    <w:name w:val="Body text|1"/>
    <w:basedOn w:val="1"/>
    <w:qFormat/>
    <w:uiPriority w:val="0"/>
    <w:pPr>
      <w:spacing w:line="468" w:lineRule="auto"/>
      <w:ind w:firstLine="400"/>
    </w:pPr>
    <w:rPr>
      <w:rFonts w:ascii="宋体" w:hAnsi="宋体" w:eastAsia="宋体" w:cs="宋体"/>
      <w:sz w:val="28"/>
      <w:szCs w:val="28"/>
      <w:lang w:val="zh-TW" w:eastAsia="zh-TW" w:bidi="zh-TW"/>
    </w:rPr>
  </w:style>
  <w:style w:type="paragraph" w:customStyle="1" w:styleId="9">
    <w:name w:val="Body text|3"/>
    <w:basedOn w:val="1"/>
    <w:qFormat/>
    <w:uiPriority w:val="0"/>
    <w:pPr>
      <w:spacing w:after="140" w:line="336" w:lineRule="auto"/>
      <w:ind w:firstLine="370"/>
    </w:pPr>
    <w:rPr>
      <w:sz w:val="30"/>
      <w:szCs w:val="30"/>
      <w:lang w:val="zh-TW" w:eastAsia="zh-TW" w:bidi="zh-TW"/>
    </w:rPr>
  </w:style>
  <w:style w:type="paragraph" w:customStyle="1" w:styleId="10">
    <w:name w:val="Heading #2|1"/>
    <w:basedOn w:val="1"/>
    <w:qFormat/>
    <w:uiPriority w:val="0"/>
    <w:pPr>
      <w:spacing w:after="230"/>
      <w:jc w:val="center"/>
      <w:outlineLvl w:val="1"/>
    </w:pPr>
    <w:rPr>
      <w:rFonts w:ascii="宋体" w:hAnsi="宋体" w:eastAsia="宋体" w:cs="宋体"/>
      <w:sz w:val="26"/>
      <w:szCs w:val="26"/>
      <w:lang w:val="zh-TW" w:eastAsia="zh-TW" w:bidi="zh-TW"/>
    </w:rPr>
  </w:style>
  <w:style w:type="paragraph" w:customStyle="1" w:styleId="11">
    <w:name w:val="Other|1"/>
    <w:basedOn w:val="1"/>
    <w:qFormat/>
    <w:uiPriority w:val="0"/>
    <w:pPr>
      <w:spacing w:line="468" w:lineRule="auto"/>
      <w:ind w:firstLine="400"/>
    </w:pPr>
    <w:rPr>
      <w:rFonts w:ascii="宋体" w:hAnsi="宋体" w:eastAsia="宋体" w:cs="宋体"/>
      <w:sz w:val="28"/>
      <w:szCs w:val="28"/>
      <w:lang w:val="zh-TW" w:eastAsia="zh-TW" w:bidi="zh-TW"/>
    </w:rPr>
  </w:style>
  <w:style w:type="paragraph" w:customStyle="1" w:styleId="12">
    <w:name w:val="Table caption|1"/>
    <w:basedOn w:val="1"/>
    <w:qFormat/>
    <w:uiPriority w:val="0"/>
    <w:rPr>
      <w:rFonts w:ascii="宋体" w:hAnsi="宋体" w:eastAsia="宋体" w:cs="宋体"/>
      <w:sz w:val="17"/>
      <w:szCs w:val="17"/>
      <w:lang w:val="zh-TW" w:eastAsia="zh-TW" w:bidi="zh-TW"/>
    </w:rPr>
  </w:style>
  <w:style w:type="paragraph" w:customStyle="1" w:styleId="13">
    <w:name w:val="Header or footer|1"/>
    <w:basedOn w:val="1"/>
    <w:qFormat/>
    <w:uiPriority w:val="0"/>
    <w:rPr>
      <w:b/>
      <w:bCs/>
      <w:sz w:val="17"/>
      <w:szCs w:val="17"/>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chart" Target="charts/chart6.xml"/><Relationship Id="rId2" Type="http://schemas.openxmlformats.org/officeDocument/2006/relationships/settings" Target="settings.xml"/><Relationship Id="rId19" Type="http://schemas.openxmlformats.org/officeDocument/2006/relationships/chart" Target="charts/chart5.xml"/><Relationship Id="rId18" Type="http://schemas.openxmlformats.org/officeDocument/2006/relationships/chart" Target="charts/chart4.xml"/><Relationship Id="rId17" Type="http://schemas.openxmlformats.org/officeDocument/2006/relationships/chart" Target="charts/chart3.xml"/><Relationship Id="rId16" Type="http://schemas.openxmlformats.org/officeDocument/2006/relationships/chart" Target="charts/chart2.xml"/><Relationship Id="rId15" Type="http://schemas.openxmlformats.org/officeDocument/2006/relationships/chart" Target="charts/chart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部门收入总体情况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Pt>
            <c:idx val="1"/>
            <c:bubble3D val="0"/>
          </c:dPt>
          <c:dLbls>
            <c:delete val="1"/>
          </c:dLbls>
          <c:cat>
            <c:strRef>
              <c:f>Sheet1!$A$2:$A$3</c:f>
              <c:strCache>
                <c:ptCount val="2"/>
                <c:pt idx="0">
                  <c:v>一般公共预算拨款</c:v>
                </c:pt>
                <c:pt idx="1">
                  <c:v>政府性基金预算拨款</c:v>
                </c:pt>
              </c:strCache>
            </c:strRef>
          </c:cat>
          <c:val>
            <c:numRef>
              <c:f>Sheet1!$B$2:$B$3</c:f>
              <c:numCache>
                <c:formatCode>General</c:formatCode>
                <c:ptCount val="2"/>
                <c:pt idx="0">
                  <c:v>1500.59</c:v>
                </c:pt>
                <c:pt idx="1">
                  <c:v>2.4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部门支出总体情况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Pt>
            <c:idx val="1"/>
            <c:bubble3D val="0"/>
          </c:dPt>
          <c:dPt>
            <c:idx val="2"/>
            <c:bubble3D val="0"/>
          </c:dPt>
          <c:dLbls>
            <c:delete val="1"/>
          </c:dLbls>
          <c:cat>
            <c:strRef>
              <c:f>Sheet1!$A$2:$A$4</c:f>
              <c:strCache>
                <c:ptCount val="3"/>
                <c:pt idx="0">
                  <c:v>一般公共服务支出</c:v>
                </c:pt>
                <c:pt idx="1">
                  <c:v>社会保障和就业支出</c:v>
                </c:pt>
                <c:pt idx="2">
                  <c:v>住房保障支出</c:v>
                </c:pt>
              </c:strCache>
            </c:strRef>
          </c:cat>
          <c:val>
            <c:numRef>
              <c:f>Sheet1!$B$2:$B$4</c:f>
              <c:numCache>
                <c:formatCode>General</c:formatCode>
                <c:ptCount val="3"/>
                <c:pt idx="0">
                  <c:v>919.49</c:v>
                </c:pt>
                <c:pt idx="1">
                  <c:v>64.07</c:v>
                </c:pt>
                <c:pt idx="2">
                  <c:v>55.75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财政拨款收支总体情况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Sheet1!$A$2:$A$3</c:f>
              <c:strCache>
                <c:ptCount val="2"/>
                <c:pt idx="0">
                  <c:v>收入</c:v>
                </c:pt>
                <c:pt idx="1">
                  <c:v>支出</c:v>
                </c:pt>
              </c:strCache>
            </c:strRef>
          </c:cat>
          <c:val>
            <c:numRef>
              <c:f>Sheet1!$B$2:$B$3</c:f>
              <c:numCache>
                <c:formatCode>General</c:formatCode>
                <c:ptCount val="2"/>
                <c:pt idx="0">
                  <c:v>893.05</c:v>
                </c:pt>
                <c:pt idx="1">
                  <c:v>893.05</c:v>
                </c:pt>
              </c:numCache>
            </c:numRef>
          </c:val>
        </c:ser>
        <c:ser>
          <c:idx val="1"/>
          <c:order val="1"/>
          <c:tx>
            <c:strRef>
              <c:f>Sheet1!$C$1</c:f>
              <c:strCache>
                <c:ptCount val="1"/>
                <c:pt idx="0">
                  <c:v>当年</c:v>
                </c:pt>
              </c:strCache>
            </c:strRef>
          </c:tx>
          <c:spPr>
            <a:solidFill>
              <a:schemeClr val="accent2"/>
            </a:solidFill>
            <a:ln>
              <a:noFill/>
            </a:ln>
            <a:effectLst/>
          </c:spPr>
          <c:invertIfNegative val="0"/>
          <c:dLbls>
            <c:delete val="1"/>
          </c:dLbls>
          <c:cat>
            <c:strRef>
              <c:f>Sheet1!$A$2:$A$3</c:f>
              <c:strCache>
                <c:ptCount val="2"/>
                <c:pt idx="0">
                  <c:v>收入</c:v>
                </c:pt>
                <c:pt idx="1">
                  <c:v>支出</c:v>
                </c:pt>
              </c:strCache>
            </c:strRef>
          </c:cat>
          <c:val>
            <c:numRef>
              <c:f>Sheet1!$C$2:$C$3</c:f>
              <c:numCache>
                <c:formatCode>General</c:formatCode>
                <c:ptCount val="2"/>
                <c:pt idx="0">
                  <c:v>1039.31</c:v>
                </c:pt>
                <c:pt idx="1">
                  <c:v>1039.31</c:v>
                </c:pt>
              </c:numCache>
            </c:numRef>
          </c:val>
        </c:ser>
        <c:dLbls>
          <c:showLegendKey val="0"/>
          <c:showVal val="0"/>
          <c:showCatName val="0"/>
          <c:showSerName val="0"/>
          <c:showPercent val="0"/>
          <c:showBubbleSize val="0"/>
        </c:dLbls>
        <c:gapWidth val="219"/>
        <c:overlap val="-27"/>
        <c:axId val="811850650"/>
        <c:axId val="698020238"/>
      </c:barChart>
      <c:catAx>
        <c:axId val="81185065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8020238"/>
        <c:crosses val="autoZero"/>
        <c:auto val="1"/>
        <c:lblAlgn val="ctr"/>
        <c:lblOffset val="100"/>
        <c:noMultiLvlLbl val="0"/>
      </c:catAx>
      <c:valAx>
        <c:axId val="69802023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185065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一般公共预算支出情况</a:t>
            </a:r>
            <a:endParaRPr lang="en-US" sz="1100"/>
          </a:p>
        </c:rich>
      </c:tx>
      <c:layout/>
      <c:overlay val="0"/>
      <c:spPr>
        <a:noFill/>
        <a:ln>
          <a:noFill/>
        </a:ln>
        <a:effectLst/>
      </c:spPr>
    </c:title>
    <c:autoTitleDeleted val="0"/>
    <c:plotArea>
      <c:layout/>
      <c:barChart>
        <c:barDir val="bar"/>
        <c:grouping val="clustered"/>
        <c:varyColors val="0"/>
        <c:ser>
          <c:idx val="0"/>
          <c:order val="0"/>
          <c:tx>
            <c:strRef>
              <c:f>Sheet1!$B$1</c:f>
              <c:strCache>
                <c:ptCount val="1"/>
                <c:pt idx="0">
                  <c:v>基本支出</c:v>
                </c:pt>
              </c:strCache>
            </c:strRef>
          </c:tx>
          <c:spPr>
            <a:solidFill>
              <a:schemeClr val="accent1"/>
            </a:solidFill>
            <a:ln>
              <a:noFill/>
            </a:ln>
            <a:effectLst/>
          </c:spPr>
          <c:invertIfNegative val="0"/>
          <c:dLbls>
            <c:delete val="1"/>
          </c:dLbls>
          <c:cat>
            <c:strRef>
              <c:f>Sheet1!$A$2</c:f>
              <c:strCache>
                <c:ptCount val="1"/>
                <c:pt idx="0">
                  <c:v>上年</c:v>
                </c:pt>
              </c:strCache>
            </c:strRef>
          </c:cat>
          <c:val>
            <c:numRef>
              <c:f>Sheet1!$B$2</c:f>
              <c:numCache>
                <c:formatCode>General</c:formatCode>
                <c:ptCount val="1"/>
                <c:pt idx="0">
                  <c:v>939.31</c:v>
                </c:pt>
              </c:numCache>
            </c:numRef>
          </c:val>
        </c:ser>
        <c:ser>
          <c:idx val="1"/>
          <c:order val="1"/>
          <c:tx>
            <c:strRef>
              <c:f>Sheet1!$C$1</c:f>
              <c:strCache>
                <c:ptCount val="1"/>
                <c:pt idx="0">
                  <c:v>结转下年支出</c:v>
                </c:pt>
              </c:strCache>
            </c:strRef>
          </c:tx>
          <c:invertIfNegative val="0"/>
          <c:dLbls>
            <c:delete val="1"/>
          </c:dLbls>
          <c:cat>
            <c:strRef>
              <c:f>Sheet1!$A$2</c:f>
              <c:strCache>
                <c:ptCount val="1"/>
                <c:pt idx="0">
                  <c:v>上年</c:v>
                </c:pt>
              </c:strCache>
            </c:strRef>
          </c:cat>
          <c:val>
            <c:numRef>
              <c:f>Sheet1!$C$2</c:f>
              <c:numCache>
                <c:formatCode>General</c:formatCode>
                <c:ptCount val="1"/>
                <c:pt idx="0">
                  <c:v>0</c:v>
                </c:pt>
              </c:numCache>
            </c:numRef>
          </c:val>
        </c:ser>
        <c:ser>
          <c:idx val="2"/>
          <c:order val="2"/>
          <c:tx>
            <c:strRef>
              <c:f>Sheet1!$D$1</c:f>
              <c:strCache>
                <c:ptCount val="1"/>
                <c:pt idx="0">
                  <c:v>项目支出</c:v>
                </c:pt>
              </c:strCache>
            </c:strRef>
          </c:tx>
          <c:invertIfNegative val="0"/>
          <c:dLbls>
            <c:delete val="1"/>
          </c:dLbls>
          <c:cat>
            <c:strRef>
              <c:f>Sheet1!$A$2</c:f>
              <c:strCache>
                <c:ptCount val="1"/>
                <c:pt idx="0">
                  <c:v>上年</c:v>
                </c:pt>
              </c:strCache>
            </c:strRef>
          </c:cat>
          <c:val>
            <c:numRef>
              <c:f>Sheet1!$D$2</c:f>
              <c:numCache>
                <c:formatCode>General</c:formatCode>
                <c:ptCount val="1"/>
                <c:pt idx="0">
                  <c:v>100</c:v>
                </c:pt>
              </c:numCache>
            </c:numRef>
          </c:val>
        </c:ser>
        <c:ser>
          <c:idx val="3"/>
          <c:order val="3"/>
          <c:tx>
            <c:strRef>
              <c:f>Sheet1!$E$1</c:f>
              <c:strCache>
                <c:ptCount val="1"/>
                <c:pt idx="0">
                  <c:v>公用经费</c:v>
                </c:pt>
              </c:strCache>
            </c:strRef>
          </c:tx>
          <c:invertIfNegative val="0"/>
          <c:dLbls>
            <c:delete val="1"/>
          </c:dLbls>
          <c:cat>
            <c:strRef>
              <c:f>Sheet1!$A$2</c:f>
              <c:strCache>
                <c:ptCount val="1"/>
                <c:pt idx="0">
                  <c:v>上年</c:v>
                </c:pt>
              </c:strCache>
            </c:strRef>
          </c:cat>
          <c:val>
            <c:numRef>
              <c:f>Sheet1!$E$2</c:f>
              <c:numCache>
                <c:formatCode>General</c:formatCode>
                <c:ptCount val="1"/>
                <c:pt idx="0">
                  <c:v>58.72</c:v>
                </c:pt>
              </c:numCache>
            </c:numRef>
          </c:val>
        </c:ser>
        <c:ser>
          <c:idx val="4"/>
          <c:order val="4"/>
          <c:tx>
            <c:strRef>
              <c:f>Sheet1!$F$1</c:f>
              <c:strCache>
                <c:ptCount val="1"/>
                <c:pt idx="0">
                  <c:v>人员经费</c:v>
                </c:pt>
              </c:strCache>
            </c:strRef>
          </c:tx>
          <c:invertIfNegative val="0"/>
          <c:dLbls>
            <c:delete val="1"/>
          </c:dLbls>
          <c:cat>
            <c:strRef>
              <c:f>Sheet1!$A$2</c:f>
              <c:strCache>
                <c:ptCount val="1"/>
                <c:pt idx="0">
                  <c:v>上年</c:v>
                </c:pt>
              </c:strCache>
            </c:strRef>
          </c:cat>
          <c:val>
            <c:numRef>
              <c:f>Sheet1!$F$2</c:f>
              <c:numCache>
                <c:formatCode>General</c:formatCode>
                <c:ptCount val="1"/>
                <c:pt idx="0">
                  <c:v>880.6</c:v>
                </c:pt>
              </c:numCache>
            </c:numRef>
          </c:val>
        </c:ser>
        <c:dLbls>
          <c:showLegendKey val="0"/>
          <c:showVal val="0"/>
          <c:showCatName val="0"/>
          <c:showSerName val="0"/>
          <c:showPercent val="0"/>
          <c:showBubbleSize val="0"/>
        </c:dLbls>
        <c:gapWidth val="182"/>
        <c:overlap val="0"/>
        <c:axId val="691519273"/>
        <c:axId val="850134922"/>
      </c:barChart>
      <c:catAx>
        <c:axId val="691519273"/>
        <c:scaling>
          <c:orientation val="minMax"/>
        </c:scaling>
        <c:delete val="1"/>
        <c:axPos val="l"/>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0134922"/>
        <c:crosses val="autoZero"/>
        <c:auto val="1"/>
        <c:lblAlgn val="ctr"/>
        <c:lblOffset val="100"/>
        <c:noMultiLvlLbl val="0"/>
      </c:catAx>
      <c:valAx>
        <c:axId val="85013492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151927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一般公共预算基本支出情况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Pt>
            <c:idx val="1"/>
            <c:bubble3D val="0"/>
          </c:dPt>
          <c:dLbls>
            <c:delete val="1"/>
          </c:dLbls>
          <c:cat>
            <c:strRef>
              <c:f>Sheet1!$A$2:$A$3</c:f>
              <c:strCache>
                <c:ptCount val="2"/>
                <c:pt idx="0">
                  <c:v>人员经费</c:v>
                </c:pt>
                <c:pt idx="1">
                  <c:v>公用经费</c:v>
                </c:pt>
              </c:strCache>
            </c:strRef>
          </c:cat>
          <c:val>
            <c:numRef>
              <c:f>Sheet1!$B$2:$B$3</c:f>
              <c:numCache>
                <c:formatCode>General</c:formatCode>
                <c:ptCount val="2"/>
                <c:pt idx="0">
                  <c:v>880.6</c:v>
                </c:pt>
                <c:pt idx="1">
                  <c:v>58.72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一般公共预算“三公”经费安排情况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Sheet1!$A$2:$A$4</c:f>
              <c:strCache>
                <c:ptCount val="3"/>
                <c:pt idx="0">
                  <c:v>因公出国（境）经费预算</c:v>
                </c:pt>
                <c:pt idx="1">
                  <c:v>公务接待费预算</c:v>
                </c:pt>
                <c:pt idx="2">
                  <c:v>公务用车购置及运行费预算</c:v>
                </c:pt>
              </c:strCache>
            </c:strRef>
          </c:cat>
          <c:val>
            <c:numRef>
              <c:f>Sheet1!$B$2:$B$4</c:f>
              <c:numCache>
                <c:formatCode>General</c:formatCode>
                <c:ptCount val="3"/>
                <c:pt idx="0">
                  <c:v>0</c:v>
                </c:pt>
                <c:pt idx="1">
                  <c:v>3.65</c:v>
                </c:pt>
                <c:pt idx="2">
                  <c:v>5.83</c:v>
                </c:pt>
              </c:numCache>
            </c:numRef>
          </c:val>
        </c:ser>
        <c:ser>
          <c:idx val="1"/>
          <c:order val="1"/>
          <c:tx>
            <c:strRef>
              <c:f>Sheet1!$C$1</c:f>
              <c:strCache>
                <c:ptCount val="1"/>
                <c:pt idx="0">
                  <c:v>当年</c:v>
                </c:pt>
              </c:strCache>
            </c:strRef>
          </c:tx>
          <c:invertIfNegative val="0"/>
          <c:dLbls>
            <c:delete val="1"/>
          </c:dLbls>
          <c:cat>
            <c:strRef>
              <c:f>Sheet1!$A$2:$A$4</c:f>
              <c:strCache>
                <c:ptCount val="3"/>
                <c:pt idx="0">
                  <c:v>因公出国（境）经费预算</c:v>
                </c:pt>
                <c:pt idx="1">
                  <c:v>公务接待费预算</c:v>
                </c:pt>
                <c:pt idx="2">
                  <c:v>公务用车购置及运行费预算</c:v>
                </c:pt>
              </c:strCache>
            </c:strRef>
          </c:cat>
          <c:val>
            <c:numRef>
              <c:f>Sheet1!$C$2:$C$4</c:f>
              <c:numCache>
                <c:formatCode>General</c:formatCode>
                <c:ptCount val="3"/>
                <c:pt idx="0">
                  <c:v>0</c:v>
                </c:pt>
                <c:pt idx="1">
                  <c:v>6</c:v>
                </c:pt>
                <c:pt idx="2">
                  <c:v>6.6</c:v>
                </c:pt>
              </c:numCache>
            </c:numRef>
          </c:val>
        </c:ser>
        <c:dLbls>
          <c:showLegendKey val="0"/>
          <c:showVal val="0"/>
          <c:showCatName val="0"/>
          <c:showSerName val="0"/>
          <c:showPercent val="0"/>
          <c:showBubbleSize val="0"/>
        </c:dLbls>
        <c:gapWidth val="182"/>
        <c:overlap val="0"/>
        <c:axId val="587647791"/>
        <c:axId val="468612210"/>
      </c:barChart>
      <c:catAx>
        <c:axId val="58764779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8612210"/>
        <c:crosses val="autoZero"/>
        <c:auto val="1"/>
        <c:lblAlgn val="ctr"/>
        <c:lblOffset val="100"/>
        <c:noMultiLvlLbl val="0"/>
      </c:catAx>
      <c:valAx>
        <c:axId val="46861221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764779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2024-02-27T14:00:00Z</dcterms:created>
  <dc:creator>金金金</dc:creator>
  <cp:lastModifiedBy>July</cp:lastModifiedBy>
  <dcterms:modified xsi:type="dcterms:W3CDTF">2024-02-28T09:22:23Z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CE025F8C910C4FEFB5555A52A6E6926B_11</vt:lpwstr>
  </property>
</Properties>
</file>