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sz w:val="56"/>
          <w:szCs w:val="56"/>
          <w:lang w:eastAsia="zh-CN"/>
        </w:rPr>
      </w:pPr>
      <w:r>
        <w:rPr>
          <w:rFonts w:hint="eastAsia"/>
          <w:sz w:val="56"/>
          <w:szCs w:val="56"/>
          <w:lang w:eastAsia="zh-CN"/>
        </w:rPr>
        <w:t xml:space="preserve">环江毛南族自治县洛阳镇退役军人服务站</w:t>
      </w:r>
    </w:p>
    <w:p>
      <w:pPr>
        <w:pStyle w:val="Bodytext|5"/>
        <w:jc w:val="center"/>
        <w:rPr>
          <w:sz w:val="56"/>
          <w:szCs w:val="56"/>
        </w:rPr>
        <w:sectPr>
          <w:pgSz w:w="11900" w:h="16840" w:orient="portrait"/>
          <w:pgMar w:top="4713" w:right="1913" w:bottom="4713" w:left="2020" w:header="4285" w:footer="2381" w:gutter="0"/>
          <w:pgBorders>
            <w:top w:val="none" w:sz="0" w:space="0" w:color="auto"/>
            <w:left w:val="none" w:sz="0" w:space="0" w:color="auto"/>
            <w:bottom w:val="none" w:sz="0" w:space="0" w:color="auto"/>
            <w:right w:val="none" w:sz="0" w:space="0" w:color="auto"/>
          </w:pgBorders>
          <w:pgNumType w:fmt="decimal" w:start="1"/>
          <w:cols w:num="1" w:space="720">
            <w:col w:w="7967" w:space="720"/>
          </w:cols>
          <w:docGrid w:linePitch="360" w:charSpace="0"/>
        </w:sectPr>
      </w:pPr>
      <w:r>
        <w:rPr>
          <w:rFonts w:hint="eastAsia"/>
          <w:sz w:val="56"/>
          <w:szCs w:val="56"/>
          <w:lang w:eastAsia="zh-CN"/>
        </w:rPr>
        <w:t xml:space="preserve">2024</w:t>
      </w:r>
      <w:r>
        <w:rPr>
          <w:rFonts w:ascii="宋体" w:eastAsia="宋体" w:hAnsi="宋体" w:asciiTheme="majorEastAsia" w:eastAsiaTheme="majorEastAsia" w:hAnsiTheme="majorEastAsia" w:cs="Times New Roman" w:cstheme="majorEastAsia" w:hint="eastAsia"/>
          <w:sz w:val="56"/>
          <w:szCs w:val="56"/>
          <w:u w:color="auto"/>
        </w:rPr>
        <w:t xml:space="preserve">年</w:t>
      </w:r>
      <w:r>
        <w:rPr>
          <w:rFonts w:ascii="宋体" w:eastAsia="宋体" w:hAnsi="宋体" w:asciiTheme="majorEastAsia" w:eastAsiaTheme="majorEastAsia" w:hAnsiTheme="majorEastAsia" w:cs="Times New Roman" w:cstheme="majorEastAsia" w:hint="eastAsia"/>
          <w:sz w:val="56"/>
          <w:szCs w:val="56"/>
        </w:rPr>
        <w:t xml:space="preserve">度部门预算</w:t>
      </w:r>
    </w:p>
    <w:p>
      <w:pPr>
        <w:pStyle w:val="Heading#1|1"/>
        <w:keepNext/>
        <w:keepLines/>
        <w:spacing w:after="240"/>
        <w:jc w:val="center"/>
      </w:pPr>
      <w:bookmarkStart w:id="0" w:name="bookmark0"/>
      <w:bookmarkStart w:id="1" w:name="bookmark1"/>
      <w:bookmarkStart w:id="2" w:name="bookmark2"/>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环江毛南族自治县洛阳镇退役军人服务站</w:t>
      </w:r>
      <w:r>
        <w:rPr>
          <w:u w:color="auto"/>
        </w:rPr>
        <w:t xml:space="preserve">单位</w:t>
      </w:r>
      <w:r>
        <w:t xml:space="preserve">概况</w:t>
      </w:r>
    </w:p>
    <w:p>
      <w:pPr>
        <w:pStyle w:val="Bodytext|2"/>
        <w:jc w:val="left"/>
      </w:pPr>
      <w:r>
        <w:rPr>
          <w:lang w:val="en-US" w:eastAsia="zh-CN" w:bidi="en-US"/>
        </w:rPr>
        <w:t xml:space="preserve">—</w:t>
      </w:r>
      <w:r>
        <w:t xml:space="preserve">、主要职责</w:t>
      </w:r>
    </w:p>
    <w:p>
      <w:pPr>
        <w:pStyle w:val="Bodytext|2"/>
        <w:jc w:val="left"/>
        <w:rPr>
          <w:rFonts w:hint="eastAsia"/>
        </w:rPr>
      </w:pPr>
      <w:r>
        <w:rPr>
          <w:rFonts w:hint="eastAsia"/>
          <w:lang w:val="en-US" w:eastAsia="zh-CN"/>
        </w:rPr>
        <w:t xml:space="preserve">二、</w:t>
      </w:r>
      <w:r>
        <w:rPr>
          <w:rFonts w:hint="eastAsia"/>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环江毛南族自治县洛阳镇退役军人服务站</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环江毛南族自治县洛阳镇退役军人服务站</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七、一般公开预算“三公”经费支出情况表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5"/>
          <w:pgSz w:w="11900" w:h="16840" w:orient="portrait"/>
          <w:pgMar w:top="1508" w:right="1674" w:bottom="1508" w:left="1851" w:header="0" w:footer="1077" w:gutter="0"/>
          <w:pgBorders>
            <w:top w:val="none" w:sz="0" w:space="0" w:color="auto"/>
            <w:left w:val="none" w:sz="0" w:space="0" w:color="auto"/>
            <w:bottom w:val="none" w:sz="0" w:space="0" w:color="auto"/>
            <w:right w:val="none" w:sz="0" w:space="0" w:color="auto"/>
          </w:pgBorders>
          <w:pgNumType w:fmt="decimal"/>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3"/>
      <w:bookmarkStart w:id="4" w:name="bookmark14"/>
      <w:bookmarkStart w:id="5" w:name="bookmark12"/>
      <w:r>
        <w:rPr>
          <w:b/>
          <w:bCs/>
          <w:sz w:val="40"/>
          <w:szCs w:val="40"/>
        </w:rPr>
        <w:t xml:space="preserve">第一部分</w:t>
      </w:r>
      <w:r>
        <w:rPr>
          <w:rFonts w:hint="eastAsia"/>
          <w:b/>
          <w:bCs/>
          <w:sz w:val="40"/>
          <w:szCs w:val="40"/>
          <w:lang w:eastAsia="zh-CN"/>
        </w:rPr>
        <w:t xml:space="preserve">：</w:t>
      </w:r>
      <w:r>
        <w:rPr>
          <w:b/>
          <w:sz w:val="40"/>
          <w:u w:color="auto"/>
        </w:rPr>
        <w:t xml:space="preserve">环江毛南族自治县洛阳镇退役军人服务站</w:t>
      </w:r>
      <w:r>
        <w:rPr>
          <w:b/>
          <w:bCs/>
          <w:sz w:val="40"/>
          <w:szCs w:val="40"/>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负责宣传贯彻退役军人有关政策法规，保障退役军人合法权益落实;做好信访接待，资料建档归类工作;积极培树宣传退役军人就业创业和服务社会的先进典型，发挥典型引领、示范和激励作用;建立健全本辖区退役军人基本信息台账，实行动态管理;收集退役军人就业创业需求，提供政策咨询和信息服务，对就业创业情况进行跟踪和指导;组织建立退役军人联系制度，掌握本辖区退役军人政策落实、主要诉求、帮扶解困等方面情况，并展常态化走访慰问、帮扶解困、化解矛盾和思想教育工作;加强日常报告和应急反馈;承办镇党委、政府交办的其他工作</w:t>
      </w:r>
    </w:p>
    <w:p>
      <w:pPr>
        <w:pStyle w:val="Bodytext|2"/>
        <w:spacing w:after="0" w:line="619" w:lineRule="exact"/>
        <w:ind w:firstLine="620"/>
        <w:jc w:val="left"/>
        <w:rPr>
          <w:rFonts w:hint="eastAsia"/>
          <w:b/>
          <w:bCs/>
          <w:lang w:val="en-US" w:eastAsia="zh-CN"/>
        </w:rPr>
      </w:pPr>
      <w:bookmarkStart w:id="6" w:name="bookmark24"/>
      <w:r>
        <w:rPr>
          <w:rFonts w:hint="eastAsia"/>
          <w:b/>
          <w:bCs/>
          <w:lang w:val="en-US" w:eastAsia="zh-CN"/>
        </w:rPr>
        <w:t xml:space="preserve">二</w:t>
      </w:r>
      <w:bookmarkEnd w:id="6"/>
      <w:r>
        <w:rPr>
          <w:rFonts w:hint="eastAsia"/>
          <w:b/>
          <w:bCs/>
          <w:lang w:val="en-US" w:eastAsia="zh-CN"/>
        </w:rPr>
        <w:t xml:space="preserve">、机构设置情况</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独立编制机构共1个，独立核算机构共1个。</w:t>
      </w:r>
    </w:p>
    <w:p>
      <w:pPr>
        <w:pStyle w:val="Bodytext|1"/>
        <w:spacing w:line="623" w:lineRule="exact"/>
        <w:ind w:firstLine="1018" w:firstLineChars="0"/>
        <w:jc w:val="left"/>
        <w:rPr>
          <w:rFonts w:hint="eastAsia"/>
          <w:highlight w:val="none"/>
          <w:lang w:val="en-US" w:eastAsia="zh-CN"/>
        </w:rPr>
      </w:pPr>
    </w:p>
    <w:p>
      <w:pPr>
        <w:pStyle w:val="Bodytext|1"/>
        <w:spacing w:line="623" w:lineRule="exact"/>
        <w:ind w:firstLine="1018" w:firstLineChars="0"/>
        <w:jc w:val="left"/>
        <w:rPr>
          <w:rFonts w:hint="eastAsia"/>
          <w:highlight w:val="none"/>
          <w:lang w:val="en-US" w:eastAsia="zh-CN"/>
        </w:rPr>
      </w:pPr>
    </w:p>
    <w:p>
      <w:pPr/>
      <w:r>
        <w:br w:type="page"/>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70"/>
      <w:bookmarkStart w:id="8" w:name="bookmark68"/>
      <w:bookmarkStart w:id="9" w:name="bookmark69"/>
      <w:bookmarkStart w:id="10" w:name="bookmark28"/>
      <w:bookmarkStart w:id="11" w:name="bookmark27"/>
      <w:bookmarkStart w:id="12" w:name="bookmark26"/>
      <w:r>
        <w:rPr>
          <w:b/>
          <w:bCs/>
          <w:sz w:val="40"/>
          <w:szCs w:val="40"/>
        </w:rPr>
        <w:t xml:space="preserve">第</w:t>
      </w:r>
      <w:r>
        <w:rPr>
          <w:rFonts w:hint="eastAsia"/>
          <w:b/>
          <w:bCs/>
          <w:sz w:val="40"/>
          <w:szCs w:val="40"/>
          <w:lang w:val="en-US" w:eastAsia="zh-CN"/>
        </w:rPr>
        <w:t xml:space="preserve">二</w:t>
      </w:r>
      <w:r>
        <w:rPr>
          <w:b/>
          <w:bCs/>
          <w:sz w:val="40"/>
          <w:szCs w:val="40"/>
        </w:rPr>
        <w:t xml:space="preserve">部分</w:t>
      </w:r>
      <w:r>
        <w:rPr>
          <w:rFonts w:hint="eastAsia"/>
          <w:b/>
          <w:bCs/>
          <w:sz w:val="40"/>
          <w:szCs w:val="40"/>
          <w:lang w:eastAsia="zh-CN"/>
        </w:rPr>
        <w:t xml:space="preserve">：</w:t>
      </w:r>
      <w:bookmarkEnd w:id="7"/>
      <w:bookmarkEnd w:id="8"/>
      <w:bookmarkEnd w:id="9"/>
      <w:r>
        <w:rPr>
          <w:rFonts w:hint="eastAsia"/>
          <w:b/>
          <w:bCs/>
          <w:sz w:val="40"/>
          <w:szCs w:val="40"/>
          <w:lang w:eastAsia="zh-CN"/>
        </w:rPr>
        <w:t xml:space="preserve">环江毛南族自治县洛阳镇退役军人服务站</w:t>
      </w:r>
      <w:r>
        <w:rPr>
          <w:b/>
          <w:sz w:val="40"/>
          <w:u w:color="auto"/>
        </w:rPr>
        <w:t xml:space="preserve">2024</w:t>
      </w:r>
      <w:r>
        <w:rPr>
          <w:b/>
          <w:sz w:val="40"/>
          <w:u w:color="auto"/>
        </w:rPr>
        <w:t xml:space="preserve">年部门预算情况说明</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 xml:space="preserve">一</w:t>
      </w:r>
      <w:bookmarkEnd w:id="13"/>
      <w:r>
        <w:rPr>
          <w:rFonts w:hint="eastAsia"/>
          <w:b/>
          <w:bCs/>
          <w:lang w:val="en-US" w:eastAsia="zh-CN"/>
        </w:rPr>
        <w:t xml:space="preserve">、部门预算收支总体情况说明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11.63</w:t>
      </w:r>
      <w:r>
        <w:rPr>
          <w:rFonts w:hint="eastAsia"/>
          <w:b w:val="0"/>
          <w:bCs w:val="0"/>
          <w:sz w:val="28"/>
          <w:szCs w:val="28"/>
        </w:rPr>
        <w:t xml:space="preserve">万元，总支出</w:t>
      </w:r>
      <w:r>
        <w:rPr>
          <w:rFonts w:hint="eastAsia"/>
          <w:sz w:val="28"/>
          <w:szCs w:val="28"/>
          <w:lang w:val="en-US" w:eastAsia="zh-CN"/>
        </w:rPr>
        <w:t xml:space="preserve">11.63</w:t>
      </w:r>
      <w:r>
        <w:rPr>
          <w:rFonts w:hint="eastAsia"/>
          <w:b w:val="0"/>
          <w:bCs w:val="0"/>
          <w:sz w:val="28"/>
          <w:szCs w:val="28"/>
        </w:rPr>
        <w:t xml:space="preserve">万元。总收入较2023年度预算数</w:t>
      </w:r>
      <w:r>
        <w:rPr>
          <w:rFonts w:hint="eastAsia"/>
          <w:sz w:val="28"/>
          <w:szCs w:val="28"/>
          <w:lang w:val="en-US" w:eastAsia="zh-CN"/>
        </w:rPr>
        <w:t xml:space="preserve">0.00</w:t>
      </w:r>
      <w:r>
        <w:rPr>
          <w:rFonts w:hint="eastAsia"/>
          <w:b w:val="0"/>
          <w:bCs w:val="0"/>
          <w:sz w:val="28"/>
          <w:szCs w:val="28"/>
        </w:rPr>
        <w:t xml:space="preserve">万元，</w:t>
      </w:r>
      <w:r>
        <w:rPr>
          <w:rFonts w:hint="eastAsia"/>
          <w:sz w:val="28"/>
          <w:szCs w:val="28"/>
        </w:rPr>
        <w:t xml:space="preserve">增加11.63</w:t>
      </w:r>
      <w:r>
        <w:rPr>
          <w:rFonts w:hint="eastAsia"/>
          <w:b w:val="0"/>
          <w:bCs w:val="0"/>
          <w:sz w:val="28"/>
          <w:szCs w:val="28"/>
        </w:rPr>
        <w:t xml:space="preserve">万元，</w:t>
      </w:r>
      <w:r>
        <w:rPr>
          <w:rFonts w:hint="eastAsia"/>
          <w:sz w:val="28"/>
          <w:szCs w:val="28"/>
        </w:rPr>
        <w:t xml:space="preserve">增长100%</w:t>
      </w:r>
      <w:r>
        <w:rPr>
          <w:rFonts w:hint="eastAsia"/>
          <w:b w:val="0"/>
          <w:bCs w:val="0"/>
          <w:sz w:val="28"/>
          <w:szCs w:val="28"/>
        </w:rPr>
        <w:t xml:space="preserve">，主要原因是</w:t>
      </w:r>
      <w:r>
        <w:rPr>
          <w:rFonts w:hint="eastAsia"/>
          <w:highlight w:val="none"/>
          <w:lang w:val="en-US" w:eastAsia="zh-CN"/>
        </w:rPr>
        <w:t xml:space="preserve">按编制人数编制预算，人员增加，人员基础性绩效工资增量调增。在职在编人员工资项中薪级工资调增，养老、公积金缴存基数医疗保险及大病统筹基数按年上调，预算增加，项目类支出增加</w:t>
      </w:r>
      <w:r>
        <w:rPr>
          <w:rFonts w:hint="eastAsia"/>
          <w:b w:val="0"/>
          <w:bCs w:val="0"/>
          <w:sz w:val="28"/>
          <w:szCs w:val="28"/>
        </w:rPr>
        <w:t xml:space="preserve">。总支出较2023年度预算数</w:t>
      </w:r>
      <w:r>
        <w:rPr>
          <w:rFonts w:hint="eastAsia"/>
          <w:sz w:val="28"/>
          <w:szCs w:val="28"/>
          <w:lang w:val="en-US" w:eastAsia="zh-CN"/>
        </w:rPr>
        <w:t xml:space="preserve">0.00</w:t>
      </w:r>
      <w:r>
        <w:rPr>
          <w:rFonts w:hint="eastAsia"/>
          <w:b w:val="0"/>
          <w:bCs w:val="0"/>
          <w:sz w:val="28"/>
          <w:szCs w:val="28"/>
        </w:rPr>
        <w:t xml:space="preserve">万元，</w:t>
      </w:r>
      <w:r>
        <w:rPr>
          <w:rFonts w:hint="eastAsia"/>
          <w:sz w:val="28"/>
          <w:szCs w:val="28"/>
        </w:rPr>
        <w:t xml:space="preserve">增加11.63</w:t>
      </w:r>
      <w:r>
        <w:rPr>
          <w:rFonts w:hint="eastAsia"/>
          <w:b w:val="0"/>
          <w:bCs w:val="0"/>
          <w:sz w:val="28"/>
          <w:szCs w:val="28"/>
        </w:rPr>
        <w:t xml:space="preserve">万元，</w:t>
      </w:r>
      <w:r>
        <w:rPr>
          <w:rFonts w:hint="eastAsia"/>
          <w:sz w:val="28"/>
          <w:szCs w:val="28"/>
        </w:rPr>
        <w:t xml:space="preserve">增长100%</w:t>
      </w:r>
      <w:r>
        <w:rPr>
          <w:rFonts w:hint="eastAsia"/>
          <w:b w:val="0"/>
          <w:bCs w:val="0"/>
          <w:sz w:val="28"/>
          <w:szCs w:val="28"/>
        </w:rPr>
        <w:t xml:space="preserve">，主要原因是</w:t>
      </w:r>
      <w:r>
        <w:rPr>
          <w:rFonts w:hint="eastAsia"/>
          <w:highlight w:val="none"/>
          <w:lang w:val="en-US" w:eastAsia="zh-CN"/>
        </w:rPr>
        <w:t xml:space="preserve">按编制人数编制预算，人员增加，人员基础性绩效工资增量调增。在职在编人员工资项中薪级工资调增，养老、公积金缴存基数医疗保险及大病统筹基数按年上调，预算增加，项目类支出增加</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二、部门收入总体情况说明</w:t>
      </w:r>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3994"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6"/>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11.63</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增加11.63</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增长100%</w:t>
      </w:r>
      <w:r>
        <w:rPr>
          <w:rFonts w:ascii="宋体" w:eastAsia="宋体" w:hAnsi="宋体" w:cs="宋体" w:hint="eastAsia"/>
          <w:sz w:val="28"/>
          <w:szCs w:val="28"/>
          <w:u w:color="auto"/>
        </w:rPr>
        <w:t xml:space="preserve">，主要原因是</w:t>
      </w:r>
      <w:r>
        <w:rPr>
          <w:rFonts w:hint="eastAsia"/>
          <w:highlight w:val="none"/>
          <w:lang w:val="en-US" w:eastAsia="zh-CN"/>
        </w:rPr>
        <w:t xml:space="preserve">按编制人数编制预算，人员增加，人员基础性绩效工资增量调增。在职在编人员工资项中薪级工资调增，养老、公积金缴存基数医疗保险及大病统筹基数按年上调，预算增加，项目类支出增加</w:t>
      </w:r>
      <w:r>
        <w:rPr>
          <w:rFonts w:ascii="宋体" w:eastAsia="宋体" w:hAnsi="宋体" w:cs="宋体" w:hint="eastAsia"/>
          <w:sz w:val="28"/>
          <w:szCs w:val="28"/>
          <w:u w:color="auto"/>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三、部门支出总体情况说明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3995"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7"/>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11.63</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增加11.63</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增长100%</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highlight w:val="none"/>
          <w:lang w:val="en-US" w:eastAsia="zh-CN"/>
        </w:rPr>
        <w:t xml:space="preserve">按编制人数编制预算，人员增加，人员基础性绩效工资增量调增。在职在编人员工资项中薪级工资调增，养老、公积金缴存基数医疗保险及大病统筹基数按年上调，预算增加，项目类支出增加</w:t>
      </w:r>
      <w:r>
        <w:rPr>
          <w:rFonts w:ascii="宋体" w:eastAsia="宋体" w:hAnsi="宋体" w:cs="宋体" w:hint="eastAsia"/>
          <w:sz w:val="28"/>
          <w:szCs w:val="28"/>
          <w:lang w:eastAsia="zh-CN"/>
        </w:rPr>
        <w:t xml:space="preserve">。主要包括：</w:t>
      </w:r>
      <w:r>
        <w:rPr>
          <w:rFonts w:ascii="宋体" w:eastAsia="宋体" w:hAnsi="宋体" w:cs="宋体" w:hint="eastAsia"/>
          <w:sz w:val="28"/>
          <w:szCs w:val="28"/>
          <w:highlight w:val="none"/>
          <w:lang w:val="en-US" w:eastAsia="zh-CN"/>
        </w:rPr>
        <w:t xml:space="preserve">1、按编制人数编制预算，人员增加，人员基础性绩效工资增量调增。2、在职在编人员工资项中薪级工资调增，养老、公积金缴存基数医疗保险及大病统筹基数按年上调，预算增加，项目类支出增加</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（一）按支出功能分类科目划分，共分为</w:t>
      </w:r>
      <w:r>
        <w:rPr>
          <w:rFonts w:ascii="宋体" w:eastAsia="宋体" w:hAnsi="宋体" w:cs="宋体" w:hint="eastAsia"/>
          <w:sz w:val="28"/>
          <w:szCs w:val="28"/>
          <w:lang w:val="en-US" w:eastAsia="zh-CN"/>
        </w:rPr>
        <w:t xml:space="preserve">3</w:t>
      </w:r>
      <w:r>
        <w:rPr>
          <w:rFonts w:ascii="宋体" w:eastAsia="宋体" w:hAnsi="宋体" w:cs="宋体" w:hint="eastAsia"/>
          <w:sz w:val="28"/>
          <w:szCs w:val="28"/>
        </w:rPr>
        <w:t xml:space="preserve">类，其中:</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社会保障和就业支出</w:t>
      </w:r>
      <w:r>
        <w:rPr>
          <w:rFonts w:ascii="宋体" w:eastAsia="宋体" w:hAnsi="宋体" w:cs="宋体" w:hint="eastAsia"/>
          <w:sz w:val="28"/>
          <w:szCs w:val="28"/>
          <w:lang w:val="en-US" w:eastAsia="zh-CN"/>
        </w:rPr>
        <w:t xml:space="preserve">10.29</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88.48%</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增长10.29</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增长100%</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人员增加，在职人员工资正常调资、基础性绩效工资增量调增和经费预算收入增加</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一般公共服务支出</w:t>
      </w:r>
      <w:r>
        <w:rPr>
          <w:rFonts w:ascii="宋体" w:eastAsia="宋体" w:hAnsi="宋体" w:cs="宋体" w:hint="eastAsia"/>
          <w:sz w:val="28"/>
          <w:szCs w:val="28"/>
          <w:lang w:val="en-US" w:eastAsia="zh-CN"/>
        </w:rPr>
        <w:t xml:space="preserve">0.11</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0.95%</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增长0.11</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增长100%</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人员增加，工会经费预算基数</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住房保障支出</w:t>
      </w:r>
      <w:r>
        <w:rPr>
          <w:rFonts w:ascii="宋体" w:eastAsia="宋体" w:hAnsi="宋体" w:cs="宋体" w:hint="eastAsia"/>
          <w:sz w:val="28"/>
          <w:szCs w:val="28"/>
          <w:lang w:val="en-US" w:eastAsia="zh-CN"/>
        </w:rPr>
        <w:t xml:space="preserve">1.23</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10.58%</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增长1.23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增长100%</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人员增加，住房公积金调整增加</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(二)按支出结构分类划分，分为基本支出预算和项目支出预算。</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基本支出预算。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基本支出预算</w:t>
      </w:r>
      <w:r>
        <w:rPr>
          <w:rFonts w:ascii="宋体" w:eastAsia="宋体" w:hAnsi="宋体" w:cs="宋体" w:hint="eastAsia"/>
          <w:sz w:val="28"/>
          <w:szCs w:val="28"/>
          <w:lang w:val="en-US" w:eastAsia="zh-CN"/>
        </w:rPr>
        <w:t xml:space="preserve">11.63</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100.00%</w:t>
      </w:r>
      <w:r>
        <w:rPr>
          <w:rFonts w:ascii="宋体" w:eastAsia="宋体" w:hAnsi="宋体" w:cs="宋体"/>
          <w:sz w:val="28"/>
          <w:u w:color="auto"/>
        </w:rPr>
        <w:t xml:space="preserve">,比上年</w:t>
      </w:r>
      <w:r>
        <w:rPr>
          <w:rFonts w:ascii="宋体" w:eastAsia="宋体" w:hAnsi="宋体" w:cs="宋体"/>
          <w:sz w:val="28"/>
          <w:u w:color="auto"/>
        </w:rPr>
        <w:t xml:space="preserve">增长11.63</w:t>
      </w:r>
      <w:r>
        <w:rPr>
          <w:rFonts w:ascii="宋体" w:eastAsia="宋体" w:hAnsi="宋体" w:cs="宋体"/>
          <w:sz w:val="28"/>
          <w:u w:color="auto"/>
        </w:rPr>
        <w:t xml:space="preserve">万元，</w:t>
      </w:r>
      <w:r>
        <w:rPr>
          <w:rFonts w:ascii="宋体" w:eastAsia="宋体" w:hAnsi="宋体" w:cs="宋体"/>
          <w:sz w:val="28"/>
          <w:u w:color="auto"/>
        </w:rPr>
        <w:t xml:space="preserve">增长100%</w:t>
      </w:r>
      <w:r>
        <w:rPr>
          <w:rFonts w:ascii="宋体" w:eastAsia="宋体" w:hAnsi="宋体" w:cs="宋体" w:hint="eastAsia"/>
          <w:sz w:val="28"/>
          <w:szCs w:val="28"/>
        </w:rPr>
        <w:t xml:space="preserve">。</w:t>
      </w:r>
      <w:r>
        <w:rPr>
          <w:rFonts w:ascii="宋体" w:eastAsia="宋体" w:hAnsi="宋体" w:cs="宋体" w:hint="eastAsia"/>
          <w:sz w:val="28"/>
          <w:szCs w:val="28"/>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0.35</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3.01%</w:t>
      </w:r>
      <w:r>
        <w:rPr>
          <w:rFonts w:ascii="宋体" w:eastAsia="宋体" w:hAnsi="宋体" w:cs="宋体" w:hint="eastAsia"/>
          <w:sz w:val="28"/>
          <w:szCs w:val="28"/>
        </w:rPr>
        <w:t xml:space="preserve">,比上年</w:t>
      </w:r>
      <w:r>
        <w:rPr>
          <w:rFonts w:ascii="宋体" w:eastAsia="宋体" w:hAnsi="宋体" w:cs="宋体"/>
          <w:sz w:val="28"/>
          <w:u w:color="auto"/>
        </w:rPr>
        <w:t xml:space="preserve">增长0.35</w:t>
      </w:r>
      <w:r>
        <w:rPr>
          <w:rFonts w:ascii="宋体" w:eastAsia="宋体" w:hAnsi="宋体" w:cs="宋体"/>
          <w:sz w:val="28"/>
          <w:u w:color="auto"/>
        </w:rPr>
        <w:t xml:space="preserve">万元，</w:t>
      </w:r>
      <w:r>
        <w:rPr>
          <w:rFonts w:ascii="宋体" w:eastAsia="宋体" w:hAnsi="宋体" w:cs="宋体"/>
          <w:sz w:val="28"/>
          <w:u w:color="auto"/>
        </w:rPr>
        <w:t xml:space="preserve">增长100%</w:t>
      </w:r>
      <w:r>
        <w:rPr>
          <w:rFonts w:ascii="宋体" w:eastAsia="宋体" w:hAnsi="宋体" w:cs="宋体"/>
          <w:sz w:val="28"/>
          <w:u w:color="auto"/>
        </w:rPr>
        <w:t xml:space="preserve">,主要原因是：按编制人数编制预算，人员增加，公用经费预算增加</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11.28</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96.99%</w:t>
      </w:r>
      <w:r>
        <w:rPr>
          <w:rFonts w:ascii="宋体" w:eastAsia="宋体" w:hAnsi="宋体" w:cs="宋体" w:hint="eastAsia"/>
          <w:sz w:val="28"/>
          <w:szCs w:val="28"/>
        </w:rPr>
        <w:t xml:space="preserve">,比上年</w:t>
      </w:r>
      <w:r>
        <w:rPr>
          <w:rFonts w:ascii="宋体" w:eastAsia="宋体" w:hAnsi="宋体" w:cs="宋体"/>
          <w:sz w:val="28"/>
          <w:u w:color="auto"/>
        </w:rPr>
        <w:t xml:space="preserve">增长11.28</w:t>
      </w:r>
      <w:r>
        <w:rPr>
          <w:rFonts w:ascii="宋体" w:eastAsia="宋体" w:hAnsi="宋体" w:cs="宋体"/>
          <w:sz w:val="28"/>
          <w:u w:color="auto"/>
        </w:rPr>
        <w:t xml:space="preserve">万元，</w:t>
      </w:r>
      <w:r>
        <w:rPr>
          <w:rFonts w:ascii="宋体" w:eastAsia="宋体" w:hAnsi="宋体" w:cs="宋体"/>
          <w:sz w:val="28"/>
          <w:u w:color="auto"/>
        </w:rPr>
        <w:t xml:space="preserve">增长100%</w:t>
      </w:r>
      <w:r>
        <w:rPr>
          <w:rFonts w:ascii="宋体" w:eastAsia="宋体" w:hAnsi="宋体" w:cs="宋体"/>
          <w:sz w:val="28"/>
          <w:u w:color="auto"/>
        </w:rPr>
        <w:t xml:space="preserve">,主要原因是：按编制人数编制预算，人员增加，人员基础性绩效工资增量调增。在职在编人员工资项中薪级工资调增，养老、公积金缴存基数医疗保险及大病统筹基数按年上调，预算增加，项目类支出增加</w:t>
      </w:r>
      <w:r>
        <w:rPr>
          <w:rFonts w:ascii="宋体" w:eastAsia="宋体" w:hAnsi="宋体" w:cs="宋体" w:hint="eastAsia"/>
          <w:sz w:val="28"/>
          <w:szCs w:val="28"/>
          <w:lang w:val="en-US" w:eastAsia="zh-CN"/>
        </w:rPr>
        <w:t xml:space="preserve">。</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b w:val="0"/>
          <w:bCs w:val="0"/>
          <w:color w:val="000000"/>
          <w:sz w:val="28"/>
          <w:szCs w:val="28"/>
          <w:lang w:val="zh-TW" w:eastAsia="zh-TW" w:bidi="zh-TW"/>
        </w:rPr>
      </w:pPr>
      <w:r>
        <w:rPr>
          <w:rFonts w:ascii="宋体" w:eastAsia="宋体" w:hAnsi="宋体" w:cs="宋体" w:hint="eastAsia"/>
          <w:b w:val="0"/>
          <w:bCs w:val="0"/>
          <w:color w:val="000000"/>
          <w:sz w:val="28"/>
          <w:szCs w:val="28"/>
          <w:lang w:val="zh-TW" w:eastAsia="zh-TW" w:bidi="zh-TW"/>
        </w:rPr>
        <w:t xml:space="preserve">项目支出预算。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项目支出预算</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0.00%</w:t>
      </w:r>
      <w:r>
        <w:rPr>
          <w:rFonts w:ascii="宋体" w:eastAsia="宋体" w:hAnsi="宋体" w:cs="宋体" w:hint="eastAsia"/>
          <w:sz w:val="28"/>
          <w:szCs w:val="28"/>
        </w:rPr>
        <w:t xml:space="preserve">,比上年</w:t>
      </w:r>
      <w:r>
        <w:rPr>
          <w:rFonts w:ascii="宋体" w:eastAsia="宋体" w:hAnsi="宋体" w:cs="宋体"/>
          <w:sz w:val="28"/>
          <w:u w:color="auto"/>
        </w:rPr>
        <w:t xml:space="preserve">增长0.00</w:t>
      </w:r>
      <w:r>
        <w:rPr>
          <w:rFonts w:ascii="宋体" w:eastAsia="宋体" w:hAnsi="宋体" w:cs="宋体" w:hint="eastAsia"/>
          <w:sz w:val="28"/>
          <w:szCs w:val="28"/>
        </w:rPr>
        <w:t xml:space="preserve">万元，</w:t>
      </w:r>
      <w:r>
        <w:rPr>
          <w:rFonts w:ascii="宋体" w:eastAsia="宋体" w:hAnsi="宋体" w:cs="宋体"/>
          <w:sz w:val="28"/>
          <w:u w:color="auto"/>
        </w:rPr>
        <w:t xml:space="preserve">增长0%</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四、财政拨款收支总体情况说明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3996"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11.63</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11.63</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0.00</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增加11.63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增长100%</w:t>
      </w:r>
      <w:r>
        <w:rPr>
          <w:rFonts w:ascii="宋体" w:eastAsia="宋体" w:hAnsi="宋体" w:cs="宋体" w:hint="eastAsia"/>
          <w:sz w:val="28"/>
          <w:szCs w:val="28"/>
        </w:rPr>
        <w:t xml:space="preserve">，主要原因是</w:t>
      </w:r>
      <w:r>
        <w:rPr>
          <w:rFonts w:hint="eastAsia"/>
          <w:highlight w:val="none"/>
          <w:lang w:val="en-US" w:eastAsia="zh-CN"/>
        </w:rPr>
        <w:t xml:space="preserve">按编制人数编制预算，人员增加，人员基础性绩效工资增量调增。在职在编人员工资项中薪级工资调增，养老、公积金缴存基数医疗保险及大病统筹基数按年上调，预算增加，项目类支出增加</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0.00</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增加11.63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增长100%</w:t>
      </w:r>
      <w:r>
        <w:rPr>
          <w:rFonts w:ascii="宋体" w:eastAsia="宋体" w:hAnsi="宋体" w:cs="宋体" w:hint="eastAsia"/>
          <w:sz w:val="28"/>
          <w:szCs w:val="28"/>
        </w:rPr>
        <w:t xml:space="preserve">，主要原因是</w:t>
      </w:r>
      <w:r>
        <w:rPr>
          <w:rFonts w:hint="eastAsia"/>
          <w:highlight w:val="none"/>
          <w:lang w:val="en-US" w:eastAsia="zh-CN"/>
        </w:rPr>
        <w:t xml:space="preserve">按编制人数编制预算，人员增加，人员基础性绩效工资增量调增。在职在编人员工资项中薪级工资调增，养老、公积金缴存基数医疗保险及大病统筹基数按年上调，预算增加，项目类支出增加</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五、一般公共预算支出情况说明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3997"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11.63</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增加11.63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增长100%</w:t>
      </w:r>
      <w:r>
        <w:rPr>
          <w:rFonts w:ascii="宋体" w:eastAsia="宋体" w:hAnsi="宋体" w:cs="宋体" w:hint="eastAsia"/>
          <w:sz w:val="28"/>
          <w:szCs w:val="28"/>
        </w:rPr>
        <w:t xml:space="preserve">，主要原因是</w:t>
      </w:r>
      <w:r>
        <w:rPr>
          <w:rFonts w:hint="eastAsia"/>
          <w:highlight w:val="none"/>
          <w:lang w:val="en-US" w:eastAsia="zh-CN"/>
        </w:rPr>
        <w:t xml:space="preserve">按编制人数编制预算，人员增加，人员基础性绩效工资增量调增。在职在编人员工资项中薪级工资调增，养老、公积金缴存基数医疗保险及大病统筹基数按年上调，预算增加，项目类支出增加</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0.11</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0.95%</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0.00</w:t>
      </w:r>
      <w:r>
        <w:rPr>
          <w:rFonts w:ascii="宋体" w:eastAsia="宋体" w:hAnsi="宋体" w:cs="宋体" w:hint="eastAsia"/>
          <w:sz w:val="28"/>
          <w:szCs w:val="28"/>
        </w:rPr>
        <w:t xml:space="preserve">万元，</w:t>
      </w:r>
      <w:r>
        <w:rPr>
          <w:rFonts w:ascii="宋体" w:eastAsia="宋体" w:hAnsi="宋体" w:cs="宋体"/>
          <w:sz w:val="28"/>
          <w:u w:color="auto"/>
        </w:rPr>
        <w:t xml:space="preserve">增长0.11</w:t>
      </w:r>
      <w:r>
        <w:rPr>
          <w:rFonts w:ascii="宋体" w:eastAsia="宋体" w:hAnsi="宋体" w:cs="宋体" w:hint="eastAsia"/>
          <w:sz w:val="28"/>
          <w:szCs w:val="28"/>
        </w:rPr>
        <w:t xml:space="preserve">万元，</w:t>
      </w:r>
      <w:r>
        <w:rPr>
          <w:rFonts w:ascii="宋体" w:eastAsia="宋体" w:hAnsi="宋体" w:cs="宋体"/>
          <w:sz w:val="28"/>
          <w:u w:color="auto"/>
        </w:rPr>
        <w:t xml:space="preserve">增长100%</w:t>
      </w:r>
      <w:r>
        <w:rPr>
          <w:rFonts w:ascii="宋体" w:eastAsia="宋体" w:hAnsi="宋体" w:cs="宋体" w:hint="eastAsia"/>
          <w:sz w:val="28"/>
          <w:szCs w:val="28"/>
        </w:rPr>
        <w:t xml:space="preserve">，主要原因是：</w:t>
      </w:r>
      <w:r>
        <w:rPr>
          <w:rFonts w:hint="eastAsia"/>
          <w:highlight w:val="none"/>
        </w:rPr>
        <w:t xml:space="preserve">人员增加，工会经费预算基数</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1.23</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10.58%</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0.00</w:t>
      </w:r>
      <w:r>
        <w:rPr>
          <w:rFonts w:ascii="宋体" w:eastAsia="宋体" w:hAnsi="宋体" w:cs="宋体" w:hint="eastAsia"/>
          <w:sz w:val="28"/>
          <w:szCs w:val="28"/>
        </w:rPr>
        <w:t xml:space="preserve">万元，</w:t>
      </w:r>
      <w:r>
        <w:rPr>
          <w:rFonts w:ascii="宋体" w:eastAsia="宋体" w:hAnsi="宋体" w:cs="宋体"/>
          <w:sz w:val="28"/>
          <w:u w:color="auto"/>
        </w:rPr>
        <w:t xml:space="preserve">增长1.23</w:t>
      </w:r>
      <w:r>
        <w:rPr>
          <w:rFonts w:ascii="宋体" w:eastAsia="宋体" w:hAnsi="宋体" w:cs="宋体" w:hint="eastAsia"/>
          <w:sz w:val="28"/>
          <w:szCs w:val="28"/>
        </w:rPr>
        <w:t xml:space="preserve">万元，</w:t>
      </w:r>
      <w:r>
        <w:rPr>
          <w:rFonts w:ascii="宋体" w:eastAsia="宋体" w:hAnsi="宋体" w:cs="宋体"/>
          <w:sz w:val="28"/>
          <w:u w:color="auto"/>
        </w:rPr>
        <w:t xml:space="preserve">增长100%</w:t>
      </w:r>
      <w:r>
        <w:rPr>
          <w:rFonts w:ascii="宋体" w:eastAsia="宋体" w:hAnsi="宋体" w:cs="宋体" w:hint="eastAsia"/>
          <w:sz w:val="28"/>
          <w:szCs w:val="28"/>
        </w:rPr>
        <w:t xml:space="preserve">，主要原因是：</w:t>
      </w:r>
      <w:r>
        <w:rPr>
          <w:rFonts w:hint="eastAsia"/>
          <w:highlight w:val="none"/>
        </w:rPr>
        <w:t xml:space="preserve">人员增加，住房公积金调整增加</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10.29</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88.48%</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0.00</w:t>
      </w:r>
      <w:r>
        <w:rPr>
          <w:rFonts w:ascii="宋体" w:eastAsia="宋体" w:hAnsi="宋体" w:cs="宋体" w:hint="eastAsia"/>
          <w:sz w:val="28"/>
          <w:szCs w:val="28"/>
        </w:rPr>
        <w:t xml:space="preserve">万元，</w:t>
      </w:r>
      <w:r>
        <w:rPr>
          <w:rFonts w:ascii="宋体" w:eastAsia="宋体" w:hAnsi="宋体" w:cs="宋体"/>
          <w:sz w:val="28"/>
          <w:u w:color="auto"/>
        </w:rPr>
        <w:t xml:space="preserve">增长10.29</w:t>
      </w:r>
      <w:r>
        <w:rPr>
          <w:rFonts w:ascii="宋体" w:eastAsia="宋体" w:hAnsi="宋体" w:cs="宋体" w:hint="eastAsia"/>
          <w:sz w:val="28"/>
          <w:szCs w:val="28"/>
        </w:rPr>
        <w:t xml:space="preserve">万元，</w:t>
      </w:r>
      <w:r>
        <w:rPr>
          <w:rFonts w:ascii="宋体" w:eastAsia="宋体" w:hAnsi="宋体" w:cs="宋体"/>
          <w:sz w:val="28"/>
          <w:u w:color="auto"/>
        </w:rPr>
        <w:t xml:space="preserve">增长100%</w:t>
      </w:r>
      <w:r>
        <w:rPr>
          <w:rFonts w:ascii="宋体" w:eastAsia="宋体" w:hAnsi="宋体" w:cs="宋体" w:hint="eastAsia"/>
          <w:sz w:val="28"/>
          <w:szCs w:val="28"/>
        </w:rPr>
        <w:t xml:space="preserve">，主要原因是：</w:t>
      </w:r>
      <w:r>
        <w:rPr>
          <w:rFonts w:hint="eastAsia"/>
          <w:highlight w:val="none"/>
        </w:rPr>
        <w:t xml:space="preserve">人员增加，在职人员工资正常调资、基础性绩效工资增量调增和经费预算收入增加</w:t>
      </w:r>
      <w:r>
        <w:rPr>
          <w:rFonts w:ascii="宋体" w:eastAsia="宋体" w:hAnsi="宋体" w:cs="宋体"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六、一般公共预算基本支出情况说明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3998"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11.63</w:t>
      </w:r>
      <w:r>
        <w:rPr>
          <w:rFonts w:hint="eastAsia"/>
        </w:rPr>
        <w:t xml:space="preserve">万元，较2023年度预算数</w:t>
      </w:r>
      <w:r>
        <w:rPr>
          <w:rFonts w:hint="eastAsia"/>
          <w:lang w:val="en-US" w:eastAsia="zh-CN"/>
        </w:rPr>
        <w:t xml:space="preserve">0.00</w:t>
      </w:r>
      <w:r>
        <w:rPr>
          <w:rFonts w:hint="eastAsia"/>
        </w:rPr>
        <w:t xml:space="preserve">万元</w:t>
      </w:r>
      <w:r>
        <w:rPr>
          <w:rFonts w:hint="eastAsia"/>
          <w:lang w:val="en-US" w:eastAsia="zh-CN"/>
        </w:rPr>
        <w:t xml:space="preserve">,</w:t>
      </w:r>
      <w:r>
        <w:rPr>
          <w:u w:color="auto"/>
        </w:rPr>
        <w:t xml:space="preserve">增加11.63</w:t>
      </w:r>
      <w:r>
        <w:rPr>
          <w:rFonts w:hint="eastAsia"/>
        </w:rPr>
        <w:t xml:space="preserve">万元，</w:t>
      </w:r>
      <w:r>
        <w:rPr>
          <w:rFonts w:hint="eastAsia"/>
          <w:lang w:val="en-US" w:eastAsia="zh-CN"/>
        </w:rPr>
        <w:t xml:space="preserve">增长100%</w:t>
      </w:r>
      <w:r>
        <w:rPr>
          <w:rFonts w:hint="eastAsia"/>
        </w:rPr>
        <w:t xml:space="preserve">，主要原因是</w:t>
      </w:r>
      <w:r>
        <w:rPr>
          <w:rFonts w:hint="eastAsia"/>
          <w:highlight w:val="none"/>
          <w:lang w:val="en-US" w:eastAsia="zh-CN"/>
        </w:rPr>
        <w:t xml:space="preserve">按编制人数编制预算，人员增加，人员基础性绩效工资增量调增。在职在编人员工资项中薪级工资调增，养老、公积金缴存基数医疗保险及大病统筹基数按年上调，预算增加，项目类支出增加</w:t>
      </w:r>
      <w:r>
        <w:rPr>
          <w:rFonts w:hint="eastAsia"/>
        </w:rPr>
        <w:t xml:space="preserve">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0.35</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3.01%</w:t>
      </w:r>
      <w:r>
        <w:rPr>
          <w:rFonts w:hint="eastAsia"/>
        </w:rPr>
        <w:t xml:space="preserve">，较2023年度预算数</w:t>
      </w:r>
      <w:r>
        <w:rPr>
          <w:rFonts w:hint="eastAsia"/>
          <w:lang w:val="en-US" w:eastAsia="zh-CN"/>
        </w:rPr>
        <w:t xml:space="preserve">0.00</w:t>
      </w:r>
      <w:r>
        <w:rPr>
          <w:rFonts w:hint="eastAsia"/>
        </w:rPr>
        <w:t xml:space="preserve">万元，</w:t>
      </w:r>
      <w:r>
        <w:rPr>
          <w:rFonts w:hint="eastAsia"/>
          <w:lang w:val="en-US" w:eastAsia="zh-CN"/>
        </w:rPr>
        <w:t xml:space="preserve">增长0.35</w:t>
      </w:r>
      <w:r>
        <w:rPr>
          <w:rFonts w:hint="eastAsia"/>
        </w:rPr>
        <w:t xml:space="preserve">万元，</w:t>
      </w:r>
      <w:r>
        <w:rPr>
          <w:rFonts w:hint="eastAsia"/>
          <w:lang w:val="en-US" w:eastAsia="zh-CN"/>
        </w:rPr>
        <w:t xml:space="preserve">增长100%</w:t>
      </w:r>
      <w:r>
        <w:rPr>
          <w:rFonts w:hint="eastAsia"/>
        </w:rPr>
        <w:t xml:space="preserve">，主要原因是：</w:t>
      </w:r>
      <w:r>
        <w:rPr>
          <w:rFonts w:hint="eastAsia"/>
          <w:highlight w:val="none"/>
        </w:rPr>
        <w:t xml:space="preserve">按编制人数编制预算，人员增加，公用经费预算增加</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11.28</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96.99%</w:t>
      </w:r>
      <w:r>
        <w:rPr>
          <w:rFonts w:hint="eastAsia"/>
        </w:rPr>
        <w:t xml:space="preserve">，较2023年度预算数</w:t>
      </w:r>
      <w:r>
        <w:rPr>
          <w:rFonts w:hint="eastAsia"/>
          <w:lang w:val="en-US" w:eastAsia="zh-CN"/>
        </w:rPr>
        <w:t xml:space="preserve">0.00</w:t>
      </w:r>
      <w:r>
        <w:rPr>
          <w:rFonts w:hint="eastAsia"/>
        </w:rPr>
        <w:t xml:space="preserve">万元，</w:t>
      </w:r>
      <w:r>
        <w:rPr>
          <w:rFonts w:hint="eastAsia"/>
          <w:lang w:val="en-US" w:eastAsia="zh-CN"/>
        </w:rPr>
        <w:t xml:space="preserve">增长11.28</w:t>
      </w:r>
      <w:r>
        <w:rPr>
          <w:rFonts w:hint="eastAsia"/>
        </w:rPr>
        <w:t xml:space="preserve">万元，</w:t>
      </w:r>
      <w:r>
        <w:rPr>
          <w:rFonts w:hint="eastAsia"/>
          <w:lang w:val="en-US" w:eastAsia="zh-CN"/>
        </w:rPr>
        <w:t xml:space="preserve">增长100%</w:t>
      </w:r>
      <w:r>
        <w:rPr>
          <w:rFonts w:hint="eastAsia"/>
        </w:rPr>
        <w:t xml:space="preserve">，主要原因是：</w:t>
      </w:r>
      <w:r>
        <w:rPr>
          <w:rFonts w:hint="eastAsia"/>
          <w:highlight w:val="none"/>
        </w:rPr>
        <w:t xml:space="preserve">按编制人数编制预算，人员增加，人员基础性绩效工资增量调增。在职在编人员工资项中薪级工资调增，养老、公积金缴存基数医疗保险及大病统筹基数按年上调，预算增加，项目类支出增加</w:t>
      </w:r>
    </w:p>
    <w:p>
      <w:pPr>
        <w:pStyle w:val="Bodytext|2"/>
        <w:spacing w:after="0" w:line="619" w:lineRule="exact"/>
        <w:ind w:firstLine="620"/>
        <w:jc w:val="left"/>
        <w:rPr>
          <w:rFonts w:hint="eastAsia"/>
          <w:b/>
          <w:bCs/>
        </w:rPr>
      </w:pPr>
      <w:r>
        <w:rPr>
          <w:rFonts w:hint="eastAsia"/>
          <w:b/>
          <w:bCs/>
          <w:lang w:val="en-US" w:eastAsia="zh-CN"/>
        </w:rPr>
        <w:t xml:space="preserve">七、一般公共预算</w:t>
      </w:r>
      <w:r>
        <w:rPr>
          <w:rFonts w:hint="eastAsia"/>
          <w:b/>
          <w:bCs/>
          <w:lang w:val="zh-CN" w:eastAsia="zh-CN"/>
        </w:rPr>
        <w:t xml:space="preserve">“三</w:t>
      </w:r>
      <w:r>
        <w:rPr>
          <w:rFonts w:hint="eastAsia"/>
          <w:b/>
          <w:bCs/>
          <w:lang w:val="en-US" w:eastAsia="zh-CN"/>
        </w:rPr>
        <w:t xml:space="preserve">公”经费支出情况说明</w:t>
      </w: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3999"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4"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0.00</w:t>
      </w:r>
      <w:r>
        <w:rPr>
          <w:rFonts w:hint="eastAsia"/>
          <w:b w:val="0"/>
          <w:bCs w:val="0"/>
          <w:sz w:val="28"/>
          <w:szCs w:val="28"/>
          <w:lang w:eastAsia="zh-CN"/>
        </w:rPr>
        <w:t xml:space="preserve">万元）。</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0.00</w:t>
      </w:r>
      <w:r>
        <w:rPr>
          <w:rFonts w:hint="eastAsia"/>
          <w:b w:val="0"/>
          <w:bCs w:val="0"/>
          <w:sz w:val="28"/>
          <w:szCs w:val="28"/>
        </w:rPr>
        <w:t xml:space="preserve">万元，同口径较2023年度预算数</w:t>
      </w:r>
      <w:r>
        <w:rPr>
          <w:rFonts w:hint="eastAsia"/>
          <w:b w:val="0"/>
          <w:bCs w:val="0"/>
          <w:sz w:val="28"/>
          <w:szCs w:val="28"/>
          <w:lang w:val="en-US" w:eastAsia="zh-CN"/>
        </w:rPr>
        <w:t xml:space="preserve">0.00</w:t>
      </w:r>
      <w:r>
        <w:rPr>
          <w:rFonts w:hint="eastAsia"/>
          <w:b w:val="0"/>
          <w:bCs w:val="0"/>
          <w:sz w:val="28"/>
          <w:szCs w:val="28"/>
        </w:rPr>
        <w:t xml:space="preserve">万元，</w:t>
      </w:r>
      <w:r>
        <w:rPr>
          <w:rFonts w:hint="eastAsia"/>
          <w:b w:val="0"/>
          <w:bCs w:val="0"/>
          <w:sz w:val="28"/>
          <w:szCs w:val="28"/>
          <w:lang w:val="en-US" w:eastAsia="zh-CN"/>
        </w:rPr>
        <w:t xml:space="preserve">增长0.00</w:t>
      </w:r>
      <w:r>
        <w:rPr>
          <w:rFonts w:hint="eastAsia"/>
          <w:b w:val="0"/>
          <w:bCs w:val="0"/>
          <w:sz w:val="28"/>
          <w:szCs w:val="28"/>
        </w:rPr>
        <w:t xml:space="preserve">万元，</w:t>
      </w:r>
      <w:r>
        <w:rPr>
          <w:rFonts w:hint="eastAsia"/>
          <w:b w:val="0"/>
          <w:bCs w:val="0"/>
          <w:sz w:val="28"/>
          <w:szCs w:val="28"/>
          <w:lang w:val="en-US" w:eastAsia="zh-CN"/>
        </w:rPr>
        <w:t xml:space="preserve">增长0%</w:t>
      </w:r>
      <w:r>
        <w:rPr>
          <w:rFonts w:hint="eastAsia"/>
          <w:b w:val="0"/>
          <w:bCs w:val="0"/>
          <w:sz w:val="28"/>
          <w:szCs w:val="28"/>
        </w:rPr>
        <w:t xml:space="preserve">，具体如下：</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本部门无因公出国（境）费用支出</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公务接待费统一在政府部门核算</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，其中：</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本部门本年度无新增公务车购置</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本部门本年度无公务用车</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八</w:t>
      </w:r>
      <w:bookmarkEnd w:id="14"/>
      <w:r>
        <w:rPr>
          <w:rFonts w:hint="eastAsia"/>
          <w:b/>
          <w:bCs/>
          <w:lang w:val="en-US" w:eastAsia="zh-CN"/>
        </w:rPr>
        <w:t xml:space="preserve">、政府性基金预算支出情况说明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b w:val="0"/>
          <w:bCs w:val="0"/>
          <w:sz w:val="28"/>
          <w:szCs w:val="28"/>
          <w:lang w:eastAsia="zh-CN"/>
        </w:rPr>
        <w:t xml:space="preserve">2024</w:t>
      </w:r>
      <w:r>
        <w:rPr>
          <w:rFonts w:hint="eastAsia"/>
          <w:sz w:val="28"/>
          <w:szCs w:val="28"/>
        </w:rPr>
        <w:t xml:space="preserve">年政府性基金预算支出共</w:t>
      </w:r>
      <w:r>
        <w:rPr>
          <w:rFonts w:hint="eastAsia"/>
          <w:b w:val="0"/>
          <w:bCs w:val="0"/>
          <w:sz w:val="28"/>
          <w:szCs w:val="28"/>
          <w:lang w:eastAsia="zh-CN"/>
        </w:rPr>
        <w:t xml:space="preserve">0.00</w:t>
      </w:r>
      <w:r>
        <w:rPr>
          <w:rFonts w:hint="eastAsia"/>
          <w:sz w:val="28"/>
          <w:szCs w:val="28"/>
        </w:rPr>
        <w:t xml:space="preserve">万元，较2023年度预算数</w:t>
      </w:r>
      <w:r>
        <w:rPr>
          <w:rFonts w:hint="eastAsia"/>
          <w:b w:val="0"/>
          <w:bCs w:val="0"/>
          <w:sz w:val="28"/>
          <w:szCs w:val="28"/>
          <w:lang w:eastAsia="zh-CN"/>
        </w:rPr>
        <w:t xml:space="preserve">0.00</w:t>
      </w:r>
      <w:r>
        <w:rPr>
          <w:rFonts w:hint="eastAsia"/>
          <w:sz w:val="28"/>
          <w:szCs w:val="28"/>
        </w:rPr>
        <w:t xml:space="preserve">万元，</w:t>
      </w:r>
      <w:r>
        <w:rPr>
          <w:rFonts w:hint="eastAsia"/>
          <w:b w:val="0"/>
          <w:bCs w:val="0"/>
          <w:sz w:val="28"/>
          <w:szCs w:val="28"/>
          <w:lang w:eastAsia="zh-CN"/>
        </w:rPr>
        <w:t xml:space="preserve">增加0.00</w:t>
      </w:r>
      <w:r>
        <w:rPr>
          <w:rFonts w:hint="eastAsia"/>
          <w:sz w:val="28"/>
          <w:szCs w:val="28"/>
        </w:rPr>
        <w:t xml:space="preserve">万元，</w:t>
      </w:r>
      <w:r>
        <w:rPr>
          <w:rFonts w:hint="eastAsia"/>
          <w:b w:val="0"/>
          <w:bCs w:val="0"/>
          <w:sz w:val="28"/>
          <w:szCs w:val="28"/>
          <w:lang w:eastAsia="zh-CN"/>
        </w:rPr>
        <w:t xml:space="preserve">增长0%</w:t>
      </w:r>
      <w:r>
        <w:rPr>
          <w:rFonts w:hint="eastAsia"/>
          <w:sz w:val="28"/>
          <w:szCs w:val="28"/>
        </w:rPr>
        <w:t xml:space="preserve">，主要原因是</w:t>
      </w:r>
      <w:r>
        <w:rPr>
          <w:rFonts w:hint="eastAsia"/>
          <w:sz w:val="28"/>
          <w:szCs w:val="28"/>
          <w:highlight w:val="none"/>
          <w:lang w:val="en-US" w:eastAsia="zh-CN"/>
        </w:rPr>
        <w:t xml:space="preserve">本部门本年度无政府性基金预算支出</w:t>
      </w:r>
      <w:r>
        <w:rPr>
          <w:rFonts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5" w:name="bookmark91"/>
      <w:r>
        <w:rPr>
          <w:rFonts w:hint="eastAsia"/>
          <w:b/>
          <w:bCs/>
          <w:lang w:val="en-US" w:eastAsia="zh-CN"/>
        </w:rPr>
        <w:t xml:space="preserve">九</w:t>
      </w:r>
      <w:bookmarkEnd w:id="15"/>
      <w:r>
        <w:rPr>
          <w:rFonts w:hint="eastAsia"/>
          <w:b/>
          <w:bCs/>
          <w:lang w:val="en-US" w:eastAsia="zh-CN"/>
        </w:rPr>
        <w:t xml:space="preserve">、国有资本经营预算支出情况说明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sz w:val="28"/>
          <w:szCs w:val="28"/>
          <w:lang w:eastAsia="zh-CN"/>
        </w:rPr>
        <w:t xml:space="preserve">2024</w:t>
      </w:r>
      <w:r>
        <w:rPr>
          <w:rFonts w:hint="eastAsia"/>
          <w:sz w:val="28"/>
          <w:szCs w:val="28"/>
        </w:rPr>
        <w:t xml:space="preserve">年国有资本经营预算支出共</w:t>
      </w:r>
      <w:r>
        <w:rPr>
          <w:rFonts w:hint="eastAsia"/>
          <w:sz w:val="28"/>
          <w:szCs w:val="28"/>
          <w:lang w:eastAsia="zh-CN"/>
        </w:rPr>
        <w:t xml:space="preserve">0.00</w:t>
      </w:r>
      <w:r>
        <w:rPr>
          <w:rFonts w:hint="eastAsia"/>
          <w:sz w:val="28"/>
          <w:szCs w:val="28"/>
        </w:rPr>
        <w:t xml:space="preserve">万元，较2023年度预算数</w:t>
      </w:r>
      <w:r>
        <w:rPr>
          <w:rFonts w:hint="eastAsia"/>
          <w:sz w:val="28"/>
          <w:szCs w:val="28"/>
          <w:lang w:eastAsia="zh-CN"/>
        </w:rPr>
        <w:t xml:space="preserve">0.00</w:t>
      </w:r>
      <w:r>
        <w:rPr>
          <w:rFonts w:hint="eastAsia"/>
          <w:sz w:val="28"/>
          <w:szCs w:val="28"/>
        </w:rPr>
        <w:t xml:space="preserve">万元，</w:t>
      </w:r>
      <w:r>
        <w:rPr>
          <w:rFonts w:hint="eastAsia"/>
          <w:sz w:val="28"/>
          <w:szCs w:val="28"/>
          <w:lang w:eastAsia="zh-CN"/>
        </w:rPr>
        <w:t xml:space="preserve">增加0.00</w:t>
      </w:r>
      <w:r>
        <w:rPr>
          <w:rFonts w:hint="eastAsia"/>
          <w:sz w:val="28"/>
          <w:szCs w:val="28"/>
        </w:rPr>
        <w:t xml:space="preserve">万元，</w:t>
      </w:r>
      <w:r>
        <w:rPr>
          <w:rFonts w:hint="eastAsia"/>
          <w:sz w:val="28"/>
          <w:szCs w:val="28"/>
          <w:lang w:eastAsia="zh-CN"/>
        </w:rPr>
        <w:t xml:space="preserve">增长0%</w:t>
      </w:r>
      <w:r>
        <w:rPr>
          <w:rFonts w:hint="eastAsia"/>
          <w:sz w:val="28"/>
          <w:szCs w:val="28"/>
        </w:rPr>
        <w:t xml:space="preserve">，主要原因是</w:t>
      </w:r>
      <w:r>
        <w:rPr>
          <w:rFonts w:hint="eastAsia"/>
          <w:sz w:val="28"/>
          <w:szCs w:val="28"/>
          <w:lang w:val="en-US" w:eastAsia="zh-CN"/>
        </w:rPr>
        <w:t xml:space="preserve">本部门本年度无国有资本经营预算</w:t>
      </w:r>
      <w:r>
        <w:rPr>
          <w:rFonts w:hint="eastAsia"/>
          <w:sz w:val="28"/>
          <w:szCs w:val="28"/>
        </w:rPr>
        <w:t xml:space="preserve">。</w:t>
      </w:r>
    </w:p>
    <w:p>
      <w:pPr>
        <w:pStyle w:val="Bodytext|2"/>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（一）机关运行经费安排情况说明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年本部门机关运行经费预算</w:t>
      </w:r>
      <w:r>
        <w:rPr>
          <w:rFonts w:ascii="宋体" w:eastAsia="宋体" w:hAnsi="宋体" w:cs="宋体" w:hint="eastAsia"/>
          <w:sz w:val="28"/>
          <w:szCs w:val="28"/>
          <w:lang w:val="en-US" w:eastAsia="zh-CN"/>
        </w:rPr>
        <w:t xml:space="preserve">0.35</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增加0.35</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增长100%</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lang w:val="en-US" w:eastAsia="zh-CN"/>
        </w:rPr>
        <w:t xml:space="preserve">按编制人数编制预算，人员增加，公用经费预算增加</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万元。其中：货物类采购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万元、工程类采购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万元、服务类采购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主要用于：0</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辆，其中，应急机要通信用车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辆、其他用车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辆，单位价值200万元以上大型设备</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台（套）。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个，预算资金</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 xml:space="preserve">重点项目集中在政府部门预算，故我部门2024年无重点项目预算</w:t>
      </w:r>
    </w:p>
    <w:p>
      <w:pPr>
        <w:pStyle w:val="Bodytext|1"/>
        <w:spacing w:line="624" w:lineRule="exact"/>
        <w:ind w:firstLine="600"/>
        <w:jc w:val="left"/>
        <w:rPr>
          <w:rFonts w:hint="eastAsia"/>
          <w:sz w:val="28"/>
          <w:szCs w:val="28"/>
          <w:highlight w:val="none"/>
          <w:lang w:val="en-US" w:eastAsia="zh-CN"/>
        </w:rPr>
      </w:pPr>
    </w:p>
    <w:p>
      <w:pPr>
        <w:pStyle w:val="Bodytext|1"/>
        <w:spacing w:line="624" w:lineRule="exact"/>
        <w:jc w:val="left"/>
        <w:rPr>
          <w:rFonts w:hint="default"/>
          <w:sz w:val="28"/>
          <w:szCs w:val="28"/>
          <w:highlight w:val="none"/>
          <w:lang w:val="en-US" w:eastAsia="zh-CN"/>
        </w:rPr>
        <w:sectPr>
          <w:headerReference w:type="default" r:id="rId12"/>
          <w:footerReference w:type="default" r:id="rId13"/>
          <w:pgSz w:w="11900" w:h="16840" w:orient="portrait"/>
          <w:pgMar w:top="1440" w:right="1800" w:bottom="1440" w:left="1800" w:header="0" w:footer="1077" w:gutter="0"/>
          <w:pgBorders>
            <w:top w:val="none" w:sz="0" w:space="0" w:color="auto"/>
            <w:left w:val="none" w:sz="0" w:space="0" w:color="auto"/>
            <w:bottom w:val="none" w:sz="0" w:space="0" w:color="auto"/>
            <w:right w:val="none" w:sz="0" w:space="0" w:color="auto"/>
          </w:pgBorders>
          <w:pgNumType w:fmt="decimal"/>
          <w:cols w:num="1" w:space="720">
            <w:col w:w="8300" w:space="720"/>
          </w:cols>
          <w:docGrid w:linePitch="360" w:charSpace="0"/>
        </w:sectPr>
      </w:pPr>
    </w:p>
    <w:p>
      <w:pPr>
        <w:pStyle w:val="Heading#1|1"/>
        <w:keepNext/>
        <w:keepLines/>
        <w:spacing w:after="980"/>
        <w:jc w:val="center"/>
        <w:rPr>
          <w:rFonts w:ascii="宋体" w:eastAsia="宋体" w:hAnsi="宋体" w:cs="宋体" w:hint="eastAsia"/>
          <w:b/>
          <w:bCs/>
          <w:sz w:val="36"/>
          <w:szCs w:val="36"/>
        </w:rPr>
      </w:pPr>
      <w:bookmarkEnd w:id="10"/>
      <w:bookmarkEnd w:id="11"/>
      <w:bookmarkEnd w:id="12"/>
      <w:r>
        <w:rPr>
          <w:rFonts w:ascii="宋体" w:eastAsia="宋体" w:hAnsi="宋体" w:cs="宋体" w:hint="eastAsia"/>
          <w:b/>
          <w:bCs/>
          <w:sz w:val="36"/>
          <w:szCs w:val="36"/>
        </w:rPr>
        <w:t xml:space="preserve">第</w:t>
      </w:r>
      <w:r>
        <w:rPr>
          <w:rFonts w:ascii="宋体" w:eastAsia="宋体" w:hAnsi="宋体" w:cs="宋体" w:hint="eastAsia"/>
          <w:b/>
          <w:bCs/>
          <w:sz w:val="36"/>
          <w:szCs w:val="36"/>
          <w:lang w:val="en-US" w:eastAsia="zh-CN"/>
        </w:rPr>
        <w:t xml:space="preserve">三</w:t>
      </w:r>
      <w:r>
        <w:rPr>
          <w:rFonts w:ascii="宋体" w:eastAsia="宋体" w:hAnsi="宋体" w:cs="宋体" w:hint="eastAsia"/>
          <w:b/>
          <w:bCs/>
          <w:sz w:val="36"/>
          <w:szCs w:val="36"/>
        </w:rPr>
        <w:t xml:space="preserve">部分</w:t>
      </w:r>
      <w:r>
        <w:rPr>
          <w:rFonts w:ascii="宋体" w:eastAsia="宋体" w:hAnsi="宋体" w:cs="宋体" w:hint="eastAsia"/>
          <w:b/>
          <w:bCs/>
          <w:sz w:val="36"/>
          <w:szCs w:val="36"/>
          <w:lang w:eastAsia="zh-CN"/>
        </w:rPr>
        <w:t xml:space="preserve">环江毛南族自治县洛阳镇退役军人服务站</w:t>
      </w:r>
      <w:r>
        <w:rPr>
          <w:rFonts w:ascii="宋体" w:eastAsia="宋体" w:hAnsi="宋体" w:cs="宋体"/>
          <w:b/>
          <w:sz w:val="36"/>
          <w:u w:color="auto"/>
        </w:rPr>
        <w:t xml:space="preserve">2024</w:t>
      </w:r>
      <w:r>
        <w:rPr>
          <w:rFonts w:ascii="宋体" w:eastAsia="宋体" w:hAnsi="宋体" w:cs="宋体"/>
          <w:b/>
          <w:sz w:val="36"/>
          <w:u w:color="auto"/>
        </w:rPr>
        <w:t xml:space="preserve">年</w:t>
      </w:r>
      <w:r>
        <w:rPr>
          <w:rFonts w:ascii="宋体" w:eastAsia="宋体" w:hAnsi="宋体" w:cs="宋体" w:hint="eastAsia"/>
          <w:b/>
          <w:bCs/>
          <w:sz w:val="36"/>
          <w:szCs w:val="36"/>
        </w:rPr>
        <w:t xml:space="preserve">部门预算表</w:t>
      </w:r>
    </w:p>
    <w:p>
      <w:pPr>
        <w:pStyle w:val="Heading#2|1"/>
        <w:keepNext/>
        <w:keepLines/>
        <w:spacing w:after="240"/>
        <w:jc w:val="center"/>
      </w:pPr>
      <w:bookmarkStart w:id="16" w:name="bookmark30"/>
      <w:bookmarkStart w:id="17" w:name="bookmark29"/>
      <w:bookmarkStart w:id="18" w:name="bookmark31"/>
      <w:r>
        <w:t xml:space="preserve">收支总体情况表</w:t>
      </w:r>
      <w:bookmarkEnd w:id="16"/>
      <w:bookmarkEnd w:id="17"/>
      <w:bookmarkEnd w:id="18"/>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环江毛南族自治县洛阳镇退役军人服务站</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11.63</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0.11</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11.63</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10.29</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1.23</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11.63</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11.63</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11.63</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11.63</w:t>
            </w:r>
          </w:p>
        </w:tc>
      </w:tr>
    </w:tbl>
    <w:p>
      <w:pPr>
        <w:pStyle w:val="Tablecaption|1"/>
        <w:ind w:left="101"/>
        <w:jc w:val="left"/>
      </w:pPr>
      <w:r>
        <w:t xml:space="preserve">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w:type="default" r:id="rId14"/>
          <w:footerReference w:type="default" r:id="rId15"/>
          <w:pgSz w:w="16840" w:h="11900" w:orient="landscape"/>
          <w:pgMar w:top="2397" w:right="761" w:bottom="1966" w:left="739" w:header="0" w:footer="1474" w:gutter="0"/>
          <w:pgBorders>
            <w:top w:val="none" w:sz="0" w:space="0" w:color="auto"/>
            <w:left w:val="none" w:sz="0" w:space="0" w:color="auto"/>
            <w:bottom w:val="none" w:sz="0" w:space="0" w:color="auto"/>
            <w:right w:val="none" w:sz="0" w:space="0" w:color="auto"/>
          </w:pgBorders>
          <w:pgNumType w:fmt="decimal"/>
          <w:cols w:num="1" w:space="720">
            <w:col w:w="15340" w:space="720"/>
          </w:cols>
          <w:docGrid w:linePitch="360" w:charSpace="0"/>
        </w:sectPr>
      </w:pP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968"/>
        <w:gridCol w:w="990"/>
        <w:gridCol w:w="1078"/>
        <w:gridCol w:w="972"/>
        <w:gridCol w:w="919"/>
        <w:gridCol w:w="1011"/>
        <w:gridCol w:w="859"/>
        <w:gridCol w:w="944"/>
        <w:gridCol w:w="150"/>
        <w:gridCol w:w="937"/>
        <w:gridCol w:w="9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环江毛南族自治县洛阳镇退役军人服务站</w:t>
            </w:r>
            <w:r>
              <w:rPr>
                <w:rFonts w:hint="eastAsia"/>
                <w:lang w:val="en-US" w:eastAsia="zh-CN"/>
              </w:rPr>
              <w:t xml:space="preserve">                                                                                  </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部门（单位）代码</w:t>
            </w:r>
          </w:p>
        </w:tc>
        <w:tc>
          <w:tcPr>
            <w:tcW w:w="1279"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部门（单位）名称</w:t>
            </w:r>
          </w:p>
        </w:tc>
        <w:tc>
          <w:tcPr>
            <w:tcW w:w="990" w:type="dxa"/>
            <w:vMerge w:val="restart"/>
            <w:vAlign w:val="center"/>
          </w:tcPr>
          <w:p>
            <w:pPr>
              <w:pStyle w:val="Other|1"/>
              <w:spacing w:line="240" w:lineRule="auto"/>
              <w:ind w:left="0" w:firstLine="0" w:leftChars="0" w:firstLineChars="0"/>
              <w:jc w:val="center"/>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5843" w:type="dxa"/>
            <w:gridSpan w:val="6"/>
          </w:tcPr>
          <w:p>
            <w:pPr>
              <w:tabs>
                <w:tab w:val="left" w:pos="859"/>
              </w:tabs>
              <w:jc w:val="center"/>
              <w:rPr>
                <w:rFonts w:eastAsia="宋体" w:hint="eastAsia"/>
                <w:vertAlign w:val="baseline"/>
                <w:lang w:val="en-US" w:eastAsia="zh-CN"/>
              </w:rPr>
            </w:pPr>
            <w:r>
              <w:rPr>
                <w:sz w:val="17"/>
                <w:szCs w:val="17"/>
              </w:rPr>
              <w:t xml:space="preserve">本年收入</w:t>
            </w:r>
          </w:p>
        </w:tc>
        <w:tc>
          <w:tcPr>
            <w:tcW w:w="5809" w:type="dxa"/>
            <w:gridSpan w:val="7"/>
          </w:tcPr>
          <w:p>
            <w:pPr>
              <w:tabs>
                <w:tab w:val="left" w:pos="859"/>
              </w:tabs>
              <w:jc w:val="center"/>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058"/>
        </w:trPr>
        <w:tc>
          <w:tcPr>
            <w:tcW w:w="1636" w:type="dxa"/>
            <w:vMerge/>
          </w:tcPr>
          <w:p>
            <w:pPr>
              <w:tabs>
                <w:tab w:val="left" w:pos="859"/>
              </w:tabs>
              <w:jc w:val="center"/>
              <w:rPr>
                <w:rFonts w:eastAsia="宋体" w:hint="eastAsia"/>
                <w:vertAlign w:val="baseline"/>
                <w:lang w:val="en-US" w:eastAsia="zh-CN"/>
              </w:rPr>
            </w:pPr>
          </w:p>
        </w:tc>
        <w:tc>
          <w:tcPr>
            <w:tcW w:w="1279" w:type="dxa"/>
            <w:vMerge/>
          </w:tcPr>
          <w:p>
            <w:pPr>
              <w:tabs>
                <w:tab w:val="left" w:pos="859"/>
              </w:tabs>
              <w:jc w:val="center"/>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center"/>
              <w:rPr>
                <w:rFonts w:eastAsia="宋体" w:hint="eastAsia"/>
                <w:vertAlign w:val="baseline"/>
                <w:lang w:val="en-US" w:eastAsia="zh-CN"/>
              </w:rPr>
            </w:pPr>
          </w:p>
        </w:tc>
        <w:tc>
          <w:tcPr>
            <w:tcW w:w="926"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968"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990"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1078"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firstLine="0" w:firstLineChars="0"/>
              <w:jc w:val="center"/>
              <w:rPr>
                <w:rFonts w:eastAsia="宋体" w:hint="eastAsia"/>
                <w:vertAlign w:val="baseline"/>
                <w:lang w:val="en-US" w:eastAsia="zh-CN"/>
              </w:rPr>
            </w:pPr>
            <w:r>
              <w:rPr>
                <w:sz w:val="17"/>
                <w:szCs w:val="17"/>
              </w:rPr>
              <w:t xml:space="preserve">收入</w:t>
            </w:r>
          </w:p>
        </w:tc>
        <w:tc>
          <w:tcPr>
            <w:tcW w:w="972" w:type="dxa"/>
            <w:vAlign w:val="center"/>
          </w:tcPr>
          <w:p>
            <w:pPr>
              <w:pStyle w:val="Other|1"/>
              <w:spacing w:line="240" w:lineRule="auto"/>
              <w:ind w:firstLine="0" w:firstLineChars="0"/>
              <w:jc w:val="center"/>
              <w:rPr>
                <w:rFonts w:eastAsia="宋体" w:hint="eastAsia"/>
                <w:vertAlign w:val="baseline"/>
                <w:lang w:val="en-US" w:eastAsia="zh-CN"/>
              </w:rPr>
            </w:pPr>
            <w:r>
              <w:rPr>
                <w:sz w:val="17"/>
                <w:szCs w:val="17"/>
              </w:rPr>
              <w:t xml:space="preserve">单位资金</w:t>
            </w:r>
          </w:p>
        </w:tc>
        <w:tc>
          <w:tcPr>
            <w:tcW w:w="919"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937"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right="280" w:firstLine="0" w:rightChars="0" w:firstLineChars="0"/>
              <w:jc w:val="center"/>
              <w:rPr>
                <w:rFonts w:eastAsia="宋体" w:hint="eastAsia"/>
                <w:vertAlign w:val="baseline"/>
                <w:lang w:val="en-US" w:eastAsia="zh-CN"/>
              </w:rPr>
            </w:pPr>
            <w:r>
              <w:rPr>
                <w:sz w:val="17"/>
                <w:szCs w:val="17"/>
              </w:rPr>
              <w:t xml:space="preserve">收入</w:t>
            </w:r>
          </w:p>
        </w:tc>
        <w:tc>
          <w:tcPr>
            <w:tcW w:w="989" w:type="dxa"/>
            <w:vAlign w:val="center"/>
          </w:tcPr>
          <w:p>
            <w:pPr>
              <w:pStyle w:val="Other|1"/>
              <w:spacing w:line="240" w:lineRule="auto"/>
              <w:ind w:firstLine="140" w:firstLineChars="0"/>
              <w:jc w:val="center"/>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96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990"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107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972"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919"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937" w:type="dxa"/>
            <w:vAlign w:val="center"/>
          </w:tcPr>
          <w:p>
            <w:pPr>
              <w:pStyle w:val="Other|1"/>
              <w:spacing w:line="240" w:lineRule="auto"/>
              <w:ind w:right="38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989" w:type="dxa"/>
            <w:vAlign w:val="center"/>
          </w:tcPr>
          <w:p>
            <w:pPr>
              <w:pStyle w:val="Other|1"/>
              <w:spacing w:line="240" w:lineRule="auto"/>
              <w:ind w:right="42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704010</w:t>
            </w:r>
          </w:p>
        </w:tc>
        <w:tc>
          <w:tcPr>
            <w:tcW w:w="1279" w:type="dxa"/>
          </w:tcPr>
          <w:p>
            <w:pPr>
              <w:pStyle w:val="Other|1"/>
              <w:spacing w:line="326" w:lineRule="exact"/>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环江毛南族自治县洛阳镇退役军人服务站</w:t>
            </w:r>
          </w:p>
        </w:tc>
        <w:tc>
          <w:tcPr>
            <w:tcW w:w="990"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11.63</w:t>
            </w:r>
          </w:p>
        </w:tc>
        <w:tc>
          <w:tcPr>
            <w:tcW w:w="926"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11.63</w:t>
            </w:r>
          </w:p>
        </w:tc>
        <w:tc>
          <w:tcPr>
            <w:tcW w:w="909"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11.63</w:t>
            </w:r>
          </w:p>
        </w:tc>
        <w:tc>
          <w:tcPr>
            <w:tcW w:w="968"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90"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78" w:type="dxa"/>
            <w:vAlign w:val="center"/>
          </w:tcPr>
          <w:p>
            <w:pPr>
              <w:pStyle w:val="Other|1"/>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72" w:type="dxa"/>
            <w:vAlign w:val="center"/>
          </w:tcPr>
          <w:p>
            <w:pPr>
              <w:pStyle w:val="Other|1"/>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19"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11"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9" w:type="dxa"/>
            <w:vAlign w:val="center"/>
          </w:tcPr>
          <w:p>
            <w:pPr>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94" w:type="dxa"/>
            <w:gridSpan w:val="2"/>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37" w:type="dxa"/>
            <w:vAlign w:val="center"/>
          </w:tcPr>
          <w:p>
            <w:pPr>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89"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5557" w:type="dxa"/>
            <w:gridSpan w:val="16"/>
            <w:tcBorders>
              <w:left w:val="nil"/>
              <w:bottom w:val="nil"/>
              <w:right w:val="nil"/>
            </w:tcBorders>
          </w:tcPr>
          <w:p>
            <w:pPr>
              <w:pStyle w:val="Tablecaption|1"/>
              <w:jc w:val="left"/>
              <w:rPr>
                <w:rFonts w:eastAsia="宋体" w:hint="eastAsia"/>
                <w:vertAlign w:val="baseline"/>
                <w:lang w:val="en-US" w:eastAsia="zh-CN"/>
              </w:rPr>
            </w:pPr>
            <w:r>
              <w:t xml:space="preserve">注：本报表金额单位转换时可能存在四舍五入尾数误差。</w:t>
            </w:r>
          </w:p>
        </w:tc>
      </w:tr>
    </w:tbl>
    <w:p>
      <w:pPr>
        <w:tabs>
          <w:tab w:val="left" w:pos="859"/>
        </w:tabs>
        <w:jc w:val="both"/>
        <w:rPr>
          <w:rFonts w:eastAsia="宋体" w:hint="eastAsia"/>
          <w:lang w:val="en-US" w:eastAsia="zh-CN"/>
        </w:rPr>
      </w:pPr>
    </w:p>
    <w:p>
      <w:pPr>
        <w:tabs>
          <w:tab w:val="left" w:pos="859"/>
        </w:tabs>
        <w:jc w:val="center"/>
        <w:rPr>
          <w:rFonts w:eastAsia="宋体" w:hint="eastAsia"/>
          <w:lang w:val="en-US" w:eastAsia="zh-CN"/>
        </w:rPr>
      </w:pPr>
    </w:p>
    <w:p>
      <w:pPr>
        <w:tabs>
          <w:tab w:val="left" w:pos="859"/>
        </w:tabs>
        <w:jc w:val="both"/>
        <w:rPr>
          <w:rFonts w:eastAsia="宋体" w:hint="eastAsia"/>
          <w:lang w:val="en-US" w:eastAsia="zh-CN"/>
        </w:rPr>
      </w:pPr>
    </w:p>
    <w:p>
      <w:pPr>
        <w:spacing w:line="1" w:lineRule="exact"/>
        <w:jc w:val="left"/>
        <w:rPr>
          <w:lang w:eastAsia="zh-CN"/>
        </w:rPr>
        <w:sectPr>
          <w:headerReference w:type="default" r:id="rId16"/>
          <w:footerReference w:type="default" r:id="rId17"/>
          <w:pgSz w:w="16840" w:h="11900" w:orient="landscape"/>
          <w:pgMar w:top="2709" w:right="764" w:bottom="2709" w:left="735" w:header="2281"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2|1"/>
        <w:keepNext/>
        <w:keepLines/>
        <w:spacing w:after="240"/>
        <w:jc w:val="center"/>
      </w:pPr>
      <w:bookmarkStart w:id="19" w:name="bookmark42"/>
      <w:bookmarkStart w:id="20" w:name="bookmark41"/>
      <w:bookmarkStart w:id="21" w:name="bookmark43"/>
      <w:r>
        <w:t xml:space="preserve">支出总体情况表</w:t>
      </w:r>
      <w:bookmarkEnd w:id="19"/>
      <w:bookmarkEnd w:id="20"/>
      <w:bookmarkEnd w:id="21"/>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环江毛南族自治县洛阳镇退役军人服务站</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11.63</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11.63</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704010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11.63</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11.63</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0.11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0.11</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2080109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社会保险经办机构</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8.89</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8.89</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1.40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1.40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1.23</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1.23</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bl>
    <w:p>
      <w:pPr>
        <w:pStyle w:val="Tablecaption|1"/>
        <w:ind w:left="672"/>
        <w:jc w:val="left"/>
      </w:pPr>
      <w:r>
        <w:t xml:space="preserve">注：本报表金额单位转换时可能存在四舍五入尾数误差。</w:t>
      </w:r>
      <w:r>
        <w:br w:type="page"/>
      </w:r>
    </w:p>
    <w:p>
      <w:pPr>
        <w:pStyle w:val="Heading#2|1"/>
        <w:keepNext/>
        <w:keepLines/>
        <w:spacing w:after="240"/>
        <w:jc w:val="center"/>
      </w:pPr>
      <w:bookmarkStart w:id="22" w:name="bookmark46"/>
      <w:bookmarkStart w:id="23" w:name="bookmark44"/>
      <w:bookmarkStart w:id="24" w:name="bookmark45"/>
      <w:r>
        <w:t xml:space="preserve">财政拨款收支总体情况表</w:t>
      </w:r>
      <w:bookmarkEnd w:id="22"/>
      <w:bookmarkEnd w:id="23"/>
      <w:bookmarkEnd w:id="24"/>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环江毛南族自治县洛阳镇退役军人服务站</w:t>
            </w:r>
            <w:r>
              <w:rPr>
                <w:rFonts w:hint="eastAsia"/>
                <w:sz w:val="17"/>
                <w:szCs w:val="17"/>
                <w:lang w:val="en-US" w:eastAsia="zh-CN"/>
              </w:rPr>
              <w:t xml:space="preserve">                         </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11.63</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0.11</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11.63</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10.29</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1.23</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11.63</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11.63</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11.63</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11.63</w:t>
            </w:r>
          </w:p>
        </w:tc>
      </w:tr>
      <w:tr>
        <w:tblPrEx>
          <w:tblW w:w="0" w:type="auto"/>
          <w:tblInd w:w="0" w:type="dxa"/>
          <w:tblLayout w:type="fixed"/>
          <w:tblCellMar>
            <w:top w:w="0" w:type="dxa"/>
            <w:left w:w="10" w:type="dxa"/>
            <w:bottom w:w="0" w:type="dxa"/>
            <w:right w:w="10" w:type="dxa"/>
          </w:tblCellMar>
        </w:tblPrEx>
        <w:trPr>
          <w:trHeight w:hRule="exact" w:val="352"/>
        </w:trPr>
        <w:tc>
          <w:tcPr>
            <w:tcW w:w="15342" w:type="dxa"/>
            <w:gridSpan w:val="6"/>
            <w:tcBorders>
              <w:top w:val="single" w:sz="4" w:space="0" w:color="auto"/>
            </w:tcBorders>
            <w:shd w:val="clear" w:color="auto" w:fill="FFFFFF"/>
          </w:tcPr>
          <w:p>
            <w:pPr>
              <w:jc w:val="left"/>
              <w:rPr>
                <w:sz w:val="10"/>
                <w:szCs w:val="10"/>
                <w:lang w:eastAsia="zh-CN"/>
              </w:rPr>
            </w:pPr>
            <w:r>
              <w:rPr>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trHeight w:hRule="exact" w:val="274"/>
        </w:trPr>
        <w:tc>
          <w:tcPr>
            <w:tcW w:w="15342" w:type="dxa"/>
            <w:gridSpan w:val="6"/>
            <w:shd w:val="clear" w:color="auto" w:fill="FFFFFF"/>
            <w:vAlign w:val="bottom"/>
          </w:tcPr>
          <w:p>
            <w:pPr>
              <w:jc w:val="left"/>
              <w:rPr>
                <w:sz w:val="10"/>
                <w:szCs w:val="10"/>
                <w:lang w:eastAsia="zh-CN"/>
              </w:rPr>
            </w:pPr>
            <w:r>
              <w:rPr>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环江毛南族自治县洛阳镇退役军人服务站</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p>
        </w:tc>
        <w:tc>
          <w:tcPr>
            <w:tcW w:w="1676"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704010</w:t>
            </w:r>
          </w:p>
        </w:tc>
        <w:tc>
          <w:tcPr>
            <w:tcW w:w="1662" w:type="dxa"/>
            <w:vAlign w:val="center"/>
          </w:tcPr>
          <w:p>
            <w:pPr>
              <w:pStyle w:val="Other|1"/>
              <w:spacing w:line="240" w:lineRule="auto"/>
              <w:ind w:firstLine="0" w:firstLineChars="0"/>
              <w:jc w:val="center"/>
              <w:rPr>
                <w:rFonts w:hint="eastAsia"/>
                <w:vertAlign w:val="baseline"/>
                <w:lang w:eastAsia="zh-CN"/>
              </w:rPr>
            </w:pP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11.63</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11.63</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11.28</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0.35</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2012999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其他群众团体事务支出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0.11</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0.11</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0.11</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2080109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社会保险经办机构</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8.89</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8.89</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8.65</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0.24</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2080505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机关事业单位基本养老保险缴费支出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1.40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1.40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1.40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2210201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住房公积金</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1.23</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1.23</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1.23</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10"/>
            <w:tcBorders>
              <w:left w:val="nil"/>
              <w:bottom w:val="nil"/>
              <w:right w:val="nil"/>
            </w:tcBorders>
          </w:tcPr>
          <w:p>
            <w:pPr>
              <w:jc w:val="left"/>
              <w:rPr>
                <w:rFonts w:hint="eastAsia"/>
                <w:vertAlign w:val="baseline"/>
                <w:lang w:eastAsia="zh-CN"/>
              </w:rPr>
            </w:pPr>
            <w:r>
              <w:rPr>
                <w:sz w:val="16"/>
                <w:szCs w:val="16"/>
              </w:rPr>
              <w:t xml:space="preserve">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pPr>
      <w:bookmarkStart w:id="25" w:name="bookmark57"/>
      <w:bookmarkStart w:id="26" w:name="bookmark56"/>
      <w:bookmarkStart w:id="27" w:name="bookmark58"/>
      <w:r>
        <w:t xml:space="preserve">一般公共预算基本支出情况表</w:t>
      </w:r>
      <w:bookmarkEnd w:id="25"/>
      <w:bookmarkEnd w:id="26"/>
      <w:bookmarkEnd w:id="27"/>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环江毛南族自治县洛阳镇退役军人服务站</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 </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合计</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11.63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11.28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0.35</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11.28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11.28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基本工资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3.77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3.77</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津贴补贴</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0.80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0.80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奖金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1.76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1.76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绩效工资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1.69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1.69</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1.40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1.40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0.56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0.56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住房公积金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0.35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0.35</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办公费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差旅费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工会经费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0.11</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 xml:space="preserve">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rPr>
          <w:rFonts w:hint="default"/>
          <w:sz w:val="28"/>
          <w:szCs w:val="28"/>
          <w:lang w:val="en-US" w:eastAsia="zh-CN"/>
        </w:rPr>
      </w:pPr>
      <w:bookmarkStart w:id="28" w:name="bookmark65"/>
      <w:bookmarkStart w:id="29" w:name="bookmark67"/>
      <w:bookmarkStart w:id="30" w:name="bookmark66"/>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环江毛南族自治县洛阳镇退役军人服务站</w:t>
            </w:r>
            <w:r>
              <w:rPr>
                <w:rFonts w:ascii="宋体" w:eastAsia="宋体" w:hAnsi="宋体" w:cs="宋体"/>
                <w:sz w:val="16"/>
                <w:u w:color="auto"/>
              </w:rPr>
              <w:t xml:space="preserve">                                           </w:t>
            </w:r>
            <w:r>
              <w:rPr>
                <w:rFonts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val="restart"/>
          </w:tcPr>
          <w:p>
            <w:pPr>
              <w:pStyle w:val="Tablecaption|1"/>
              <w:bidi w:val="0"/>
              <w:jc w:val="center"/>
              <w:rPr>
                <w:rFonts w:hint="eastAsia"/>
                <w:vertAlign w:val="baseline"/>
                <w:lang w:val="en-US" w:eastAsia="zh-CN"/>
              </w:rPr>
            </w:pP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pStyle w:val="Other|1"/>
              <w:spacing w:line="240" w:lineRule="auto"/>
              <w:ind w:firstLine="0" w:firstLineChars="0"/>
              <w:jc w:val="lef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704010</w:t>
            </w:r>
          </w:p>
        </w:tc>
        <w:tc>
          <w:tcPr>
            <w:tcW w:w="1918" w:type="dxa"/>
            <w:vAlign w:val="center"/>
          </w:tcPr>
          <w:p>
            <w:pPr>
              <w:pStyle w:val="Other|1"/>
              <w:spacing w:line="240" w:lineRule="auto"/>
              <w:ind w:firstLine="0" w:firstLineChars="0"/>
              <w:jc w:val="left"/>
              <w:rPr>
                <w:rFonts w:hint="eastAsia"/>
                <w:vertAlign w:val="baseline"/>
                <w:lang w:val="en-US" w:eastAsia="zh-CN"/>
              </w:rPr>
            </w:pPr>
          </w:p>
        </w:tc>
        <w:tc>
          <w:tcPr>
            <w:tcW w:w="1884"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5"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8"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0"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7" w:type="dxa"/>
            <w:gridSpan w:val="2"/>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9"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6"/>
                <w:szCs w:val="16"/>
              </w:rPr>
              <w:t xml:space="preserve">注：本报表金额单位转换时可能存在四舍五入尾数误差</w:t>
            </w:r>
          </w:p>
        </w:tc>
      </w:tr>
    </w:tbl>
    <w:p>
      <w:pPr>
        <w:pStyle w:val="Tablecaption|1"/>
        <w:bidi w:val="0"/>
        <w:rPr>
          <w:rFonts w:hint="eastAsia"/>
          <w:lang w:val="en-US" w:eastAsia="zh-CN"/>
        </w:rP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Tablecaption|1"/>
        <w:bidi w:val="0"/>
      </w:pPr>
    </w:p>
    <w:p>
      <w:pPr>
        <w:pStyle w:val="Heading#2|1"/>
        <w:keepNext/>
        <w:keepLines/>
        <w:spacing w:after="240"/>
        <w:jc w:val="center"/>
      </w:pPr>
      <w:r>
        <w:t xml:space="preserve">政府性基金预算支出情况表</w:t>
      </w:r>
      <w:bookmarkEnd w:id="28"/>
      <w:bookmarkEnd w:id="29"/>
      <w:bookmarkEnd w:id="30"/>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环江毛南族自治县洛阳镇退役军人服务站</w:t>
            </w:r>
            <w:r>
              <w:tab/>
            </w:r>
            <w:r>
              <w:t xml:space="preserve">单位：万元</w:t>
            </w:r>
          </w:p>
        </w:tc>
        <w:tc>
          <w:tcPr>
            <w:tcW w:w="2163"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pStyle w:val="Tablecaption|1"/>
              <w:bidi w:val="0"/>
              <w:jc w:val="center"/>
              <w:rPr>
                <w:vertAlign w:val="baseline"/>
              </w:rPr>
            </w:pPr>
            <w:r>
              <w:rPr>
                <w:sz w:val="17"/>
                <w:szCs w:val="17"/>
              </w:rPr>
              <w:t xml:space="preserve">科目编码</w:t>
            </w:r>
          </w:p>
        </w:tc>
        <w:tc>
          <w:tcPr>
            <w:tcW w:w="2161" w:type="dxa"/>
          </w:tcPr>
          <w:p>
            <w:pPr>
              <w:pStyle w:val="Tablecaption|1"/>
              <w:bidi w:val="0"/>
              <w:jc w:val="center"/>
              <w:rPr>
                <w:vertAlign w:val="baseline"/>
              </w:rPr>
            </w:pPr>
            <w:r>
              <w:rPr>
                <w:sz w:val="17"/>
                <w:szCs w:val="17"/>
              </w:rPr>
              <w:t xml:space="preserve">部门（单位）代码</w:t>
            </w:r>
          </w:p>
        </w:tc>
        <w:tc>
          <w:tcPr>
            <w:tcW w:w="2162" w:type="dxa"/>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2012999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其他群众团体事务支出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2080109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社会保险经办机构</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2080505</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机关事业单位基本养老保险缴费支出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2210201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住房公积金</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bidi w:val="0"/>
              <w:jc w:val="both"/>
              <w:rPr>
                <w:vertAlign w:val="baseline"/>
              </w:rPr>
            </w:pPr>
            <w:r>
              <w:t xml:space="preserve">注：本报表金额单位转换时可能存在四舍五入尾数误差</w:t>
            </w:r>
          </w:p>
        </w:tc>
      </w:tr>
    </w:tbl>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jc w:val="center"/>
        <w:rPr>
          <w:sz w:val="28"/>
          <w:szCs w:val="28"/>
        </w:rPr>
      </w:pPr>
      <w:r>
        <w:rPr>
          <w:sz w:val="28"/>
          <w:szCs w:val="28"/>
        </w:rPr>
        <w:t xml:space="preserve">国有资本经营预算支出情况表</w:t>
      </w:r>
    </w:p>
    <w:p>
      <w:pPr>
        <w:pStyle w:val="Tablecaption|1"/>
        <w:bidi w:val="0"/>
        <w:jc w:val="center"/>
        <w:rPr>
          <w:sz w:val="28"/>
          <w:szCs w:val="28"/>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环江毛南族自治县洛阳镇退役军人服务站</w:t>
            </w:r>
            <w:r>
              <w:tab/>
            </w:r>
            <w:r>
              <w:t xml:space="preserve">单位：万元</w:t>
            </w:r>
          </w:p>
        </w:tc>
        <w:tc>
          <w:tcPr>
            <w:tcW w:w="2163" w:type="dxa"/>
            <w:tcBorders>
              <w:top w:val="nil"/>
              <w:left w:val="nil"/>
              <w:right w:val="nil"/>
            </w:tcBorders>
          </w:tcPr>
          <w:p>
            <w:pPr>
              <w:pStyle w:val="Tablecaption|1"/>
              <w:tabs>
                <w:tab w:val="left" w:pos="14213"/>
              </w:tabs>
              <w:ind w:left="101"/>
              <w:jc w:val="left"/>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val="restart"/>
          </w:tcPr>
          <w:p>
            <w:pPr>
              <w:pStyle w:val="Tablecaption|1"/>
              <w:bidi w:val="0"/>
              <w:jc w:val="center"/>
              <w:rPr>
                <w:vertAlign w:val="baseline"/>
              </w:rPr>
            </w:pPr>
            <w:r>
              <w:rPr>
                <w:sz w:val="17"/>
                <w:szCs w:val="17"/>
              </w:rPr>
              <w:t xml:space="preserve">科目编码</w:t>
            </w:r>
          </w:p>
        </w:tc>
        <w:tc>
          <w:tcPr>
            <w:tcW w:w="2161" w:type="dxa"/>
            <w:vMerge w:val="restart"/>
          </w:tcPr>
          <w:p>
            <w:pPr>
              <w:pStyle w:val="Tablecaption|1"/>
              <w:bidi w:val="0"/>
              <w:jc w:val="center"/>
              <w:rPr>
                <w:vertAlign w:val="baseline"/>
              </w:rPr>
            </w:pPr>
            <w:r>
              <w:rPr>
                <w:sz w:val="17"/>
                <w:szCs w:val="17"/>
              </w:rPr>
              <w:t xml:space="preserve">部门（单位）代码</w:t>
            </w:r>
          </w:p>
        </w:tc>
        <w:tc>
          <w:tcPr>
            <w:tcW w:w="2162" w:type="dxa"/>
            <w:vMerge w:val="restart"/>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tcPr>
          <w:p>
            <w:pPr>
              <w:pStyle w:val="Tablecaption|1"/>
              <w:bidi w:val="0"/>
              <w:jc w:val="both"/>
              <w:rPr>
                <w:vertAlign w:val="baseline"/>
              </w:rPr>
            </w:pPr>
          </w:p>
        </w:tc>
        <w:tc>
          <w:tcPr>
            <w:tcW w:w="2161" w:type="dxa"/>
            <w:vMerge/>
          </w:tcPr>
          <w:p>
            <w:pPr>
              <w:pStyle w:val="Tablecaption|1"/>
              <w:bidi w:val="0"/>
              <w:jc w:val="both"/>
              <w:rPr>
                <w:vertAlign w:val="baseline"/>
              </w:rPr>
            </w:pPr>
          </w:p>
        </w:tc>
        <w:tc>
          <w:tcPr>
            <w:tcW w:w="2162" w:type="dxa"/>
            <w:vMerge/>
          </w:tcPr>
          <w:p>
            <w:pPr>
              <w:pStyle w:val="Tablecaption|1"/>
              <w:bidi w:val="0"/>
              <w:jc w:val="both"/>
              <w:rPr>
                <w:vertAlign w:val="baseline"/>
              </w:rPr>
            </w:pPr>
          </w:p>
        </w:tc>
        <w:tc>
          <w:tcPr>
            <w:tcW w:w="2222"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1</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2</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3</w:t>
            </w:r>
          </w:p>
        </w:tc>
        <w:tc>
          <w:tcPr>
            <w:tcW w:w="2163"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Other|1"/>
              <w:spacing w:line="240" w:lineRule="auto"/>
              <w:ind w:firstLine="0" w:firstLineChars="0"/>
              <w:jc w:val="left"/>
              <w:rPr>
                <w:vertAlign w:val="baseline"/>
              </w:rPr>
            </w:pPr>
            <w:r>
              <w:rPr>
                <w:sz w:val="17"/>
                <w:szCs w:val="17"/>
              </w:rPr>
              <w:t xml:space="preserve">合计</w:t>
            </w:r>
          </w:p>
        </w:tc>
        <w:tc>
          <w:tcPr>
            <w:tcW w:w="2222" w:type="dxa"/>
            <w:vAlign w:val="center"/>
          </w:tcPr>
          <w:p>
            <w:pPr>
              <w:pStyle w:val="Other|1"/>
              <w:spacing w:line="240" w:lineRule="auto"/>
              <w:ind w:left="1700" w:firstLine="0" w:leftChars="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3"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spacing w:line="302" w:lineRule="exact"/>
              <w:ind w:left="672"/>
              <w:jc w:val="left"/>
            </w:pPr>
            <w:r>
              <w:t xml:space="preserve">注：本报表金额单位转换时可能存在四舍五入尾数误差。本部门</w:t>
            </w:r>
            <w:r>
              <w:rPr>
                <w:rFonts w:ascii="Times New Roman" w:hAnsi="Times New Roman" w:cs="Times New Roman" w:hint="eastAsia"/>
                <w:b/>
                <w:bCs/>
                <w:lang w:eastAsia="zh-CN"/>
              </w:rPr>
              <w:t xml:space="preserve">2024</w:t>
            </w:r>
            <w:r>
              <w:rPr>
                <w:rFonts w:ascii="Times New Roman" w:hAnsi="Times New Roman" w:cs="Times New Roman"/>
                <w:b/>
                <w:u w:color="auto"/>
              </w:rPr>
              <w:t xml:space="preserve">年</w:t>
            </w:r>
            <w:r>
              <w:t xml:space="preserve">度没有国有资本经营预算支出，故本表无数据</w:t>
            </w:r>
          </w:p>
          <w:p>
            <w:pPr>
              <w:pStyle w:val="Tablecaption|1"/>
              <w:bidi w:val="0"/>
              <w:jc w:val="both"/>
              <w:rPr>
                <w:vertAlign w:val="baseline"/>
              </w:rPr>
            </w:pPr>
          </w:p>
        </w:tc>
      </w:tr>
    </w:tbl>
    <w:p>
      <w:pPr>
        <w:pStyle w:val="Tablecaption|1"/>
        <w:bidi w:val="0"/>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trHeight w:hRule="exact" w:val="346"/>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环江毛南族自治县洛阳镇退役军人服务站</w:t>
            </w:r>
            <w:r>
              <w:rPr>
                <w:rFonts w:cs="宋体" w:hint="eastAsia"/>
                <w:sz w:val="17"/>
                <w:szCs w:val="17"/>
                <w:lang w:val="en-US" w:eastAsia="zh-CN"/>
              </w:rPr>
              <w:t xml:space="preserve">            </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18"/>
          <w:footerReference w:type="default" r:id="rId19"/>
          <w:pgSz w:w="16840" w:h="11900" w:orient="landscape"/>
          <w:pgMar w:top="2714" w:right="764" w:bottom="2714" w:left="735" w:header="2286"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1|1"/>
        <w:keepNext/>
        <w:keepLines/>
        <w:spacing w:before="200" w:after="0"/>
        <w:jc w:val="center"/>
        <w:rPr>
          <w:sz w:val="40"/>
          <w:szCs w:val="40"/>
        </w:rPr>
      </w:pPr>
      <w:bookmarkStart w:id="31" w:name="bookmark95"/>
      <w:bookmarkStart w:id="32" w:name="bookmark96"/>
      <w:bookmarkStart w:id="33" w:name="bookmark94"/>
      <w:r>
        <w:rPr>
          <w:sz w:val="40"/>
          <w:szCs w:val="40"/>
        </w:rPr>
        <w:t xml:space="preserve">第四部</w:t>
      </w:r>
      <w:r>
        <w:rPr>
          <w:rFonts w:hint="eastAsia"/>
          <w:sz w:val="40"/>
          <w:szCs w:val="40"/>
          <w:lang w:val="en-US" w:eastAsia="zh-CN"/>
        </w:rPr>
        <w:t xml:space="preserve">  </w:t>
      </w:r>
      <w:r>
        <w:rPr>
          <w:sz w:val="40"/>
          <w:szCs w:val="40"/>
        </w:rPr>
        <w:t xml:space="preserve">分名词解释</w:t>
      </w:r>
      <w:bookmarkEnd w:id="31"/>
      <w:bookmarkEnd w:id="32"/>
      <w:bookmarkEnd w:id="33"/>
    </w:p>
    <w:p>
      <w:pPr>
        <w:pStyle w:val="Bodytext|1"/>
        <w:tabs>
          <w:tab w:val="left" w:pos="1270"/>
        </w:tabs>
        <w:spacing w:line="626" w:lineRule="exact"/>
        <w:ind w:firstLine="640"/>
        <w:jc w:val="left"/>
      </w:pPr>
      <w:bookmarkStart w:id="34" w:name="bookmark97"/>
      <w:r>
        <w:t xml:space="preserve">一</w:t>
      </w:r>
      <w:bookmarkEnd w:id="34"/>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5" w:name="bookmark98"/>
      <w:r>
        <w:t xml:space="preserve">二</w:t>
      </w:r>
      <w:bookmarkEnd w:id="35"/>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6" w:name="bookmark99"/>
      <w:r>
        <w:t xml:space="preserve">三</w:t>
      </w:r>
      <w:bookmarkEnd w:id="36"/>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7" w:name="bookmark100"/>
      <w:r>
        <w:t xml:space="preserve">四</w:t>
      </w:r>
      <w:bookmarkEnd w:id="37"/>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8" w:name="bookmark101"/>
      <w:r>
        <w:t xml:space="preserve">五</w:t>
      </w:r>
      <w:bookmarkEnd w:id="38"/>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39" w:name="bookmark102"/>
      <w:r>
        <w:t xml:space="preserve">六</w:t>
      </w:r>
      <w:bookmarkEnd w:id="39"/>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0" w:name="bookmark103"/>
      <w:r>
        <w:t xml:space="preserve">七</w:t>
      </w:r>
      <w:bookmarkEnd w:id="40"/>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1" w:name="bookmark104"/>
      <w:r>
        <w:t xml:space="preserve">八</w:t>
      </w:r>
      <w:bookmarkEnd w:id="41"/>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2" w:name="bookmark105"/>
      <w:r>
        <w:t xml:space="preserve">九</w:t>
      </w:r>
      <w:bookmarkEnd w:id="42"/>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0"/>
      <w:footerReference w:type="default" r:id="rId21"/>
      <w:type w:val="continuous"/>
      <w:pgSz w:w="11900" w:h="16840" w:orient="portrait"/>
      <w:pgMar w:top="1302" w:right="1735" w:bottom="1568" w:left="1793" w:header="874" w:footer="1077" w:gutter="0"/>
      <w:pgBorders>
        <w:top w:val="none" w:sz="0" w:space="0" w:color="auto"/>
        <w:left w:val="none" w:sz="0" w:space="0" w:color="auto"/>
        <w:bottom w:val="none" w:sz="0" w:space="0" w:color="auto"/>
        <w:right w:val="none" w:sz="0" w:space="0" w:color="auto"/>
      </w:pgBorders>
      <w:pgNumType w:fmt="decimal"/>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2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93" name="文本框 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2" o:spid="_x0000_s7313"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131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w:t>
                    </w:r>
                    <w:r>
                      <w:fldChar w:fldCharType="end"/>
                    </w:r>
                  </w:p>
                </w:txbxContent>
              </v:textbox>
            </v:shape>
          </w:pict>
        </mc:Fallback>
      </mc:AlternateContent>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4001" name="文本框 4"/>
              <wp:cNvGraphicFramePr>
                <a:graphicFrameLocks noChangeAspect="0"/>
              </wp:cNvGraphicFramePr>
              <a:graphic>
                <a:graphicData uri="http://schemas.microsoft.com/office/word/2010/wordprocessingShape">
                  <wps:wsp>
                    <wps:cNvSpPr/>
                    <wps:spPr>
                      <a:xfrm>
                        <a:off x="0" y="0"/>
                        <a:ext cx="394970" cy="16891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4" o:spid="_x0000_s7315" type="#_x0000_t202" style="height:13.3pt;margin-left:202.75pt;margin-top:0;mso-height-relative:page;mso-position-horizontal-relative:margin;mso-width-relative:page;mso-wrap-distance-bottom:0;mso-wrap-distance-left:9pt;mso-wrap-distance-right:9pt;mso-wrap-distance-top:0;mso-wrap-style:square;position:absolute;v-text-anchor:top;width:31.1pt;z-index:251662336"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4</w:t>
                    </w:r>
                    <w:r>
                      <w:fldChar w:fldCharType="end"/>
                    </w:r>
                  </w:p>
                </w:txbxContent>
              </v:textbox>
            </v:shape>
          </w:pict>
        </mc:Fallback>
      </mc:AlternateConten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4003" name="文本框 7"/>
              <wp:cNvGraphicFramePr>
                <a:graphicFrameLocks noChangeAspect="0"/>
              </wp:cNvGraphicFramePr>
              <a:graphic>
                <a:graphicData uri="http://schemas.microsoft.com/office/word/2010/wordprocessingShape">
                  <wps:wsp>
                    <wps:cNvSpPr/>
                    <wps:spPr>
                      <a:xfrm>
                        <a:off x="0" y="0"/>
                        <a:ext cx="440055" cy="20637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7" o:spid="_x0000_s7317" type="#_x0000_t202" style="height:16.25pt;margin-left:378.75pt;margin-top:0;mso-height-relative:page;mso-position-horizontal-relative:margin;mso-width-relative:page;mso-wrap-distance-bottom:0;mso-wrap-distance-left:9pt;mso-wrap-distance-right:9pt;mso-wrap-distance-top:0;mso-wrap-style:square;position:absolute;v-text-anchor:top;width:34.65pt;z-index:251663360"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15</w:t>
                    </w:r>
                    <w:r>
                      <w:fldChar w:fldCharType="end"/>
                    </w:r>
                  </w:p>
                </w:txbxContent>
              </v:textbox>
            </v:shape>
          </w:pict>
        </mc:Fallback>
      </mc:AlternateConten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04" name="文本框 9"/>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16</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9" o:spid="_x0000_s7318"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4384"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16</w:t>
                    </w:r>
                    <w:r>
                      <w:fldChar w:fldCharType="end"/>
                    </w:r>
                  </w:p>
                </w:txbxContent>
              </v:textbox>
            </v:shape>
          </w:pict>
        </mc:Fallback>
      </mc:AlternateConten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05" name="文本框 11"/>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17</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1" o:spid="_x0000_s7319"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5408"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17</w:t>
                    </w:r>
                    <w:r>
                      <w:fldChar w:fldCharType="end"/>
                    </w:r>
                  </w:p>
                </w:txbxContent>
              </v:textbox>
            </v:shape>
          </w:pict>
        </mc:Fallback>
      </mc:AlternateConten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06" name="文本框 1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2" o:spid="_x0000_s7320"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643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25</w:t>
                    </w:r>
                    <w:r>
                      <w:fldChar w:fldCharType="end"/>
                    </w:r>
                  </w:p>
                </w:txbxContent>
              </v:textbox>
            </v:shape>
          </w:pict>
        </mc:Fallback>
      </mc:AlternateConten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4000"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7314"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4002"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7316"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60"/>
  <w:doNotDisplayPageBoundaries/>
  <w:bordersDoNotSurroundFooter w:val="0"/>
  <w:bordersDoNotSurroundHeader w:val="0"/>
  <w:doNotTrackMoves/>
  <w:documentProtection w:enforcement="1" w:edit="readOnly" w:salt="nhU2skw3dBWL1omtlJXIxg==" w:hash="O23E6W4AqxfYzdLruYTMcwfwM4GNc5bTnDD8Ee2oOmHa5oB7yl8LruGBX+NNjojADmtognue4cdK/OJ4ZVR/6A=="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YmQ3NjQxYmZmN2ZkODIxYWNiNTEzMzQyMTZmNzQ1MmM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5.xml" Type="http://schemas.openxmlformats.org/officeDocument/2006/relationships/chart"/><Relationship Id="rId11" Target="charts/chart6.xml" Type="http://schemas.openxmlformats.org/officeDocument/2006/relationships/chart"/><Relationship Id="rId12" Target="header1.xml" Type="http://schemas.openxmlformats.org/officeDocument/2006/relationships/header"/><Relationship Id="rId13" Target="footer2.xml" Type="http://schemas.openxmlformats.org/officeDocument/2006/relationships/footer"/><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theme/theme1.xml" Type="http://schemas.openxmlformats.org/officeDocument/2006/relationships/theme"/><Relationship Id="rId23" Target="styles.xml" Type="http://schemas.openxmlformats.org/officeDocument/2006/relationships/styles"/><Relationship Id="rId24" Target="webSettings.xml" Type="http://schemas.openxmlformats.org/officeDocument/2006/relationships/webSettings"/><Relationship Id="rId25" Target="numbering.xml" Type="http://schemas.openxmlformats.org/officeDocument/2006/relationships/numbering"/><Relationship Id="rId26" Target="fontTable.xml" Type="http://schemas.openxmlformats.org/officeDocument/2006/relationships/fontTable"/><Relationship Id="rId27"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footer1.xml" Type="http://schemas.openxmlformats.org/officeDocument/2006/relationships/footer"/><Relationship Id="rId6" Target="charts/chart1.xml" Type="http://schemas.openxmlformats.org/officeDocument/2006/relationships/chart"/><Relationship Id="rId7" Target="charts/chart2.xml" Type="http://schemas.openxmlformats.org/officeDocument/2006/relationships/chart"/><Relationship Id="rId8" Target="charts/chart3.xml" Type="http://schemas.openxmlformats.org/officeDocument/2006/relationships/chart"/><Relationship Id="rId9" Target="charts/chart4.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ptCount val="1"/>
                <c:pt idx="0">
                  <c:v>11.63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Sheet1!$A$2:$A$4</c:f>
              <c:strCache>
                <c:ptCount val="3"/>
                <c:pt idx="0">
                  <c:v>一般公共服务支出</c:v>
                </c:pt>
                <c:pt idx="1">
                  <c:v>社会保障和就业支出</c:v>
                </c:pt>
                <c:pt idx="2">
                  <c:v>住房保障支出</c:v>
                </c:pt>
              </c:strCache>
            </c:strRef>
          </c:cat>
          <c:val>
            <c:numRef>
              <c:f>Sheet1!$B$2:$B$4</c:f>
              <c:numCache>
                <c:ptCount val="3"/>
                <c:pt idx="0">
                  <c:v>0.11</c:v>
                </c:pt>
                <c:pt idx="1">
                  <c:v>10.29</c:v>
                </c:pt>
                <c:pt idx="2">
                  <c:v>1.23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0.0</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11.63</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当年</c:v>
                </c:pt>
              </c:strCache>
            </c:strRef>
          </c:cat>
          <c:val>
            <c:numRef>
              <c:f>Sheet1!$B$2</c:f>
              <c:numCache>
                <c:formatCode>General</c:formatCode>
                <c:ptCount val="1"/>
                <c:pt idx="0">
                  <c:v>11.63</c:v>
                </c:pt>
              </c:numCache>
            </c:numRef>
          </c:val>
        </c:ser>
        <c:ser>
          <c:idx val="1"/>
          <c:order val="1"/>
          <c:tx>
            <c:strRef>
              <c:f>Sheet1!$C$1</c:f>
              <c:strCache>
                <c:ptCount val="1"/>
                <c:pt idx="0">
                  <c:v>结转下年支出</c:v>
                </c:pt>
              </c:strCache>
            </c:strRef>
          </c:tx>
          <c:cat>
            <c:strRef>
              <c:f>Sheet1!$A$2</c:f>
              <c:strCache>
                <c:ptCount val="1"/>
                <c:pt idx="0">
                  <c:v>当年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当年</c:v>
                </c:pt>
              </c:strCache>
            </c:strRef>
          </c:cat>
          <c:val>
            <c:numRef>
              <c:f>Sheet1!$D$2</c:f>
              <c:numCache>
                <c:ptCount val="1"/>
                <c:pt idx="0">
                  <c:v>0.0</c:v>
                </c:pt>
              </c:numCache>
            </c:numRef>
          </c:val>
        </c:ser>
        <c:ser>
          <c:idx val="3"/>
          <c:order val="3"/>
          <c:tx>
            <c:strRef>
              <c:f>Sheet1!$E$1</c:f>
              <c:strCache>
                <c:ptCount val="1"/>
                <c:pt idx="0">
                  <c:v>公用经费</c:v>
                </c:pt>
              </c:strCache>
            </c:strRef>
          </c:tx>
          <c:cat>
            <c:strRef>
              <c:f>Sheet1!$A$2</c:f>
              <c:strCache>
                <c:ptCount val="1"/>
                <c:pt idx="0">
                  <c:v>当年</c:v>
                </c:pt>
              </c:strCache>
            </c:strRef>
          </c:cat>
          <c:val>
            <c:numRef>
              <c:f>Sheet1!$E$2</c:f>
              <c:numCache>
                <c:ptCount val="1"/>
                <c:pt idx="0">
                  <c:v>0.35</c:v>
                </c:pt>
              </c:numCache>
            </c:numRef>
          </c:val>
        </c:ser>
        <c:ser>
          <c:idx val="4"/>
          <c:order val="4"/>
          <c:tx>
            <c:strRef>
              <c:f>Sheet1!$F$1</c:f>
              <c:strCache>
                <c:ptCount val="1"/>
                <c:pt idx="0">
                  <c:v>人员经费</c:v>
                </c:pt>
              </c:strCache>
            </c:strRef>
          </c:tx>
          <c:cat>
            <c:strRef>
              <c:f>Sheet1!$A$2</c:f>
              <c:strCache>
                <c:ptCount val="1"/>
                <c:pt idx="0">
                  <c:v>当年</c:v>
                </c:pt>
              </c:strCache>
            </c:strRef>
          </c:cat>
          <c:val>
            <c:numRef>
              <c:f>Sheet1!$F$2</c:f>
              <c:numCache>
                <c:ptCount val="1"/>
                <c:pt idx="0">
                  <c:v>11.28</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11.28</c:v>
                </c:pt>
                <c:pt idx="1">
                  <c:v>0.35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0.0</c:v>
                </c:pt>
                <c:pt idx="1">
                  <c:v>0.0</c:v>
                </c:pt>
                <c:pt idx="2">
                  <c:v>0.0</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0.0</c:v>
                </c:pt>
                <c:pt idx="1">
                  <c:v>0.0</c:v>
                </c:pt>
                <c:pt idx="2">
                  <c:v>0.0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A sentiment</cp:lastModifiedBy>
  <dcterms:modified xsi:type="dcterms:W3CDTF">2024-02-29T09:05:24Z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10</TotalTime>
  <ScaleCrop>false</ScaleCrop>
  <LinksUpToDate>false</LinksUpToDate>
  <CharactersWithSpaces>11333</CharactersWithSpaces>
  <Application>WPS Office_12.1.0.16388_F1E327BC-269C-435d-A152-05C5408002CA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65F2272583C547A8BCE73C239E2E6D45_13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10</TotalTime>
  <Pages>35</Pages>
  <Words>8576</Words>
  <Characters>11046</Characters>
  <Application>WPS Office_12.1.0.16388_F1E327BC-269C-435d-A152-05C5408002CA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A sentiment</cp:lastModifiedBy>
  <dcterms:modified xsi:type="dcterms:W3CDTF">2024-02-29T12:01:19Z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2052-12.1.0.16388</vt:lpstr>
  </property>
  <property fmtid="{D5CDD505-2E9C-101B-9397-08002B2CF9AE}" pid="3" name="ICV">
    <vt:lpstr>65F2272583C547A8BCE73C239E2E6D45_13</vt:lpstr>
  </property>
</Properties>
</file>