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lang w:eastAsia="zh-CN"/>
        </w:rPr>
      </w:pPr>
      <w:bookmarkStart w:id="43" w:name="_GoBack"/>
      <w:bookmarkEnd w:id="43"/>
      <w:r>
        <w:rPr>
          <w:rFonts w:hint="eastAsia"/>
          <w:sz w:val="56"/>
          <w:szCs w:val="56"/>
          <w:lang w:eastAsia="zh-CN"/>
        </w:rPr>
        <w:t>环江毛南族自治县大才乡水利站</w:t>
      </w:r>
    </w:p>
    <w:p>
      <w:pPr>
        <w:pStyle w:val="10"/>
        <w:jc w:val="center"/>
        <w:rPr>
          <w:sz w:val="56"/>
          <w:szCs w:val="56"/>
        </w:rPr>
        <w:sectPr>
          <w:pgSz w:w="11900" w:h="16840"/>
          <w:pgMar w:top="4713" w:right="1913" w:bottom="4713" w:left="2020" w:header="4285" w:footer="2381" w:gutter="0"/>
          <w:pgBorders>
            <w:top w:val="none" w:sz="0" w:space="0"/>
            <w:left w:val="none" w:sz="0" w:space="0"/>
            <w:bottom w:val="none" w:sz="0" w:space="0"/>
            <w:right w:val="none" w:sz="0" w:space="0"/>
          </w:pgBorders>
          <w:pgNumType w:fmt="decimal" w:start="1"/>
          <w:cols w:space="720" w:num="1"/>
          <w:docGrid w:linePitch="360" w:charSpace="0"/>
        </w:sectPr>
      </w:pPr>
      <w:r>
        <w:rPr>
          <w:rFonts w:hint="eastAsia"/>
          <w:sz w:val="56"/>
          <w:szCs w:val="56"/>
          <w:lang w:eastAsia="zh-CN"/>
        </w:rPr>
        <w:t>2024</w:t>
      </w:r>
      <w:r>
        <w:rPr>
          <w:rFonts w:hint="eastAsia" w:asciiTheme="majorEastAsia" w:hAnsiTheme="majorEastAsia" w:eastAsiaTheme="majorEastAsia" w:cstheme="majorEastAsia"/>
          <w:sz w:val="56"/>
          <w:szCs w:val="56"/>
          <w:u w:color="auto"/>
        </w:rPr>
        <w:t>年</w:t>
      </w:r>
      <w:r>
        <w:rPr>
          <w:rFonts w:hint="eastAsia" w:asciiTheme="majorEastAsia" w:hAnsiTheme="majorEastAsia" w:eastAsiaTheme="majorEastAsia" w:cstheme="majorEastAsia"/>
          <w:sz w:val="56"/>
          <w:szCs w:val="56"/>
        </w:rPr>
        <w:t>度部门预算</w:t>
      </w:r>
    </w:p>
    <w:p>
      <w:pPr>
        <w:pStyle w:val="12"/>
        <w:keepNext/>
        <w:keepLines/>
        <w:spacing w:after="240"/>
        <w:jc w:val="center"/>
      </w:pPr>
      <w:bookmarkStart w:id="0" w:name="bookmark1"/>
      <w:bookmarkStart w:id="1" w:name="bookmark0"/>
      <w:bookmarkStart w:id="2" w:name="bookmark2"/>
      <w:r>
        <w:t>目录</w:t>
      </w:r>
      <w:bookmarkEnd w:id="0"/>
      <w:bookmarkEnd w:id="1"/>
      <w:bookmarkEnd w:id="2"/>
    </w:p>
    <w:p>
      <w:pPr>
        <w:pStyle w:val="16"/>
        <w:ind w:left="0" w:leftChars="0" w:firstLine="320" w:firstLineChars="100"/>
        <w:jc w:val="left"/>
      </w:pPr>
      <w:r>
        <w:t>第一部分</w:t>
      </w:r>
      <w:r>
        <w:rPr>
          <w:rFonts w:hint="eastAsia"/>
          <w:lang w:eastAsia="zh-CN"/>
        </w:rPr>
        <w:t>：</w:t>
      </w:r>
      <w:r>
        <w:rPr>
          <w:u w:color="auto"/>
        </w:rPr>
        <w:t>环江毛南族自治县大才乡水利站单位</w:t>
      </w:r>
      <w:r>
        <w:t>概况</w:t>
      </w:r>
    </w:p>
    <w:p>
      <w:pPr>
        <w:pStyle w:val="16"/>
        <w:jc w:val="left"/>
      </w:pPr>
      <w:r>
        <w:rPr>
          <w:lang w:val="en-US" w:eastAsia="zh-CN" w:bidi="en-US"/>
        </w:rPr>
        <w:t>—</w:t>
      </w:r>
      <w:r>
        <w:t>、主要职责</w:t>
      </w:r>
    </w:p>
    <w:p>
      <w:pPr>
        <w:pStyle w:val="16"/>
        <w:jc w:val="left"/>
        <w:rPr>
          <w:rFonts w:hint="eastAsia"/>
        </w:rPr>
      </w:pPr>
      <w:r>
        <w:rPr>
          <w:rFonts w:hint="eastAsia"/>
          <w:lang w:val="en-US" w:eastAsia="zh-CN"/>
        </w:rPr>
        <w:t>二、</w:t>
      </w:r>
      <w:r>
        <w:rPr>
          <w:rFonts w:hint="eastAsia"/>
        </w:rPr>
        <w:t>机构设置情况</w:t>
      </w:r>
    </w:p>
    <w:p>
      <w:pPr>
        <w:pStyle w:val="16"/>
        <w:ind w:left="0" w:leftChars="0" w:firstLine="320" w:firstLineChars="100"/>
        <w:jc w:val="left"/>
      </w:pPr>
      <w:r>
        <w:t>第二部分</w:t>
      </w:r>
      <w:r>
        <w:rPr>
          <w:rFonts w:hint="eastAsia"/>
          <w:lang w:eastAsia="zh-CN"/>
        </w:rPr>
        <w:t>：</w:t>
      </w:r>
      <w:r>
        <w:rPr>
          <w:u w:color="auto"/>
        </w:rPr>
        <w:t>环江毛南族自治县大才乡水利站2024</w:t>
      </w:r>
      <w:r>
        <w:t>部门预算情况说明</w:t>
      </w:r>
    </w:p>
    <w:p>
      <w:pPr>
        <w:pStyle w:val="16"/>
        <w:numPr>
          <w:ilvl w:val="0"/>
          <w:numId w:val="0"/>
        </w:numPr>
        <w:ind w:firstLine="640" w:firstLineChars="200"/>
        <w:jc w:val="left"/>
        <w:rPr>
          <w:rFonts w:hint="eastAsia"/>
        </w:rPr>
      </w:pPr>
      <w:r>
        <w:rPr>
          <w:rFonts w:hint="eastAsia"/>
        </w:rPr>
        <w:t>一、部门收支总体情况说明</w:t>
      </w:r>
    </w:p>
    <w:p>
      <w:pPr>
        <w:pStyle w:val="16"/>
        <w:numPr>
          <w:ilvl w:val="0"/>
          <w:numId w:val="0"/>
        </w:numPr>
        <w:ind w:firstLine="640" w:firstLineChars="200"/>
        <w:jc w:val="left"/>
        <w:rPr>
          <w:rFonts w:hint="eastAsia"/>
        </w:rPr>
      </w:pPr>
      <w:r>
        <w:rPr>
          <w:rFonts w:hint="eastAsia"/>
        </w:rPr>
        <w:t>二、部门收入总体情况说明</w:t>
      </w:r>
    </w:p>
    <w:p>
      <w:pPr>
        <w:pStyle w:val="16"/>
        <w:numPr>
          <w:ilvl w:val="0"/>
          <w:numId w:val="0"/>
        </w:numPr>
        <w:ind w:firstLine="640" w:firstLineChars="200"/>
        <w:jc w:val="left"/>
        <w:rPr>
          <w:rFonts w:hint="eastAsia"/>
        </w:rPr>
      </w:pPr>
      <w:r>
        <w:rPr>
          <w:rFonts w:hint="eastAsia"/>
        </w:rPr>
        <w:t>三、部门支出总体情况说明</w:t>
      </w:r>
    </w:p>
    <w:p>
      <w:pPr>
        <w:pStyle w:val="16"/>
        <w:numPr>
          <w:ilvl w:val="0"/>
          <w:numId w:val="0"/>
        </w:numPr>
        <w:ind w:firstLine="640" w:firstLineChars="200"/>
        <w:jc w:val="left"/>
        <w:rPr>
          <w:rFonts w:hint="eastAsia"/>
        </w:rPr>
      </w:pPr>
      <w:r>
        <w:rPr>
          <w:rFonts w:hint="eastAsia"/>
        </w:rPr>
        <w:t>四、财政拨款收支总体情况说明</w:t>
      </w:r>
    </w:p>
    <w:p>
      <w:pPr>
        <w:pStyle w:val="16"/>
        <w:numPr>
          <w:ilvl w:val="0"/>
          <w:numId w:val="0"/>
        </w:numPr>
        <w:ind w:firstLine="640" w:firstLineChars="200"/>
        <w:jc w:val="left"/>
        <w:rPr>
          <w:rFonts w:hint="eastAsia"/>
        </w:rPr>
      </w:pPr>
      <w:r>
        <w:rPr>
          <w:rFonts w:hint="eastAsia"/>
        </w:rPr>
        <w:t>五、一般公共预算支出情况说明</w:t>
      </w:r>
    </w:p>
    <w:p>
      <w:pPr>
        <w:pStyle w:val="16"/>
        <w:numPr>
          <w:ilvl w:val="0"/>
          <w:numId w:val="0"/>
        </w:numPr>
        <w:ind w:firstLine="640" w:firstLineChars="200"/>
        <w:jc w:val="left"/>
        <w:rPr>
          <w:rFonts w:hint="eastAsia"/>
        </w:rPr>
      </w:pPr>
      <w:r>
        <w:rPr>
          <w:rFonts w:hint="eastAsia"/>
        </w:rPr>
        <w:t>六、一般公共预算基本支出情况说明</w:t>
      </w:r>
    </w:p>
    <w:p>
      <w:pPr>
        <w:pStyle w:val="16"/>
        <w:numPr>
          <w:ilvl w:val="0"/>
          <w:numId w:val="0"/>
        </w:numPr>
        <w:ind w:firstLine="640" w:firstLineChars="200"/>
        <w:jc w:val="left"/>
        <w:rPr>
          <w:rFonts w:hint="eastAsia"/>
        </w:rPr>
      </w:pPr>
      <w:r>
        <w:rPr>
          <w:rFonts w:hint="eastAsia"/>
        </w:rPr>
        <w:t>七、一般公共预算“三公”经费支出情况说明</w:t>
      </w:r>
    </w:p>
    <w:p>
      <w:pPr>
        <w:pStyle w:val="16"/>
        <w:numPr>
          <w:ilvl w:val="0"/>
          <w:numId w:val="0"/>
        </w:numPr>
        <w:ind w:firstLine="640" w:firstLineChars="200"/>
        <w:jc w:val="left"/>
        <w:rPr>
          <w:rFonts w:hint="eastAsia"/>
        </w:rPr>
      </w:pPr>
      <w:r>
        <w:rPr>
          <w:rFonts w:hint="eastAsia"/>
        </w:rPr>
        <w:t>八、政府性基金预算支出情况说明</w:t>
      </w:r>
    </w:p>
    <w:p>
      <w:pPr>
        <w:pStyle w:val="16"/>
        <w:numPr>
          <w:ilvl w:val="0"/>
          <w:numId w:val="0"/>
        </w:numPr>
        <w:ind w:firstLine="640" w:firstLineChars="200"/>
        <w:jc w:val="left"/>
        <w:rPr>
          <w:rFonts w:hint="eastAsia"/>
        </w:rPr>
      </w:pPr>
      <w:r>
        <w:rPr>
          <w:rFonts w:hint="eastAsia"/>
        </w:rPr>
        <w:t>九、国有资本经营预算支出情况说明</w:t>
      </w:r>
    </w:p>
    <w:p>
      <w:pPr>
        <w:pStyle w:val="16"/>
        <w:numPr>
          <w:ilvl w:val="0"/>
          <w:numId w:val="0"/>
        </w:numPr>
        <w:ind w:firstLine="640" w:firstLineChars="200"/>
        <w:jc w:val="left"/>
      </w:pPr>
      <w:r>
        <w:rPr>
          <w:rFonts w:hint="eastAsia"/>
        </w:rPr>
        <w:t>十、其他重要事项情况说明</w:t>
      </w:r>
    </w:p>
    <w:p>
      <w:pPr>
        <w:pStyle w:val="16"/>
        <w:ind w:left="0" w:leftChars="0" w:firstLine="320" w:firstLineChars="100"/>
        <w:jc w:val="left"/>
      </w:pPr>
      <w:r>
        <w:t>第三部分</w:t>
      </w:r>
      <w:r>
        <w:rPr>
          <w:rFonts w:hint="eastAsia"/>
          <w:lang w:eastAsia="zh-CN"/>
        </w:rPr>
        <w:t>：</w:t>
      </w:r>
      <w:r>
        <w:rPr>
          <w:u w:color="auto"/>
        </w:rPr>
        <w:t>环江毛南族自治县大才乡水利站2024</w:t>
      </w:r>
      <w:r>
        <w:rPr>
          <w:rFonts w:ascii="Times New Roman" w:hAnsi="Times New Roman" w:cs="Times New Roman"/>
          <w:u w:color="auto"/>
        </w:rPr>
        <w:t>年</w:t>
      </w:r>
      <w:r>
        <w:t>部门预算</w:t>
      </w:r>
      <w:r>
        <w:rPr>
          <w:rFonts w:hint="eastAsia"/>
          <w:lang w:val="en-US" w:eastAsia="zh-CN"/>
        </w:rPr>
        <w:t>相关报</w:t>
      </w:r>
      <w:r>
        <w:t>表</w:t>
      </w:r>
    </w:p>
    <w:p>
      <w:pPr>
        <w:pStyle w:val="16"/>
        <w:jc w:val="left"/>
        <w:rPr>
          <w:rFonts w:hint="eastAsia"/>
        </w:rPr>
      </w:pPr>
      <w:r>
        <w:rPr>
          <w:rFonts w:hint="eastAsia"/>
        </w:rPr>
        <w:t>一、部门收支总体情况表</w:t>
      </w:r>
    </w:p>
    <w:p>
      <w:pPr>
        <w:pStyle w:val="16"/>
        <w:jc w:val="left"/>
        <w:rPr>
          <w:rFonts w:hint="eastAsia"/>
        </w:rPr>
      </w:pPr>
      <w:r>
        <w:rPr>
          <w:rFonts w:hint="eastAsia"/>
        </w:rPr>
        <w:t>二、部门收入总体情况表</w:t>
      </w:r>
    </w:p>
    <w:p>
      <w:pPr>
        <w:pStyle w:val="16"/>
        <w:jc w:val="left"/>
        <w:rPr>
          <w:rFonts w:hint="eastAsia"/>
        </w:rPr>
      </w:pPr>
      <w:r>
        <w:rPr>
          <w:rFonts w:hint="eastAsia"/>
        </w:rPr>
        <w:t>三、部门支出总体情况表</w:t>
      </w:r>
    </w:p>
    <w:p>
      <w:pPr>
        <w:pStyle w:val="16"/>
        <w:jc w:val="left"/>
        <w:rPr>
          <w:rFonts w:hint="eastAsia"/>
        </w:rPr>
      </w:pPr>
      <w:r>
        <w:rPr>
          <w:rFonts w:hint="eastAsia"/>
        </w:rPr>
        <w:t>四、财政拨款收支总体情况表</w:t>
      </w:r>
    </w:p>
    <w:p>
      <w:pPr>
        <w:pStyle w:val="16"/>
        <w:jc w:val="left"/>
        <w:rPr>
          <w:rFonts w:hint="eastAsia"/>
        </w:rPr>
      </w:pPr>
      <w:r>
        <w:rPr>
          <w:rFonts w:hint="eastAsia"/>
        </w:rPr>
        <w:t>五、一般公共预算支出情况表</w:t>
      </w:r>
    </w:p>
    <w:p>
      <w:pPr>
        <w:pStyle w:val="16"/>
        <w:jc w:val="left"/>
        <w:rPr>
          <w:rFonts w:hint="eastAsia"/>
        </w:rPr>
      </w:pPr>
      <w:r>
        <w:rPr>
          <w:rFonts w:hint="eastAsia"/>
        </w:rPr>
        <w:t>六、一般公共预算基本支出情况表</w:t>
      </w:r>
    </w:p>
    <w:p>
      <w:pPr>
        <w:pStyle w:val="16"/>
        <w:jc w:val="left"/>
        <w:rPr>
          <w:rFonts w:hint="eastAsia"/>
        </w:rPr>
      </w:pPr>
      <w:r>
        <w:rPr>
          <w:rFonts w:hint="eastAsia"/>
        </w:rPr>
        <w:t>七、一般公开预算“三公”经费支出情况表</w:t>
      </w:r>
    </w:p>
    <w:p>
      <w:pPr>
        <w:pStyle w:val="16"/>
        <w:jc w:val="left"/>
        <w:rPr>
          <w:rFonts w:hint="eastAsia"/>
        </w:rPr>
      </w:pPr>
      <w:r>
        <w:rPr>
          <w:rFonts w:hint="eastAsia"/>
        </w:rPr>
        <w:t>八、政府性基金预算支出情况表</w:t>
      </w:r>
    </w:p>
    <w:p>
      <w:pPr>
        <w:pStyle w:val="16"/>
        <w:jc w:val="left"/>
        <w:rPr>
          <w:rFonts w:hint="eastAsia"/>
        </w:rPr>
      </w:pPr>
      <w:r>
        <w:rPr>
          <w:rFonts w:hint="eastAsia"/>
        </w:rPr>
        <w:t>九、国有资本经营预算支出情况表</w:t>
      </w:r>
    </w:p>
    <w:p>
      <w:pPr>
        <w:pStyle w:val="16"/>
        <w:jc w:val="left"/>
        <w:rPr>
          <w:rFonts w:hint="eastAsia" w:eastAsia="宋体"/>
          <w:lang w:eastAsia="zh-CN"/>
        </w:rPr>
      </w:pPr>
      <w:r>
        <w:rPr>
          <w:rFonts w:hint="eastAsia"/>
        </w:rPr>
        <w:t>十、2024年度预算项目绩效目标公开表</w:t>
      </w:r>
    </w:p>
    <w:p>
      <w:pPr>
        <w:pStyle w:val="16"/>
        <w:ind w:left="0" w:leftChars="0" w:firstLine="320" w:firstLineChars="100"/>
        <w:jc w:val="left"/>
        <w:rPr>
          <w:rFonts w:hint="eastAsia" w:eastAsia="宋体"/>
          <w:lang w:eastAsia="zh-CN"/>
        </w:rPr>
        <w:sectPr>
          <w:footerReference r:id="rId3" w:type="default"/>
          <w:pgSz w:w="11900" w:h="16840"/>
          <w:pgMar w:top="1508" w:right="1674" w:bottom="1508" w:left="1851" w:header="0" w:footer="1077" w:gutter="0"/>
          <w:pgBorders>
            <w:top w:val="none" w:sz="0" w:space="0"/>
            <w:left w:val="none" w:sz="0" w:space="0"/>
            <w:bottom w:val="none" w:sz="0" w:space="0"/>
            <w:right w:val="none" w:sz="0" w:space="0"/>
          </w:pgBorders>
          <w:pgNumType w:fmt="decimal"/>
          <w:cols w:space="720" w:num="1"/>
          <w:docGrid w:linePitch="360" w:charSpace="0"/>
        </w:sectPr>
      </w:pPr>
      <w:r>
        <w:t>第四部分</w:t>
      </w:r>
      <w:r>
        <w:rPr>
          <w:rFonts w:hint="eastAsia"/>
          <w:lang w:eastAsia="zh-CN"/>
        </w:rPr>
        <w:t>：</w:t>
      </w:r>
      <w:r>
        <w:t>名词</w:t>
      </w:r>
      <w:r>
        <w:rPr>
          <w:rFonts w:hint="eastAsia"/>
          <w:lang w:val="en-US" w:eastAsia="zh-CN"/>
        </w:rPr>
        <w:t>解释</w:t>
      </w:r>
    </w:p>
    <w:p>
      <w:pPr>
        <w:pStyle w:val="12"/>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3" w:name="bookmark13"/>
      <w:bookmarkStart w:id="4" w:name="bookmark12"/>
      <w:bookmarkStart w:id="5" w:name="bookmark14"/>
      <w:r>
        <w:rPr>
          <w:b/>
          <w:bCs/>
          <w:sz w:val="40"/>
          <w:szCs w:val="40"/>
        </w:rPr>
        <w:t>第一部分</w:t>
      </w:r>
      <w:r>
        <w:rPr>
          <w:rFonts w:hint="eastAsia"/>
          <w:b/>
          <w:bCs/>
          <w:sz w:val="40"/>
          <w:szCs w:val="40"/>
          <w:lang w:eastAsia="zh-CN"/>
        </w:rPr>
        <w:t>：</w:t>
      </w:r>
      <w:r>
        <w:rPr>
          <w:b/>
          <w:sz w:val="40"/>
          <w:u w:color="auto"/>
        </w:rPr>
        <w:t>环江毛南族自治县大才乡水利站</w:t>
      </w:r>
      <w:r>
        <w:rPr>
          <w:b/>
          <w:bCs/>
          <w:sz w:val="40"/>
          <w:szCs w:val="40"/>
        </w:rPr>
        <w:t>概况</w:t>
      </w:r>
      <w:bookmarkEnd w:id="3"/>
      <w:bookmarkEnd w:id="4"/>
      <w:bookmarkEnd w:id="5"/>
    </w:p>
    <w:p>
      <w:pPr>
        <w:pStyle w:val="16"/>
        <w:spacing w:after="0" w:line="619" w:lineRule="exact"/>
        <w:ind w:firstLine="620"/>
        <w:jc w:val="left"/>
        <w:rPr>
          <w:b/>
          <w:bCs/>
        </w:rPr>
      </w:pPr>
      <w:r>
        <w:rPr>
          <w:rFonts w:hint="eastAsia"/>
          <w:b/>
          <w:bCs/>
          <w:lang w:val="en-US" w:eastAsia="zh-CN"/>
        </w:rPr>
        <w:t>一、</w:t>
      </w:r>
      <w:r>
        <w:rPr>
          <w:b/>
          <w:bCs/>
        </w:rPr>
        <w:t>主要职责</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承担贯彻执行国家、自治区、市、县等有关:水利的法律法规、方针和政策;统一管理镇水资源(含空中水地表水、地下水),配合拟定镇水资源与环境保护规划;组织协调防汛抗旱、农田水利基本建设、人畜饮水、农业节水灌溉、乡镇供水等工作;组织指导水利工程日常维护和管理;组织水利科学技术推广,农村水利技术人员培训工作;完成上级业务部门和镇党委、政府交给的其他工作任务</w:t>
      </w:r>
    </w:p>
    <w:p>
      <w:pPr>
        <w:pStyle w:val="16"/>
        <w:spacing w:after="0" w:line="619" w:lineRule="exact"/>
        <w:ind w:firstLine="620"/>
        <w:jc w:val="left"/>
        <w:rPr>
          <w:rFonts w:hint="eastAsia"/>
          <w:b/>
          <w:bCs/>
          <w:lang w:val="en-US" w:eastAsia="zh-CN"/>
        </w:rPr>
      </w:pPr>
      <w:bookmarkStart w:id="6" w:name="bookmark24"/>
      <w:r>
        <w:rPr>
          <w:rFonts w:hint="eastAsia"/>
          <w:b/>
          <w:bCs/>
          <w:lang w:val="en-US" w:eastAsia="zh-CN"/>
        </w:rPr>
        <w:t>二</w:t>
      </w:r>
      <w:bookmarkEnd w:id="6"/>
      <w:r>
        <w:rPr>
          <w:rFonts w:hint="eastAsia"/>
          <w:b/>
          <w:bCs/>
          <w:lang w:val="en-US" w:eastAsia="zh-CN"/>
        </w:rPr>
        <w:t>、机构设置情况</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本部门人员编制数为2人，实际在编人数2人，本部门独立编制预算，经本机财政单独批复，独立公开预算，均在主管单位环江县财政局公开专栏独立公开</w:t>
      </w:r>
    </w:p>
    <w:p>
      <w:pPr>
        <w:pStyle w:val="18"/>
        <w:spacing w:line="623" w:lineRule="exact"/>
        <w:ind w:firstLine="1018" w:firstLineChars="0"/>
        <w:jc w:val="left"/>
        <w:rPr>
          <w:rFonts w:hint="eastAsia"/>
          <w:highlight w:val="none"/>
          <w:lang w:val="en-US" w:eastAsia="zh-CN"/>
        </w:rPr>
      </w:pPr>
    </w:p>
    <w:p>
      <w:pPr>
        <w:pStyle w:val="18"/>
        <w:spacing w:line="623" w:lineRule="exact"/>
        <w:ind w:firstLine="1018" w:firstLineChars="0"/>
        <w:jc w:val="left"/>
        <w:rPr>
          <w:rFonts w:hint="eastAsia"/>
          <w:highlight w:val="none"/>
          <w:lang w:val="en-US" w:eastAsia="zh-CN"/>
        </w:rPr>
      </w:pPr>
    </w:p>
    <w:p>
      <w:r>
        <w:br w:type="page"/>
      </w:r>
    </w:p>
    <w:p>
      <w:pPr>
        <w:pStyle w:val="12"/>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68"/>
      <w:bookmarkStart w:id="8" w:name="bookmark69"/>
      <w:bookmarkStart w:id="9" w:name="bookmark70"/>
      <w:bookmarkStart w:id="10" w:name="bookmark28"/>
      <w:bookmarkStart w:id="11" w:name="bookmark26"/>
      <w:bookmarkStart w:id="12" w:name="bookmark27"/>
      <w:r>
        <w:rPr>
          <w:b/>
          <w:bCs/>
          <w:sz w:val="40"/>
          <w:szCs w:val="40"/>
        </w:rPr>
        <w:t>第</w:t>
      </w:r>
      <w:r>
        <w:rPr>
          <w:rFonts w:hint="eastAsia"/>
          <w:b/>
          <w:bCs/>
          <w:sz w:val="40"/>
          <w:szCs w:val="40"/>
          <w:lang w:val="en-US" w:eastAsia="zh-CN"/>
        </w:rPr>
        <w:t>二</w:t>
      </w:r>
      <w:r>
        <w:rPr>
          <w:b/>
          <w:bCs/>
          <w:sz w:val="40"/>
          <w:szCs w:val="40"/>
        </w:rPr>
        <w:t>部分</w:t>
      </w:r>
      <w:r>
        <w:rPr>
          <w:rFonts w:hint="eastAsia"/>
          <w:b/>
          <w:bCs/>
          <w:sz w:val="40"/>
          <w:szCs w:val="40"/>
          <w:lang w:eastAsia="zh-CN"/>
        </w:rPr>
        <w:t>：</w:t>
      </w:r>
      <w:bookmarkEnd w:id="7"/>
      <w:bookmarkEnd w:id="8"/>
      <w:bookmarkEnd w:id="9"/>
      <w:r>
        <w:rPr>
          <w:rFonts w:hint="eastAsia"/>
          <w:b/>
          <w:bCs/>
          <w:sz w:val="40"/>
          <w:szCs w:val="40"/>
          <w:lang w:eastAsia="zh-CN"/>
        </w:rPr>
        <w:t>环江毛南族自治县大才乡水利站</w:t>
      </w:r>
      <w:r>
        <w:rPr>
          <w:b/>
          <w:sz w:val="40"/>
          <w:u w:color="auto"/>
        </w:rPr>
        <w:t>2024年部门预算情况说明</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一</w:t>
      </w:r>
      <w:bookmarkEnd w:id="13"/>
      <w:r>
        <w:rPr>
          <w:rFonts w:hint="eastAsia"/>
          <w:b/>
          <w:bCs/>
          <w:lang w:val="en-US" w:eastAsia="zh-CN"/>
        </w:rPr>
        <w:t>、部门预算收支总体情况说明</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我部门总收入</w:t>
      </w:r>
      <w:r>
        <w:rPr>
          <w:rFonts w:hint="eastAsia"/>
          <w:sz w:val="28"/>
          <w:szCs w:val="28"/>
          <w:lang w:val="en-US" w:eastAsia="zh-CN"/>
        </w:rPr>
        <w:t>24.51</w:t>
      </w:r>
      <w:r>
        <w:rPr>
          <w:rFonts w:hint="eastAsia"/>
          <w:b w:val="0"/>
          <w:bCs w:val="0"/>
          <w:sz w:val="28"/>
          <w:szCs w:val="28"/>
        </w:rPr>
        <w:t>万元，总支出</w:t>
      </w:r>
      <w:r>
        <w:rPr>
          <w:rFonts w:hint="eastAsia"/>
          <w:sz w:val="28"/>
          <w:szCs w:val="28"/>
          <w:lang w:val="en-US" w:eastAsia="zh-CN"/>
        </w:rPr>
        <w:t>24.51</w:t>
      </w:r>
      <w:r>
        <w:rPr>
          <w:rFonts w:hint="eastAsia"/>
          <w:b w:val="0"/>
          <w:bCs w:val="0"/>
          <w:sz w:val="28"/>
          <w:szCs w:val="28"/>
        </w:rPr>
        <w:t>万元。总收入较2023年度预算数</w:t>
      </w:r>
      <w:r>
        <w:rPr>
          <w:rFonts w:hint="eastAsia"/>
          <w:sz w:val="28"/>
          <w:szCs w:val="28"/>
          <w:lang w:val="en-US" w:eastAsia="zh-CN"/>
        </w:rPr>
        <w:t>22.90</w:t>
      </w:r>
      <w:r>
        <w:rPr>
          <w:rFonts w:hint="eastAsia"/>
          <w:b w:val="0"/>
          <w:bCs w:val="0"/>
          <w:sz w:val="28"/>
          <w:szCs w:val="28"/>
        </w:rPr>
        <w:t>万元，</w:t>
      </w:r>
      <w:r>
        <w:rPr>
          <w:rFonts w:hint="eastAsia"/>
          <w:sz w:val="28"/>
          <w:szCs w:val="28"/>
        </w:rPr>
        <w:t>增加1.61</w:t>
      </w:r>
      <w:r>
        <w:rPr>
          <w:rFonts w:hint="eastAsia"/>
          <w:b w:val="0"/>
          <w:bCs w:val="0"/>
          <w:sz w:val="28"/>
          <w:szCs w:val="28"/>
        </w:rPr>
        <w:t>万元，</w:t>
      </w:r>
      <w:r>
        <w:rPr>
          <w:rFonts w:hint="eastAsia"/>
          <w:sz w:val="28"/>
          <w:szCs w:val="28"/>
        </w:rPr>
        <w:t>增长7.03%</w:t>
      </w:r>
      <w:r>
        <w:rPr>
          <w:rFonts w:hint="eastAsia"/>
          <w:b w:val="0"/>
          <w:bCs w:val="0"/>
          <w:sz w:val="28"/>
          <w:szCs w:val="28"/>
        </w:rPr>
        <w:t>，主要原因是</w:t>
      </w:r>
      <w:r>
        <w:rPr>
          <w:rFonts w:hint="eastAsia"/>
          <w:highlight w:val="none"/>
          <w:lang w:val="en-US" w:eastAsia="zh-CN"/>
        </w:rPr>
        <w:t>承担贯彻执行国家、自治区、市、县等有关:水利的法律法规、方针和政策;统一管理镇水资源(含空中水地表水、地下水),配合拟定镇水资源与环境保护规划;组织协调防汛抗旱、农田水利基本建设、人畜饮水、农业节水灌溉、乡镇供水等工作;组织指导水利工程日常维护和管理;组织水利科学技术推广,农村水利技术人员培训工作;完成上级业务部门和镇党委、政府交给的其他工作任务</w:t>
      </w:r>
      <w:r>
        <w:rPr>
          <w:rFonts w:hint="eastAsia"/>
          <w:b w:val="0"/>
          <w:bCs w:val="0"/>
          <w:sz w:val="28"/>
          <w:szCs w:val="28"/>
        </w:rPr>
        <w:t>。总支出较2023年度预算数</w:t>
      </w:r>
      <w:r>
        <w:rPr>
          <w:rFonts w:hint="eastAsia"/>
          <w:sz w:val="28"/>
          <w:szCs w:val="28"/>
          <w:lang w:val="en-US" w:eastAsia="zh-CN"/>
        </w:rPr>
        <w:t>22.90</w:t>
      </w:r>
      <w:r>
        <w:rPr>
          <w:rFonts w:hint="eastAsia"/>
          <w:b w:val="0"/>
          <w:bCs w:val="0"/>
          <w:sz w:val="28"/>
          <w:szCs w:val="28"/>
        </w:rPr>
        <w:t>万元，</w:t>
      </w:r>
      <w:r>
        <w:rPr>
          <w:rFonts w:hint="eastAsia"/>
          <w:sz w:val="28"/>
          <w:szCs w:val="28"/>
        </w:rPr>
        <w:t>增加1.61</w:t>
      </w:r>
      <w:r>
        <w:rPr>
          <w:rFonts w:hint="eastAsia"/>
          <w:b w:val="0"/>
          <w:bCs w:val="0"/>
          <w:sz w:val="28"/>
          <w:szCs w:val="28"/>
        </w:rPr>
        <w:t>万元，</w:t>
      </w:r>
      <w:r>
        <w:rPr>
          <w:rFonts w:hint="eastAsia"/>
          <w:sz w:val="28"/>
          <w:szCs w:val="28"/>
        </w:rPr>
        <w:t>增长7.03%</w:t>
      </w:r>
      <w:r>
        <w:rPr>
          <w:rFonts w:hint="eastAsia"/>
          <w:b w:val="0"/>
          <w:bCs w:val="0"/>
          <w:sz w:val="28"/>
          <w:szCs w:val="28"/>
        </w:rPr>
        <w:t>，主要原因是</w:t>
      </w:r>
      <w:r>
        <w:rPr>
          <w:rFonts w:hint="eastAsia"/>
          <w:highlight w:val="none"/>
          <w:lang w:val="en-US" w:eastAsia="zh-CN"/>
        </w:rPr>
        <w:t>人员工资福利和经费支出增加，增加基础性绩效工资增量</w:t>
      </w:r>
      <w:r>
        <w:rPr>
          <w:rFonts w:hint="eastAsia"/>
          <w:b w:val="0"/>
          <w:bCs w:val="0"/>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二、部门收入总体情况说明</w:t>
      </w:r>
    </w:p>
    <w:p>
      <w:pPr>
        <w:pStyle w:val="18"/>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689"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u w:color="auto"/>
          <w:lang w:eastAsia="zh-CN"/>
        </w:rPr>
        <w:t>2024</w:t>
      </w:r>
      <w:r>
        <w:rPr>
          <w:rFonts w:hint="eastAsia" w:ascii="宋体" w:hAnsi="宋体" w:eastAsia="宋体" w:cs="宋体"/>
          <w:sz w:val="28"/>
          <w:szCs w:val="28"/>
          <w:u w:color="auto"/>
        </w:rPr>
        <w:t>年我部门总收入</w:t>
      </w:r>
      <w:r>
        <w:rPr>
          <w:rFonts w:hint="eastAsia" w:ascii="宋体" w:hAnsi="宋体" w:eastAsia="宋体" w:cs="宋体"/>
          <w:sz w:val="28"/>
          <w:szCs w:val="28"/>
          <w:lang w:val="en-US" w:eastAsia="zh-CN"/>
        </w:rPr>
        <w:t>24.51</w:t>
      </w:r>
      <w:r>
        <w:rPr>
          <w:rFonts w:hint="eastAsia" w:ascii="宋体" w:hAnsi="宋体" w:eastAsia="宋体" w:cs="宋体"/>
          <w:sz w:val="28"/>
          <w:szCs w:val="28"/>
          <w:u w:color="auto"/>
        </w:rPr>
        <w:t>万元，较2023年度预算数</w:t>
      </w:r>
      <w:r>
        <w:rPr>
          <w:rFonts w:hint="eastAsia" w:ascii="宋体" w:hAnsi="宋体" w:eastAsia="宋体" w:cs="宋体"/>
          <w:sz w:val="28"/>
          <w:szCs w:val="28"/>
          <w:lang w:val="en-US" w:eastAsia="zh-CN"/>
        </w:rPr>
        <w:t>22.90</w:t>
      </w:r>
      <w:r>
        <w:rPr>
          <w:rFonts w:hint="eastAsia" w:ascii="宋体" w:hAnsi="宋体" w:eastAsia="宋体" w:cs="宋体"/>
          <w:sz w:val="28"/>
          <w:szCs w:val="28"/>
          <w:u w:color="auto"/>
        </w:rPr>
        <w:t>万元，</w:t>
      </w:r>
      <w:r>
        <w:rPr>
          <w:rFonts w:hint="eastAsia" w:ascii="宋体" w:hAnsi="宋体" w:eastAsia="宋体" w:cs="宋体"/>
          <w:sz w:val="28"/>
          <w:szCs w:val="28"/>
        </w:rPr>
        <w:t>增加1.61</w:t>
      </w:r>
      <w:r>
        <w:rPr>
          <w:rFonts w:hint="eastAsia" w:ascii="宋体" w:hAnsi="宋体" w:eastAsia="宋体" w:cs="宋体"/>
          <w:sz w:val="28"/>
          <w:szCs w:val="28"/>
          <w:u w:color="auto"/>
        </w:rPr>
        <w:t>万元，</w:t>
      </w:r>
      <w:r>
        <w:rPr>
          <w:rFonts w:hint="eastAsia" w:ascii="宋体" w:hAnsi="宋体" w:eastAsia="宋体" w:cs="宋体"/>
          <w:sz w:val="28"/>
          <w:szCs w:val="28"/>
        </w:rPr>
        <w:t>增长7.03%</w:t>
      </w:r>
      <w:r>
        <w:rPr>
          <w:rFonts w:hint="eastAsia" w:ascii="宋体" w:hAnsi="宋体" w:eastAsia="宋体" w:cs="宋体"/>
          <w:sz w:val="28"/>
          <w:szCs w:val="28"/>
          <w:u w:color="auto"/>
        </w:rPr>
        <w:t>，主要原因是</w:t>
      </w:r>
      <w:r>
        <w:rPr>
          <w:rFonts w:hint="eastAsia"/>
          <w:highlight w:val="none"/>
          <w:lang w:val="en-US" w:eastAsia="zh-CN"/>
        </w:rPr>
        <w:t>人员工资福利和经费支出增加，增加基础性绩效工资增量</w:t>
      </w:r>
      <w:r>
        <w:rPr>
          <w:rFonts w:hint="eastAsia" w:ascii="宋体" w:hAnsi="宋体" w:eastAsia="宋体" w:cs="宋体"/>
          <w:sz w:val="28"/>
          <w:szCs w:val="28"/>
          <w:u w:color="auto"/>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三、部门支出总体情况说明</w:t>
      </w:r>
    </w:p>
    <w:p>
      <w:pPr>
        <w:pStyle w:val="18"/>
        <w:spacing w:line="240" w:lineRule="auto"/>
        <w:ind w:firstLine="0"/>
        <w:jc w:val="left"/>
        <w:rPr>
          <w:rFonts w:ascii="Times New Roman" w:hAnsi="Times New Roman" w:eastAsia="Times New Roman" w:cs="Times New Roman"/>
          <w:sz w:val="30"/>
          <w:szCs w:val="30"/>
        </w:rPr>
      </w:pPr>
      <w:r>
        <w:rPr>
          <w:rFonts w:ascii="Times New Roman" w:hAnsi="Times New Roman" w:eastAsia="Times New Roman" w:cs="Times New Roman"/>
          <w:sz w:val="30"/>
          <w:szCs w:val="30"/>
        </w:rPr>
        <w:drawing>
          <wp:inline distT="0" distB="0" distL="114300" distR="114300">
            <wp:extent cx="5080000" cy="3810000"/>
            <wp:effectExtent l="4445" t="4445" r="20955" b="14605"/>
            <wp:docPr id="690"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Times New Roman" w:hAnsi="Times New Roman" w:cs="Times New Roman"/>
          <w:sz w:val="30"/>
          <w:szCs w:val="30"/>
          <w:lang w:eastAsia="zh-CN"/>
        </w:rPr>
      </w:pPr>
      <w:r>
        <w:rPr>
          <w:rFonts w:hint="eastAsia" w:ascii="宋体" w:hAnsi="宋体" w:eastAsia="宋体" w:cs="宋体"/>
          <w:sz w:val="28"/>
          <w:szCs w:val="28"/>
          <w:lang w:eastAsia="zh-CN"/>
        </w:rPr>
        <w:t>2024</w:t>
      </w:r>
      <w:r>
        <w:rPr>
          <w:rFonts w:ascii="宋体" w:hAnsi="宋体" w:eastAsia="宋体" w:cs="宋体"/>
          <w:sz w:val="28"/>
          <w:u w:color="auto"/>
        </w:rPr>
        <w:t>年我部门总支出</w:t>
      </w:r>
      <w:r>
        <w:rPr>
          <w:rFonts w:hint="eastAsia" w:ascii="宋体" w:hAnsi="宋体" w:eastAsia="宋体" w:cs="宋体"/>
          <w:sz w:val="28"/>
          <w:szCs w:val="28"/>
          <w:lang w:val="en-US" w:eastAsia="zh-CN"/>
        </w:rPr>
        <w:t>24.51</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22.90</w:t>
      </w:r>
      <w:r>
        <w:rPr>
          <w:rFonts w:hint="eastAsia" w:ascii="宋体" w:hAnsi="宋体" w:eastAsia="宋体" w:cs="宋体"/>
          <w:sz w:val="28"/>
          <w:szCs w:val="28"/>
          <w:lang w:eastAsia="zh-CN"/>
        </w:rPr>
        <w:t>万元，</w:t>
      </w:r>
      <w:r>
        <w:rPr>
          <w:rFonts w:hint="eastAsia" w:ascii="宋体" w:hAnsi="宋体" w:eastAsia="宋体" w:cs="宋体"/>
          <w:sz w:val="28"/>
          <w:szCs w:val="28"/>
        </w:rPr>
        <w:t>增加1.61</w:t>
      </w:r>
      <w:r>
        <w:rPr>
          <w:rFonts w:hint="eastAsia" w:ascii="宋体" w:hAnsi="宋体" w:eastAsia="宋体" w:cs="宋体"/>
          <w:sz w:val="28"/>
          <w:szCs w:val="28"/>
          <w:lang w:eastAsia="zh-CN"/>
        </w:rPr>
        <w:t>万元，</w:t>
      </w:r>
      <w:r>
        <w:rPr>
          <w:rFonts w:hint="eastAsia" w:ascii="宋体" w:hAnsi="宋体" w:eastAsia="宋体" w:cs="宋体"/>
          <w:sz w:val="28"/>
          <w:szCs w:val="28"/>
        </w:rPr>
        <w:t>增长7.03%</w:t>
      </w:r>
      <w:r>
        <w:rPr>
          <w:rFonts w:hint="eastAsia" w:ascii="宋体" w:hAnsi="宋体" w:eastAsia="宋体" w:cs="宋体"/>
          <w:sz w:val="28"/>
          <w:szCs w:val="28"/>
          <w:lang w:eastAsia="zh-CN"/>
        </w:rPr>
        <w:t>，主要原因是</w:t>
      </w:r>
      <w:r>
        <w:rPr>
          <w:rFonts w:hint="eastAsia"/>
          <w:highlight w:val="none"/>
          <w:lang w:val="en-US" w:eastAsia="zh-CN"/>
        </w:rPr>
        <w:t>人员工资福利和经费支出增加，增加基础性绩效工资增量</w:t>
      </w:r>
      <w:r>
        <w:rPr>
          <w:rFonts w:hint="eastAsia" w:ascii="Times New Roman" w:hAnsi="Times New Roman" w:cs="Times New Roman"/>
          <w:sz w:val="30"/>
          <w:szCs w:val="30"/>
          <w:lang w:eastAsia="zh-CN"/>
        </w:rPr>
        <w:t>。主要包括：</w:t>
      </w:r>
      <w:r>
        <w:rPr>
          <w:rFonts w:hint="eastAsia"/>
          <w:highlight w:val="none"/>
          <w:lang w:val="en-US" w:eastAsia="zh-CN"/>
        </w:rPr>
        <w:t>人员工资福利和经费支出增加，增加基础性绩效工资增量</w:t>
      </w:r>
      <w:r>
        <w:rPr>
          <w:rFonts w:hint="eastAsia" w:ascii="Times New Roman" w:hAnsi="Times New Roman" w:cs="Times New Roman"/>
          <w:sz w:val="30"/>
          <w:szCs w:val="30"/>
          <w:lang w:eastAsia="zh-CN"/>
        </w:rPr>
        <w:t>。</w:t>
      </w:r>
    </w:p>
    <w:p>
      <w:pPr>
        <w:pStyle w:val="18"/>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pPr>
      <w:r>
        <w:t>（一）按支出功能分类科目划分，共分为</w:t>
      </w:r>
      <w:r>
        <w:rPr>
          <w:rFonts w:hint="eastAsia"/>
          <w:lang w:val="en-US" w:eastAsia="zh-CN"/>
        </w:rPr>
        <w:t>4</w:t>
      </w:r>
      <w:r>
        <w:t>类，其中:</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rPr>
      </w:pPr>
      <w:r>
        <w:rPr>
          <w:rFonts w:hint="eastAsia"/>
        </w:rPr>
        <w:t>(</w:t>
      </w:r>
      <w:r>
        <w:rPr>
          <w:u w:color="auto"/>
        </w:rPr>
        <w:t>1)农林水支出</w:t>
      </w:r>
      <w:r>
        <w:rPr>
          <w:rFonts w:hint="eastAsia"/>
          <w:lang w:val="en-US" w:eastAsia="zh-CN"/>
        </w:rPr>
        <w:t>18.92</w:t>
      </w:r>
      <w:r>
        <w:rPr>
          <w:rFonts w:hint="eastAsia"/>
        </w:rPr>
        <w:t>万元，占支出总预算</w:t>
      </w:r>
      <w:r>
        <w:rPr>
          <w:rFonts w:hint="eastAsia"/>
          <w:lang w:val="en-US" w:eastAsia="zh-CN"/>
        </w:rPr>
        <w:t>77.19%</w:t>
      </w:r>
      <w:r>
        <w:rPr>
          <w:rFonts w:hint="eastAsia"/>
        </w:rPr>
        <w:t>,比上年</w:t>
      </w:r>
      <w:r>
        <w:rPr>
          <w:rFonts w:hint="eastAsia"/>
          <w:lang w:val="en-US" w:eastAsia="zh-CN"/>
        </w:rPr>
        <w:t>增长1.59</w:t>
      </w:r>
      <w:r>
        <w:rPr>
          <w:rFonts w:hint="eastAsia"/>
        </w:rPr>
        <w:t>万元，</w:t>
      </w:r>
      <w:r>
        <w:rPr>
          <w:rFonts w:hint="eastAsia"/>
          <w:lang w:val="en-US" w:eastAsia="zh-CN"/>
        </w:rPr>
        <w:t>增长9.17%</w:t>
      </w:r>
      <w:r>
        <w:rPr>
          <w:rFonts w:hint="eastAsia"/>
        </w:rPr>
        <w:t>,</w:t>
      </w:r>
      <w:r>
        <w:rPr>
          <w:rFonts w:hint="eastAsia"/>
          <w:highlight w:val="none"/>
        </w:rPr>
        <w:t>主要原因是：</w:t>
      </w:r>
      <w:r>
        <w:rPr>
          <w:rFonts w:hint="eastAsia"/>
          <w:highlight w:val="none"/>
          <w:lang w:val="en-US" w:eastAsia="zh-CN"/>
        </w:rPr>
        <w:t>人员工资福利和经费支出增加，增加基础性绩效工资增量</w:t>
      </w:r>
      <w:r>
        <w:rPr>
          <w:rFonts w:hint="eastAsia"/>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rPr>
      </w:pPr>
      <w:r>
        <w:rPr>
          <w:rFonts w:hint="eastAsia"/>
        </w:rPr>
        <w:t>(</w:t>
      </w:r>
      <w:r>
        <w:rPr>
          <w:u w:color="auto"/>
        </w:rPr>
        <w:t>2)社会保障和就业支出</w:t>
      </w:r>
      <w:r>
        <w:rPr>
          <w:rFonts w:hint="eastAsia"/>
          <w:lang w:val="en-US" w:eastAsia="zh-CN"/>
        </w:rPr>
        <w:t>2.86</w:t>
      </w:r>
      <w:r>
        <w:rPr>
          <w:rFonts w:hint="eastAsia"/>
        </w:rPr>
        <w:t>万元，占支出总预算</w:t>
      </w:r>
      <w:r>
        <w:rPr>
          <w:rFonts w:hint="eastAsia"/>
          <w:lang w:val="en-US" w:eastAsia="zh-CN"/>
        </w:rPr>
        <w:t>11.67%</w:t>
      </w:r>
      <w:r>
        <w:rPr>
          <w:rFonts w:hint="eastAsia"/>
        </w:rPr>
        <w:t>,比上年</w:t>
      </w:r>
      <w:r>
        <w:rPr>
          <w:rFonts w:hint="eastAsia"/>
          <w:lang w:val="en-US" w:eastAsia="zh-CN"/>
        </w:rPr>
        <w:t>减少0.11</w:t>
      </w:r>
      <w:r>
        <w:rPr>
          <w:rFonts w:hint="eastAsia"/>
        </w:rPr>
        <w:t>万元，</w:t>
      </w:r>
      <w:r>
        <w:rPr>
          <w:rFonts w:hint="eastAsia"/>
          <w:lang w:val="en-US" w:eastAsia="zh-CN"/>
        </w:rPr>
        <w:t>减少3.70%</w:t>
      </w:r>
      <w:r>
        <w:rPr>
          <w:rFonts w:hint="eastAsia"/>
        </w:rPr>
        <w:t>,</w:t>
      </w:r>
      <w:r>
        <w:rPr>
          <w:rFonts w:hint="eastAsia"/>
          <w:highlight w:val="none"/>
        </w:rPr>
        <w:t>主要原因是：</w:t>
      </w:r>
      <w:r>
        <w:rPr>
          <w:rFonts w:hint="eastAsia"/>
          <w:highlight w:val="none"/>
          <w:lang w:val="en-US" w:eastAsia="zh-CN"/>
        </w:rPr>
        <w:t>践行中央过紧日子的文件精神，缩减经费开支</w:t>
      </w:r>
      <w:r>
        <w:rPr>
          <w:rFonts w:hint="eastAsia"/>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rPr>
      </w:pPr>
      <w:r>
        <w:rPr>
          <w:rFonts w:hint="eastAsia"/>
        </w:rPr>
        <w:t>(</w:t>
      </w:r>
      <w:r>
        <w:rPr>
          <w:u w:color="auto"/>
        </w:rPr>
        <w:t>3)住房保障支出</w:t>
      </w:r>
      <w:r>
        <w:rPr>
          <w:rFonts w:hint="eastAsia"/>
          <w:lang w:val="en-US" w:eastAsia="zh-CN"/>
        </w:rPr>
        <w:t>2.49</w:t>
      </w:r>
      <w:r>
        <w:rPr>
          <w:rFonts w:hint="eastAsia"/>
        </w:rPr>
        <w:t>万元，占支出总预算</w:t>
      </w:r>
      <w:r>
        <w:rPr>
          <w:rFonts w:hint="eastAsia"/>
          <w:lang w:val="en-US" w:eastAsia="zh-CN"/>
        </w:rPr>
        <w:t>10.16%</w:t>
      </w:r>
      <w:r>
        <w:rPr>
          <w:rFonts w:hint="eastAsia"/>
        </w:rPr>
        <w:t>,比上年</w:t>
      </w:r>
      <w:r>
        <w:rPr>
          <w:rFonts w:hint="eastAsia"/>
          <w:lang w:val="en-US" w:eastAsia="zh-CN"/>
        </w:rPr>
        <w:t>增长0.26</w:t>
      </w:r>
      <w:r>
        <w:rPr>
          <w:rFonts w:hint="eastAsia"/>
        </w:rPr>
        <w:t>万元，</w:t>
      </w:r>
      <w:r>
        <w:rPr>
          <w:rFonts w:hint="eastAsia"/>
          <w:lang w:val="en-US" w:eastAsia="zh-CN"/>
        </w:rPr>
        <w:t>增长11.66%</w:t>
      </w:r>
      <w:r>
        <w:rPr>
          <w:rFonts w:hint="eastAsia"/>
        </w:rPr>
        <w:t>,</w:t>
      </w:r>
      <w:r>
        <w:rPr>
          <w:rFonts w:hint="eastAsia"/>
          <w:highlight w:val="none"/>
        </w:rPr>
        <w:t>主要原因是：</w:t>
      </w:r>
      <w:r>
        <w:rPr>
          <w:rFonts w:hint="eastAsia"/>
          <w:highlight w:val="none"/>
          <w:lang w:val="en-US" w:eastAsia="zh-CN"/>
        </w:rPr>
        <w:t>人员工资福利和经费支出增加，增加基础性绩效工资增量</w:t>
      </w:r>
      <w:r>
        <w:rPr>
          <w:rFonts w:hint="eastAsia"/>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rPr>
      </w:pPr>
      <w:r>
        <w:rPr>
          <w:rFonts w:hint="eastAsia"/>
        </w:rPr>
        <w:t>(</w:t>
      </w:r>
      <w:r>
        <w:rPr>
          <w:u w:color="auto"/>
        </w:rPr>
        <w:t>4)一般公共服务支出</w:t>
      </w:r>
      <w:r>
        <w:rPr>
          <w:rFonts w:hint="eastAsia"/>
          <w:lang w:val="en-US" w:eastAsia="zh-CN"/>
        </w:rPr>
        <w:t>0.24</w:t>
      </w:r>
      <w:r>
        <w:rPr>
          <w:rFonts w:hint="eastAsia"/>
        </w:rPr>
        <w:t>万元，占支出总预算</w:t>
      </w:r>
      <w:r>
        <w:rPr>
          <w:rFonts w:hint="eastAsia"/>
          <w:lang w:val="en-US" w:eastAsia="zh-CN"/>
        </w:rPr>
        <w:t>0.98%</w:t>
      </w:r>
      <w:r>
        <w:rPr>
          <w:rFonts w:hint="eastAsia"/>
        </w:rPr>
        <w:t>,比上年</w:t>
      </w:r>
      <w:r>
        <w:rPr>
          <w:rFonts w:hint="eastAsia"/>
          <w:lang w:val="en-US" w:eastAsia="zh-CN"/>
        </w:rPr>
        <w:t>减少0.13</w:t>
      </w:r>
      <w:r>
        <w:rPr>
          <w:rFonts w:hint="eastAsia"/>
        </w:rPr>
        <w:t>万元，</w:t>
      </w:r>
      <w:r>
        <w:rPr>
          <w:rFonts w:hint="eastAsia"/>
          <w:lang w:val="en-US" w:eastAsia="zh-CN"/>
        </w:rPr>
        <w:t>减少35.14%</w:t>
      </w:r>
      <w:r>
        <w:rPr>
          <w:rFonts w:hint="eastAsia"/>
        </w:rPr>
        <w:t>,</w:t>
      </w:r>
      <w:r>
        <w:rPr>
          <w:rFonts w:hint="eastAsia"/>
          <w:highlight w:val="none"/>
        </w:rPr>
        <w:t>主要原因是：</w:t>
      </w:r>
      <w:r>
        <w:rPr>
          <w:rFonts w:hint="eastAsia"/>
          <w:highlight w:val="none"/>
          <w:lang w:val="en-US" w:eastAsia="zh-CN"/>
        </w:rPr>
        <w:t>践行中央过紧日子的文件精神，缩减经费开支</w:t>
      </w:r>
      <w:r>
        <w:rPr>
          <w:rFonts w:hint="eastAsia"/>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pPr>
      <w:r>
        <w:t>(二)按支出结构分类划分，分为基本支出预算和项目支出预算。</w:t>
      </w:r>
    </w:p>
    <w:p>
      <w:pPr>
        <w:pStyle w:val="18"/>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0" w:firstLineChars="200"/>
        <w:jc w:val="left"/>
        <w:textAlignment w:val="auto"/>
      </w:pPr>
      <w:r>
        <w:t>基本支出预算。</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lang w:val="en-US" w:eastAsia="zh-CN"/>
        </w:rPr>
      </w:pPr>
      <w:r>
        <w:rPr>
          <w:rFonts w:hint="eastAsia"/>
        </w:rPr>
        <w:t>基本支出预算</w:t>
      </w:r>
      <w:r>
        <w:rPr>
          <w:rFonts w:hint="eastAsia"/>
          <w:lang w:val="en-US" w:eastAsia="zh-CN"/>
        </w:rPr>
        <w:t>24.51</w:t>
      </w:r>
      <w:r>
        <w:rPr>
          <w:rFonts w:hint="eastAsia"/>
        </w:rPr>
        <w:t>万元，占支出预算</w:t>
      </w:r>
      <w:r>
        <w:rPr>
          <w:u w:color="auto"/>
        </w:rPr>
        <w:t>100.00%,比上年增长1.61万元，增长7.03%</w:t>
      </w:r>
      <w:r>
        <w:t>。</w:t>
      </w:r>
      <w:r>
        <w:rPr>
          <w:rFonts w:hint="eastAsia"/>
          <w:lang w:val="en-US" w:eastAsia="zh-CN"/>
        </w:rPr>
        <w:t>其中：</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w:t>
      </w:r>
      <w:r>
        <w:rPr>
          <w:rFonts w:ascii="宋体" w:hAnsi="宋体" w:eastAsia="宋体" w:cs="宋体"/>
          <w:sz w:val="28"/>
          <w:u w:color="auto"/>
        </w:rPr>
        <w:t>1)工资福利支出</w:t>
      </w:r>
      <w:r>
        <w:rPr>
          <w:rFonts w:hint="eastAsia" w:ascii="宋体" w:hAnsi="宋体" w:eastAsia="宋体" w:cs="宋体"/>
          <w:sz w:val="28"/>
          <w:szCs w:val="28"/>
          <w:lang w:val="en-US" w:eastAsia="zh-CN"/>
        </w:rPr>
        <w:t>23.80</w:t>
      </w:r>
      <w:r>
        <w:rPr>
          <w:rFonts w:hint="eastAsia" w:ascii="宋体" w:hAnsi="宋体" w:eastAsia="宋体" w:cs="宋体"/>
          <w:sz w:val="28"/>
          <w:szCs w:val="28"/>
        </w:rPr>
        <w:t>万</w:t>
      </w:r>
      <w:r>
        <w:rPr>
          <w:rFonts w:ascii="宋体" w:hAnsi="宋体" w:eastAsia="宋体" w:cs="宋体"/>
          <w:sz w:val="28"/>
          <w:szCs w:val="28"/>
        </w:rPr>
        <w:t>元，占基本</w:t>
      </w:r>
      <w:r>
        <w:rPr>
          <w:rFonts w:hint="eastAsia" w:ascii="宋体" w:hAnsi="宋体" w:eastAsia="宋体" w:cs="宋体"/>
          <w:sz w:val="28"/>
          <w:szCs w:val="28"/>
        </w:rPr>
        <w:t>支出总预算</w:t>
      </w:r>
      <w:r>
        <w:rPr>
          <w:rFonts w:hint="eastAsia" w:ascii="宋体" w:hAnsi="宋体" w:eastAsia="宋体" w:cs="宋体"/>
          <w:sz w:val="28"/>
          <w:szCs w:val="28"/>
          <w:lang w:val="en-US" w:eastAsia="zh-CN"/>
        </w:rPr>
        <w:t>97.10%</w:t>
      </w:r>
      <w:r>
        <w:rPr>
          <w:rFonts w:hint="eastAsia" w:ascii="宋体" w:hAnsi="宋体" w:eastAsia="宋体" w:cs="宋体"/>
          <w:sz w:val="28"/>
          <w:szCs w:val="28"/>
        </w:rPr>
        <w:t>,比上年</w:t>
      </w:r>
      <w:r>
        <w:rPr>
          <w:rFonts w:ascii="宋体" w:hAnsi="宋体" w:eastAsia="宋体" w:cs="宋体"/>
          <w:sz w:val="28"/>
          <w:u w:color="auto"/>
        </w:rPr>
        <w:t>增长1.76万元，增长7.99%,主要原因是：人员工资福利和经费支出增加，增加基础性绩效工资增量</w:t>
      </w:r>
      <w:r>
        <w:rPr>
          <w:rFonts w:hint="eastAsia" w:ascii="宋体" w:hAnsi="宋体" w:eastAsia="宋体" w:cs="宋体"/>
          <w:sz w:val="28"/>
          <w:szCs w:val="28"/>
          <w:lang w:val="en-US" w:eastAsia="zh-CN"/>
        </w:rPr>
        <w:t>。</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w:t>
      </w:r>
      <w:r>
        <w:rPr>
          <w:rFonts w:ascii="宋体" w:hAnsi="宋体" w:eastAsia="宋体" w:cs="宋体"/>
          <w:sz w:val="28"/>
          <w:u w:color="auto"/>
        </w:rPr>
        <w:t>2)对个人和家庭的补助</w:t>
      </w:r>
      <w:r>
        <w:rPr>
          <w:rFonts w:hint="eastAsia" w:ascii="宋体" w:hAnsi="宋体" w:eastAsia="宋体" w:cs="宋体"/>
          <w:sz w:val="28"/>
          <w:szCs w:val="28"/>
          <w:lang w:val="en-US" w:eastAsia="zh-CN"/>
        </w:rPr>
        <w:t>0.00</w:t>
      </w:r>
      <w:r>
        <w:rPr>
          <w:rFonts w:hint="eastAsia" w:ascii="宋体" w:hAnsi="宋体" w:eastAsia="宋体" w:cs="宋体"/>
          <w:sz w:val="28"/>
          <w:szCs w:val="28"/>
        </w:rPr>
        <w:t>万</w:t>
      </w:r>
      <w:r>
        <w:rPr>
          <w:rFonts w:ascii="宋体" w:hAnsi="宋体" w:eastAsia="宋体" w:cs="宋体"/>
          <w:sz w:val="28"/>
          <w:szCs w:val="28"/>
        </w:rPr>
        <w:t>元，占基本</w:t>
      </w:r>
      <w:r>
        <w:rPr>
          <w:rFonts w:hint="eastAsia" w:ascii="宋体" w:hAnsi="宋体" w:eastAsia="宋体" w:cs="宋体"/>
          <w:sz w:val="28"/>
          <w:szCs w:val="28"/>
        </w:rPr>
        <w:t>支出总预算</w:t>
      </w:r>
      <w:r>
        <w:rPr>
          <w:rFonts w:hint="eastAsia" w:ascii="宋体" w:hAnsi="宋体" w:eastAsia="宋体" w:cs="宋体"/>
          <w:sz w:val="28"/>
          <w:szCs w:val="28"/>
          <w:lang w:val="en-US" w:eastAsia="zh-CN"/>
        </w:rPr>
        <w:t>0.00%</w:t>
      </w:r>
      <w:r>
        <w:rPr>
          <w:rFonts w:hint="eastAsia" w:ascii="宋体" w:hAnsi="宋体" w:eastAsia="宋体" w:cs="宋体"/>
          <w:sz w:val="28"/>
          <w:szCs w:val="28"/>
        </w:rPr>
        <w:t>,比上年</w:t>
      </w:r>
      <w:r>
        <w:rPr>
          <w:rFonts w:ascii="宋体" w:hAnsi="宋体" w:eastAsia="宋体" w:cs="宋体"/>
          <w:sz w:val="28"/>
          <w:u w:color="auto"/>
        </w:rPr>
        <w:t>减少0.01万元，减少100.00%,主要原因是：践行中央过紧日子的文件精神，缩减经费开支</w:t>
      </w:r>
      <w:r>
        <w:rPr>
          <w:rFonts w:hint="eastAsia" w:ascii="宋体" w:hAnsi="宋体" w:eastAsia="宋体" w:cs="宋体"/>
          <w:sz w:val="28"/>
          <w:szCs w:val="28"/>
          <w:lang w:val="en-US" w:eastAsia="zh-CN"/>
        </w:rPr>
        <w:t>。</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w:t>
      </w:r>
      <w:r>
        <w:rPr>
          <w:rFonts w:ascii="宋体" w:hAnsi="宋体" w:eastAsia="宋体" w:cs="宋体"/>
          <w:sz w:val="28"/>
          <w:u w:color="auto"/>
        </w:rPr>
        <w:t>3)商品和服务支出</w:t>
      </w:r>
      <w:r>
        <w:rPr>
          <w:rFonts w:hint="eastAsia" w:ascii="宋体" w:hAnsi="宋体" w:eastAsia="宋体" w:cs="宋体"/>
          <w:sz w:val="28"/>
          <w:szCs w:val="28"/>
          <w:lang w:val="en-US" w:eastAsia="zh-CN"/>
        </w:rPr>
        <w:t>0.72</w:t>
      </w:r>
      <w:r>
        <w:rPr>
          <w:rFonts w:hint="eastAsia" w:ascii="宋体" w:hAnsi="宋体" w:eastAsia="宋体" w:cs="宋体"/>
          <w:sz w:val="28"/>
          <w:szCs w:val="28"/>
        </w:rPr>
        <w:t>万</w:t>
      </w:r>
      <w:r>
        <w:rPr>
          <w:rFonts w:ascii="宋体" w:hAnsi="宋体" w:eastAsia="宋体" w:cs="宋体"/>
          <w:sz w:val="28"/>
          <w:szCs w:val="28"/>
        </w:rPr>
        <w:t>元，占基本</w:t>
      </w:r>
      <w:r>
        <w:rPr>
          <w:rFonts w:hint="eastAsia" w:ascii="宋体" w:hAnsi="宋体" w:eastAsia="宋体" w:cs="宋体"/>
          <w:sz w:val="28"/>
          <w:szCs w:val="28"/>
        </w:rPr>
        <w:t>支出总预算</w:t>
      </w:r>
      <w:r>
        <w:rPr>
          <w:rFonts w:hint="eastAsia" w:ascii="宋体" w:hAnsi="宋体" w:eastAsia="宋体" w:cs="宋体"/>
          <w:sz w:val="28"/>
          <w:szCs w:val="28"/>
          <w:lang w:val="en-US" w:eastAsia="zh-CN"/>
        </w:rPr>
        <w:t>2.94%</w:t>
      </w:r>
      <w:r>
        <w:rPr>
          <w:rFonts w:hint="eastAsia" w:ascii="宋体" w:hAnsi="宋体" w:eastAsia="宋体" w:cs="宋体"/>
          <w:sz w:val="28"/>
          <w:szCs w:val="28"/>
        </w:rPr>
        <w:t>,比上年</w:t>
      </w:r>
      <w:r>
        <w:rPr>
          <w:rFonts w:ascii="宋体" w:hAnsi="宋体" w:eastAsia="宋体" w:cs="宋体"/>
          <w:sz w:val="28"/>
          <w:u w:color="auto"/>
        </w:rPr>
        <w:t>减少0.13万元，减少15.29%,主要原因是：践行中央过紧日子的文件精神，缩减经费开支</w:t>
      </w:r>
      <w:r>
        <w:rPr>
          <w:rFonts w:hint="eastAsia" w:ascii="宋体" w:hAnsi="宋体" w:eastAsia="宋体" w:cs="宋体"/>
          <w:sz w:val="28"/>
          <w:szCs w:val="28"/>
          <w:lang w:val="en-US" w:eastAsia="zh-CN"/>
        </w:rPr>
        <w:t>。</w:t>
      </w:r>
    </w:p>
    <w:p>
      <w:pPr>
        <w:pStyle w:val="18"/>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b w:val="0"/>
          <w:bCs w:val="0"/>
          <w:color w:val="000000"/>
          <w:sz w:val="28"/>
          <w:szCs w:val="28"/>
          <w:lang w:val="zh-TW" w:eastAsia="zh-TW" w:bidi="zh-TW"/>
        </w:rPr>
      </w:pPr>
      <w:r>
        <w:rPr>
          <w:rFonts w:hint="eastAsia" w:ascii="宋体" w:hAnsi="宋体" w:eastAsia="宋体" w:cs="宋体"/>
          <w:b w:val="0"/>
          <w:bCs w:val="0"/>
          <w:color w:val="000000"/>
          <w:sz w:val="28"/>
          <w:szCs w:val="28"/>
          <w:lang w:val="zh-TW" w:eastAsia="zh-TW" w:bidi="zh-TW"/>
        </w:rPr>
        <w:t>项目支出预算。</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lang w:val="en-US" w:eastAsia="zh-CN"/>
        </w:rPr>
      </w:pPr>
      <w:r>
        <w:rPr>
          <w:rFonts w:hint="eastAsia"/>
        </w:rPr>
        <w:t>项目支出预算</w:t>
      </w:r>
      <w:r>
        <w:rPr>
          <w:rFonts w:hint="eastAsia"/>
          <w:lang w:val="en-US" w:eastAsia="zh-CN"/>
        </w:rPr>
        <w:t>0.00</w:t>
      </w:r>
      <w:r>
        <w:rPr>
          <w:rFonts w:hint="eastAsia"/>
        </w:rPr>
        <w:t>万元，占支出预算</w:t>
      </w:r>
      <w:r>
        <w:rPr>
          <w:u w:color="auto"/>
        </w:rPr>
        <w:t>0.00%</w:t>
      </w:r>
      <w:r>
        <w:rPr>
          <w:rFonts w:hint="eastAsia"/>
        </w:rPr>
        <w:t>,比上年</w:t>
      </w:r>
      <w:r>
        <w:rPr>
          <w:u w:color="auto"/>
        </w:rPr>
        <w:t>增长0.00</w:t>
      </w:r>
      <w:r>
        <w:rPr>
          <w:rFonts w:hint="eastAsia"/>
        </w:rPr>
        <w:t>万元，</w:t>
      </w:r>
      <w:r>
        <w:rPr>
          <w:u w:color="auto"/>
        </w:rPr>
        <w:t>增长0%</w:t>
      </w:r>
      <w:r>
        <w:t>。</w:t>
      </w:r>
    </w:p>
    <w:p>
      <w:pPr>
        <w:pStyle w:val="16"/>
        <w:spacing w:after="0" w:line="619" w:lineRule="exact"/>
        <w:ind w:firstLine="620"/>
        <w:jc w:val="left"/>
        <w:rPr>
          <w:rFonts w:hint="eastAsia"/>
          <w:b/>
          <w:bCs/>
          <w:lang w:val="en-US" w:eastAsia="zh-CN"/>
        </w:rPr>
      </w:pPr>
      <w:r>
        <w:rPr>
          <w:rFonts w:hint="eastAsia"/>
          <w:b/>
          <w:bCs/>
          <w:lang w:val="en-US" w:eastAsia="zh-CN"/>
        </w:rPr>
        <w:t>四、财政拨款收支总体情况说明</w:t>
      </w:r>
    </w:p>
    <w:p>
      <w:pPr>
        <w:pStyle w:val="18"/>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691"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u w:color="auto"/>
        </w:rPr>
        <w:t>年</w:t>
      </w:r>
      <w:r>
        <w:rPr>
          <w:rFonts w:hint="eastAsia" w:ascii="宋体" w:hAnsi="宋体" w:eastAsia="宋体" w:cs="宋体"/>
          <w:sz w:val="28"/>
          <w:szCs w:val="28"/>
        </w:rPr>
        <w:t>财政拨款收入我部门财政拨款总收入</w:t>
      </w:r>
      <w:r>
        <w:rPr>
          <w:rFonts w:hint="eastAsia" w:ascii="宋体" w:hAnsi="宋体" w:eastAsia="宋体" w:cs="宋体"/>
          <w:sz w:val="28"/>
          <w:szCs w:val="28"/>
          <w:lang w:val="en-US" w:eastAsia="zh-CN" w:bidi="en-US"/>
        </w:rPr>
        <w:t>24.51</w:t>
      </w:r>
      <w:r>
        <w:rPr>
          <w:rFonts w:hint="eastAsia" w:ascii="宋体" w:hAnsi="宋体" w:eastAsia="宋体" w:cs="宋体"/>
          <w:sz w:val="28"/>
          <w:szCs w:val="28"/>
        </w:rPr>
        <w:t>万元，总支出</w:t>
      </w:r>
      <w:r>
        <w:rPr>
          <w:rFonts w:hint="eastAsia" w:ascii="宋体" w:hAnsi="宋体" w:eastAsia="宋体" w:cs="宋体"/>
          <w:sz w:val="28"/>
          <w:szCs w:val="28"/>
          <w:lang w:val="en-US" w:eastAsia="zh-CN" w:bidi="en-US"/>
        </w:rPr>
        <w:t>24.51</w:t>
      </w:r>
      <w:r>
        <w:rPr>
          <w:rFonts w:hint="eastAsia" w:ascii="宋体" w:hAnsi="宋体" w:eastAsia="宋体" w:cs="宋体"/>
          <w:sz w:val="28"/>
          <w:szCs w:val="28"/>
        </w:rPr>
        <w:t>万元。财政拨款总收入较2023年度预算数</w:t>
      </w:r>
      <w:r>
        <w:rPr>
          <w:rFonts w:hint="eastAsia" w:ascii="宋体" w:hAnsi="宋体" w:eastAsia="宋体" w:cs="宋体"/>
          <w:sz w:val="28"/>
          <w:szCs w:val="28"/>
          <w:lang w:val="en-US" w:eastAsia="zh-CN" w:bidi="en-US"/>
        </w:rPr>
        <w:t>22.90</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增加1.61</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增长7.03%</w:t>
      </w:r>
      <w:r>
        <w:rPr>
          <w:rFonts w:hint="eastAsia" w:ascii="宋体" w:hAnsi="宋体" w:eastAsia="宋体" w:cs="宋体"/>
          <w:sz w:val="28"/>
          <w:szCs w:val="28"/>
        </w:rPr>
        <w:t>，主要原因是</w:t>
      </w:r>
      <w:r>
        <w:rPr>
          <w:rFonts w:hint="eastAsia"/>
          <w:highlight w:val="none"/>
          <w:lang w:val="en-US" w:eastAsia="zh-CN"/>
        </w:rPr>
        <w:t>人员工资福利和经费支出增加，增加基础性绩效工资增量</w:t>
      </w:r>
      <w:r>
        <w:rPr>
          <w:rFonts w:hint="eastAsia" w:ascii="宋体" w:hAnsi="宋体" w:eastAsia="宋体" w:cs="宋体"/>
          <w:sz w:val="28"/>
          <w:szCs w:val="28"/>
        </w:rPr>
        <w:t>。财政拨款总支出较2023年度预算数</w:t>
      </w:r>
      <w:r>
        <w:rPr>
          <w:rFonts w:hint="eastAsia" w:ascii="宋体" w:hAnsi="宋体" w:eastAsia="宋体" w:cs="宋体"/>
          <w:sz w:val="28"/>
          <w:szCs w:val="28"/>
          <w:lang w:val="en-US" w:eastAsia="zh-CN" w:bidi="en-US"/>
        </w:rPr>
        <w:t>22.90</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增加1.61</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增长7.03%</w:t>
      </w:r>
      <w:r>
        <w:rPr>
          <w:rFonts w:hint="eastAsia" w:ascii="宋体" w:hAnsi="宋体" w:eastAsia="宋体" w:cs="宋体"/>
          <w:sz w:val="28"/>
          <w:szCs w:val="28"/>
        </w:rPr>
        <w:t>，主要原因是</w:t>
      </w:r>
      <w:r>
        <w:rPr>
          <w:rFonts w:hint="eastAsia"/>
          <w:highlight w:val="none"/>
          <w:lang w:val="en-US" w:eastAsia="zh-CN"/>
        </w:rPr>
        <w:t>人员工资福利和经费支出增加，增加基础性绩效工资增量</w:t>
      </w:r>
      <w:r>
        <w:rPr>
          <w:rFonts w:hint="eastAsia" w:ascii="宋体" w:hAnsi="宋体" w:eastAsia="宋体" w:cs="宋体"/>
          <w:sz w:val="28"/>
          <w:szCs w:val="28"/>
        </w:rPr>
        <w:t>。</w:t>
      </w:r>
    </w:p>
    <w:p>
      <w:pPr>
        <w:pStyle w:val="16"/>
        <w:spacing w:after="0" w:line="619" w:lineRule="exact"/>
        <w:ind w:firstLine="620"/>
        <w:jc w:val="left"/>
        <w:rPr>
          <w:rFonts w:hint="eastAsia"/>
          <w:b/>
          <w:bCs/>
          <w:lang w:val="en-US" w:eastAsia="zh-CN"/>
        </w:rPr>
      </w:pPr>
      <w:r>
        <w:rPr>
          <w:rFonts w:hint="eastAsia"/>
          <w:b/>
          <w:bCs/>
          <w:lang w:val="en-US" w:eastAsia="zh-CN"/>
        </w:rPr>
        <w:t>五、一般公共预算支出情况说明</w:t>
      </w:r>
    </w:p>
    <w:p>
      <w:pPr>
        <w:pStyle w:val="18"/>
        <w:spacing w:line="240" w:lineRule="auto"/>
        <w:ind w:firstLine="0"/>
        <w:jc w:val="left"/>
        <w:rPr>
          <w:lang w:eastAsia="zh-CN"/>
        </w:rPr>
      </w:pPr>
      <w:r>
        <w:rPr>
          <w:lang w:eastAsia="zh-CN"/>
        </w:rPr>
        <w:drawing>
          <wp:inline distT="0" distB="0" distL="114300" distR="114300">
            <wp:extent cx="5080000" cy="3810000"/>
            <wp:effectExtent l="4445" t="4445" r="20955" b="14605"/>
            <wp:docPr id="692"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lang w:val="en-US" w:eastAsia="zh-CN"/>
        </w:rPr>
        <w:t>年</w:t>
      </w:r>
      <w:r>
        <w:rPr>
          <w:rFonts w:hint="eastAsia" w:ascii="宋体" w:hAnsi="宋体" w:eastAsia="宋体" w:cs="宋体"/>
          <w:sz w:val="28"/>
          <w:szCs w:val="28"/>
        </w:rPr>
        <w:t>一般公共预算支出共</w:t>
      </w:r>
      <w:r>
        <w:rPr>
          <w:rFonts w:hint="eastAsia" w:ascii="宋体" w:hAnsi="宋体" w:eastAsia="宋体" w:cs="宋体"/>
          <w:sz w:val="28"/>
          <w:szCs w:val="28"/>
          <w:lang w:val="en-US" w:eastAsia="zh-CN"/>
        </w:rPr>
        <w:t>24.51</w:t>
      </w:r>
      <w:r>
        <w:rPr>
          <w:rFonts w:hint="eastAsia" w:ascii="宋体" w:hAnsi="宋体" w:eastAsia="宋体" w:cs="宋体"/>
          <w:sz w:val="28"/>
          <w:szCs w:val="28"/>
        </w:rPr>
        <w:t>万元，较2023年度预算数</w:t>
      </w:r>
      <w:r>
        <w:rPr>
          <w:rFonts w:hint="eastAsia" w:ascii="宋体" w:hAnsi="宋体" w:eastAsia="宋体" w:cs="宋体"/>
          <w:sz w:val="28"/>
          <w:szCs w:val="28"/>
          <w:lang w:val="en-US" w:eastAsia="zh-CN"/>
        </w:rPr>
        <w:t>22.90</w:t>
      </w:r>
      <w:r>
        <w:rPr>
          <w:rFonts w:hint="eastAsia" w:ascii="宋体" w:hAnsi="宋体" w:eastAsia="宋体" w:cs="宋体"/>
          <w:sz w:val="28"/>
          <w:szCs w:val="28"/>
        </w:rPr>
        <w:t>万元，</w:t>
      </w:r>
      <w:r>
        <w:rPr>
          <w:rFonts w:hint="eastAsia" w:ascii="宋体" w:hAnsi="宋体" w:eastAsia="宋体" w:cs="宋体"/>
          <w:sz w:val="28"/>
          <w:szCs w:val="28"/>
          <w:lang w:val="en-US" w:eastAsia="zh-CN"/>
        </w:rPr>
        <w:t>增加1.61</w:t>
      </w:r>
      <w:r>
        <w:rPr>
          <w:rFonts w:hint="eastAsia" w:ascii="宋体" w:hAnsi="宋体" w:eastAsia="宋体" w:cs="宋体"/>
          <w:sz w:val="28"/>
          <w:szCs w:val="28"/>
        </w:rPr>
        <w:t>万元，</w:t>
      </w:r>
      <w:r>
        <w:rPr>
          <w:rFonts w:hint="eastAsia" w:ascii="宋体" w:hAnsi="宋体" w:eastAsia="宋体" w:cs="宋体"/>
          <w:sz w:val="28"/>
          <w:szCs w:val="28"/>
          <w:lang w:val="en-US" w:eastAsia="zh-CN"/>
        </w:rPr>
        <w:t>增长7.03%</w:t>
      </w:r>
      <w:r>
        <w:rPr>
          <w:rFonts w:hint="eastAsia" w:ascii="宋体" w:hAnsi="宋体" w:eastAsia="宋体" w:cs="宋体"/>
          <w:sz w:val="28"/>
          <w:szCs w:val="28"/>
        </w:rPr>
        <w:t>，主要原因是</w:t>
      </w:r>
      <w:r>
        <w:rPr>
          <w:rFonts w:hint="eastAsia"/>
          <w:highlight w:val="none"/>
          <w:lang w:val="en-US" w:eastAsia="zh-CN"/>
        </w:rPr>
        <w:t>人员工资福利和经费支出增加，增加基础性绩效工资增量</w:t>
      </w:r>
      <w:r>
        <w:rPr>
          <w:rFonts w:hint="eastAsia" w:ascii="宋体" w:hAnsi="宋体" w:eastAsia="宋体" w:cs="宋体"/>
          <w:sz w:val="28"/>
          <w:szCs w:val="28"/>
        </w:rPr>
        <w:t>。中央提前下达2024年一般公共预算转移支付资金安排的支出</w:t>
      </w:r>
      <w:r>
        <w:rPr>
          <w:rFonts w:hint="eastAsia" w:ascii="宋体" w:hAnsi="宋体" w:eastAsia="宋体" w:cs="宋体"/>
          <w:sz w:val="28"/>
          <w:szCs w:val="28"/>
          <w:lang w:val="en-US" w:eastAsia="zh-CN"/>
        </w:rPr>
        <w:t>0.00</w:t>
      </w:r>
      <w:r>
        <w:rPr>
          <w:rFonts w:hint="eastAsia" w:ascii="宋体" w:hAnsi="宋体" w:eastAsia="宋体" w:cs="宋体"/>
          <w:sz w:val="28"/>
          <w:szCs w:val="28"/>
        </w:rPr>
        <w:t>万元。具体情况为：</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一般公共服务支出（类）支出</w:t>
      </w:r>
      <w:r>
        <w:rPr>
          <w:rFonts w:ascii="宋体" w:hAnsi="宋体" w:eastAsia="宋体" w:cs="宋体"/>
          <w:sz w:val="28"/>
          <w:u w:color="auto"/>
        </w:rPr>
        <w:t>0.24</w:t>
      </w:r>
      <w:r>
        <w:rPr>
          <w:rFonts w:hint="eastAsia" w:ascii="宋体" w:hAnsi="宋体" w:eastAsia="宋体" w:cs="宋体"/>
          <w:sz w:val="28"/>
          <w:szCs w:val="28"/>
        </w:rPr>
        <w:t>万元，占支出总预算的</w:t>
      </w:r>
      <w:r>
        <w:rPr>
          <w:rFonts w:ascii="宋体" w:hAnsi="宋体" w:eastAsia="宋体" w:cs="宋体"/>
          <w:sz w:val="28"/>
          <w:u w:color="auto"/>
        </w:rPr>
        <w:t>0.98%</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0.37</w:t>
      </w:r>
      <w:r>
        <w:rPr>
          <w:rFonts w:hint="eastAsia" w:ascii="宋体" w:hAnsi="宋体" w:eastAsia="宋体" w:cs="宋体"/>
          <w:sz w:val="28"/>
          <w:szCs w:val="28"/>
        </w:rPr>
        <w:t>万元，</w:t>
      </w:r>
      <w:r>
        <w:rPr>
          <w:rFonts w:ascii="宋体" w:hAnsi="宋体" w:eastAsia="宋体" w:cs="宋体"/>
          <w:sz w:val="28"/>
          <w:u w:color="auto"/>
        </w:rPr>
        <w:t>减少0.13</w:t>
      </w:r>
      <w:r>
        <w:rPr>
          <w:rFonts w:hint="eastAsia" w:ascii="宋体" w:hAnsi="宋体" w:eastAsia="宋体" w:cs="宋体"/>
          <w:sz w:val="28"/>
          <w:szCs w:val="28"/>
        </w:rPr>
        <w:t>万元，</w:t>
      </w:r>
      <w:r>
        <w:rPr>
          <w:rFonts w:ascii="宋体" w:hAnsi="宋体" w:eastAsia="宋体" w:cs="宋体"/>
          <w:sz w:val="28"/>
          <w:u w:color="auto"/>
        </w:rPr>
        <w:t>减少35.14%</w:t>
      </w:r>
      <w:r>
        <w:rPr>
          <w:rFonts w:hint="eastAsia" w:ascii="宋体" w:hAnsi="宋体" w:eastAsia="宋体" w:cs="宋体"/>
          <w:sz w:val="28"/>
          <w:szCs w:val="28"/>
        </w:rPr>
        <w:t>，主要原因是：</w:t>
      </w:r>
      <w:r>
        <w:rPr>
          <w:rFonts w:hint="eastAsia"/>
          <w:highlight w:val="none"/>
        </w:rPr>
        <w:t>践行中央过紧日子的文件精神，缩减经费开支</w:t>
      </w:r>
      <w:r>
        <w:rPr>
          <w:rFonts w:hint="eastAsia" w:ascii="宋体" w:hAnsi="宋体" w:eastAsia="宋体" w:cs="宋体"/>
          <w:sz w:val="28"/>
          <w:szCs w:val="28"/>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住房保障支出（类）支出</w:t>
      </w:r>
      <w:r>
        <w:rPr>
          <w:rFonts w:ascii="宋体" w:hAnsi="宋体" w:eastAsia="宋体" w:cs="宋体"/>
          <w:sz w:val="28"/>
          <w:u w:color="auto"/>
        </w:rPr>
        <w:t>2.49</w:t>
      </w:r>
      <w:r>
        <w:rPr>
          <w:rFonts w:hint="eastAsia" w:ascii="宋体" w:hAnsi="宋体" w:eastAsia="宋体" w:cs="宋体"/>
          <w:sz w:val="28"/>
          <w:szCs w:val="28"/>
        </w:rPr>
        <w:t>万元，占支出总预算的</w:t>
      </w:r>
      <w:r>
        <w:rPr>
          <w:rFonts w:ascii="宋体" w:hAnsi="宋体" w:eastAsia="宋体" w:cs="宋体"/>
          <w:sz w:val="28"/>
          <w:u w:color="auto"/>
        </w:rPr>
        <w:t>10.16%</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2.23</w:t>
      </w:r>
      <w:r>
        <w:rPr>
          <w:rFonts w:hint="eastAsia" w:ascii="宋体" w:hAnsi="宋体" w:eastAsia="宋体" w:cs="宋体"/>
          <w:sz w:val="28"/>
          <w:szCs w:val="28"/>
        </w:rPr>
        <w:t>万元，</w:t>
      </w:r>
      <w:r>
        <w:rPr>
          <w:rFonts w:ascii="宋体" w:hAnsi="宋体" w:eastAsia="宋体" w:cs="宋体"/>
          <w:sz w:val="28"/>
          <w:u w:color="auto"/>
        </w:rPr>
        <w:t>增长0.26</w:t>
      </w:r>
      <w:r>
        <w:rPr>
          <w:rFonts w:hint="eastAsia" w:ascii="宋体" w:hAnsi="宋体" w:eastAsia="宋体" w:cs="宋体"/>
          <w:sz w:val="28"/>
          <w:szCs w:val="28"/>
        </w:rPr>
        <w:t>万元，</w:t>
      </w:r>
      <w:r>
        <w:rPr>
          <w:rFonts w:ascii="宋体" w:hAnsi="宋体" w:eastAsia="宋体" w:cs="宋体"/>
          <w:sz w:val="28"/>
          <w:u w:color="auto"/>
        </w:rPr>
        <w:t>增长11.66%</w:t>
      </w:r>
      <w:r>
        <w:rPr>
          <w:rFonts w:hint="eastAsia" w:ascii="宋体" w:hAnsi="宋体" w:eastAsia="宋体" w:cs="宋体"/>
          <w:sz w:val="28"/>
          <w:szCs w:val="28"/>
        </w:rPr>
        <w:t>，主要原因是：</w:t>
      </w:r>
      <w:r>
        <w:rPr>
          <w:rFonts w:hint="eastAsia"/>
          <w:highlight w:val="none"/>
        </w:rPr>
        <w:t>人员工资福利和经费支出增加，增加基础性绩效工资增量</w:t>
      </w:r>
      <w:r>
        <w:rPr>
          <w:rFonts w:hint="eastAsia" w:ascii="宋体" w:hAnsi="宋体" w:eastAsia="宋体" w:cs="宋体"/>
          <w:sz w:val="28"/>
          <w:szCs w:val="28"/>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农林水支出（类）支出</w:t>
      </w:r>
      <w:r>
        <w:rPr>
          <w:rFonts w:ascii="宋体" w:hAnsi="宋体" w:eastAsia="宋体" w:cs="宋体"/>
          <w:sz w:val="28"/>
          <w:u w:color="auto"/>
        </w:rPr>
        <w:t>18.92</w:t>
      </w:r>
      <w:r>
        <w:rPr>
          <w:rFonts w:hint="eastAsia" w:ascii="宋体" w:hAnsi="宋体" w:eastAsia="宋体" w:cs="宋体"/>
          <w:sz w:val="28"/>
          <w:szCs w:val="28"/>
        </w:rPr>
        <w:t>万元，占支出总预算的</w:t>
      </w:r>
      <w:r>
        <w:rPr>
          <w:rFonts w:ascii="宋体" w:hAnsi="宋体" w:eastAsia="宋体" w:cs="宋体"/>
          <w:sz w:val="28"/>
          <w:u w:color="auto"/>
        </w:rPr>
        <w:t>77.19%</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17.33</w:t>
      </w:r>
      <w:r>
        <w:rPr>
          <w:rFonts w:hint="eastAsia" w:ascii="宋体" w:hAnsi="宋体" w:eastAsia="宋体" w:cs="宋体"/>
          <w:sz w:val="28"/>
          <w:szCs w:val="28"/>
        </w:rPr>
        <w:t>万元，</w:t>
      </w:r>
      <w:r>
        <w:rPr>
          <w:rFonts w:ascii="宋体" w:hAnsi="宋体" w:eastAsia="宋体" w:cs="宋体"/>
          <w:sz w:val="28"/>
          <w:u w:color="auto"/>
        </w:rPr>
        <w:t>增长1.59</w:t>
      </w:r>
      <w:r>
        <w:rPr>
          <w:rFonts w:hint="eastAsia" w:ascii="宋体" w:hAnsi="宋体" w:eastAsia="宋体" w:cs="宋体"/>
          <w:sz w:val="28"/>
          <w:szCs w:val="28"/>
        </w:rPr>
        <w:t>万元，</w:t>
      </w:r>
      <w:r>
        <w:rPr>
          <w:rFonts w:ascii="宋体" w:hAnsi="宋体" w:eastAsia="宋体" w:cs="宋体"/>
          <w:sz w:val="28"/>
          <w:u w:color="auto"/>
        </w:rPr>
        <w:t>增长9.17%</w:t>
      </w:r>
      <w:r>
        <w:rPr>
          <w:rFonts w:hint="eastAsia" w:ascii="宋体" w:hAnsi="宋体" w:eastAsia="宋体" w:cs="宋体"/>
          <w:sz w:val="28"/>
          <w:szCs w:val="28"/>
        </w:rPr>
        <w:t>，主要原因是：</w:t>
      </w:r>
      <w:r>
        <w:rPr>
          <w:rFonts w:hint="eastAsia"/>
          <w:highlight w:val="none"/>
        </w:rPr>
        <w:t>人员工资福利和经费支出增加，增加基础性绩效工资增量</w:t>
      </w:r>
      <w:r>
        <w:rPr>
          <w:rFonts w:hint="eastAsia" w:ascii="宋体" w:hAnsi="宋体" w:eastAsia="宋体" w:cs="宋体"/>
          <w:sz w:val="28"/>
          <w:szCs w:val="28"/>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社会保障和就业支出（类）支出</w:t>
      </w:r>
      <w:r>
        <w:rPr>
          <w:rFonts w:ascii="宋体" w:hAnsi="宋体" w:eastAsia="宋体" w:cs="宋体"/>
          <w:sz w:val="28"/>
          <w:u w:color="auto"/>
        </w:rPr>
        <w:t>2.86</w:t>
      </w:r>
      <w:r>
        <w:rPr>
          <w:rFonts w:hint="eastAsia" w:ascii="宋体" w:hAnsi="宋体" w:eastAsia="宋体" w:cs="宋体"/>
          <w:sz w:val="28"/>
          <w:szCs w:val="28"/>
        </w:rPr>
        <w:t>万元，占支出总预算的</w:t>
      </w:r>
      <w:r>
        <w:rPr>
          <w:rFonts w:ascii="宋体" w:hAnsi="宋体" w:eastAsia="宋体" w:cs="宋体"/>
          <w:sz w:val="28"/>
          <w:u w:color="auto"/>
        </w:rPr>
        <w:t>11.67%</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2.97</w:t>
      </w:r>
      <w:r>
        <w:rPr>
          <w:rFonts w:hint="eastAsia" w:ascii="宋体" w:hAnsi="宋体" w:eastAsia="宋体" w:cs="宋体"/>
          <w:sz w:val="28"/>
          <w:szCs w:val="28"/>
        </w:rPr>
        <w:t>万元，</w:t>
      </w:r>
      <w:r>
        <w:rPr>
          <w:rFonts w:ascii="宋体" w:hAnsi="宋体" w:eastAsia="宋体" w:cs="宋体"/>
          <w:sz w:val="28"/>
          <w:u w:color="auto"/>
        </w:rPr>
        <w:t>减少0.11</w:t>
      </w:r>
      <w:r>
        <w:rPr>
          <w:rFonts w:hint="eastAsia" w:ascii="宋体" w:hAnsi="宋体" w:eastAsia="宋体" w:cs="宋体"/>
          <w:sz w:val="28"/>
          <w:szCs w:val="28"/>
        </w:rPr>
        <w:t>万元，</w:t>
      </w:r>
      <w:r>
        <w:rPr>
          <w:rFonts w:ascii="宋体" w:hAnsi="宋体" w:eastAsia="宋体" w:cs="宋体"/>
          <w:sz w:val="28"/>
          <w:u w:color="auto"/>
        </w:rPr>
        <w:t>减少3.70%</w:t>
      </w:r>
      <w:r>
        <w:rPr>
          <w:rFonts w:hint="eastAsia" w:ascii="宋体" w:hAnsi="宋体" w:eastAsia="宋体" w:cs="宋体"/>
          <w:sz w:val="28"/>
          <w:szCs w:val="28"/>
        </w:rPr>
        <w:t>，主要原因是：</w:t>
      </w:r>
      <w:r>
        <w:rPr>
          <w:rFonts w:hint="eastAsia"/>
          <w:highlight w:val="none"/>
        </w:rPr>
        <w:t>践行中央过紧日子的文件精神，缩减经费开支</w:t>
      </w:r>
      <w:r>
        <w:rPr>
          <w:rFonts w:hint="eastAsia" w:ascii="宋体" w:hAnsi="宋体" w:eastAsia="宋体" w:cs="宋体"/>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六、一般公共预算基本支出情况说明</w:t>
      </w:r>
    </w:p>
    <w:p>
      <w:pPr>
        <w:pStyle w:val="16"/>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693"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lang w:val="en-US" w:eastAsia="zh-CN"/>
        </w:rPr>
      </w:pPr>
      <w:r>
        <w:rPr>
          <w:rFonts w:hint="eastAsia"/>
          <w:lang w:val="en-US" w:eastAsia="zh-CN"/>
        </w:rPr>
        <w:t>2024</w:t>
      </w:r>
      <w:r>
        <w:rPr>
          <w:u w:color="auto"/>
        </w:rPr>
        <w:t>年</w:t>
      </w:r>
      <w:r>
        <w:rPr>
          <w:rFonts w:hint="eastAsia"/>
        </w:rPr>
        <w:t>一般公共预算基本支出共</w:t>
      </w:r>
      <w:r>
        <w:rPr>
          <w:rFonts w:hint="eastAsia"/>
          <w:lang w:val="en-US" w:eastAsia="zh-CN"/>
        </w:rPr>
        <w:t>24.51</w:t>
      </w:r>
      <w:r>
        <w:rPr>
          <w:rFonts w:hint="eastAsia"/>
        </w:rPr>
        <w:t>万元，较2023年度预算数</w:t>
      </w:r>
      <w:r>
        <w:rPr>
          <w:rFonts w:hint="eastAsia"/>
          <w:lang w:val="en-US" w:eastAsia="zh-CN"/>
        </w:rPr>
        <w:t>22.90</w:t>
      </w:r>
      <w:r>
        <w:rPr>
          <w:rFonts w:hint="eastAsia"/>
        </w:rPr>
        <w:t>万元</w:t>
      </w:r>
      <w:r>
        <w:rPr>
          <w:rFonts w:hint="eastAsia"/>
          <w:lang w:val="en-US" w:eastAsia="zh-CN"/>
        </w:rPr>
        <w:t>,</w:t>
      </w:r>
      <w:r>
        <w:rPr>
          <w:u w:color="auto"/>
        </w:rPr>
        <w:t>增加1.61</w:t>
      </w:r>
      <w:r>
        <w:rPr>
          <w:rFonts w:hint="eastAsia"/>
        </w:rPr>
        <w:t>万元，</w:t>
      </w:r>
      <w:r>
        <w:rPr>
          <w:rFonts w:hint="eastAsia"/>
          <w:lang w:val="en-US" w:eastAsia="zh-CN"/>
        </w:rPr>
        <w:t>增长7.03%</w:t>
      </w:r>
      <w:r>
        <w:rPr>
          <w:rFonts w:hint="eastAsia"/>
        </w:rPr>
        <w:t>，主要原因是</w:t>
      </w:r>
      <w:r>
        <w:rPr>
          <w:rFonts w:hint="eastAsia"/>
          <w:highlight w:val="none"/>
          <w:lang w:val="en-US" w:eastAsia="zh-CN"/>
        </w:rPr>
        <w:t>人员工资福利和经费支出增加，增加基础性绩效工资增量</w:t>
      </w:r>
      <w:r>
        <w:rPr>
          <w:rFonts w:hint="eastAsia"/>
        </w:rPr>
        <w:t>。具体情况为：</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工资福利支出</w:t>
      </w:r>
      <w:r>
        <w:rPr>
          <w:rFonts w:hint="eastAsia"/>
        </w:rPr>
        <w:t>支出预算</w:t>
      </w:r>
      <w:r>
        <w:rPr>
          <w:rFonts w:hint="eastAsia"/>
          <w:lang w:val="en-US" w:eastAsia="zh-CN"/>
        </w:rPr>
        <w:t>23.80</w:t>
      </w:r>
      <w:r>
        <w:t>万元</w:t>
      </w:r>
      <w:r>
        <w:rPr>
          <w:rFonts w:hint="eastAsia"/>
          <w:lang w:eastAsia="zh-CN"/>
        </w:rPr>
        <w:t>，</w:t>
      </w:r>
      <w:r>
        <w:rPr>
          <w:rFonts w:hint="eastAsia"/>
        </w:rPr>
        <w:t>占基本支出预算的</w:t>
      </w:r>
      <w:r>
        <w:rPr>
          <w:rFonts w:hint="eastAsia"/>
          <w:lang w:val="en-US" w:eastAsia="zh-CN"/>
        </w:rPr>
        <w:t>97.10%</w:t>
      </w:r>
      <w:r>
        <w:rPr>
          <w:rFonts w:hint="eastAsia"/>
        </w:rPr>
        <w:t>，较2023年度预算数</w:t>
      </w:r>
      <w:r>
        <w:rPr>
          <w:rFonts w:hint="eastAsia"/>
          <w:lang w:val="en-US" w:eastAsia="zh-CN"/>
        </w:rPr>
        <w:t>22.04</w:t>
      </w:r>
      <w:r>
        <w:rPr>
          <w:rFonts w:hint="eastAsia"/>
        </w:rPr>
        <w:t>万元，</w:t>
      </w:r>
      <w:r>
        <w:rPr>
          <w:rFonts w:hint="eastAsia"/>
          <w:lang w:val="en-US" w:eastAsia="zh-CN"/>
        </w:rPr>
        <w:t>增长1.76</w:t>
      </w:r>
      <w:r>
        <w:rPr>
          <w:rFonts w:hint="eastAsia"/>
        </w:rPr>
        <w:t>万元，</w:t>
      </w:r>
      <w:r>
        <w:rPr>
          <w:rFonts w:hint="eastAsia"/>
          <w:lang w:val="en-US" w:eastAsia="zh-CN"/>
        </w:rPr>
        <w:t>增长7.99%</w:t>
      </w:r>
      <w:r>
        <w:rPr>
          <w:rFonts w:hint="eastAsia"/>
        </w:rPr>
        <w:t>，主要原因是：</w:t>
      </w:r>
      <w:r>
        <w:rPr>
          <w:rFonts w:hint="eastAsia"/>
          <w:highlight w:val="none"/>
        </w:rPr>
        <w:t>人员工资福利和经费支出增加，增加基础性绩效工资增量</w:t>
      </w:r>
      <w:r>
        <w:rPr>
          <w:rFonts w:hint="eastAsia"/>
          <w:highlight w:val="none"/>
          <w:lang w:val="en-US" w:eastAsia="zh-CN"/>
        </w:rPr>
        <w:t>。</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对个人和家庭的补助</w:t>
      </w:r>
      <w:r>
        <w:rPr>
          <w:rFonts w:hint="eastAsia"/>
        </w:rPr>
        <w:t>支出预算</w:t>
      </w:r>
      <w:r>
        <w:rPr>
          <w:rFonts w:hint="eastAsia"/>
          <w:lang w:val="en-US" w:eastAsia="zh-CN"/>
        </w:rPr>
        <w:t>0.00</w:t>
      </w:r>
      <w:r>
        <w:t>万元</w:t>
      </w:r>
      <w:r>
        <w:rPr>
          <w:rFonts w:hint="eastAsia"/>
          <w:lang w:eastAsia="zh-CN"/>
        </w:rPr>
        <w:t>，</w:t>
      </w:r>
      <w:r>
        <w:rPr>
          <w:rFonts w:hint="eastAsia"/>
        </w:rPr>
        <w:t>占基本支出预算的</w:t>
      </w:r>
      <w:r>
        <w:rPr>
          <w:rFonts w:hint="eastAsia"/>
          <w:lang w:val="en-US" w:eastAsia="zh-CN"/>
        </w:rPr>
        <w:t>0.00%</w:t>
      </w:r>
      <w:r>
        <w:rPr>
          <w:rFonts w:hint="eastAsia"/>
        </w:rPr>
        <w:t>，较2023年度预算数</w:t>
      </w:r>
      <w:r>
        <w:rPr>
          <w:rFonts w:hint="eastAsia"/>
          <w:lang w:val="en-US" w:eastAsia="zh-CN"/>
        </w:rPr>
        <w:t>0.01</w:t>
      </w:r>
      <w:r>
        <w:rPr>
          <w:rFonts w:hint="eastAsia"/>
        </w:rPr>
        <w:t>万元，</w:t>
      </w:r>
      <w:r>
        <w:rPr>
          <w:rFonts w:hint="eastAsia"/>
          <w:lang w:val="en-US" w:eastAsia="zh-CN"/>
        </w:rPr>
        <w:t>减少0.01</w:t>
      </w:r>
      <w:r>
        <w:rPr>
          <w:rFonts w:hint="eastAsia"/>
        </w:rPr>
        <w:t>万元，</w:t>
      </w:r>
      <w:r>
        <w:rPr>
          <w:rFonts w:hint="eastAsia"/>
          <w:lang w:val="en-US" w:eastAsia="zh-CN"/>
        </w:rPr>
        <w:t>减少100.00%</w:t>
      </w:r>
      <w:r>
        <w:rPr>
          <w:rFonts w:hint="eastAsia"/>
        </w:rPr>
        <w:t>，主要原因是：</w:t>
      </w:r>
      <w:r>
        <w:rPr>
          <w:rFonts w:hint="eastAsia"/>
          <w:highlight w:val="none"/>
        </w:rPr>
        <w:t>践行中央过紧日子的文件精神，缩减经费开支</w:t>
      </w:r>
      <w:r>
        <w:rPr>
          <w:rFonts w:hint="eastAsia"/>
          <w:highlight w:val="none"/>
          <w:lang w:val="en-US" w:eastAsia="zh-CN"/>
        </w:rPr>
        <w:t>。</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商品和服务支出</w:t>
      </w:r>
      <w:r>
        <w:rPr>
          <w:rFonts w:hint="eastAsia"/>
        </w:rPr>
        <w:t>支出预算</w:t>
      </w:r>
      <w:r>
        <w:rPr>
          <w:rFonts w:hint="eastAsia"/>
          <w:lang w:val="en-US" w:eastAsia="zh-CN"/>
        </w:rPr>
        <w:t>0.72</w:t>
      </w:r>
      <w:r>
        <w:t>万元</w:t>
      </w:r>
      <w:r>
        <w:rPr>
          <w:rFonts w:hint="eastAsia"/>
          <w:lang w:eastAsia="zh-CN"/>
        </w:rPr>
        <w:t>，</w:t>
      </w:r>
      <w:r>
        <w:rPr>
          <w:rFonts w:hint="eastAsia"/>
        </w:rPr>
        <w:t>占基本支出预算的</w:t>
      </w:r>
      <w:r>
        <w:rPr>
          <w:rFonts w:hint="eastAsia"/>
          <w:lang w:val="en-US" w:eastAsia="zh-CN"/>
        </w:rPr>
        <w:t>2.94%</w:t>
      </w:r>
      <w:r>
        <w:rPr>
          <w:rFonts w:hint="eastAsia"/>
        </w:rPr>
        <w:t>，较2023年度预算数</w:t>
      </w:r>
      <w:r>
        <w:rPr>
          <w:rFonts w:hint="eastAsia"/>
          <w:lang w:val="en-US" w:eastAsia="zh-CN"/>
        </w:rPr>
        <w:t>0.85</w:t>
      </w:r>
      <w:r>
        <w:rPr>
          <w:rFonts w:hint="eastAsia"/>
        </w:rPr>
        <w:t>万元，</w:t>
      </w:r>
      <w:r>
        <w:rPr>
          <w:rFonts w:hint="eastAsia"/>
          <w:lang w:val="en-US" w:eastAsia="zh-CN"/>
        </w:rPr>
        <w:t>减少0.13</w:t>
      </w:r>
      <w:r>
        <w:rPr>
          <w:rFonts w:hint="eastAsia"/>
        </w:rPr>
        <w:t>万元，</w:t>
      </w:r>
      <w:r>
        <w:rPr>
          <w:rFonts w:hint="eastAsia"/>
          <w:lang w:val="en-US" w:eastAsia="zh-CN"/>
        </w:rPr>
        <w:t>减少15.29%</w:t>
      </w:r>
      <w:r>
        <w:rPr>
          <w:rFonts w:hint="eastAsia"/>
        </w:rPr>
        <w:t>，主要原因是：</w:t>
      </w:r>
      <w:r>
        <w:rPr>
          <w:rFonts w:hint="eastAsia"/>
          <w:highlight w:val="none"/>
        </w:rPr>
        <w:t>践行中央过紧日子的文件精神，缩减经费开支</w:t>
      </w:r>
      <w:r>
        <w:rPr>
          <w:rFonts w:hint="eastAsia"/>
          <w:highlight w:val="none"/>
          <w:lang w:val="en-US" w:eastAsia="zh-CN"/>
        </w:rPr>
        <w:t>。</w:t>
      </w:r>
    </w:p>
    <w:p>
      <w:pPr>
        <w:pStyle w:val="16"/>
        <w:spacing w:after="0" w:line="619" w:lineRule="exact"/>
        <w:ind w:firstLine="620"/>
        <w:jc w:val="left"/>
        <w:rPr>
          <w:rFonts w:hint="eastAsia"/>
          <w:b/>
          <w:bCs/>
        </w:rPr>
      </w:pPr>
      <w:r>
        <w:rPr>
          <w:rFonts w:hint="eastAsia"/>
          <w:b/>
          <w:bCs/>
          <w:lang w:val="en-US" w:eastAsia="zh-CN"/>
        </w:rPr>
        <w:t>七、一般公共预算</w:t>
      </w:r>
      <w:r>
        <w:rPr>
          <w:rFonts w:hint="eastAsia"/>
          <w:b/>
          <w:bCs/>
          <w:lang w:val="zh-CN" w:eastAsia="zh-CN"/>
        </w:rPr>
        <w:t>“三</w:t>
      </w:r>
      <w:r>
        <w:rPr>
          <w:rFonts w:hint="eastAsia"/>
          <w:b/>
          <w:bCs/>
          <w:lang w:val="en-US" w:eastAsia="zh-CN"/>
        </w:rPr>
        <w:t>公”经费支出情况说明</w:t>
      </w:r>
    </w:p>
    <w:p>
      <w:pPr>
        <w:pStyle w:val="16"/>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694"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4" w:name="bookmark90"/>
      <w:r>
        <w:rPr>
          <w:rFonts w:hint="eastAsia"/>
          <w:b w:val="0"/>
          <w:bCs w:val="0"/>
          <w:sz w:val="28"/>
          <w:szCs w:val="28"/>
          <w:lang w:eastAsia="zh-CN"/>
        </w:rPr>
        <w:t>（</w:t>
      </w:r>
      <w:r>
        <w:rPr>
          <w:rFonts w:hint="eastAsia"/>
          <w:b w:val="0"/>
          <w:bCs w:val="0"/>
          <w:sz w:val="28"/>
          <w:szCs w:val="28"/>
          <w:lang w:val="en-US" w:eastAsia="zh-CN"/>
        </w:rPr>
        <w:t>一</w:t>
      </w:r>
      <w:r>
        <w:rPr>
          <w:rFonts w:hint="eastAsia"/>
          <w:b w:val="0"/>
          <w:bCs w:val="0"/>
          <w:sz w:val="28"/>
          <w:szCs w:val="28"/>
          <w:lang w:eastAsia="zh-CN"/>
        </w:rPr>
        <w:t>）</w:t>
      </w:r>
      <w:r>
        <w:rPr>
          <w:sz w:val="28"/>
          <w:u w:color="auto"/>
        </w:rPr>
        <w:t>2024年部门预算共安排</w:t>
      </w:r>
      <w:r>
        <w:rPr>
          <w:rFonts w:hint="eastAsia"/>
          <w:b w:val="0"/>
          <w:bCs w:val="0"/>
          <w:sz w:val="28"/>
          <w:szCs w:val="28"/>
          <w:lang w:val="zh-CN" w:eastAsia="zh-CN"/>
        </w:rPr>
        <w:t>“三公</w:t>
      </w:r>
      <w:r>
        <w:rPr>
          <w:rFonts w:hint="eastAsia"/>
          <w:b w:val="0"/>
          <w:bCs w:val="0"/>
          <w:sz w:val="28"/>
          <w:szCs w:val="28"/>
          <w:lang w:val="en-US" w:eastAsia="zh-CN"/>
        </w:rPr>
        <w:t>"</w:t>
      </w:r>
      <w:r>
        <w:rPr>
          <w:rFonts w:hint="eastAsia"/>
          <w:b w:val="0"/>
          <w:bCs w:val="0"/>
          <w:sz w:val="28"/>
          <w:szCs w:val="28"/>
          <w:lang w:eastAsia="zh-CN"/>
        </w:rPr>
        <w:t>经费支出预算</w:t>
      </w:r>
      <w:r>
        <w:rPr>
          <w:rFonts w:hint="eastAsia"/>
          <w:b w:val="0"/>
          <w:bCs w:val="0"/>
          <w:sz w:val="28"/>
          <w:szCs w:val="28"/>
          <w:lang w:val="en-US" w:eastAsia="zh-CN"/>
        </w:rPr>
        <w:t>0.00</w:t>
      </w:r>
      <w:r>
        <w:rPr>
          <w:rFonts w:hint="eastAsia"/>
          <w:b w:val="0"/>
          <w:bCs w:val="0"/>
          <w:sz w:val="28"/>
          <w:szCs w:val="28"/>
          <w:lang w:eastAsia="zh-CN"/>
        </w:rPr>
        <w:t>万元（全口径），其中：因公出国（境）经费支出预算</w:t>
      </w:r>
      <w:r>
        <w:rPr>
          <w:rFonts w:hint="eastAsia"/>
          <w:b w:val="0"/>
          <w:bCs w:val="0"/>
          <w:sz w:val="28"/>
          <w:szCs w:val="28"/>
          <w:lang w:val="en-US" w:eastAsia="zh-CN"/>
        </w:rPr>
        <w:t>0.00</w:t>
      </w:r>
      <w:r>
        <w:rPr>
          <w:rFonts w:hint="eastAsia"/>
          <w:b w:val="0"/>
          <w:bCs w:val="0"/>
          <w:sz w:val="28"/>
          <w:szCs w:val="28"/>
          <w:lang w:eastAsia="zh-CN"/>
        </w:rPr>
        <w:t>万元，公务接待费支出预算</w:t>
      </w:r>
      <w:r>
        <w:rPr>
          <w:rFonts w:hint="eastAsia"/>
          <w:b w:val="0"/>
          <w:bCs w:val="0"/>
          <w:sz w:val="28"/>
          <w:szCs w:val="28"/>
          <w:lang w:val="en-US" w:eastAsia="zh-CN"/>
        </w:rPr>
        <w:t>0.00</w:t>
      </w:r>
      <w:r>
        <w:rPr>
          <w:rFonts w:hint="eastAsia"/>
          <w:b w:val="0"/>
          <w:bCs w:val="0"/>
          <w:sz w:val="28"/>
          <w:szCs w:val="28"/>
          <w:lang w:eastAsia="zh-CN"/>
        </w:rPr>
        <w:t>万元，公务用车购置及运行费支出预算</w:t>
      </w:r>
      <w:r>
        <w:rPr>
          <w:rFonts w:hint="eastAsia"/>
          <w:b w:val="0"/>
          <w:bCs w:val="0"/>
          <w:sz w:val="28"/>
          <w:szCs w:val="28"/>
          <w:lang w:val="en-US" w:eastAsia="zh-CN"/>
        </w:rPr>
        <w:t>0.00</w:t>
      </w:r>
      <w:r>
        <w:rPr>
          <w:rFonts w:hint="eastAsia"/>
          <w:b w:val="0"/>
          <w:bCs w:val="0"/>
          <w:sz w:val="28"/>
          <w:szCs w:val="28"/>
          <w:lang w:eastAsia="zh-CN"/>
        </w:rPr>
        <w:t>万元（公务用车购置费</w:t>
      </w:r>
      <w:r>
        <w:rPr>
          <w:rFonts w:hint="eastAsia"/>
          <w:b w:val="0"/>
          <w:bCs w:val="0"/>
          <w:sz w:val="28"/>
          <w:szCs w:val="28"/>
          <w:lang w:val="en-US" w:eastAsia="zh-CN"/>
        </w:rPr>
        <w:t>0.00</w:t>
      </w:r>
      <w:r>
        <w:rPr>
          <w:rFonts w:hint="eastAsia"/>
          <w:b w:val="0"/>
          <w:bCs w:val="0"/>
          <w:sz w:val="28"/>
          <w:szCs w:val="28"/>
          <w:lang w:eastAsia="zh-CN"/>
        </w:rPr>
        <w:t>万元,公务用车运行维护费</w:t>
      </w:r>
      <w:r>
        <w:rPr>
          <w:rFonts w:hint="eastAsia"/>
          <w:b w:val="0"/>
          <w:bCs w:val="0"/>
          <w:sz w:val="28"/>
          <w:szCs w:val="28"/>
          <w:lang w:val="en-US" w:eastAsia="zh-CN"/>
        </w:rPr>
        <w:t>0.00</w:t>
      </w:r>
      <w:r>
        <w:rPr>
          <w:rFonts w:hint="eastAsia"/>
          <w:b w:val="0"/>
          <w:bCs w:val="0"/>
          <w:sz w:val="28"/>
          <w:szCs w:val="28"/>
          <w:lang w:eastAsia="zh-CN"/>
        </w:rPr>
        <w:t>万元）。</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w:t>
      </w:r>
      <w:r>
        <w:rPr>
          <w:rFonts w:hint="eastAsia"/>
          <w:b w:val="0"/>
          <w:bCs w:val="0"/>
          <w:sz w:val="28"/>
          <w:szCs w:val="28"/>
          <w:lang w:val="en-US" w:eastAsia="zh-CN"/>
        </w:rPr>
        <w:t>二</w:t>
      </w:r>
      <w:r>
        <w:rPr>
          <w:rFonts w:hint="eastAsia"/>
          <w:b w:val="0"/>
          <w:bCs w:val="0"/>
          <w:sz w:val="28"/>
          <w:szCs w:val="28"/>
          <w:lang w:eastAsia="zh-CN"/>
        </w:rPr>
        <w:t>）</w:t>
      </w:r>
      <w:r>
        <w:rPr>
          <w:sz w:val="28"/>
          <w:u w:color="auto"/>
        </w:rPr>
        <w:t>2024</w:t>
      </w:r>
      <w:r>
        <w:rPr>
          <w:rFonts w:hint="eastAsia"/>
          <w:b w:val="0"/>
          <w:bCs w:val="0"/>
          <w:sz w:val="28"/>
          <w:szCs w:val="28"/>
        </w:rPr>
        <w:t>年一般公共预算安排的“三公”经费支出预算</w:t>
      </w:r>
      <w:r>
        <w:rPr>
          <w:rFonts w:hint="eastAsia"/>
          <w:b w:val="0"/>
          <w:bCs w:val="0"/>
          <w:sz w:val="28"/>
          <w:szCs w:val="28"/>
          <w:lang w:val="en-US" w:eastAsia="zh-CN"/>
        </w:rPr>
        <w:t>0.00</w:t>
      </w:r>
      <w:r>
        <w:rPr>
          <w:rFonts w:hint="eastAsia"/>
          <w:b w:val="0"/>
          <w:bCs w:val="0"/>
          <w:sz w:val="28"/>
          <w:szCs w:val="28"/>
        </w:rPr>
        <w:t>万元，同口径较2023年度预算数</w:t>
      </w:r>
      <w:r>
        <w:rPr>
          <w:rFonts w:hint="eastAsia"/>
          <w:b w:val="0"/>
          <w:bCs w:val="0"/>
          <w:sz w:val="28"/>
          <w:szCs w:val="28"/>
          <w:lang w:val="en-US" w:eastAsia="zh-CN"/>
        </w:rPr>
        <w:t>0.00</w:t>
      </w:r>
      <w:r>
        <w:rPr>
          <w:rFonts w:hint="eastAsia"/>
          <w:b w:val="0"/>
          <w:bCs w:val="0"/>
          <w:sz w:val="28"/>
          <w:szCs w:val="28"/>
        </w:rPr>
        <w:t>万元，</w:t>
      </w:r>
      <w:r>
        <w:rPr>
          <w:rFonts w:hint="eastAsia"/>
          <w:b w:val="0"/>
          <w:bCs w:val="0"/>
          <w:sz w:val="28"/>
          <w:szCs w:val="28"/>
          <w:lang w:val="en-US" w:eastAsia="zh-CN"/>
        </w:rPr>
        <w:t>增长0.00</w:t>
      </w:r>
      <w:r>
        <w:rPr>
          <w:rFonts w:hint="eastAsia"/>
          <w:b w:val="0"/>
          <w:bCs w:val="0"/>
          <w:sz w:val="28"/>
          <w:szCs w:val="28"/>
        </w:rPr>
        <w:t>万元，</w:t>
      </w:r>
      <w:r>
        <w:rPr>
          <w:rFonts w:hint="eastAsia"/>
          <w:b w:val="0"/>
          <w:bCs w:val="0"/>
          <w:sz w:val="28"/>
          <w:szCs w:val="28"/>
          <w:lang w:val="en-US" w:eastAsia="zh-CN"/>
        </w:rPr>
        <w:t>增长0%</w:t>
      </w:r>
      <w:r>
        <w:rPr>
          <w:rFonts w:hint="eastAsia"/>
          <w:b w:val="0"/>
          <w:bCs w:val="0"/>
          <w:sz w:val="28"/>
          <w:szCs w:val="28"/>
        </w:rPr>
        <w:t>，具体如下：</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1.因公出国（境）费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highlight w:val="none"/>
          <w:lang w:val="en-US" w:eastAsia="zh-CN"/>
        </w:rPr>
        <w:t>本部门无因公出国（境）费用支出</w:t>
      </w:r>
      <w:r>
        <w:rPr>
          <w:rFonts w:hint="eastAsia"/>
          <w:b w:val="0"/>
          <w:bCs w:val="0"/>
          <w:sz w:val="28"/>
          <w:szCs w:val="28"/>
        </w:rPr>
        <w:t>。</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2.公务接待费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highlight w:val="none"/>
          <w:lang w:val="en-US" w:eastAsia="zh-CN"/>
        </w:rPr>
        <w:t>公务接待费统一在政府部门核算</w:t>
      </w:r>
      <w:r>
        <w:rPr>
          <w:rFonts w:hint="eastAsia"/>
          <w:b w:val="0"/>
          <w:bCs w:val="0"/>
          <w:sz w:val="28"/>
          <w:szCs w:val="28"/>
        </w:rPr>
        <w:t>。</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3.公务用车购置及运行费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，其中：</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公务用车购置费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highlight w:val="none"/>
          <w:lang w:val="en-US" w:eastAsia="zh-CN"/>
        </w:rPr>
        <w:t>本部门本年度无新增公务车购置</w:t>
      </w:r>
      <w:r>
        <w:rPr>
          <w:rFonts w:hint="eastAsia"/>
          <w:b w:val="0"/>
          <w:bCs w:val="0"/>
          <w:sz w:val="28"/>
          <w:szCs w:val="28"/>
        </w:rPr>
        <w:t>。</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公务用车运行维护费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highlight w:val="none"/>
          <w:lang w:val="en-US" w:eastAsia="zh-CN"/>
        </w:rPr>
        <w:t>无公务用车运行维护费</w:t>
      </w:r>
      <w:r>
        <w:rPr>
          <w:rFonts w:hint="eastAsia"/>
          <w:b w:val="0"/>
          <w:bCs w:val="0"/>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八</w:t>
      </w:r>
      <w:bookmarkEnd w:id="14"/>
      <w:r>
        <w:rPr>
          <w:rFonts w:hint="eastAsia"/>
          <w:b/>
          <w:bCs/>
          <w:lang w:val="en-US" w:eastAsia="zh-CN"/>
        </w:rPr>
        <w:t>、政府性基金预算支出情况说明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eastAsia="宋体"/>
          <w:lang w:eastAsia="zh-CN"/>
        </w:rPr>
      </w:pPr>
      <w:r>
        <w:rPr>
          <w:rFonts w:hint="eastAsia"/>
        </w:rPr>
        <w:t>我部门</w:t>
      </w:r>
      <w:r>
        <w:rPr>
          <w:rFonts w:hint="eastAsia"/>
          <w:b w:val="0"/>
          <w:bCs w:val="0"/>
          <w:sz w:val="28"/>
          <w:szCs w:val="28"/>
          <w:lang w:eastAsia="zh-CN"/>
        </w:rPr>
        <w:t>2024</w:t>
      </w:r>
      <w:r>
        <w:rPr>
          <w:rFonts w:hint="eastAsia"/>
        </w:rPr>
        <w:t>年政府性基金预算支出共</w:t>
      </w:r>
      <w:r>
        <w:rPr>
          <w:rFonts w:hint="eastAsia"/>
          <w:b w:val="0"/>
          <w:bCs w:val="0"/>
          <w:sz w:val="28"/>
          <w:szCs w:val="28"/>
          <w:lang w:eastAsia="zh-CN"/>
        </w:rPr>
        <w:t>0.00</w:t>
      </w:r>
      <w:r>
        <w:rPr>
          <w:rFonts w:hint="eastAsia"/>
        </w:rPr>
        <w:t>万元，较2023年度预算数</w:t>
      </w:r>
      <w:r>
        <w:rPr>
          <w:rFonts w:hint="eastAsia"/>
          <w:b w:val="0"/>
          <w:bCs w:val="0"/>
          <w:sz w:val="28"/>
          <w:szCs w:val="28"/>
          <w:lang w:eastAsia="zh-CN"/>
        </w:rPr>
        <w:t>0.00</w:t>
      </w:r>
      <w:r>
        <w:rPr>
          <w:rFonts w:hint="eastAsia"/>
        </w:rPr>
        <w:t>万元，</w:t>
      </w:r>
      <w:r>
        <w:rPr>
          <w:rFonts w:hint="eastAsia"/>
          <w:b w:val="0"/>
          <w:bCs w:val="0"/>
          <w:sz w:val="28"/>
          <w:szCs w:val="28"/>
          <w:lang w:eastAsia="zh-CN"/>
        </w:rPr>
        <w:t>增加0.00</w:t>
      </w:r>
      <w:r>
        <w:rPr>
          <w:rFonts w:hint="eastAsia"/>
        </w:rPr>
        <w:t>万元，</w:t>
      </w:r>
      <w:r>
        <w:rPr>
          <w:rFonts w:hint="eastAsia"/>
          <w:b w:val="0"/>
          <w:bCs w:val="0"/>
          <w:sz w:val="28"/>
          <w:szCs w:val="28"/>
          <w:lang w:eastAsia="zh-CN"/>
        </w:rPr>
        <w:t>增长0%</w:t>
      </w:r>
      <w:r>
        <w:rPr>
          <w:rFonts w:hint="eastAsia"/>
        </w:rPr>
        <w:t>，主要原因是</w:t>
      </w:r>
      <w:r>
        <w:rPr>
          <w:rFonts w:hint="eastAsia"/>
          <w:highlight w:val="none"/>
          <w:lang w:val="en-US" w:eastAsia="zh-CN"/>
        </w:rPr>
        <w:t>部门2024年无部门政府性基金预算</w:t>
      </w:r>
      <w:r>
        <w:rPr>
          <w:rFonts w:hint="eastAsia"/>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5" w:name="bookmark91"/>
      <w:r>
        <w:rPr>
          <w:rFonts w:hint="eastAsia"/>
          <w:b/>
          <w:bCs/>
          <w:lang w:val="en-US" w:eastAsia="zh-CN"/>
        </w:rPr>
        <w:t>九</w:t>
      </w:r>
      <w:bookmarkEnd w:id="15"/>
      <w:r>
        <w:rPr>
          <w:rFonts w:hint="eastAsia"/>
          <w:b/>
          <w:bCs/>
          <w:lang w:val="en-US" w:eastAsia="zh-CN"/>
        </w:rPr>
        <w:t>、国有资本经营预算支出情况说明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eastAsia="宋体"/>
          <w:lang w:eastAsia="zh-CN"/>
        </w:rPr>
      </w:pPr>
      <w:r>
        <w:rPr>
          <w:rFonts w:hint="eastAsia"/>
        </w:rPr>
        <w:t>我部门</w:t>
      </w:r>
      <w:r>
        <w:rPr>
          <w:rFonts w:hint="eastAsia"/>
          <w:lang w:eastAsia="zh-CN"/>
        </w:rPr>
        <w:t>2024</w:t>
      </w:r>
      <w:r>
        <w:rPr>
          <w:rFonts w:hint="eastAsia"/>
        </w:rPr>
        <w:t>年国有资本经营预算支出共</w:t>
      </w:r>
      <w:r>
        <w:rPr>
          <w:rFonts w:hint="eastAsia"/>
          <w:lang w:eastAsia="zh-CN"/>
        </w:rPr>
        <w:t>0.00</w:t>
      </w:r>
      <w:r>
        <w:rPr>
          <w:rFonts w:hint="eastAsia"/>
        </w:rPr>
        <w:t>万元，较2023年度预算数</w:t>
      </w:r>
      <w:r>
        <w:rPr>
          <w:rFonts w:hint="eastAsia"/>
          <w:lang w:eastAsia="zh-CN"/>
        </w:rPr>
        <w:t>0.00</w:t>
      </w:r>
      <w:r>
        <w:rPr>
          <w:rFonts w:hint="eastAsia"/>
        </w:rPr>
        <w:t>万元，</w:t>
      </w:r>
      <w:r>
        <w:rPr>
          <w:rFonts w:hint="eastAsia"/>
          <w:lang w:eastAsia="zh-CN"/>
        </w:rPr>
        <w:t>增加0.00</w:t>
      </w:r>
      <w:r>
        <w:rPr>
          <w:rFonts w:hint="eastAsia"/>
        </w:rPr>
        <w:t>万元，</w:t>
      </w:r>
      <w:r>
        <w:rPr>
          <w:rFonts w:hint="eastAsia"/>
          <w:lang w:eastAsia="zh-CN"/>
        </w:rPr>
        <w:t>增长0%</w:t>
      </w:r>
      <w:r>
        <w:rPr>
          <w:rFonts w:hint="eastAsia"/>
        </w:rPr>
        <w:t>，主要原因是</w:t>
      </w:r>
      <w:r>
        <w:rPr>
          <w:rFonts w:hint="eastAsia"/>
          <w:lang w:val="en-US" w:eastAsia="zh-CN"/>
        </w:rPr>
        <w:t>我部门2024年无部门国有资本经营预算</w:t>
      </w:r>
      <w:r>
        <w:rPr>
          <w:rFonts w:hint="eastAsia"/>
        </w:rPr>
        <w:t>。</w:t>
      </w:r>
    </w:p>
    <w:p>
      <w:pPr>
        <w:pStyle w:val="16"/>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十、其他重要事项</w:t>
      </w:r>
      <w:r>
        <w:rPr>
          <w:rFonts w:hint="eastAsia"/>
          <w:b/>
          <w:bCs/>
          <w:lang w:val="en-US" w:eastAsia="zh-CN"/>
        </w:rPr>
        <w:t>情况</w:t>
      </w:r>
      <w:r>
        <w:rPr>
          <w:b/>
          <w:bCs/>
        </w:rPr>
        <w:t>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（一）机关运行经费安排情况说明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2024年本部门机关运行经费预算</w:t>
      </w:r>
      <w:r>
        <w:rPr>
          <w:rFonts w:hint="eastAsia" w:ascii="宋体" w:hAnsi="宋体" w:eastAsia="宋体" w:cs="宋体"/>
          <w:sz w:val="28"/>
          <w:szCs w:val="28"/>
          <w:lang w:val="en-US" w:eastAsia="zh-CN"/>
        </w:rPr>
        <w:t>0.72</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0.85</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减少0.13</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下降15.29%</w:t>
      </w:r>
      <w:r>
        <w:rPr>
          <w:rFonts w:hint="eastAsia" w:ascii="宋体" w:hAnsi="宋体" w:eastAsia="宋体" w:cs="宋体"/>
          <w:sz w:val="28"/>
          <w:szCs w:val="28"/>
          <w:lang w:eastAsia="zh-CN"/>
        </w:rPr>
        <w:t>，主要原因是：</w:t>
      </w:r>
      <w:r>
        <w:rPr>
          <w:rFonts w:hint="eastAsia" w:ascii="宋体" w:hAnsi="宋体" w:eastAsia="宋体" w:cs="宋体"/>
          <w:sz w:val="28"/>
          <w:szCs w:val="28"/>
          <w:lang w:val="en-US" w:eastAsia="zh-CN"/>
        </w:rPr>
        <w:t>践行中央过紧日子的文件精神，缩减经费开支</w:t>
      </w:r>
      <w:r>
        <w:rPr>
          <w:rFonts w:hint="eastAsia" w:ascii="宋体" w:hAnsi="宋体" w:eastAsia="宋体" w:cs="宋体"/>
          <w:sz w:val="28"/>
          <w:szCs w:val="28"/>
          <w:lang w:eastAsia="zh-CN"/>
        </w:rPr>
        <w:t>。</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（二）政府采购预算安排情况说明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我部门2024年政府采购预算总金额</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万元。其中：货物类采购</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万元、工程类采购</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万元、服务类采购</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主要用于：0</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（三）国有资产占用情况说明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截至2023年12月31日，本部门共有车辆</w:t>
      </w:r>
      <w:r>
        <w:rPr>
          <w:rFonts w:hint="eastAsia"/>
          <w:highlight w:val="none"/>
          <w:lang w:val="en-US" w:eastAsia="zh-CN"/>
        </w:rPr>
        <w:t>0</w:t>
      </w:r>
      <w:r>
        <w:rPr>
          <w:rFonts w:hint="eastAsia" w:ascii="宋体" w:hAnsi="宋体" w:eastAsia="宋体" w:cs="宋体"/>
          <w:sz w:val="28"/>
          <w:szCs w:val="28"/>
          <w:lang w:eastAsia="zh-CN"/>
        </w:rPr>
        <w:t>辆，其中，应急机要通信用车</w:t>
      </w:r>
      <w:r>
        <w:rPr>
          <w:rFonts w:hint="eastAsia"/>
          <w:highlight w:val="none"/>
          <w:lang w:val="en-US" w:eastAsia="zh-CN"/>
        </w:rPr>
        <w:t>0</w:t>
      </w:r>
      <w:r>
        <w:rPr>
          <w:rFonts w:hint="eastAsia" w:ascii="宋体" w:hAnsi="宋体" w:eastAsia="宋体" w:cs="宋体"/>
          <w:sz w:val="28"/>
          <w:szCs w:val="28"/>
          <w:lang w:eastAsia="zh-CN"/>
        </w:rPr>
        <w:t>辆、一般执法执勤用车</w:t>
      </w:r>
      <w:r>
        <w:rPr>
          <w:rFonts w:hint="eastAsia"/>
          <w:highlight w:val="none"/>
          <w:lang w:val="en-US" w:eastAsia="zh-CN"/>
        </w:rPr>
        <w:t>0</w:t>
      </w:r>
      <w:r>
        <w:rPr>
          <w:rFonts w:hint="eastAsia" w:ascii="宋体" w:hAnsi="宋体" w:eastAsia="宋体" w:cs="宋体"/>
          <w:sz w:val="28"/>
          <w:szCs w:val="28"/>
          <w:lang w:eastAsia="zh-CN"/>
        </w:rPr>
        <w:t>辆、特种专业技术用车</w:t>
      </w:r>
      <w:r>
        <w:rPr>
          <w:rFonts w:hint="eastAsia"/>
          <w:highlight w:val="none"/>
          <w:lang w:val="en-US" w:eastAsia="zh-CN"/>
        </w:rPr>
        <w:t>0</w:t>
      </w:r>
      <w:r>
        <w:rPr>
          <w:rFonts w:hint="eastAsia" w:ascii="宋体" w:hAnsi="宋体" w:eastAsia="宋体" w:cs="宋体"/>
          <w:sz w:val="28"/>
          <w:szCs w:val="28"/>
          <w:lang w:eastAsia="zh-CN"/>
        </w:rPr>
        <w:t>辆、其他用车</w:t>
      </w:r>
      <w:r>
        <w:rPr>
          <w:rFonts w:hint="eastAsia"/>
          <w:highlight w:val="none"/>
          <w:lang w:val="en-US" w:eastAsia="zh-CN"/>
        </w:rPr>
        <w:t>0</w:t>
      </w:r>
      <w:r>
        <w:rPr>
          <w:rFonts w:hint="eastAsia" w:ascii="宋体" w:hAnsi="宋体" w:eastAsia="宋体" w:cs="宋体"/>
          <w:sz w:val="28"/>
          <w:szCs w:val="28"/>
          <w:lang w:eastAsia="zh-CN"/>
        </w:rPr>
        <w:t>辆，单位价值200万元以上大型设备</w:t>
      </w:r>
      <w:r>
        <w:rPr>
          <w:rFonts w:hint="eastAsia"/>
          <w:highlight w:val="none"/>
          <w:lang w:val="en-US" w:eastAsia="zh-CN"/>
        </w:rPr>
        <w:t>0</w:t>
      </w:r>
      <w:r>
        <w:rPr>
          <w:rFonts w:hint="eastAsia" w:ascii="宋体" w:hAnsi="宋体" w:eastAsia="宋体" w:cs="宋体"/>
          <w:sz w:val="28"/>
          <w:szCs w:val="28"/>
          <w:lang w:eastAsia="zh-CN"/>
        </w:rPr>
        <w:t>台（套）。</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（四）预算绩效目标情况说明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1.我部门2024年所有项目支出全面实施绩效目标管理，涉及项目</w:t>
      </w:r>
      <w:r>
        <w:rPr>
          <w:rFonts w:hint="eastAsia"/>
          <w:highlight w:val="none"/>
          <w:lang w:val="en-US" w:eastAsia="zh-CN"/>
        </w:rPr>
        <w:t>0</w:t>
      </w:r>
      <w:r>
        <w:rPr>
          <w:rFonts w:hint="eastAsia" w:ascii="宋体" w:hAnsi="宋体" w:eastAsia="宋体" w:cs="宋体"/>
          <w:sz w:val="28"/>
          <w:szCs w:val="28"/>
          <w:lang w:eastAsia="zh-CN"/>
        </w:rPr>
        <w:t>个，预算资金</w:t>
      </w:r>
      <w:r>
        <w:rPr>
          <w:rFonts w:hint="eastAsia"/>
          <w:highlight w:val="none"/>
          <w:lang w:val="en-US" w:eastAsia="zh-CN"/>
        </w:rPr>
        <w:t>0</w:t>
      </w:r>
      <w:r>
        <w:rPr>
          <w:rFonts w:hint="eastAsia" w:ascii="宋体" w:hAnsi="宋体" w:eastAsia="宋体" w:cs="宋体"/>
          <w:sz w:val="28"/>
          <w:szCs w:val="28"/>
          <w:lang w:eastAsia="zh-CN"/>
        </w:rPr>
        <w:t>万元。绩效目标情况详见报表（日常运转类项目、工资类人员经费项目和涉密项目等除外）。</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2.重点项目预算绩效目标说明。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highlight w:val="none"/>
          <w:lang w:val="en-US" w:eastAsia="zh-CN"/>
        </w:rPr>
      </w:pPr>
      <w:r>
        <w:rPr>
          <w:rFonts w:hint="eastAsia"/>
          <w:highlight w:val="none"/>
          <w:lang w:val="en-US" w:eastAsia="zh-CN"/>
        </w:rPr>
        <w:t>重点项目集中在政府部门预算，故我部门2024年无重点项目预算</w:t>
      </w:r>
    </w:p>
    <w:p>
      <w:pPr>
        <w:pStyle w:val="18"/>
        <w:spacing w:line="624" w:lineRule="exact"/>
        <w:ind w:firstLine="600"/>
        <w:jc w:val="left"/>
        <w:rPr>
          <w:rFonts w:hint="eastAsia"/>
          <w:highlight w:val="none"/>
          <w:lang w:val="en-US" w:eastAsia="zh-CN"/>
        </w:rPr>
      </w:pPr>
    </w:p>
    <w:p>
      <w:pPr>
        <w:pStyle w:val="18"/>
        <w:spacing w:line="624" w:lineRule="exact"/>
        <w:jc w:val="left"/>
        <w:rPr>
          <w:rFonts w:hint="default"/>
          <w:highlight w:val="none"/>
          <w:lang w:val="en-US" w:eastAsia="zh-CN"/>
        </w:rPr>
        <w:sectPr>
          <w:headerReference r:id="rId4" w:type="default"/>
          <w:footerReference r:id="rId5" w:type="default"/>
          <w:pgSz w:w="11900" w:h="16840"/>
          <w:pgMar w:top="1440" w:right="1800" w:bottom="1440" w:left="1800" w:header="0" w:footer="1077" w:gutter="0"/>
          <w:pgBorders>
            <w:top w:val="none" w:sz="0" w:space="0"/>
            <w:left w:val="none" w:sz="0" w:space="0"/>
            <w:bottom w:val="none" w:sz="0" w:space="0"/>
            <w:right w:val="none" w:sz="0" w:space="0"/>
          </w:pgBorders>
          <w:pgNumType w:fmt="decimal"/>
          <w:cols w:space="720" w:num="1"/>
          <w:docGrid w:linePitch="360" w:charSpace="0"/>
        </w:sectPr>
      </w:pPr>
    </w:p>
    <w:bookmarkEnd w:id="10"/>
    <w:bookmarkEnd w:id="11"/>
    <w:bookmarkEnd w:id="12"/>
    <w:p>
      <w:pPr>
        <w:pStyle w:val="12"/>
        <w:keepNext/>
        <w:keepLines/>
        <w:spacing w:after="980"/>
        <w:jc w:val="center"/>
        <w:rPr>
          <w:rFonts w:hint="eastAsia" w:ascii="宋体" w:hAnsi="宋体" w:eastAsia="宋体" w:cs="宋体"/>
          <w:b/>
          <w:bCs/>
          <w:sz w:val="36"/>
          <w:szCs w:val="36"/>
        </w:rPr>
      </w:pPr>
      <w:r>
        <w:rPr>
          <w:rFonts w:hint="eastAsia" w:ascii="宋体" w:hAnsi="宋体" w:eastAsia="宋体" w:cs="宋体"/>
          <w:b/>
          <w:bCs/>
          <w:sz w:val="36"/>
          <w:szCs w:val="36"/>
        </w:rPr>
        <w:t>第</w:t>
      </w:r>
      <w:r>
        <w:rPr>
          <w:rFonts w:hint="eastAsia" w:ascii="宋体" w:hAnsi="宋体" w:eastAsia="宋体" w:cs="宋体"/>
          <w:b/>
          <w:bCs/>
          <w:sz w:val="36"/>
          <w:szCs w:val="36"/>
          <w:lang w:val="en-US" w:eastAsia="zh-CN"/>
        </w:rPr>
        <w:t>三</w:t>
      </w:r>
      <w:r>
        <w:rPr>
          <w:rFonts w:hint="eastAsia" w:ascii="宋体" w:hAnsi="宋体" w:eastAsia="宋体" w:cs="宋体"/>
          <w:b/>
          <w:bCs/>
          <w:sz w:val="36"/>
          <w:szCs w:val="36"/>
        </w:rPr>
        <w:t>部分</w:t>
      </w:r>
      <w:r>
        <w:rPr>
          <w:rFonts w:hint="eastAsia" w:ascii="宋体" w:hAnsi="宋体" w:eastAsia="宋体" w:cs="宋体"/>
          <w:b/>
          <w:bCs/>
          <w:sz w:val="36"/>
          <w:szCs w:val="36"/>
          <w:lang w:eastAsia="zh-CN"/>
        </w:rPr>
        <w:t>环江毛南族自治县大才乡水利站</w:t>
      </w:r>
      <w:r>
        <w:rPr>
          <w:rFonts w:ascii="宋体" w:hAnsi="宋体" w:eastAsia="宋体" w:cs="宋体"/>
          <w:b/>
          <w:sz w:val="36"/>
          <w:u w:color="auto"/>
        </w:rPr>
        <w:t>2024年</w:t>
      </w:r>
      <w:r>
        <w:rPr>
          <w:rFonts w:hint="eastAsia" w:ascii="宋体" w:hAnsi="宋体" w:eastAsia="宋体" w:cs="宋体"/>
          <w:b/>
          <w:bCs/>
          <w:sz w:val="36"/>
          <w:szCs w:val="36"/>
        </w:rPr>
        <w:t>部门预算表</w:t>
      </w:r>
    </w:p>
    <w:p>
      <w:pPr>
        <w:pStyle w:val="22"/>
        <w:keepNext/>
        <w:keepLines/>
        <w:spacing w:after="240"/>
        <w:jc w:val="center"/>
      </w:pPr>
      <w:bookmarkStart w:id="16" w:name="bookmark31"/>
      <w:bookmarkStart w:id="17" w:name="bookmark29"/>
      <w:bookmarkStart w:id="18" w:name="bookmark30"/>
      <w:r>
        <w:t>收支总体情况表</w:t>
      </w:r>
      <w:bookmarkEnd w:id="16"/>
      <w:bookmarkEnd w:id="17"/>
      <w:bookmarkEnd w:id="18"/>
    </w:p>
    <w:tbl>
      <w:tblPr>
        <w:tblStyle w:val="4"/>
        <w:tblW w:w="0" w:type="auto"/>
        <w:tblInd w:w="0" w:type="dxa"/>
        <w:tblLayout w:type="fixed"/>
        <w:tblCellMar>
          <w:top w:w="0" w:type="dxa"/>
          <w:left w:w="10" w:type="dxa"/>
          <w:bottom w:w="0" w:type="dxa"/>
          <w:right w:w="10" w:type="dxa"/>
        </w:tblCellMar>
      </w:tblPr>
      <w:tblGrid>
        <w:gridCol w:w="3339"/>
        <w:gridCol w:w="3760"/>
        <w:gridCol w:w="3542"/>
        <w:gridCol w:w="3571"/>
      </w:tblGrid>
      <w:tr>
        <w:tblPrEx>
          <w:tblCellMar>
            <w:top w:w="0" w:type="dxa"/>
            <w:left w:w="10" w:type="dxa"/>
            <w:bottom w:w="0" w:type="dxa"/>
            <w:right w:w="10" w:type="dxa"/>
          </w:tblCellMar>
        </w:tblPrEx>
        <w:trPr>
          <w:trHeight w:val="331" w:hRule="exact"/>
        </w:trPr>
        <w:tc>
          <w:tcPr>
            <w:tcW w:w="10641" w:type="dxa"/>
            <w:gridSpan w:val="3"/>
            <w:tcBorders>
              <w:bottom w:val="single" w:color="auto" w:sz="4" w:space="0"/>
            </w:tcBorders>
            <w:shd w:val="clear" w:color="auto" w:fill="FFFFFF"/>
          </w:tcPr>
          <w:p>
            <w:pPr>
              <w:pStyle w:val="24"/>
              <w:spacing w:line="240" w:lineRule="auto"/>
              <w:ind w:firstLine="0"/>
              <w:jc w:val="left"/>
              <w:rPr>
                <w:sz w:val="17"/>
                <w:szCs w:val="17"/>
              </w:rPr>
            </w:pPr>
            <w:r>
              <w:rPr>
                <w:sz w:val="17"/>
                <w:szCs w:val="17"/>
              </w:rPr>
              <w:t>单位名称：</w:t>
            </w:r>
            <w:r>
              <w:rPr>
                <w:rFonts w:hint="eastAsia"/>
                <w:sz w:val="17"/>
                <w:szCs w:val="17"/>
                <w:lang w:eastAsia="zh-CN"/>
              </w:rPr>
              <w:t>环江毛南族自治县大才乡水利站</w:t>
            </w:r>
          </w:p>
        </w:tc>
        <w:tc>
          <w:tcPr>
            <w:tcW w:w="3571" w:type="dxa"/>
            <w:tcBorders>
              <w:bottom w:val="single" w:color="auto" w:sz="4" w:space="0"/>
            </w:tcBorders>
            <w:shd w:val="clear" w:color="auto" w:fill="FFFFFF"/>
          </w:tcPr>
          <w:p>
            <w:pPr>
              <w:pStyle w:val="24"/>
              <w:spacing w:line="240" w:lineRule="auto"/>
              <w:ind w:firstLine="2380" w:firstLineChars="1400"/>
              <w:jc w:val="left"/>
              <w:rPr>
                <w:sz w:val="17"/>
                <w:szCs w:val="17"/>
              </w:rPr>
            </w:pPr>
            <w:r>
              <w:rPr>
                <w:sz w:val="17"/>
                <w:szCs w:val="17"/>
              </w:rPr>
              <w:t>单位：万元</w:t>
            </w:r>
          </w:p>
        </w:tc>
      </w:tr>
      <w:tr>
        <w:tblPrEx>
          <w:tblCellMar>
            <w:top w:w="0" w:type="dxa"/>
            <w:left w:w="10" w:type="dxa"/>
            <w:bottom w:w="0" w:type="dxa"/>
            <w:right w:w="10" w:type="dxa"/>
          </w:tblCellMar>
        </w:tblPrEx>
        <w:trPr>
          <w:trHeight w:val="456" w:hRule="exact"/>
        </w:trPr>
        <w:tc>
          <w:tcPr>
            <w:tcW w:w="70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2890" w:firstLineChars="1700"/>
              <w:jc w:val="both"/>
              <w:rPr>
                <w:sz w:val="17"/>
                <w:szCs w:val="17"/>
              </w:rPr>
            </w:pPr>
            <w:r>
              <w:rPr>
                <w:sz w:val="17"/>
                <w:szCs w:val="17"/>
              </w:rPr>
              <w:t>收入</w:t>
            </w:r>
          </w:p>
        </w:tc>
        <w:tc>
          <w:tcPr>
            <w:tcW w:w="71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right="340" w:firstLine="2890" w:firstLineChars="1700"/>
              <w:jc w:val="both"/>
              <w:rPr>
                <w:sz w:val="17"/>
                <w:szCs w:val="17"/>
              </w:rPr>
            </w:pPr>
            <w:r>
              <w:rPr>
                <w:sz w:val="17"/>
                <w:szCs w:val="17"/>
              </w:rPr>
              <w:t>支出</w:t>
            </w:r>
          </w:p>
        </w:tc>
      </w:tr>
      <w:tr>
        <w:tblPrEx>
          <w:tblCellMar>
            <w:top w:w="0" w:type="dxa"/>
            <w:left w:w="10" w:type="dxa"/>
            <w:bottom w:w="0" w:type="dxa"/>
            <w:right w:w="10" w:type="dxa"/>
          </w:tblCellMar>
        </w:tblPrEx>
        <w:trPr>
          <w:trHeight w:val="432"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项目</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预算数</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tabs>
                <w:tab w:val="left" w:pos="894"/>
              </w:tabs>
              <w:spacing w:line="240" w:lineRule="auto"/>
              <w:jc w:val="left"/>
              <w:rPr>
                <w:sz w:val="17"/>
                <w:szCs w:val="17"/>
              </w:rPr>
            </w:pPr>
            <w:r>
              <w:rPr>
                <w:sz w:val="17"/>
                <w:szCs w:val="17"/>
              </w:rPr>
              <w:t>项</w:t>
            </w:r>
            <w:r>
              <w:rPr>
                <w:sz w:val="17"/>
                <w:szCs w:val="17"/>
              </w:rPr>
              <w:tab/>
            </w:r>
            <w:r>
              <w:rPr>
                <w:sz w:val="17"/>
                <w:szCs w:val="17"/>
              </w:rPr>
              <w:t>目（按支出功能科目分类）</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预算数</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一、一般公共预算拨款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24.51</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一、一般公共服务支出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0.24</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二、外交支出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24.51</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三、国防支出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二、政府性基金预算拨款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四、公共安全支出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五、教育支出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六、科学技术支出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三、国有资本经营预算拨款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七、文化旅游体育与传媒支出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八、社会保障和就业支出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2.86</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九、卫生健康支出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四、财政专户管理资金收入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十、节能环保支出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五、事业收入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十一、城乡社区支出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六、事业单位经营收入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十二、农林水支出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18.92</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七、上级补助收入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十三、交通运输支出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八、附属单位上缴收入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十四、资源勘探工业信息等支出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九、其他收入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十五、商业服务业等支出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十六、金融支出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十七、援助其他地区支出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十八、自然资源海洋气象等支出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十九、住房保障支出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2.49</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二十、粮油物资储备支出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二十一、国有资本经营预算支出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二十二、灾害防治及应急管理支出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二十三、其他支出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二十四、债务还本支出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二十五、债务付息支出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二十六、债务发行费用支出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本年收入合计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24.51</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本年支出合计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24.51</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上年结转结余</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结转下年支出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收入总计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24.51</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支出总计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24.51</w:t>
            </w:r>
          </w:p>
        </w:tc>
      </w:tr>
    </w:tbl>
    <w:p>
      <w:pPr>
        <w:pStyle w:val="26"/>
        <w:ind w:left="101"/>
        <w:jc w:val="left"/>
      </w:pPr>
      <w:r>
        <w:t>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r:id="rId6" w:type="default"/>
          <w:footerReference r:id="rId7" w:type="default"/>
          <w:pgSz w:w="16840" w:h="11900" w:orient="landscape"/>
          <w:pgMar w:top="2397" w:right="761" w:bottom="1966" w:left="739" w:header="0" w:footer="1474" w:gutter="0"/>
          <w:pgBorders>
            <w:top w:val="none" w:sz="0" w:space="0"/>
            <w:left w:val="none" w:sz="0" w:space="0"/>
            <w:bottom w:val="none" w:sz="0" w:space="0"/>
            <w:right w:val="none" w:sz="0" w:space="0"/>
          </w:pgBorders>
          <w:pgNumType w:fmt="decimal"/>
          <w:cols w:space="720" w:num="1"/>
          <w:docGrid w:linePitch="360" w:charSpace="0"/>
        </w:sectPr>
      </w:pPr>
    </w:p>
    <w:p>
      <w:pPr>
        <w:tabs>
          <w:tab w:val="left" w:pos="859"/>
        </w:tabs>
        <w:jc w:val="left"/>
        <w:rPr>
          <w:rFonts w:eastAsia="宋体"/>
          <w:lang w:eastAsia="zh-CN"/>
        </w:rPr>
      </w:pPr>
    </w:p>
    <w:p>
      <w:pPr>
        <w:tabs>
          <w:tab w:val="left" w:pos="859"/>
        </w:tabs>
        <w:jc w:val="center"/>
        <w:rPr>
          <w:rFonts w:hint="eastAsia" w:eastAsia="宋体"/>
          <w:lang w:val="en-US" w:eastAsia="zh-CN"/>
        </w:rPr>
      </w:pPr>
    </w:p>
    <w:p>
      <w:pPr>
        <w:tabs>
          <w:tab w:val="left" w:pos="859"/>
        </w:tabs>
        <w:jc w:val="center"/>
        <w:rPr>
          <w:rFonts w:hint="eastAsia" w:eastAsia="宋体"/>
          <w:lang w:val="en-US" w:eastAsia="zh-CN"/>
        </w:rPr>
      </w:pPr>
      <w:r>
        <w:rPr>
          <w:rFonts w:hint="eastAsia" w:eastAsia="宋体"/>
          <w:lang w:val="en-US" w:eastAsia="zh-CN"/>
        </w:rPr>
        <w:t>收入总体情况表</w:t>
      </w:r>
    </w:p>
    <w:p>
      <w:pPr>
        <w:tabs>
          <w:tab w:val="left" w:pos="859"/>
        </w:tabs>
        <w:jc w:val="center"/>
        <w:rPr>
          <w:rFonts w:hint="eastAsia" w:eastAsia="宋体"/>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279"/>
        <w:gridCol w:w="990"/>
        <w:gridCol w:w="926"/>
        <w:gridCol w:w="909"/>
        <w:gridCol w:w="1161"/>
        <w:gridCol w:w="1031"/>
        <w:gridCol w:w="844"/>
        <w:gridCol w:w="856"/>
        <w:gridCol w:w="1035"/>
        <w:gridCol w:w="1011"/>
        <w:gridCol w:w="859"/>
        <w:gridCol w:w="944"/>
        <w:gridCol w:w="150"/>
        <w:gridCol w:w="872"/>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481" w:type="dxa"/>
            <w:gridSpan w:val="13"/>
            <w:tcBorders>
              <w:top w:val="nil"/>
              <w:left w:val="nil"/>
              <w:right w:val="nil"/>
            </w:tcBorders>
          </w:tcPr>
          <w:p>
            <w:pPr>
              <w:pStyle w:val="26"/>
              <w:jc w:val="both"/>
              <w:rPr>
                <w:rFonts w:hint="eastAsia"/>
                <w:lang w:val="en-US" w:eastAsia="zh-CN"/>
              </w:rPr>
            </w:pPr>
            <w:r>
              <w:rPr>
                <w:sz w:val="17"/>
                <w:szCs w:val="17"/>
              </w:rPr>
              <w:t>单位名称：</w:t>
            </w:r>
            <w:r>
              <w:rPr>
                <w:rFonts w:hint="eastAsia"/>
                <w:sz w:val="17"/>
                <w:szCs w:val="17"/>
                <w:lang w:eastAsia="zh-CN"/>
              </w:rPr>
              <w:t>环江毛南族自治县大才乡水利站</w:t>
            </w:r>
            <w:r>
              <w:rPr>
                <w:rFonts w:hint="eastAsia"/>
                <w:lang w:val="en-US" w:eastAsia="zh-CN"/>
              </w:rPr>
              <w:t xml:space="preserve">                                                                                  </w:t>
            </w:r>
          </w:p>
        </w:tc>
        <w:tc>
          <w:tcPr>
            <w:tcW w:w="2076" w:type="dxa"/>
            <w:gridSpan w:val="3"/>
            <w:tcBorders>
              <w:top w:val="nil"/>
              <w:left w:val="nil"/>
              <w:right w:val="nil"/>
            </w:tcBorders>
          </w:tcPr>
          <w:p>
            <w:pPr>
              <w:pStyle w:val="26"/>
              <w:ind w:firstLine="340" w:firstLineChars="200"/>
              <w:jc w:val="left"/>
              <w:rPr>
                <w:rFonts w:hint="eastAsia"/>
                <w:lang w:val="en-US" w:eastAsia="zh-CN"/>
              </w:rPr>
            </w:pPr>
            <w:r>
              <w:rPr>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Merge w:val="restart"/>
          </w:tcPr>
          <w:p>
            <w:pPr>
              <w:tabs>
                <w:tab w:val="left" w:pos="859"/>
              </w:tabs>
              <w:jc w:val="both"/>
              <w:rPr>
                <w:rFonts w:hint="eastAsia" w:eastAsia="宋体"/>
                <w:vertAlign w:val="baseline"/>
                <w:lang w:val="en-US" w:eastAsia="zh-CN"/>
              </w:rPr>
            </w:pPr>
            <w:r>
              <w:rPr>
                <w:sz w:val="17"/>
                <w:szCs w:val="17"/>
              </w:rPr>
              <w:t>部门（单位）代码</w:t>
            </w:r>
          </w:p>
        </w:tc>
        <w:tc>
          <w:tcPr>
            <w:tcW w:w="1279" w:type="dxa"/>
            <w:vMerge w:val="restart"/>
          </w:tcPr>
          <w:p>
            <w:pPr>
              <w:tabs>
                <w:tab w:val="left" w:pos="859"/>
              </w:tabs>
              <w:jc w:val="both"/>
              <w:rPr>
                <w:rFonts w:hint="eastAsia" w:eastAsia="宋体"/>
                <w:vertAlign w:val="baseline"/>
                <w:lang w:val="en-US" w:eastAsia="zh-CN"/>
              </w:rPr>
            </w:pPr>
            <w:r>
              <w:rPr>
                <w:sz w:val="17"/>
                <w:szCs w:val="17"/>
              </w:rPr>
              <w:t>部门（单位）名称</w:t>
            </w:r>
          </w:p>
        </w:tc>
        <w:tc>
          <w:tcPr>
            <w:tcW w:w="990" w:type="dxa"/>
            <w:vMerge w:val="restart"/>
          </w:tcPr>
          <w:p>
            <w:pPr>
              <w:pStyle w:val="24"/>
              <w:spacing w:line="240" w:lineRule="auto"/>
              <w:ind w:firstLine="300" w:firstLineChars="0"/>
              <w:jc w:val="left"/>
              <w:rPr>
                <w:rFonts w:hint="eastAsia" w:eastAsia="宋体"/>
                <w:vertAlign w:val="baseline"/>
                <w:lang w:val="en-US" w:eastAsia="zh-CN"/>
              </w:rPr>
            </w:pPr>
            <w:r>
              <w:rPr>
                <w:rFonts w:hint="eastAsia"/>
                <w:sz w:val="17"/>
                <w:szCs w:val="17"/>
                <w:lang w:val="en-US" w:eastAsia="zh-CN"/>
              </w:rPr>
              <w:t>合</w:t>
            </w:r>
            <w:r>
              <w:rPr>
                <w:sz w:val="17"/>
                <w:szCs w:val="17"/>
              </w:rPr>
              <w:t>计</w:t>
            </w:r>
          </w:p>
        </w:tc>
        <w:tc>
          <w:tcPr>
            <w:tcW w:w="4871" w:type="dxa"/>
            <w:gridSpan w:val="5"/>
          </w:tcPr>
          <w:p>
            <w:pPr>
              <w:tabs>
                <w:tab w:val="left" w:pos="859"/>
              </w:tabs>
              <w:jc w:val="both"/>
              <w:rPr>
                <w:rFonts w:hint="eastAsia" w:eastAsia="宋体"/>
                <w:vertAlign w:val="baseline"/>
                <w:lang w:val="en-US" w:eastAsia="zh-CN"/>
              </w:rPr>
            </w:pPr>
            <w:r>
              <w:rPr>
                <w:sz w:val="17"/>
                <w:szCs w:val="17"/>
              </w:rPr>
              <w:t>本年收入</w:t>
            </w:r>
          </w:p>
        </w:tc>
        <w:tc>
          <w:tcPr>
            <w:tcW w:w="6781" w:type="dxa"/>
            <w:gridSpan w:val="8"/>
          </w:tcPr>
          <w:p>
            <w:pPr>
              <w:tabs>
                <w:tab w:val="left" w:pos="859"/>
              </w:tabs>
              <w:jc w:val="both"/>
              <w:rPr>
                <w:rFonts w:hint="eastAsia" w:eastAsia="宋体"/>
                <w:vertAlign w:val="baseline"/>
                <w:lang w:val="en-US" w:eastAsia="zh-CN"/>
              </w:rPr>
            </w:pPr>
            <w:r>
              <w:rPr>
                <w:sz w:val="17"/>
                <w:szCs w:val="17"/>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636" w:type="dxa"/>
            <w:vMerge w:val="continue"/>
          </w:tcPr>
          <w:p>
            <w:pPr>
              <w:tabs>
                <w:tab w:val="left" w:pos="859"/>
              </w:tabs>
              <w:jc w:val="both"/>
              <w:rPr>
                <w:rFonts w:hint="eastAsia" w:eastAsia="宋体"/>
                <w:vertAlign w:val="baseline"/>
                <w:lang w:val="en-US" w:eastAsia="zh-CN"/>
              </w:rPr>
            </w:pPr>
          </w:p>
        </w:tc>
        <w:tc>
          <w:tcPr>
            <w:tcW w:w="1279" w:type="dxa"/>
            <w:vMerge w:val="continue"/>
          </w:tcPr>
          <w:p>
            <w:pPr>
              <w:tabs>
                <w:tab w:val="left" w:pos="859"/>
              </w:tabs>
              <w:jc w:val="both"/>
              <w:rPr>
                <w:rFonts w:hint="eastAsia" w:eastAsia="宋体"/>
                <w:vertAlign w:val="baseline"/>
                <w:lang w:val="en-US" w:eastAsia="zh-CN"/>
              </w:rPr>
            </w:pPr>
          </w:p>
        </w:tc>
        <w:tc>
          <w:tcPr>
            <w:tcW w:w="990" w:type="dxa"/>
            <w:vMerge w:val="continue"/>
            <w:vAlign w:val="center"/>
          </w:tcPr>
          <w:p>
            <w:pPr>
              <w:pStyle w:val="24"/>
              <w:spacing w:line="240" w:lineRule="auto"/>
              <w:ind w:firstLine="300" w:firstLineChars="0"/>
              <w:jc w:val="left"/>
              <w:rPr>
                <w:rFonts w:hint="eastAsia" w:eastAsia="宋体"/>
                <w:vertAlign w:val="baseline"/>
                <w:lang w:val="en-US" w:eastAsia="zh-CN"/>
              </w:rPr>
            </w:pPr>
          </w:p>
        </w:tc>
        <w:tc>
          <w:tcPr>
            <w:tcW w:w="926" w:type="dxa"/>
            <w:vAlign w:val="center"/>
          </w:tcPr>
          <w:p>
            <w:pPr>
              <w:pStyle w:val="24"/>
              <w:spacing w:line="240" w:lineRule="auto"/>
              <w:ind w:firstLine="300" w:firstLineChars="0"/>
              <w:jc w:val="left"/>
              <w:rPr>
                <w:rFonts w:hint="eastAsia" w:eastAsia="宋体"/>
                <w:vertAlign w:val="baseline"/>
                <w:lang w:val="en-US" w:eastAsia="zh-CN"/>
              </w:rPr>
            </w:pPr>
            <w:r>
              <w:rPr>
                <w:sz w:val="17"/>
                <w:szCs w:val="17"/>
              </w:rPr>
              <w:t>小计</w:t>
            </w:r>
          </w:p>
        </w:tc>
        <w:tc>
          <w:tcPr>
            <w:tcW w:w="909"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一般公共预算</w:t>
            </w:r>
          </w:p>
        </w:tc>
        <w:tc>
          <w:tcPr>
            <w:tcW w:w="1161"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政府性基金预算</w:t>
            </w:r>
          </w:p>
        </w:tc>
        <w:tc>
          <w:tcPr>
            <w:tcW w:w="1031"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国有资本经营预算</w:t>
            </w:r>
          </w:p>
        </w:tc>
        <w:tc>
          <w:tcPr>
            <w:tcW w:w="844" w:type="dxa"/>
          </w:tcPr>
          <w:p>
            <w:pPr>
              <w:pStyle w:val="24"/>
              <w:spacing w:line="312" w:lineRule="exact"/>
              <w:ind w:firstLine="0"/>
              <w:jc w:val="left"/>
              <w:rPr>
                <w:sz w:val="17"/>
                <w:szCs w:val="17"/>
              </w:rPr>
            </w:pPr>
            <w:r>
              <w:rPr>
                <w:sz w:val="17"/>
                <w:szCs w:val="17"/>
              </w:rPr>
              <w:t>财政专户管理资金</w:t>
            </w:r>
          </w:p>
          <w:p>
            <w:pPr>
              <w:pStyle w:val="24"/>
              <w:spacing w:line="312" w:lineRule="exact"/>
              <w:ind w:firstLine="0" w:firstLineChars="0"/>
              <w:jc w:val="left"/>
              <w:rPr>
                <w:rFonts w:hint="eastAsia" w:eastAsia="宋体"/>
                <w:vertAlign w:val="baseline"/>
                <w:lang w:val="en-US" w:eastAsia="zh-CN"/>
              </w:rPr>
            </w:pPr>
            <w:r>
              <w:rPr>
                <w:sz w:val="17"/>
                <w:szCs w:val="17"/>
              </w:rPr>
              <w:t>收入</w:t>
            </w:r>
          </w:p>
        </w:tc>
        <w:tc>
          <w:tcPr>
            <w:tcW w:w="856" w:type="dxa"/>
            <w:vAlign w:val="center"/>
          </w:tcPr>
          <w:p>
            <w:pPr>
              <w:pStyle w:val="24"/>
              <w:spacing w:line="240" w:lineRule="auto"/>
              <w:ind w:firstLine="0" w:firstLineChars="0"/>
              <w:jc w:val="left"/>
              <w:rPr>
                <w:rFonts w:hint="eastAsia" w:eastAsia="宋体"/>
                <w:vertAlign w:val="baseline"/>
                <w:lang w:val="en-US" w:eastAsia="zh-CN"/>
              </w:rPr>
            </w:pPr>
            <w:r>
              <w:rPr>
                <w:sz w:val="17"/>
                <w:szCs w:val="17"/>
              </w:rPr>
              <w:t>单位资金</w:t>
            </w:r>
          </w:p>
        </w:tc>
        <w:tc>
          <w:tcPr>
            <w:tcW w:w="1035" w:type="dxa"/>
            <w:vAlign w:val="center"/>
          </w:tcPr>
          <w:p>
            <w:pPr>
              <w:pStyle w:val="24"/>
              <w:spacing w:line="240" w:lineRule="auto"/>
              <w:ind w:firstLine="300" w:firstLineChars="0"/>
              <w:jc w:val="left"/>
              <w:rPr>
                <w:rFonts w:hint="eastAsia" w:eastAsia="宋体"/>
                <w:vertAlign w:val="baseline"/>
                <w:lang w:val="en-US" w:eastAsia="zh-CN"/>
              </w:rPr>
            </w:pPr>
            <w:r>
              <w:rPr>
                <w:sz w:val="17"/>
                <w:szCs w:val="17"/>
              </w:rPr>
              <w:t>小计</w:t>
            </w:r>
          </w:p>
        </w:tc>
        <w:tc>
          <w:tcPr>
            <w:tcW w:w="1011"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一般公共预算</w:t>
            </w:r>
          </w:p>
        </w:tc>
        <w:tc>
          <w:tcPr>
            <w:tcW w:w="859"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政府性基金预算</w:t>
            </w:r>
          </w:p>
        </w:tc>
        <w:tc>
          <w:tcPr>
            <w:tcW w:w="1094" w:type="dxa"/>
            <w:gridSpan w:val="2"/>
            <w:vAlign w:val="center"/>
          </w:tcPr>
          <w:p>
            <w:pPr>
              <w:pStyle w:val="24"/>
              <w:spacing w:line="317" w:lineRule="exact"/>
              <w:ind w:firstLine="0" w:firstLineChars="0"/>
              <w:jc w:val="left"/>
              <w:rPr>
                <w:rFonts w:hint="eastAsia" w:eastAsia="宋体"/>
                <w:vertAlign w:val="baseline"/>
                <w:lang w:val="en-US" w:eastAsia="zh-CN"/>
              </w:rPr>
            </w:pPr>
            <w:r>
              <w:rPr>
                <w:sz w:val="17"/>
                <w:szCs w:val="17"/>
              </w:rPr>
              <w:t>国有资本经营预算</w:t>
            </w:r>
          </w:p>
        </w:tc>
        <w:tc>
          <w:tcPr>
            <w:tcW w:w="872" w:type="dxa"/>
          </w:tcPr>
          <w:p>
            <w:pPr>
              <w:pStyle w:val="24"/>
              <w:spacing w:line="312" w:lineRule="exact"/>
              <w:ind w:firstLine="0"/>
              <w:jc w:val="left"/>
              <w:rPr>
                <w:sz w:val="17"/>
                <w:szCs w:val="17"/>
              </w:rPr>
            </w:pPr>
            <w:r>
              <w:rPr>
                <w:sz w:val="17"/>
                <w:szCs w:val="17"/>
              </w:rPr>
              <w:t>财政专户管理资金</w:t>
            </w:r>
          </w:p>
          <w:p>
            <w:pPr>
              <w:pStyle w:val="24"/>
              <w:spacing w:line="312" w:lineRule="exact"/>
              <w:ind w:right="280" w:rightChars="0" w:firstLine="0" w:firstLineChars="0"/>
              <w:jc w:val="left"/>
              <w:rPr>
                <w:rFonts w:hint="eastAsia" w:eastAsia="宋体"/>
                <w:vertAlign w:val="baseline"/>
                <w:lang w:val="en-US" w:eastAsia="zh-CN"/>
              </w:rPr>
            </w:pPr>
            <w:r>
              <w:rPr>
                <w:sz w:val="17"/>
                <w:szCs w:val="17"/>
              </w:rPr>
              <w:t>收入</w:t>
            </w:r>
          </w:p>
        </w:tc>
        <w:tc>
          <w:tcPr>
            <w:tcW w:w="1054" w:type="dxa"/>
            <w:vAlign w:val="center"/>
          </w:tcPr>
          <w:p>
            <w:pPr>
              <w:pStyle w:val="24"/>
              <w:spacing w:line="240" w:lineRule="auto"/>
              <w:ind w:firstLine="140" w:firstLineChars="0"/>
              <w:jc w:val="left"/>
              <w:rPr>
                <w:rFonts w:hint="eastAsia" w:eastAsia="宋体"/>
                <w:vertAlign w:val="baseline"/>
                <w:lang w:val="en-US" w:eastAsia="zh-CN"/>
              </w:rPr>
            </w:pPr>
            <w:r>
              <w:rPr>
                <w:sz w:val="17"/>
                <w:szCs w:val="17"/>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tcPr>
          <w:p>
            <w:pPr>
              <w:tabs>
                <w:tab w:val="left" w:pos="859"/>
              </w:tabs>
              <w:jc w:val="both"/>
              <w:rPr>
                <w:rFonts w:hint="eastAsia" w:eastAsia="宋体"/>
                <w:vertAlign w:val="baseline"/>
                <w:lang w:val="en-US" w:eastAsia="zh-CN"/>
              </w:rPr>
            </w:pPr>
          </w:p>
        </w:tc>
        <w:tc>
          <w:tcPr>
            <w:tcW w:w="1279" w:type="dxa"/>
          </w:tcPr>
          <w:p>
            <w:pPr>
              <w:tabs>
                <w:tab w:val="left" w:pos="859"/>
              </w:tabs>
              <w:jc w:val="both"/>
              <w:rPr>
                <w:rFonts w:hint="eastAsia" w:eastAsia="宋体"/>
                <w:vertAlign w:val="baseline"/>
                <w:lang w:val="en-US" w:eastAsia="zh-CN"/>
              </w:rPr>
            </w:pPr>
          </w:p>
        </w:tc>
        <w:tc>
          <w:tcPr>
            <w:tcW w:w="990"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w:t>
            </w:r>
          </w:p>
        </w:tc>
        <w:tc>
          <w:tcPr>
            <w:tcW w:w="926"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2</w:t>
            </w:r>
          </w:p>
        </w:tc>
        <w:tc>
          <w:tcPr>
            <w:tcW w:w="909"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3</w:t>
            </w:r>
          </w:p>
        </w:tc>
        <w:tc>
          <w:tcPr>
            <w:tcW w:w="1161" w:type="dxa"/>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4</w:t>
            </w:r>
          </w:p>
        </w:tc>
        <w:tc>
          <w:tcPr>
            <w:tcW w:w="1031" w:type="dxa"/>
            <w:vAlign w:val="center"/>
          </w:tcPr>
          <w:p>
            <w:pPr>
              <w:pStyle w:val="24"/>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5</w:t>
            </w:r>
          </w:p>
        </w:tc>
        <w:tc>
          <w:tcPr>
            <w:tcW w:w="844" w:type="dxa"/>
            <w:vAlign w:val="center"/>
          </w:tcPr>
          <w:p>
            <w:pPr>
              <w:pStyle w:val="24"/>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6</w:t>
            </w:r>
          </w:p>
        </w:tc>
        <w:tc>
          <w:tcPr>
            <w:tcW w:w="856" w:type="dxa"/>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7</w:t>
            </w:r>
          </w:p>
        </w:tc>
        <w:tc>
          <w:tcPr>
            <w:tcW w:w="1035" w:type="dxa"/>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8</w:t>
            </w:r>
          </w:p>
        </w:tc>
        <w:tc>
          <w:tcPr>
            <w:tcW w:w="1011" w:type="dxa"/>
            <w:vAlign w:val="center"/>
          </w:tcPr>
          <w:p>
            <w:pPr>
              <w:pStyle w:val="24"/>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9</w:t>
            </w:r>
          </w:p>
        </w:tc>
        <w:tc>
          <w:tcPr>
            <w:tcW w:w="859" w:type="dxa"/>
            <w:vAlign w:val="center"/>
          </w:tcPr>
          <w:p>
            <w:pPr>
              <w:pStyle w:val="24"/>
              <w:spacing w:line="240" w:lineRule="auto"/>
              <w:ind w:right="36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10</w:t>
            </w:r>
          </w:p>
        </w:tc>
        <w:tc>
          <w:tcPr>
            <w:tcW w:w="1094" w:type="dxa"/>
            <w:gridSpan w:val="2"/>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11</w:t>
            </w:r>
          </w:p>
        </w:tc>
        <w:tc>
          <w:tcPr>
            <w:tcW w:w="872" w:type="dxa"/>
            <w:vAlign w:val="center"/>
          </w:tcPr>
          <w:p>
            <w:pPr>
              <w:pStyle w:val="24"/>
              <w:spacing w:line="240" w:lineRule="auto"/>
              <w:ind w:right="38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12</w:t>
            </w:r>
          </w:p>
        </w:tc>
        <w:tc>
          <w:tcPr>
            <w:tcW w:w="1054" w:type="dxa"/>
            <w:vAlign w:val="center"/>
          </w:tcPr>
          <w:p>
            <w:pPr>
              <w:pStyle w:val="24"/>
              <w:spacing w:line="240" w:lineRule="auto"/>
              <w:ind w:right="42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 xml:space="preserve"> </w:t>
            </w:r>
          </w:p>
        </w:tc>
        <w:tc>
          <w:tcPr>
            <w:tcW w:w="1279" w:type="dxa"/>
          </w:tcPr>
          <w:p>
            <w:pPr>
              <w:pStyle w:val="24"/>
              <w:spacing w:line="326" w:lineRule="exact"/>
              <w:ind w:firstLine="0" w:firstLineChars="0"/>
              <w:jc w:val="left"/>
              <w:rPr>
                <w:rFonts w:hint="eastAsia" w:eastAsia="宋体"/>
                <w:vertAlign w:val="baseline"/>
                <w:lang w:val="en-US" w:eastAsia="zh-CN"/>
              </w:rPr>
            </w:pPr>
            <w:r>
              <w:rPr>
                <w:rFonts w:hint="eastAsia"/>
                <w:sz w:val="17"/>
                <w:szCs w:val="17"/>
                <w:lang w:val="en-US" w:eastAsia="zh-CN"/>
              </w:rPr>
              <w:t>合计</w:t>
            </w:r>
          </w:p>
        </w:tc>
        <w:tc>
          <w:tcPr>
            <w:tcW w:w="990"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24.51</w:t>
            </w:r>
          </w:p>
        </w:tc>
        <w:tc>
          <w:tcPr>
            <w:tcW w:w="926" w:type="dxa"/>
            <w:vAlign w:val="center"/>
          </w:tcPr>
          <w:p>
            <w:pPr>
              <w:pStyle w:val="24"/>
              <w:spacing w:line="240" w:lineRule="auto"/>
              <w:ind w:firstLine="300" w:firstLineChars="0"/>
              <w:jc w:val="left"/>
              <w:rPr>
                <w:rFonts w:hint="eastAsia" w:eastAsia="宋体"/>
                <w:vertAlign w:val="baseline"/>
                <w:lang w:val="en-US" w:eastAsia="zh-CN"/>
              </w:rPr>
            </w:pPr>
            <w:r>
              <w:rPr>
                <w:rFonts w:hint="eastAsia"/>
                <w:sz w:val="17"/>
                <w:szCs w:val="17"/>
                <w:lang w:val="en-US" w:eastAsia="zh-CN"/>
              </w:rPr>
              <w:t>24.51</w:t>
            </w:r>
          </w:p>
        </w:tc>
        <w:tc>
          <w:tcPr>
            <w:tcW w:w="909" w:type="dxa"/>
            <w:vAlign w:val="center"/>
          </w:tcPr>
          <w:p>
            <w:pPr>
              <w:pStyle w:val="24"/>
              <w:spacing w:line="240" w:lineRule="auto"/>
              <w:ind w:firstLine="2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24.51</w:t>
            </w:r>
          </w:p>
        </w:tc>
        <w:tc>
          <w:tcPr>
            <w:tcW w:w="1161" w:type="dxa"/>
            <w:vAlign w:val="center"/>
          </w:tcPr>
          <w:p>
            <w:pPr>
              <w:pStyle w:val="24"/>
              <w:spacing w:line="240" w:lineRule="auto"/>
              <w:ind w:firstLine="520" w:firstLineChars="0"/>
              <w:jc w:val="left"/>
              <w:rPr>
                <w:rFonts w:hint="eastAsia" w:eastAsia="宋体"/>
                <w:vertAlign w:val="baseline"/>
                <w:lang w:val="en-US" w:eastAsia="zh-CN"/>
              </w:rPr>
            </w:pPr>
            <w:r>
              <w:rPr>
                <w:rFonts w:hint="eastAsia"/>
                <w:sz w:val="17"/>
                <w:szCs w:val="17"/>
                <w:lang w:val="en-US" w:eastAsia="zh-CN"/>
              </w:rPr>
              <w:t>0.00</w:t>
            </w:r>
          </w:p>
        </w:tc>
        <w:tc>
          <w:tcPr>
            <w:tcW w:w="1031"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44"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5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35" w:type="dxa"/>
            <w:vAlign w:val="center"/>
          </w:tcPr>
          <w:p>
            <w:pPr>
              <w:pStyle w:val="24"/>
              <w:spacing w:line="240" w:lineRule="auto"/>
              <w:ind w:firstLine="52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11" w:type="dxa"/>
            <w:vAlign w:val="center"/>
          </w:tcPr>
          <w:p>
            <w:pPr>
              <w:pStyle w:val="24"/>
              <w:spacing w:line="240" w:lineRule="auto"/>
              <w:ind w:firstLine="4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59"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94" w:type="dxa"/>
            <w:gridSpan w:val="2"/>
            <w:vAlign w:val="center"/>
          </w:tcPr>
          <w:p>
            <w:pPr>
              <w:pStyle w:val="24"/>
              <w:spacing w:line="240" w:lineRule="auto"/>
              <w:ind w:firstLine="5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72"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54" w:type="dxa"/>
            <w:vAlign w:val="center"/>
          </w:tcPr>
          <w:p>
            <w:pPr>
              <w:pStyle w:val="24"/>
              <w:spacing w:line="240" w:lineRule="auto"/>
              <w:ind w:firstLine="54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702008</w:t>
            </w:r>
          </w:p>
        </w:tc>
        <w:tc>
          <w:tcPr>
            <w:tcW w:w="1279" w:type="dxa"/>
          </w:tcPr>
          <w:p>
            <w:pPr>
              <w:pStyle w:val="24"/>
              <w:spacing w:line="326" w:lineRule="exact"/>
              <w:ind w:firstLine="0" w:firstLineChars="0"/>
              <w:jc w:val="left"/>
              <w:rPr>
                <w:rFonts w:hint="eastAsia" w:eastAsia="宋体"/>
                <w:vertAlign w:val="baseline"/>
                <w:lang w:val="en-US" w:eastAsia="zh-CN"/>
              </w:rPr>
            </w:pPr>
          </w:p>
        </w:tc>
        <w:tc>
          <w:tcPr>
            <w:tcW w:w="990"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24.51</w:t>
            </w:r>
          </w:p>
        </w:tc>
        <w:tc>
          <w:tcPr>
            <w:tcW w:w="926" w:type="dxa"/>
            <w:vAlign w:val="center"/>
          </w:tcPr>
          <w:p>
            <w:pPr>
              <w:pStyle w:val="24"/>
              <w:spacing w:line="240" w:lineRule="auto"/>
              <w:ind w:firstLine="300" w:firstLineChars="0"/>
              <w:jc w:val="left"/>
              <w:rPr>
                <w:rFonts w:hint="eastAsia" w:eastAsia="宋体"/>
                <w:vertAlign w:val="baseline"/>
                <w:lang w:val="en-US" w:eastAsia="zh-CN"/>
              </w:rPr>
            </w:pPr>
            <w:r>
              <w:rPr>
                <w:rFonts w:hint="eastAsia"/>
                <w:sz w:val="17"/>
                <w:szCs w:val="17"/>
                <w:lang w:val="en-US" w:eastAsia="zh-CN"/>
              </w:rPr>
              <w:t>24.51</w:t>
            </w:r>
          </w:p>
        </w:tc>
        <w:tc>
          <w:tcPr>
            <w:tcW w:w="909" w:type="dxa"/>
            <w:vAlign w:val="center"/>
          </w:tcPr>
          <w:p>
            <w:pPr>
              <w:pStyle w:val="24"/>
              <w:spacing w:line="240" w:lineRule="auto"/>
              <w:ind w:firstLine="2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24.51</w:t>
            </w:r>
          </w:p>
        </w:tc>
        <w:tc>
          <w:tcPr>
            <w:tcW w:w="1161" w:type="dxa"/>
            <w:vAlign w:val="center"/>
          </w:tcPr>
          <w:p>
            <w:pPr>
              <w:pStyle w:val="24"/>
              <w:spacing w:line="240" w:lineRule="auto"/>
              <w:ind w:firstLine="520" w:firstLineChars="0"/>
              <w:jc w:val="left"/>
              <w:rPr>
                <w:rFonts w:hint="eastAsia" w:eastAsia="宋体"/>
                <w:vertAlign w:val="baseline"/>
                <w:lang w:val="en-US" w:eastAsia="zh-CN"/>
              </w:rPr>
            </w:pPr>
            <w:r>
              <w:rPr>
                <w:rFonts w:hint="eastAsia"/>
                <w:sz w:val="17"/>
                <w:szCs w:val="17"/>
                <w:lang w:val="en-US" w:eastAsia="zh-CN"/>
              </w:rPr>
              <w:t>0.00</w:t>
            </w:r>
          </w:p>
        </w:tc>
        <w:tc>
          <w:tcPr>
            <w:tcW w:w="1031"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44"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5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35" w:type="dxa"/>
            <w:vAlign w:val="center"/>
          </w:tcPr>
          <w:p>
            <w:pPr>
              <w:pStyle w:val="24"/>
              <w:spacing w:line="240" w:lineRule="auto"/>
              <w:ind w:firstLine="52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11" w:type="dxa"/>
            <w:vAlign w:val="center"/>
          </w:tcPr>
          <w:p>
            <w:pPr>
              <w:pStyle w:val="24"/>
              <w:spacing w:line="240" w:lineRule="auto"/>
              <w:ind w:firstLine="4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59"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94" w:type="dxa"/>
            <w:gridSpan w:val="2"/>
            <w:vAlign w:val="center"/>
          </w:tcPr>
          <w:p>
            <w:pPr>
              <w:pStyle w:val="24"/>
              <w:spacing w:line="240" w:lineRule="auto"/>
              <w:ind w:firstLine="5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72"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54" w:type="dxa"/>
            <w:vAlign w:val="center"/>
          </w:tcPr>
          <w:p>
            <w:pPr>
              <w:pStyle w:val="24"/>
              <w:spacing w:line="240" w:lineRule="auto"/>
              <w:ind w:firstLine="54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6"/>
            <w:tcBorders>
              <w:left w:val="nil"/>
              <w:bottom w:val="nil"/>
              <w:right w:val="nil"/>
            </w:tcBorders>
          </w:tcPr>
          <w:p>
            <w:pPr>
              <w:pStyle w:val="26"/>
              <w:jc w:val="left"/>
              <w:rPr>
                <w:rFonts w:hint="eastAsia" w:eastAsia="宋体"/>
                <w:vertAlign w:val="baseline"/>
                <w:lang w:val="en-US" w:eastAsia="zh-CN"/>
              </w:rPr>
            </w:pPr>
            <w:r>
              <w:t>注：本报表金额单位转换时可能存在四舍五入尾数误差。</w:t>
            </w:r>
          </w:p>
        </w:tc>
      </w:tr>
    </w:tbl>
    <w:p>
      <w:pPr>
        <w:tabs>
          <w:tab w:val="left" w:pos="859"/>
        </w:tabs>
        <w:jc w:val="both"/>
        <w:rPr>
          <w:rFonts w:hint="eastAsia" w:eastAsia="宋体"/>
          <w:lang w:val="en-US" w:eastAsia="zh-CN"/>
        </w:rPr>
      </w:pPr>
    </w:p>
    <w:p>
      <w:pPr>
        <w:tabs>
          <w:tab w:val="left" w:pos="859"/>
        </w:tabs>
        <w:jc w:val="center"/>
        <w:rPr>
          <w:rFonts w:hint="eastAsia" w:eastAsia="宋体"/>
          <w:lang w:val="en-US" w:eastAsia="zh-CN"/>
        </w:rPr>
      </w:pPr>
    </w:p>
    <w:p>
      <w:pPr>
        <w:tabs>
          <w:tab w:val="left" w:pos="859"/>
        </w:tabs>
        <w:jc w:val="both"/>
        <w:rPr>
          <w:rFonts w:hint="eastAsia" w:eastAsia="宋体"/>
          <w:lang w:val="en-US" w:eastAsia="zh-CN"/>
        </w:rPr>
      </w:pPr>
    </w:p>
    <w:p>
      <w:pPr>
        <w:spacing w:line="1" w:lineRule="exact"/>
        <w:jc w:val="left"/>
        <w:rPr>
          <w:lang w:eastAsia="zh-CN"/>
        </w:rPr>
        <w:sectPr>
          <w:headerReference r:id="rId8" w:type="default"/>
          <w:footerReference r:id="rId9" w:type="default"/>
          <w:pgSz w:w="16840" w:h="11900" w:orient="landscape"/>
          <w:pgMar w:top="2709" w:right="764" w:bottom="2709" w:left="735" w:header="2281" w:footer="1474" w:gutter="0"/>
          <w:pgBorders>
            <w:top w:val="none" w:sz="0" w:space="0"/>
            <w:left w:val="none" w:sz="0" w:space="0"/>
            <w:bottom w:val="none" w:sz="0" w:space="0"/>
            <w:right w:val="none" w:sz="0" w:space="0"/>
          </w:pgBorders>
          <w:pgNumType w:fmt="decimal"/>
          <w:cols w:space="720" w:num="1"/>
          <w:docGrid w:linePitch="360" w:charSpace="0"/>
        </w:sectPr>
      </w:pPr>
    </w:p>
    <w:p>
      <w:pPr>
        <w:pStyle w:val="22"/>
        <w:keepNext/>
        <w:keepLines/>
        <w:spacing w:after="240"/>
        <w:jc w:val="center"/>
      </w:pPr>
      <w:bookmarkStart w:id="19" w:name="bookmark43"/>
      <w:bookmarkStart w:id="20" w:name="bookmark41"/>
      <w:bookmarkStart w:id="21" w:name="bookmark42"/>
      <w:r>
        <w:t>支出总体情况表</w:t>
      </w:r>
      <w:bookmarkEnd w:id="19"/>
      <w:bookmarkEnd w:id="20"/>
      <w:bookmarkEnd w:id="21"/>
    </w:p>
    <w:tbl>
      <w:tblPr>
        <w:tblStyle w:val="4"/>
        <w:tblW w:w="0" w:type="auto"/>
        <w:tblInd w:w="0" w:type="dxa"/>
        <w:tblLayout w:type="fixed"/>
        <w:tblCellMar>
          <w:top w:w="0" w:type="dxa"/>
          <w:left w:w="10" w:type="dxa"/>
          <w:bottom w:w="0" w:type="dxa"/>
          <w:right w:w="10" w:type="dxa"/>
        </w:tblCellMar>
      </w:tblPr>
      <w:tblGrid>
        <w:gridCol w:w="1843"/>
        <w:gridCol w:w="1934"/>
        <w:gridCol w:w="2390"/>
        <w:gridCol w:w="2280"/>
        <w:gridCol w:w="2299"/>
        <w:gridCol w:w="2222"/>
        <w:gridCol w:w="2371"/>
      </w:tblGrid>
      <w:tr>
        <w:tblPrEx>
          <w:tblCellMar>
            <w:top w:w="0" w:type="dxa"/>
            <w:left w:w="10" w:type="dxa"/>
            <w:bottom w:w="0" w:type="dxa"/>
            <w:right w:w="10" w:type="dxa"/>
          </w:tblCellMar>
        </w:tblPrEx>
        <w:trPr>
          <w:trHeight w:val="346" w:hRule="exact"/>
        </w:trPr>
        <w:tc>
          <w:tcPr>
            <w:tcW w:w="12968" w:type="dxa"/>
            <w:gridSpan w:val="6"/>
            <w:shd w:val="clear" w:color="auto" w:fill="FFFFFF"/>
          </w:tcPr>
          <w:p>
            <w:pPr>
              <w:pStyle w:val="24"/>
              <w:spacing w:line="240" w:lineRule="auto"/>
              <w:ind w:firstLine="0"/>
              <w:jc w:val="left"/>
              <w:rPr>
                <w:sz w:val="17"/>
                <w:szCs w:val="17"/>
              </w:rPr>
            </w:pPr>
            <w:r>
              <w:rPr>
                <w:sz w:val="17"/>
                <w:szCs w:val="17"/>
              </w:rPr>
              <w:t>单位名称：</w:t>
            </w:r>
            <w:r>
              <w:rPr>
                <w:rFonts w:hint="eastAsia"/>
                <w:sz w:val="17"/>
                <w:szCs w:val="17"/>
                <w:lang w:eastAsia="zh-CN"/>
              </w:rPr>
              <w:t>环江毛南族自治县大才乡水利站</w:t>
            </w:r>
          </w:p>
        </w:tc>
        <w:tc>
          <w:tcPr>
            <w:tcW w:w="2371" w:type="dxa"/>
            <w:shd w:val="clear" w:color="auto" w:fill="FFFFFF"/>
          </w:tcPr>
          <w:p>
            <w:pPr>
              <w:pStyle w:val="24"/>
              <w:spacing w:line="240" w:lineRule="auto"/>
              <w:ind w:firstLine="1190" w:firstLineChars="700"/>
              <w:jc w:val="left"/>
              <w:rPr>
                <w:sz w:val="17"/>
                <w:szCs w:val="17"/>
              </w:rPr>
            </w:pPr>
            <w:r>
              <w:rPr>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科目编码</w:t>
            </w:r>
          </w:p>
        </w:tc>
        <w:tc>
          <w:tcPr>
            <w:tcW w:w="1934"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jc w:val="left"/>
              <w:rPr>
                <w:sz w:val="17"/>
                <w:szCs w:val="17"/>
              </w:rPr>
            </w:pPr>
            <w:r>
              <w:rPr>
                <w:sz w:val="17"/>
                <w:szCs w:val="17"/>
              </w:rPr>
              <w:t>部门（单位）代码</w:t>
            </w:r>
          </w:p>
        </w:tc>
        <w:tc>
          <w:tcPr>
            <w:tcW w:w="2390" w:type="dxa"/>
            <w:tcBorders>
              <w:top w:val="single" w:color="auto" w:sz="4" w:space="0"/>
              <w:left w:val="single" w:color="auto" w:sz="4" w:space="0"/>
              <w:bottom w:val="single" w:color="auto" w:sz="4" w:space="0"/>
            </w:tcBorders>
            <w:shd w:val="clear" w:color="auto" w:fill="FFFFFF"/>
            <w:vAlign w:val="center"/>
          </w:tcPr>
          <w:p>
            <w:pPr>
              <w:pStyle w:val="24"/>
              <w:spacing w:after="120" w:line="240" w:lineRule="auto"/>
              <w:ind w:firstLine="0"/>
              <w:jc w:val="left"/>
              <w:rPr>
                <w:sz w:val="17"/>
                <w:szCs w:val="17"/>
              </w:rPr>
            </w:pPr>
            <w:r>
              <w:rPr>
                <w:sz w:val="17"/>
                <w:szCs w:val="17"/>
              </w:rPr>
              <w:t>部门（单位）名称</w:t>
            </w:r>
          </w:p>
          <w:p>
            <w:pPr>
              <w:pStyle w:val="24"/>
              <w:spacing w:line="240" w:lineRule="auto"/>
              <w:ind w:firstLine="0"/>
              <w:jc w:val="left"/>
              <w:rPr>
                <w:sz w:val="17"/>
                <w:szCs w:val="17"/>
              </w:rPr>
            </w:pPr>
            <w:r>
              <w:rPr>
                <w:sz w:val="17"/>
                <w:szCs w:val="17"/>
              </w:rPr>
              <w:t>（功能分类科目名称）</w:t>
            </w:r>
          </w:p>
        </w:tc>
        <w:tc>
          <w:tcPr>
            <w:tcW w:w="228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合计</w:t>
            </w:r>
          </w:p>
        </w:tc>
        <w:tc>
          <w:tcPr>
            <w:tcW w:w="229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基本支出</w:t>
            </w:r>
          </w:p>
        </w:tc>
        <w:tc>
          <w:tcPr>
            <w:tcW w:w="222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项目支出</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sz w:val="17"/>
                <w:szCs w:val="17"/>
              </w:rPr>
            </w:pPr>
            <w:r>
              <w:rPr>
                <w:sz w:val="17"/>
                <w:szCs w:val="17"/>
              </w:rPr>
              <w:t>结转下年支出</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合计</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24.51</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24.51</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702008</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24.51</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24.51</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2012999</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其他群众团体事务支出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0.24</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0.24</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2080505</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机关事业单位基本养老保险缴费支出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2.86</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2.86</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2130304</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水利行业业务管理</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18.92</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18.92</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2210201</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住房公积金</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2.49</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2.49</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bl>
    <w:p>
      <w:pPr>
        <w:pStyle w:val="26"/>
        <w:ind w:left="672"/>
        <w:jc w:val="left"/>
      </w:pPr>
      <w:r>
        <w:t>注：本报表金额单位转换时可能存在四舍五入尾数误差。</w:t>
      </w:r>
      <w:r>
        <w:br w:type="page"/>
      </w:r>
    </w:p>
    <w:p>
      <w:pPr>
        <w:pStyle w:val="22"/>
        <w:keepNext/>
        <w:keepLines/>
        <w:spacing w:after="240"/>
        <w:jc w:val="center"/>
      </w:pPr>
      <w:bookmarkStart w:id="22" w:name="bookmark45"/>
      <w:bookmarkStart w:id="23" w:name="bookmark44"/>
      <w:bookmarkStart w:id="24" w:name="bookmark46"/>
      <w:r>
        <w:t>财政拨款收支总体情况表</w:t>
      </w:r>
      <w:bookmarkEnd w:id="22"/>
      <w:bookmarkEnd w:id="23"/>
      <w:bookmarkEnd w:id="24"/>
    </w:p>
    <w:tbl>
      <w:tblPr>
        <w:tblStyle w:val="4"/>
        <w:tblW w:w="0" w:type="auto"/>
        <w:tblInd w:w="0" w:type="dxa"/>
        <w:tblLayout w:type="fixed"/>
        <w:tblCellMar>
          <w:top w:w="0" w:type="dxa"/>
          <w:left w:w="10" w:type="dxa"/>
          <w:bottom w:w="0" w:type="dxa"/>
          <w:right w:w="10" w:type="dxa"/>
        </w:tblCellMar>
      </w:tblPr>
      <w:tblGrid>
        <w:gridCol w:w="2885"/>
        <w:gridCol w:w="955"/>
        <w:gridCol w:w="3830"/>
        <w:gridCol w:w="3826"/>
        <w:gridCol w:w="3845"/>
        <w:gridCol w:w="1"/>
      </w:tblGrid>
      <w:tr>
        <w:tblPrEx>
          <w:tblCellMar>
            <w:top w:w="0" w:type="dxa"/>
            <w:left w:w="10" w:type="dxa"/>
            <w:bottom w:w="0" w:type="dxa"/>
            <w:right w:w="10" w:type="dxa"/>
          </w:tblCellMar>
        </w:tblPrEx>
        <w:trPr>
          <w:gridAfter w:val="1"/>
          <w:wAfter w:w="1" w:type="dxa"/>
          <w:trHeight w:val="346" w:hRule="exact"/>
        </w:trPr>
        <w:tc>
          <w:tcPr>
            <w:tcW w:w="11496" w:type="dxa"/>
            <w:gridSpan w:val="4"/>
            <w:shd w:val="clear" w:color="auto" w:fill="FFFFFF"/>
          </w:tcPr>
          <w:p>
            <w:pPr>
              <w:pStyle w:val="24"/>
              <w:spacing w:line="240" w:lineRule="auto"/>
              <w:ind w:firstLine="0"/>
              <w:jc w:val="left"/>
              <w:rPr>
                <w:rFonts w:hint="default"/>
                <w:sz w:val="17"/>
                <w:szCs w:val="17"/>
                <w:lang w:val="en-US"/>
              </w:rPr>
            </w:pPr>
            <w:r>
              <w:rPr>
                <w:sz w:val="17"/>
                <w:szCs w:val="17"/>
              </w:rPr>
              <w:t>单位名称：</w:t>
            </w:r>
            <w:r>
              <w:rPr>
                <w:rFonts w:hint="eastAsia"/>
                <w:sz w:val="17"/>
                <w:szCs w:val="17"/>
                <w:lang w:eastAsia="zh-CN"/>
              </w:rPr>
              <w:t>环江毛南族自治县大才乡水利站</w:t>
            </w:r>
            <w:r>
              <w:rPr>
                <w:rFonts w:hint="eastAsia"/>
                <w:sz w:val="17"/>
                <w:szCs w:val="17"/>
                <w:lang w:val="en-US" w:eastAsia="zh-CN"/>
              </w:rPr>
              <w:t xml:space="preserve">                         </w:t>
            </w:r>
          </w:p>
        </w:tc>
        <w:tc>
          <w:tcPr>
            <w:tcW w:w="3845" w:type="dxa"/>
            <w:shd w:val="clear" w:color="auto" w:fill="FFFFFF"/>
          </w:tcPr>
          <w:p>
            <w:pPr>
              <w:pStyle w:val="24"/>
              <w:spacing w:line="240" w:lineRule="auto"/>
              <w:jc w:val="left"/>
              <w:rPr>
                <w:sz w:val="17"/>
                <w:szCs w:val="17"/>
              </w:rPr>
            </w:pPr>
            <w:r>
              <w:rPr>
                <w:sz w:val="17"/>
                <w:szCs w:val="17"/>
              </w:rPr>
              <w:t>单位：万元</w:t>
            </w:r>
          </w:p>
        </w:tc>
      </w:tr>
      <w:tr>
        <w:tblPrEx>
          <w:tblCellMar>
            <w:top w:w="0" w:type="dxa"/>
            <w:left w:w="10" w:type="dxa"/>
            <w:bottom w:w="0" w:type="dxa"/>
            <w:right w:w="10" w:type="dxa"/>
          </w:tblCellMar>
        </w:tblPrEx>
        <w:trPr>
          <w:gridAfter w:val="1"/>
          <w:wAfter w:w="1" w:type="dxa"/>
          <w:trHeight w:val="437" w:hRule="exact"/>
        </w:trPr>
        <w:tc>
          <w:tcPr>
            <w:tcW w:w="2885" w:type="dxa"/>
            <w:tcBorders>
              <w:top w:val="single" w:color="auto" w:sz="4" w:space="0"/>
              <w:left w:val="single" w:color="auto" w:sz="4" w:space="0"/>
            </w:tcBorders>
            <w:shd w:val="clear" w:color="auto" w:fill="FFFFFF"/>
          </w:tcPr>
          <w:p>
            <w:pPr>
              <w:jc w:val="left"/>
              <w:rPr>
                <w:sz w:val="10"/>
                <w:szCs w:val="10"/>
              </w:rPr>
            </w:pPr>
          </w:p>
        </w:tc>
        <w:tc>
          <w:tcPr>
            <w:tcW w:w="955" w:type="dxa"/>
            <w:tcBorders>
              <w:top w:val="single" w:color="auto" w:sz="4" w:space="0"/>
            </w:tcBorders>
            <w:shd w:val="clear" w:color="auto" w:fill="FFFFFF"/>
            <w:vAlign w:val="center"/>
          </w:tcPr>
          <w:p>
            <w:pPr>
              <w:pStyle w:val="24"/>
              <w:spacing w:line="240" w:lineRule="auto"/>
              <w:ind w:firstLine="0"/>
              <w:jc w:val="left"/>
              <w:rPr>
                <w:sz w:val="17"/>
                <w:szCs w:val="17"/>
              </w:rPr>
            </w:pPr>
            <w:r>
              <w:rPr>
                <w:sz w:val="17"/>
                <w:szCs w:val="17"/>
              </w:rPr>
              <w:t>收</w:t>
            </w:r>
          </w:p>
        </w:tc>
        <w:tc>
          <w:tcPr>
            <w:tcW w:w="3830" w:type="dxa"/>
            <w:tcBorders>
              <w:top w:val="single" w:color="auto" w:sz="4" w:space="0"/>
            </w:tcBorders>
            <w:shd w:val="clear" w:color="auto" w:fill="FFFFFF"/>
            <w:vAlign w:val="center"/>
          </w:tcPr>
          <w:p>
            <w:pPr>
              <w:pStyle w:val="24"/>
              <w:spacing w:line="240" w:lineRule="auto"/>
              <w:ind w:firstLine="340"/>
              <w:jc w:val="left"/>
              <w:rPr>
                <w:sz w:val="17"/>
                <w:szCs w:val="17"/>
              </w:rPr>
            </w:pPr>
            <w:r>
              <w:rPr>
                <w:sz w:val="17"/>
                <w:szCs w:val="17"/>
              </w:rPr>
              <w:t>入</w:t>
            </w:r>
          </w:p>
        </w:tc>
        <w:tc>
          <w:tcPr>
            <w:tcW w:w="3826" w:type="dxa"/>
            <w:tcBorders>
              <w:top w:val="single" w:color="auto" w:sz="4" w:space="0"/>
              <w:left w:val="single" w:color="auto" w:sz="4" w:space="0"/>
            </w:tcBorders>
            <w:shd w:val="clear" w:color="auto" w:fill="FFFFFF"/>
            <w:vAlign w:val="center"/>
          </w:tcPr>
          <w:p>
            <w:pPr>
              <w:pStyle w:val="24"/>
              <w:spacing w:line="240" w:lineRule="auto"/>
              <w:ind w:right="340" w:firstLine="2720" w:firstLineChars="1600"/>
              <w:jc w:val="left"/>
              <w:rPr>
                <w:sz w:val="17"/>
                <w:szCs w:val="17"/>
              </w:rPr>
            </w:pPr>
            <w:r>
              <w:rPr>
                <w:sz w:val="17"/>
                <w:szCs w:val="17"/>
              </w:rPr>
              <w:t>支</w:t>
            </w:r>
          </w:p>
        </w:tc>
        <w:tc>
          <w:tcPr>
            <w:tcW w:w="3845" w:type="dxa"/>
            <w:tcBorders>
              <w:top w:val="single" w:color="auto" w:sz="4" w:space="0"/>
              <w:right w:val="single" w:color="auto" w:sz="4" w:space="0"/>
            </w:tcBorders>
            <w:shd w:val="clear" w:color="auto" w:fill="FFFFFF"/>
            <w:vAlign w:val="center"/>
          </w:tcPr>
          <w:p>
            <w:pPr>
              <w:pStyle w:val="24"/>
              <w:spacing w:line="240" w:lineRule="auto"/>
              <w:ind w:firstLine="935" w:firstLineChars="550"/>
              <w:jc w:val="left"/>
              <w:rPr>
                <w:sz w:val="17"/>
                <w:szCs w:val="17"/>
              </w:rPr>
            </w:pPr>
            <w:r>
              <w:rPr>
                <w:sz w:val="17"/>
                <w:szCs w:val="17"/>
              </w:rPr>
              <w:t>出</w:t>
            </w:r>
          </w:p>
        </w:tc>
      </w:tr>
      <w:tr>
        <w:tblPrEx>
          <w:tblCellMar>
            <w:top w:w="0" w:type="dxa"/>
            <w:left w:w="10" w:type="dxa"/>
            <w:bottom w:w="0" w:type="dxa"/>
            <w:right w:w="10" w:type="dxa"/>
          </w:tblCellMar>
        </w:tblPrEx>
        <w:trPr>
          <w:gridAfter w:val="1"/>
          <w:wAfter w:w="1" w:type="dxa"/>
          <w:trHeight w:val="451" w:hRule="exact"/>
        </w:trPr>
        <w:tc>
          <w:tcPr>
            <w:tcW w:w="3840"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sz w:val="17"/>
                <w:szCs w:val="17"/>
              </w:rPr>
            </w:pPr>
            <w:r>
              <w:rPr>
                <w:sz w:val="17"/>
                <w:szCs w:val="17"/>
              </w:rPr>
              <w:t>项目</w:t>
            </w:r>
          </w:p>
        </w:tc>
        <w:tc>
          <w:tcPr>
            <w:tcW w:w="3830" w:type="dxa"/>
            <w:tcBorders>
              <w:top w:val="single" w:color="auto" w:sz="4" w:space="0"/>
              <w:left w:val="single" w:color="auto" w:sz="4" w:space="0"/>
            </w:tcBorders>
            <w:shd w:val="clear" w:color="auto" w:fill="FFFFFF"/>
            <w:vAlign w:val="center"/>
          </w:tcPr>
          <w:p>
            <w:pPr>
              <w:pStyle w:val="24"/>
              <w:spacing w:line="240" w:lineRule="auto"/>
              <w:ind w:firstLine="0"/>
              <w:jc w:val="center"/>
              <w:rPr>
                <w:sz w:val="17"/>
                <w:szCs w:val="17"/>
              </w:rPr>
            </w:pPr>
            <w:r>
              <w:rPr>
                <w:sz w:val="17"/>
                <w:szCs w:val="17"/>
              </w:rPr>
              <w:t>预算数</w:t>
            </w:r>
          </w:p>
        </w:tc>
        <w:tc>
          <w:tcPr>
            <w:tcW w:w="3826" w:type="dxa"/>
            <w:tcBorders>
              <w:top w:val="single" w:color="auto" w:sz="4" w:space="0"/>
              <w:left w:val="single" w:color="auto" w:sz="4" w:space="0"/>
            </w:tcBorders>
            <w:shd w:val="clear" w:color="auto" w:fill="FFFFFF"/>
            <w:vAlign w:val="center"/>
          </w:tcPr>
          <w:p>
            <w:pPr>
              <w:pStyle w:val="24"/>
              <w:tabs>
                <w:tab w:val="left" w:pos="1034"/>
              </w:tabs>
              <w:spacing w:line="240" w:lineRule="auto"/>
              <w:ind w:firstLine="540"/>
              <w:jc w:val="center"/>
              <w:rPr>
                <w:sz w:val="17"/>
                <w:szCs w:val="17"/>
              </w:rPr>
            </w:pPr>
            <w:r>
              <w:rPr>
                <w:sz w:val="17"/>
                <w:szCs w:val="17"/>
              </w:rPr>
              <w:t>项</w:t>
            </w:r>
            <w:r>
              <w:rPr>
                <w:sz w:val="17"/>
                <w:szCs w:val="17"/>
              </w:rPr>
              <w:tab/>
            </w:r>
            <w:r>
              <w:rPr>
                <w:sz w:val="17"/>
                <w:szCs w:val="17"/>
              </w:rPr>
              <w:t>目（按支出功能科目分类）</w:t>
            </w:r>
          </w:p>
        </w:tc>
        <w:tc>
          <w:tcPr>
            <w:tcW w:w="384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sz w:val="17"/>
                <w:szCs w:val="17"/>
              </w:rPr>
            </w:pPr>
            <w:r>
              <w:rPr>
                <w:sz w:val="17"/>
                <w:szCs w:val="17"/>
              </w:rPr>
              <w:t>预算数</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一、一般公共预算拨款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24.51</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一、一般公共服务支出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0.24</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二、外交支出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24.51</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三、国防支出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二、政府性基金预算拨款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四、公共安全支出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五、教育支出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六、科学技术支出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三、国有资本经营预算拨款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七、文化旅游体育与传媒支出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八、社会保障和就业支出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2.86</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九、卫生健康支出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十、节能环保支出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十一、城乡社区支出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十二、农林水支出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18.92</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十三、交通运输支出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十四、资源勘探工业信息等支出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十五、商业服务业等支出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十六、金融支出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十七、援助其他地区支出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十八、自然资源海洋气象等支出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十九、住房保障支出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2.49</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二十、粮油物资储备支出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二十一、国有资本经营预算支出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二十二、灾害防治及应急管理支出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二十三、其他支出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二十四、债务还本支出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二十五、债务付息支出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二十六、债务发行费用支出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本年收入合计</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24.51</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本年支出合计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24.51</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上年结转结余</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结转下年支出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收入总计</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24.51</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支出总计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24.51</w:t>
            </w:r>
          </w:p>
        </w:tc>
      </w:tr>
      <w:tr>
        <w:tblPrEx>
          <w:tblCellMar>
            <w:top w:w="0" w:type="dxa"/>
            <w:left w:w="10" w:type="dxa"/>
            <w:bottom w:w="0" w:type="dxa"/>
            <w:right w:w="10" w:type="dxa"/>
          </w:tblCellMar>
        </w:tblPrEx>
        <w:trPr>
          <w:trHeight w:val="352" w:hRule="exact"/>
        </w:trPr>
        <w:tc>
          <w:tcPr>
            <w:tcW w:w="15342" w:type="dxa"/>
            <w:gridSpan w:val="6"/>
            <w:tcBorders>
              <w:top w:val="single" w:color="auto" w:sz="4" w:space="0"/>
            </w:tcBorders>
            <w:shd w:val="clear" w:color="auto" w:fill="FFFFFF"/>
          </w:tcPr>
          <w:p>
            <w:pPr>
              <w:jc w:val="left"/>
              <w:rPr>
                <w:sz w:val="10"/>
                <w:szCs w:val="10"/>
                <w:lang w:eastAsia="zh-CN"/>
              </w:rPr>
            </w:pPr>
            <w:r>
              <w:rPr>
                <w:sz w:val="17"/>
                <w:szCs w:val="17"/>
              </w:rPr>
              <w:t>注：表中功能分类科目，根据各部门实际预算编制情况编列。</w:t>
            </w:r>
          </w:p>
        </w:tc>
      </w:tr>
      <w:tr>
        <w:tblPrEx>
          <w:tblCellMar>
            <w:top w:w="0" w:type="dxa"/>
            <w:left w:w="10" w:type="dxa"/>
            <w:bottom w:w="0" w:type="dxa"/>
            <w:right w:w="10" w:type="dxa"/>
          </w:tblCellMar>
        </w:tblPrEx>
        <w:trPr>
          <w:trHeight w:val="274" w:hRule="exact"/>
        </w:trPr>
        <w:tc>
          <w:tcPr>
            <w:tcW w:w="15342" w:type="dxa"/>
            <w:gridSpan w:val="6"/>
            <w:shd w:val="clear" w:color="auto" w:fill="FFFFFF"/>
            <w:vAlign w:val="bottom"/>
          </w:tcPr>
          <w:p>
            <w:pPr>
              <w:jc w:val="left"/>
              <w:rPr>
                <w:sz w:val="10"/>
                <w:szCs w:val="10"/>
                <w:lang w:eastAsia="zh-CN"/>
              </w:rPr>
            </w:pPr>
            <w:r>
              <w:rPr>
                <w:sz w:val="17"/>
                <w:szCs w:val="17"/>
              </w:rPr>
              <w:t>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一般公共预算支出情况表</w:t>
      </w:r>
    </w:p>
    <w:p>
      <w:pPr>
        <w:jc w:val="center"/>
        <w:rPr>
          <w:rFonts w:hint="eastAsia"/>
          <w:lang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1653"/>
        <w:gridCol w:w="1635"/>
        <w:gridCol w:w="1716"/>
        <w:gridCol w:w="1965"/>
        <w:gridCol w:w="1729"/>
        <w:gridCol w:w="1714"/>
        <w:gridCol w:w="72"/>
        <w:gridCol w:w="1689"/>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6" w:type="dxa"/>
            <w:gridSpan w:val="7"/>
            <w:tcBorders>
              <w:top w:val="nil"/>
              <w:left w:val="nil"/>
              <w:right w:val="nil"/>
            </w:tcBorders>
          </w:tcPr>
          <w:p>
            <w:pPr>
              <w:jc w:val="left"/>
              <w:rPr>
                <w:rFonts w:hint="eastAsia"/>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环江毛南族自治县大才乡水利站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hint="eastAsia" w:ascii="宋体" w:hAnsi="宋体" w:eastAsia="宋体" w:cs="宋体"/>
                <w:sz w:val="16"/>
                <w:szCs w:val="16"/>
                <w:vertAlign w:val="baseline"/>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restart"/>
          </w:tcPr>
          <w:p>
            <w:pPr>
              <w:jc w:val="center"/>
              <w:rPr>
                <w:rFonts w:hint="eastAsia"/>
                <w:vertAlign w:val="baseline"/>
                <w:lang w:eastAsia="zh-CN"/>
              </w:rPr>
            </w:pPr>
            <w:r>
              <w:rPr>
                <w:sz w:val="17"/>
                <w:szCs w:val="17"/>
              </w:rPr>
              <w:t>科目编码</w:t>
            </w:r>
          </w:p>
        </w:tc>
        <w:tc>
          <w:tcPr>
            <w:tcW w:w="1676" w:type="dxa"/>
            <w:vMerge w:val="restart"/>
          </w:tcPr>
          <w:p>
            <w:pPr>
              <w:jc w:val="center"/>
              <w:rPr>
                <w:rFonts w:hint="eastAsia"/>
                <w:vertAlign w:val="baseline"/>
                <w:lang w:eastAsia="zh-CN"/>
              </w:rPr>
            </w:pPr>
            <w:r>
              <w:rPr>
                <w:sz w:val="17"/>
                <w:szCs w:val="17"/>
              </w:rPr>
              <w:t>部门（单位）代码</w:t>
            </w:r>
          </w:p>
        </w:tc>
        <w:tc>
          <w:tcPr>
            <w:tcW w:w="1662" w:type="dxa"/>
            <w:vMerge w:val="restart"/>
          </w:tcPr>
          <w:p>
            <w:pPr>
              <w:pStyle w:val="24"/>
              <w:spacing w:after="120" w:line="240" w:lineRule="auto"/>
              <w:ind w:firstLine="0"/>
              <w:jc w:val="center"/>
              <w:rPr>
                <w:sz w:val="17"/>
                <w:szCs w:val="17"/>
              </w:rPr>
            </w:pPr>
            <w:r>
              <w:rPr>
                <w:sz w:val="17"/>
                <w:szCs w:val="17"/>
              </w:rPr>
              <w:t>部门（单位）名称</w:t>
            </w:r>
          </w:p>
          <w:p>
            <w:pPr>
              <w:jc w:val="center"/>
              <w:rPr>
                <w:rFonts w:hint="eastAsia"/>
                <w:vertAlign w:val="baseline"/>
                <w:lang w:eastAsia="zh-CN"/>
              </w:rPr>
            </w:pPr>
            <w:r>
              <w:rPr>
                <w:sz w:val="17"/>
                <w:szCs w:val="17"/>
              </w:rPr>
              <w:t>（功能分类科目名称）</w:t>
            </w:r>
          </w:p>
        </w:tc>
        <w:tc>
          <w:tcPr>
            <w:tcW w:w="1717" w:type="dxa"/>
            <w:vMerge w:val="restart"/>
          </w:tcPr>
          <w:p>
            <w:pPr>
              <w:jc w:val="center"/>
              <w:rPr>
                <w:rFonts w:hint="eastAsia"/>
                <w:vertAlign w:val="baseline"/>
                <w:lang w:eastAsia="zh-CN"/>
              </w:rPr>
            </w:pPr>
            <w:r>
              <w:rPr>
                <w:sz w:val="17"/>
                <w:szCs w:val="17"/>
              </w:rPr>
              <w:t>合计</w:t>
            </w:r>
          </w:p>
        </w:tc>
        <w:tc>
          <w:tcPr>
            <w:tcW w:w="5398" w:type="dxa"/>
            <w:gridSpan w:val="4"/>
          </w:tcPr>
          <w:p>
            <w:pPr>
              <w:jc w:val="center"/>
              <w:rPr>
                <w:rFonts w:hint="eastAsia"/>
                <w:vertAlign w:val="baseline"/>
                <w:lang w:eastAsia="zh-CN"/>
              </w:rPr>
            </w:pPr>
            <w:r>
              <w:rPr>
                <w:sz w:val="17"/>
                <w:szCs w:val="17"/>
              </w:rPr>
              <w:t>基本支出</w:t>
            </w:r>
          </w:p>
        </w:tc>
        <w:tc>
          <w:tcPr>
            <w:tcW w:w="1694" w:type="dxa"/>
            <w:vMerge w:val="restart"/>
          </w:tcPr>
          <w:p>
            <w:pPr>
              <w:jc w:val="center"/>
              <w:rPr>
                <w:rFonts w:hint="eastAsia"/>
                <w:vertAlign w:val="baseline"/>
                <w:lang w:eastAsia="zh-CN"/>
              </w:rPr>
            </w:pPr>
            <w:r>
              <w:rPr>
                <w:sz w:val="17"/>
                <w:szCs w:val="17"/>
              </w:rPr>
              <w:t>项目支出</w:t>
            </w:r>
          </w:p>
        </w:tc>
        <w:tc>
          <w:tcPr>
            <w:tcW w:w="1695" w:type="dxa"/>
            <w:vMerge w:val="restart"/>
          </w:tcPr>
          <w:p>
            <w:pPr>
              <w:jc w:val="center"/>
              <w:rPr>
                <w:rFonts w:hint="eastAsia"/>
                <w:vertAlign w:val="baseline"/>
                <w:lang w:eastAsia="zh-CN"/>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continue"/>
          </w:tcPr>
          <w:p>
            <w:pPr>
              <w:jc w:val="center"/>
              <w:rPr>
                <w:rFonts w:hint="eastAsia"/>
                <w:vertAlign w:val="baseline"/>
                <w:lang w:eastAsia="zh-CN"/>
              </w:rPr>
            </w:pPr>
          </w:p>
        </w:tc>
        <w:tc>
          <w:tcPr>
            <w:tcW w:w="1676" w:type="dxa"/>
            <w:vMerge w:val="continue"/>
          </w:tcPr>
          <w:p>
            <w:pPr>
              <w:jc w:val="center"/>
              <w:rPr>
                <w:rFonts w:hint="eastAsia"/>
                <w:vertAlign w:val="baseline"/>
                <w:lang w:eastAsia="zh-CN"/>
              </w:rPr>
            </w:pPr>
          </w:p>
        </w:tc>
        <w:tc>
          <w:tcPr>
            <w:tcW w:w="1662" w:type="dxa"/>
            <w:vMerge w:val="continue"/>
          </w:tcPr>
          <w:p>
            <w:pPr>
              <w:jc w:val="center"/>
              <w:rPr>
                <w:rFonts w:hint="eastAsia"/>
                <w:vertAlign w:val="baseline"/>
                <w:lang w:eastAsia="zh-CN"/>
              </w:rPr>
            </w:pPr>
          </w:p>
        </w:tc>
        <w:tc>
          <w:tcPr>
            <w:tcW w:w="1717" w:type="dxa"/>
            <w:vMerge w:val="continue"/>
          </w:tcPr>
          <w:p>
            <w:pPr>
              <w:jc w:val="center"/>
              <w:rPr>
                <w:rFonts w:hint="eastAsia"/>
                <w:vertAlign w:val="baseline"/>
                <w:lang w:eastAsia="zh-CN"/>
              </w:rPr>
            </w:pPr>
          </w:p>
        </w:tc>
        <w:tc>
          <w:tcPr>
            <w:tcW w:w="1879" w:type="dxa"/>
            <w:vAlign w:val="center"/>
          </w:tcPr>
          <w:p>
            <w:pPr>
              <w:pStyle w:val="24"/>
              <w:spacing w:line="240" w:lineRule="auto"/>
              <w:ind w:firstLine="0" w:firstLineChars="0"/>
              <w:jc w:val="center"/>
              <w:rPr>
                <w:rFonts w:hint="eastAsia"/>
                <w:vertAlign w:val="baseline"/>
                <w:lang w:eastAsia="zh-CN"/>
              </w:rPr>
            </w:pPr>
            <w:r>
              <w:rPr>
                <w:sz w:val="17"/>
                <w:szCs w:val="17"/>
              </w:rPr>
              <w:t>小计</w:t>
            </w:r>
          </w:p>
        </w:tc>
        <w:tc>
          <w:tcPr>
            <w:tcW w:w="1729" w:type="dxa"/>
            <w:vAlign w:val="center"/>
          </w:tcPr>
          <w:p>
            <w:pPr>
              <w:pStyle w:val="24"/>
              <w:spacing w:line="240" w:lineRule="auto"/>
              <w:ind w:firstLine="0" w:firstLineChars="0"/>
              <w:jc w:val="center"/>
              <w:rPr>
                <w:rFonts w:hint="eastAsia"/>
                <w:vertAlign w:val="baseline"/>
                <w:lang w:eastAsia="zh-CN"/>
              </w:rPr>
            </w:pPr>
            <w:r>
              <w:rPr>
                <w:sz w:val="17"/>
                <w:szCs w:val="17"/>
              </w:rPr>
              <w:t>人员经费</w:t>
            </w:r>
          </w:p>
        </w:tc>
        <w:tc>
          <w:tcPr>
            <w:tcW w:w="1790" w:type="dxa"/>
            <w:gridSpan w:val="2"/>
            <w:vAlign w:val="center"/>
          </w:tcPr>
          <w:p>
            <w:pPr>
              <w:pStyle w:val="24"/>
              <w:spacing w:line="240" w:lineRule="auto"/>
              <w:ind w:firstLine="440" w:firstLineChars="0"/>
              <w:jc w:val="center"/>
              <w:rPr>
                <w:rFonts w:hint="eastAsia"/>
                <w:vertAlign w:val="baseline"/>
                <w:lang w:eastAsia="zh-CN"/>
              </w:rPr>
            </w:pPr>
            <w:r>
              <w:rPr>
                <w:sz w:val="17"/>
                <w:szCs w:val="17"/>
              </w:rPr>
              <w:t>公用经费</w:t>
            </w:r>
          </w:p>
        </w:tc>
        <w:tc>
          <w:tcPr>
            <w:tcW w:w="1694" w:type="dxa"/>
            <w:vMerge w:val="continue"/>
          </w:tcPr>
          <w:p>
            <w:pPr>
              <w:jc w:val="center"/>
              <w:rPr>
                <w:rFonts w:hint="eastAsia"/>
                <w:vertAlign w:val="baseline"/>
                <w:lang w:eastAsia="zh-CN"/>
              </w:rPr>
            </w:pPr>
          </w:p>
        </w:tc>
        <w:tc>
          <w:tcPr>
            <w:tcW w:w="1695" w:type="dxa"/>
            <w:vMerge w:val="continue"/>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1</w:t>
            </w:r>
          </w:p>
        </w:tc>
        <w:tc>
          <w:tcPr>
            <w:tcW w:w="1879"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2</w:t>
            </w:r>
          </w:p>
        </w:tc>
        <w:tc>
          <w:tcPr>
            <w:tcW w:w="1729"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3</w:t>
            </w:r>
          </w:p>
        </w:tc>
        <w:tc>
          <w:tcPr>
            <w:tcW w:w="1790" w:type="dxa"/>
            <w:gridSpan w:val="2"/>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4</w:t>
            </w:r>
          </w:p>
        </w:tc>
        <w:tc>
          <w:tcPr>
            <w:tcW w:w="1694" w:type="dxa"/>
            <w:vAlign w:val="center"/>
          </w:tcPr>
          <w:p>
            <w:pPr>
              <w:pStyle w:val="24"/>
              <w:spacing w:line="240" w:lineRule="auto"/>
              <w:ind w:firstLine="660" w:firstLineChars="0"/>
              <w:jc w:val="center"/>
              <w:rPr>
                <w:rFonts w:hint="eastAsia"/>
                <w:vertAlign w:val="baseline"/>
                <w:lang w:eastAsia="zh-CN"/>
              </w:rPr>
            </w:pPr>
            <w:r>
              <w:rPr>
                <w:rFonts w:ascii="Times New Roman" w:hAnsi="Times New Roman" w:eastAsia="Times New Roman" w:cs="Times New Roman"/>
                <w:b/>
                <w:bCs/>
                <w:sz w:val="17"/>
                <w:szCs w:val="17"/>
              </w:rPr>
              <w:t>5</w:t>
            </w:r>
          </w:p>
        </w:tc>
        <w:tc>
          <w:tcPr>
            <w:tcW w:w="1695" w:type="dxa"/>
            <w:vAlign w:val="center"/>
          </w:tcPr>
          <w:p>
            <w:pPr>
              <w:pStyle w:val="24"/>
              <w:spacing w:line="240" w:lineRule="auto"/>
              <w:ind w:right="700" w:rightChars="0" w:firstLine="0" w:firstLineChars="0"/>
              <w:jc w:val="center"/>
              <w:rPr>
                <w:rFonts w:hint="eastAsia"/>
                <w:vertAlign w:val="baseline"/>
                <w:lang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p>
        </w:tc>
        <w:tc>
          <w:tcPr>
            <w:tcW w:w="1676"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702008</w:t>
            </w:r>
          </w:p>
        </w:tc>
        <w:tc>
          <w:tcPr>
            <w:tcW w:w="1662" w:type="dxa"/>
            <w:vAlign w:val="center"/>
          </w:tcPr>
          <w:p>
            <w:pPr>
              <w:pStyle w:val="24"/>
              <w:spacing w:line="240" w:lineRule="auto"/>
              <w:ind w:firstLine="0" w:firstLineChars="0"/>
              <w:jc w:val="center"/>
              <w:rPr>
                <w:rFonts w:hint="eastAsia"/>
                <w:vertAlign w:val="baseline"/>
                <w:lang w:eastAsia="zh-CN"/>
              </w:rPr>
            </w:pP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24.51</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24.52</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23.80</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0.72</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2012999</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其他群众团体事务支出</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0.24</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0.24</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0.24</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2080505</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机关事业单位基本养老保险缴费支出</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2.86</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2.86</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2.86</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2130304</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水利行业业务管理</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18.92</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18.92</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18.44</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0.48</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2210201</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住房公积金</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2.49</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2.49</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2.49</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0"/>
            <w:tcBorders>
              <w:left w:val="nil"/>
              <w:bottom w:val="nil"/>
              <w:right w:val="nil"/>
            </w:tcBorders>
          </w:tcPr>
          <w:p>
            <w:pPr>
              <w:jc w:val="left"/>
              <w:rPr>
                <w:rFonts w:hint="eastAsia"/>
                <w:vertAlign w:val="baseline"/>
                <w:lang w:eastAsia="zh-CN"/>
              </w:rPr>
            </w:pPr>
            <w:r>
              <w:rPr>
                <w:sz w:val="16"/>
                <w:szCs w:val="16"/>
              </w:rPr>
              <w:t>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22"/>
        <w:keepNext/>
        <w:keepLines/>
        <w:spacing w:after="240"/>
        <w:jc w:val="center"/>
      </w:pPr>
      <w:bookmarkStart w:id="25" w:name="bookmark57"/>
      <w:bookmarkStart w:id="26" w:name="bookmark58"/>
      <w:bookmarkStart w:id="27" w:name="bookmark56"/>
      <w:r>
        <w:t>一般公共预算基本支出情况表</w:t>
      </w:r>
      <w:bookmarkEnd w:id="25"/>
      <w:bookmarkEnd w:id="26"/>
      <w:bookmarkEnd w:id="27"/>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0"/>
        <w:gridCol w:w="3111"/>
        <w:gridCol w:w="3111"/>
        <w:gridCol w:w="3112"/>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4" w:type="dxa"/>
            <w:gridSpan w:val="4"/>
            <w:tcBorders>
              <w:top w:val="nil"/>
              <w:left w:val="nil"/>
              <w:right w:val="nil"/>
            </w:tcBorders>
          </w:tcPr>
          <w:p>
            <w:pPr>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环江毛南族自治县大才乡水利站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221" w:type="dxa"/>
            <w:gridSpan w:val="2"/>
          </w:tcPr>
          <w:p>
            <w:pPr>
              <w:jc w:val="left"/>
              <w:rPr>
                <w:vertAlign w:val="baseline"/>
                <w:lang w:eastAsia="zh-CN"/>
              </w:rPr>
            </w:pPr>
            <w:r>
              <w:rPr>
                <w:sz w:val="17"/>
                <w:szCs w:val="17"/>
              </w:rPr>
              <w:t>部门预算支出经济分类科目</w:t>
            </w:r>
          </w:p>
        </w:tc>
        <w:tc>
          <w:tcPr>
            <w:tcW w:w="9336" w:type="dxa"/>
            <w:gridSpan w:val="3"/>
          </w:tcPr>
          <w:p>
            <w:pPr>
              <w:jc w:val="left"/>
              <w:rPr>
                <w:vertAlign w:val="baseline"/>
                <w:lang w:eastAsia="zh-CN"/>
              </w:rPr>
            </w:pPr>
            <w:r>
              <w:rPr>
                <w:sz w:val="17"/>
                <w:szCs w:val="17"/>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110" w:type="dxa"/>
            <w:vAlign w:val="center"/>
          </w:tcPr>
          <w:p>
            <w:pPr>
              <w:pStyle w:val="24"/>
              <w:spacing w:line="240" w:lineRule="auto"/>
              <w:ind w:firstLine="0" w:firstLineChars="0"/>
              <w:jc w:val="center"/>
              <w:rPr>
                <w:vertAlign w:val="baseline"/>
                <w:lang w:eastAsia="zh-CN"/>
              </w:rPr>
            </w:pPr>
            <w:r>
              <w:rPr>
                <w:sz w:val="17"/>
                <w:szCs w:val="17"/>
              </w:rPr>
              <w:t>科目编码</w:t>
            </w:r>
          </w:p>
        </w:tc>
        <w:tc>
          <w:tcPr>
            <w:tcW w:w="3111" w:type="dxa"/>
            <w:vAlign w:val="center"/>
          </w:tcPr>
          <w:p>
            <w:pPr>
              <w:pStyle w:val="24"/>
              <w:spacing w:line="240" w:lineRule="auto"/>
              <w:ind w:firstLine="0" w:firstLineChars="0"/>
              <w:jc w:val="center"/>
              <w:rPr>
                <w:vertAlign w:val="baseline"/>
                <w:lang w:eastAsia="zh-CN"/>
              </w:rPr>
            </w:pPr>
            <w:r>
              <w:rPr>
                <w:sz w:val="17"/>
                <w:szCs w:val="17"/>
              </w:rPr>
              <w:t>科目名称</w:t>
            </w:r>
          </w:p>
        </w:tc>
        <w:tc>
          <w:tcPr>
            <w:tcW w:w="3111" w:type="dxa"/>
            <w:vAlign w:val="center"/>
          </w:tcPr>
          <w:p>
            <w:pPr>
              <w:pStyle w:val="24"/>
              <w:spacing w:line="240" w:lineRule="auto"/>
              <w:ind w:firstLine="0" w:firstLineChars="0"/>
              <w:jc w:val="center"/>
              <w:rPr>
                <w:vertAlign w:val="baseline"/>
                <w:lang w:eastAsia="zh-CN"/>
              </w:rPr>
            </w:pPr>
            <w:r>
              <w:rPr>
                <w:sz w:val="17"/>
                <w:szCs w:val="17"/>
              </w:rPr>
              <w:t>合计</w:t>
            </w:r>
          </w:p>
        </w:tc>
        <w:tc>
          <w:tcPr>
            <w:tcW w:w="3112" w:type="dxa"/>
            <w:vAlign w:val="center"/>
          </w:tcPr>
          <w:p>
            <w:pPr>
              <w:pStyle w:val="24"/>
              <w:spacing w:line="240" w:lineRule="auto"/>
              <w:ind w:firstLine="0" w:firstLineChars="0"/>
              <w:jc w:val="center"/>
              <w:rPr>
                <w:vertAlign w:val="baseline"/>
                <w:lang w:eastAsia="zh-CN"/>
              </w:rPr>
            </w:pPr>
            <w:r>
              <w:rPr>
                <w:sz w:val="17"/>
                <w:szCs w:val="17"/>
              </w:rPr>
              <w:t>人员经费</w:t>
            </w:r>
          </w:p>
        </w:tc>
        <w:tc>
          <w:tcPr>
            <w:tcW w:w="3113" w:type="dxa"/>
            <w:vAlign w:val="center"/>
          </w:tcPr>
          <w:p>
            <w:pPr>
              <w:pStyle w:val="24"/>
              <w:spacing w:line="240" w:lineRule="auto"/>
              <w:ind w:firstLine="0" w:firstLineChars="0"/>
              <w:jc w:val="center"/>
              <w:rPr>
                <w:vertAlign w:val="baseline"/>
                <w:lang w:eastAsia="zh-CN"/>
              </w:rPr>
            </w:pPr>
            <w:r>
              <w:rPr>
                <w:sz w:val="17"/>
                <w:szCs w:val="17"/>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 xml:space="preserve"> </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合计</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24.52</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23.80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工资福利支出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23.80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23.80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基本工资</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7.62</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7.62</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津贴补贴</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1.78</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1.78</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30103</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奖金</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4.28</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4.28</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30107</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绩效工资</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3.48</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3.48</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30108</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机关事业单位基本养老保险缴费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2.86</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2.86</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30110</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职工基本医疗保险缴费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1.15</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1.15</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其他社会保障缴费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0.13</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0.13</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30113</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住房公积金</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2.49</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2.49</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商品和服务支出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0.72</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30228</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工会经费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0.24</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30299</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其他商品和服务支出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0.48</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22"/>
        <w:keepNext/>
        <w:keepLines/>
        <w:spacing w:after="240"/>
        <w:jc w:val="center"/>
        <w:rPr>
          <w:rFonts w:hint="default"/>
          <w:sz w:val="28"/>
          <w:szCs w:val="28"/>
          <w:lang w:val="en-US" w:eastAsia="zh-CN"/>
        </w:rPr>
      </w:pPr>
      <w:bookmarkStart w:id="28" w:name="bookmark67"/>
      <w:bookmarkStart w:id="29" w:name="bookmark65"/>
      <w:bookmarkStart w:id="30" w:name="bookmark66"/>
      <w:r>
        <w:rPr>
          <w:rFonts w:hint="default"/>
          <w:sz w:val="28"/>
          <w:szCs w:val="28"/>
          <w:lang w:val="en-US" w:eastAsia="zh-CN"/>
        </w:rPr>
        <w:t>一般公共预算“三公”经费预算表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6"/>
        <w:gridCol w:w="1918"/>
        <w:gridCol w:w="1884"/>
        <w:gridCol w:w="1895"/>
        <w:gridCol w:w="1888"/>
        <w:gridCol w:w="1890"/>
        <w:gridCol w:w="1895"/>
        <w:gridCol w:w="2"/>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6" w:type="dxa"/>
            <w:gridSpan w:val="7"/>
            <w:tcBorders>
              <w:top w:val="nil"/>
              <w:left w:val="nil"/>
              <w:right w:val="nil"/>
            </w:tcBorders>
          </w:tcPr>
          <w:p>
            <w:pPr>
              <w:pStyle w:val="26"/>
              <w:bidi w:val="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环江毛南族自治县大才乡水利站                                           </w:t>
            </w:r>
            <w:r>
              <w:rPr>
                <w:rFonts w:hint="eastAsia"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1891" w:type="dxa"/>
            <w:gridSpan w:val="2"/>
            <w:tcBorders>
              <w:top w:val="nil"/>
              <w:left w:val="nil"/>
              <w:right w:val="nil"/>
            </w:tcBorders>
          </w:tcPr>
          <w:p>
            <w:pPr>
              <w:pStyle w:val="26"/>
              <w:bidi w:val="0"/>
              <w:ind w:firstLine="480" w:firstLineChars="30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restart"/>
          </w:tcPr>
          <w:p>
            <w:pPr>
              <w:pStyle w:val="26"/>
              <w:bidi w:val="0"/>
              <w:jc w:val="center"/>
              <w:rPr>
                <w:rFonts w:hint="eastAsia"/>
                <w:vertAlign w:val="baseline"/>
                <w:lang w:val="en-US" w:eastAsia="zh-CN"/>
              </w:rPr>
            </w:pPr>
            <w:r>
              <w:rPr>
                <w:sz w:val="17"/>
                <w:szCs w:val="17"/>
              </w:rPr>
              <w:t>门（单位）代码</w:t>
            </w:r>
          </w:p>
        </w:tc>
        <w:tc>
          <w:tcPr>
            <w:tcW w:w="1918" w:type="dxa"/>
            <w:vMerge w:val="restart"/>
          </w:tcPr>
          <w:p>
            <w:pPr>
              <w:pStyle w:val="26"/>
              <w:bidi w:val="0"/>
              <w:jc w:val="center"/>
              <w:rPr>
                <w:rFonts w:hint="eastAsia"/>
                <w:vertAlign w:val="baseline"/>
                <w:lang w:val="en-US" w:eastAsia="zh-CN"/>
              </w:rPr>
            </w:pPr>
            <w:r>
              <w:rPr>
                <w:sz w:val="17"/>
                <w:szCs w:val="17"/>
              </w:rPr>
              <w:t>部门（单位）名称</w:t>
            </w:r>
          </w:p>
        </w:tc>
        <w:tc>
          <w:tcPr>
            <w:tcW w:w="11343" w:type="dxa"/>
            <w:gridSpan w:val="7"/>
          </w:tcPr>
          <w:p>
            <w:pPr>
              <w:pStyle w:val="26"/>
              <w:bidi w:val="0"/>
              <w:jc w:val="center"/>
              <w:rPr>
                <w:rFonts w:hint="eastAsia"/>
                <w:vertAlign w:val="baseline"/>
                <w:lang w:val="en-US" w:eastAsia="zh-CN"/>
              </w:rPr>
            </w:pPr>
            <w:r>
              <w:rPr>
                <w:sz w:val="17"/>
                <w:szCs w:val="17"/>
                <w:lang w:val="zh-CN" w:eastAsia="zh-CN" w:bidi="zh-CN"/>
              </w:rPr>
              <w:t>“三</w:t>
            </w:r>
            <w:r>
              <w:rPr>
                <w:sz w:val="17"/>
                <w:szCs w:val="17"/>
              </w:rPr>
              <w:t>公”经费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26"/>
              <w:bidi w:val="0"/>
              <w:jc w:val="center"/>
              <w:rPr>
                <w:rFonts w:hint="eastAsia"/>
                <w:vertAlign w:val="baseline"/>
                <w:lang w:val="en-US" w:eastAsia="zh-CN"/>
              </w:rPr>
            </w:pPr>
          </w:p>
        </w:tc>
        <w:tc>
          <w:tcPr>
            <w:tcW w:w="1918" w:type="dxa"/>
            <w:vMerge w:val="continue"/>
          </w:tcPr>
          <w:p>
            <w:pPr>
              <w:pStyle w:val="26"/>
              <w:bidi w:val="0"/>
              <w:jc w:val="center"/>
              <w:rPr>
                <w:rFonts w:hint="eastAsia"/>
                <w:vertAlign w:val="baseline"/>
                <w:lang w:val="en-US" w:eastAsia="zh-CN"/>
              </w:rPr>
            </w:pPr>
          </w:p>
        </w:tc>
        <w:tc>
          <w:tcPr>
            <w:tcW w:w="1884" w:type="dxa"/>
            <w:vMerge w:val="restart"/>
          </w:tcPr>
          <w:p>
            <w:pPr>
              <w:pStyle w:val="26"/>
              <w:bidi w:val="0"/>
              <w:jc w:val="center"/>
              <w:rPr>
                <w:rFonts w:hint="eastAsia"/>
                <w:vertAlign w:val="baseline"/>
                <w:lang w:val="en-US" w:eastAsia="zh-CN"/>
              </w:rPr>
            </w:pPr>
            <w:r>
              <w:rPr>
                <w:sz w:val="17"/>
                <w:szCs w:val="17"/>
              </w:rPr>
              <w:t>合计</w:t>
            </w:r>
          </w:p>
        </w:tc>
        <w:tc>
          <w:tcPr>
            <w:tcW w:w="1895" w:type="dxa"/>
            <w:vMerge w:val="restart"/>
          </w:tcPr>
          <w:p>
            <w:pPr>
              <w:pStyle w:val="26"/>
              <w:bidi w:val="0"/>
              <w:jc w:val="center"/>
              <w:rPr>
                <w:rFonts w:hint="eastAsia"/>
                <w:vertAlign w:val="baseline"/>
                <w:lang w:val="en-US" w:eastAsia="zh-CN"/>
              </w:rPr>
            </w:pPr>
            <w:r>
              <w:rPr>
                <w:sz w:val="17"/>
                <w:szCs w:val="17"/>
              </w:rPr>
              <w:t>因公出国（境）费</w:t>
            </w:r>
          </w:p>
        </w:tc>
        <w:tc>
          <w:tcPr>
            <w:tcW w:w="5675" w:type="dxa"/>
            <w:gridSpan w:val="4"/>
          </w:tcPr>
          <w:p>
            <w:pPr>
              <w:pStyle w:val="26"/>
              <w:bidi w:val="0"/>
              <w:jc w:val="center"/>
              <w:rPr>
                <w:rFonts w:hint="eastAsia"/>
                <w:vertAlign w:val="baseline"/>
                <w:lang w:val="en-US" w:eastAsia="zh-CN"/>
              </w:rPr>
            </w:pPr>
            <w:r>
              <w:rPr>
                <w:sz w:val="17"/>
                <w:szCs w:val="17"/>
              </w:rPr>
              <w:t>公务用车购置及运行维护费</w:t>
            </w:r>
          </w:p>
        </w:tc>
        <w:tc>
          <w:tcPr>
            <w:tcW w:w="1889" w:type="dxa"/>
            <w:vMerge w:val="restart"/>
          </w:tcPr>
          <w:p>
            <w:pPr>
              <w:pStyle w:val="26"/>
              <w:bidi w:val="0"/>
              <w:jc w:val="center"/>
              <w:rPr>
                <w:rFonts w:hint="eastAsia"/>
                <w:vertAlign w:val="baseline"/>
                <w:lang w:val="en-US" w:eastAsia="zh-CN"/>
              </w:rPr>
            </w:pPr>
            <w:r>
              <w:rPr>
                <w:sz w:val="17"/>
                <w:szCs w:val="17"/>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26"/>
              <w:bidi w:val="0"/>
              <w:jc w:val="center"/>
              <w:rPr>
                <w:rFonts w:hint="eastAsia"/>
                <w:vertAlign w:val="baseline"/>
                <w:lang w:val="en-US" w:eastAsia="zh-CN"/>
              </w:rPr>
            </w:pPr>
          </w:p>
        </w:tc>
        <w:tc>
          <w:tcPr>
            <w:tcW w:w="1918" w:type="dxa"/>
            <w:vMerge w:val="continue"/>
          </w:tcPr>
          <w:p>
            <w:pPr>
              <w:pStyle w:val="26"/>
              <w:bidi w:val="0"/>
              <w:jc w:val="center"/>
              <w:rPr>
                <w:rFonts w:hint="eastAsia"/>
                <w:vertAlign w:val="baseline"/>
                <w:lang w:val="en-US" w:eastAsia="zh-CN"/>
              </w:rPr>
            </w:pPr>
          </w:p>
        </w:tc>
        <w:tc>
          <w:tcPr>
            <w:tcW w:w="1884" w:type="dxa"/>
            <w:vMerge w:val="continue"/>
          </w:tcPr>
          <w:p>
            <w:pPr>
              <w:pStyle w:val="26"/>
              <w:bidi w:val="0"/>
              <w:jc w:val="center"/>
              <w:rPr>
                <w:rFonts w:hint="eastAsia"/>
                <w:vertAlign w:val="baseline"/>
                <w:lang w:val="en-US" w:eastAsia="zh-CN"/>
              </w:rPr>
            </w:pPr>
          </w:p>
        </w:tc>
        <w:tc>
          <w:tcPr>
            <w:tcW w:w="1895" w:type="dxa"/>
            <w:vMerge w:val="continue"/>
          </w:tcPr>
          <w:p>
            <w:pPr>
              <w:pStyle w:val="26"/>
              <w:bidi w:val="0"/>
              <w:jc w:val="center"/>
              <w:rPr>
                <w:rFonts w:hint="eastAsia"/>
                <w:vertAlign w:val="baseline"/>
                <w:lang w:val="en-US" w:eastAsia="zh-CN"/>
              </w:rPr>
            </w:pPr>
          </w:p>
        </w:tc>
        <w:tc>
          <w:tcPr>
            <w:tcW w:w="1888" w:type="dxa"/>
            <w:vAlign w:val="center"/>
          </w:tcPr>
          <w:p>
            <w:pPr>
              <w:pStyle w:val="24"/>
              <w:spacing w:line="240" w:lineRule="auto"/>
              <w:ind w:firstLine="0" w:firstLineChars="0"/>
              <w:jc w:val="center"/>
              <w:rPr>
                <w:rFonts w:hint="eastAsia"/>
                <w:vertAlign w:val="baseline"/>
                <w:lang w:val="en-US" w:eastAsia="zh-CN"/>
              </w:rPr>
            </w:pPr>
            <w:r>
              <w:rPr>
                <w:sz w:val="17"/>
                <w:szCs w:val="17"/>
              </w:rPr>
              <w:t>小计</w:t>
            </w:r>
          </w:p>
        </w:tc>
        <w:tc>
          <w:tcPr>
            <w:tcW w:w="1890" w:type="dxa"/>
            <w:vAlign w:val="center"/>
          </w:tcPr>
          <w:p>
            <w:pPr>
              <w:pStyle w:val="24"/>
              <w:spacing w:line="240" w:lineRule="auto"/>
              <w:ind w:firstLine="220" w:firstLineChars="0"/>
              <w:jc w:val="center"/>
              <w:rPr>
                <w:rFonts w:hint="eastAsia"/>
                <w:vertAlign w:val="baseline"/>
                <w:lang w:val="en-US" w:eastAsia="zh-CN"/>
              </w:rPr>
            </w:pPr>
            <w:r>
              <w:rPr>
                <w:sz w:val="17"/>
                <w:szCs w:val="17"/>
              </w:rPr>
              <w:t>公务用车运行维护费</w:t>
            </w:r>
          </w:p>
        </w:tc>
        <w:tc>
          <w:tcPr>
            <w:tcW w:w="1897" w:type="dxa"/>
            <w:gridSpan w:val="2"/>
            <w:vAlign w:val="center"/>
          </w:tcPr>
          <w:p>
            <w:pPr>
              <w:pStyle w:val="24"/>
              <w:spacing w:line="240" w:lineRule="auto"/>
              <w:ind w:firstLine="400" w:firstLineChars="0"/>
              <w:jc w:val="center"/>
              <w:rPr>
                <w:rFonts w:hint="eastAsia"/>
                <w:vertAlign w:val="baseline"/>
                <w:lang w:val="en-US" w:eastAsia="zh-CN"/>
              </w:rPr>
            </w:pPr>
            <w:r>
              <w:rPr>
                <w:sz w:val="17"/>
                <w:szCs w:val="17"/>
              </w:rPr>
              <w:t>公务用车购置费</w:t>
            </w:r>
          </w:p>
        </w:tc>
        <w:tc>
          <w:tcPr>
            <w:tcW w:w="1889" w:type="dxa"/>
            <w:vMerge w:val="continue"/>
          </w:tcPr>
          <w:p>
            <w:pPr>
              <w:pStyle w:val="26"/>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1</w:t>
            </w:r>
          </w:p>
        </w:tc>
        <w:tc>
          <w:tcPr>
            <w:tcW w:w="1895"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2</w:t>
            </w:r>
          </w:p>
        </w:tc>
        <w:tc>
          <w:tcPr>
            <w:tcW w:w="1888"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3</w:t>
            </w:r>
          </w:p>
        </w:tc>
        <w:tc>
          <w:tcPr>
            <w:tcW w:w="1890"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4</w:t>
            </w:r>
          </w:p>
        </w:tc>
        <w:tc>
          <w:tcPr>
            <w:tcW w:w="1897" w:type="dxa"/>
            <w:gridSpan w:val="2"/>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5</w:t>
            </w:r>
          </w:p>
        </w:tc>
        <w:tc>
          <w:tcPr>
            <w:tcW w:w="1889"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pStyle w:val="24"/>
              <w:spacing w:line="240" w:lineRule="auto"/>
              <w:ind w:firstLine="0" w:firstLineChars="0"/>
              <w:jc w:val="left"/>
              <w:rPr>
                <w:rFonts w:hint="eastAsia"/>
                <w:vertAlign w:val="baseline"/>
                <w:lang w:val="en-US" w:eastAsia="zh-CN"/>
              </w:rPr>
            </w:pPr>
            <w:r>
              <w:rPr>
                <w:rFonts w:hint="eastAsia" w:ascii="Times New Roman" w:hAnsi="Times New Roman" w:eastAsia="Times New Roman" w:cs="Times New Roman"/>
                <w:b/>
                <w:bCs/>
                <w:sz w:val="17"/>
                <w:szCs w:val="17"/>
                <w:lang w:val="en-US" w:eastAsia="zh-CN"/>
              </w:rPr>
              <w:t>702008</w:t>
            </w:r>
          </w:p>
        </w:tc>
        <w:tc>
          <w:tcPr>
            <w:tcW w:w="1918" w:type="dxa"/>
            <w:vAlign w:val="center"/>
          </w:tcPr>
          <w:p>
            <w:pPr>
              <w:pStyle w:val="24"/>
              <w:spacing w:line="240" w:lineRule="auto"/>
              <w:ind w:firstLine="0" w:firstLineChars="0"/>
              <w:jc w:val="left"/>
              <w:rPr>
                <w:rFonts w:hint="eastAsia"/>
                <w:vertAlign w:val="baseline"/>
                <w:lang w:val="en-US" w:eastAsia="zh-CN"/>
              </w:rPr>
            </w:pPr>
          </w:p>
        </w:tc>
        <w:tc>
          <w:tcPr>
            <w:tcW w:w="1884"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5"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8"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0"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7" w:type="dxa"/>
            <w:gridSpan w:val="2"/>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9"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557" w:type="dxa"/>
            <w:gridSpan w:val="9"/>
            <w:tcBorders>
              <w:left w:val="nil"/>
              <w:bottom w:val="nil"/>
              <w:right w:val="nil"/>
            </w:tcBorders>
          </w:tcPr>
          <w:p>
            <w:pPr>
              <w:pStyle w:val="26"/>
              <w:bidi w:val="0"/>
              <w:jc w:val="both"/>
              <w:rPr>
                <w:rFonts w:hint="eastAsia"/>
                <w:vertAlign w:val="baseline"/>
                <w:lang w:val="en-US" w:eastAsia="zh-CN"/>
              </w:rPr>
            </w:pPr>
            <w:r>
              <w:rPr>
                <w:rFonts w:hint="eastAsia" w:ascii="宋体" w:hAnsi="宋体" w:eastAsia="宋体" w:cs="宋体"/>
                <w:sz w:val="16"/>
                <w:szCs w:val="16"/>
              </w:rPr>
              <w:t>注：本报表金额单位转换时可能存在四舍五入尾数误差</w:t>
            </w:r>
          </w:p>
        </w:tc>
      </w:tr>
    </w:tbl>
    <w:p>
      <w:pPr>
        <w:pStyle w:val="26"/>
        <w:bidi w:val="0"/>
        <w:rPr>
          <w:rFonts w:hint="eastAsia"/>
          <w:lang w:val="en-US" w:eastAsia="zh-CN"/>
        </w:rP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6"/>
        <w:bidi w:val="0"/>
      </w:pPr>
    </w:p>
    <w:p>
      <w:pPr>
        <w:pStyle w:val="22"/>
        <w:keepNext/>
        <w:keepLines/>
        <w:spacing w:after="240"/>
        <w:jc w:val="center"/>
      </w:pPr>
      <w:r>
        <w:t>政府性基金预算支出情况表</w:t>
      </w:r>
      <w:bookmarkEnd w:id="28"/>
      <w:bookmarkEnd w:id="29"/>
      <w:bookmarkEnd w:id="3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394" w:type="dxa"/>
            <w:gridSpan w:val="6"/>
            <w:tcBorders>
              <w:top w:val="nil"/>
              <w:left w:val="nil"/>
              <w:right w:val="nil"/>
            </w:tcBorders>
          </w:tcPr>
          <w:p>
            <w:pPr>
              <w:pStyle w:val="26"/>
              <w:tabs>
                <w:tab w:val="left" w:pos="14213"/>
              </w:tabs>
              <w:ind w:left="101"/>
              <w:jc w:val="left"/>
            </w:pPr>
            <w:r>
              <w:t>单位名称：</w:t>
            </w:r>
            <w:r>
              <w:rPr>
                <w:rFonts w:hint="eastAsia"/>
                <w:lang w:eastAsia="zh-CN"/>
              </w:rPr>
              <w:t>环江毛南族自治县大才乡水利站</w:t>
            </w:r>
            <w:r>
              <w:tab/>
            </w:r>
            <w:r>
              <w:t>单位：万元</w:t>
            </w:r>
          </w:p>
        </w:tc>
        <w:tc>
          <w:tcPr>
            <w:tcW w:w="2163" w:type="dxa"/>
            <w:tcBorders>
              <w:top w:val="nil"/>
              <w:left w:val="nil"/>
              <w:right w:val="nil"/>
            </w:tcBorders>
          </w:tcPr>
          <w:p>
            <w:pPr>
              <w:pStyle w:val="26"/>
              <w:tabs>
                <w:tab w:val="left" w:pos="14213"/>
              </w:tabs>
              <w:ind w:left="101" w:firstLine="680" w:firstLineChars="400"/>
              <w:jc w:val="left"/>
            </w:pPr>
            <w:r>
              <w:rPr>
                <w:rFonts w:hint="eastAsia"/>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pStyle w:val="26"/>
              <w:bidi w:val="0"/>
              <w:jc w:val="center"/>
              <w:rPr>
                <w:vertAlign w:val="baseline"/>
              </w:rPr>
            </w:pPr>
            <w:r>
              <w:rPr>
                <w:sz w:val="17"/>
                <w:szCs w:val="17"/>
              </w:rPr>
              <w:t>科目编码</w:t>
            </w:r>
          </w:p>
        </w:tc>
        <w:tc>
          <w:tcPr>
            <w:tcW w:w="2161" w:type="dxa"/>
          </w:tcPr>
          <w:p>
            <w:pPr>
              <w:pStyle w:val="26"/>
              <w:bidi w:val="0"/>
              <w:jc w:val="center"/>
              <w:rPr>
                <w:vertAlign w:val="baseline"/>
              </w:rPr>
            </w:pPr>
            <w:r>
              <w:rPr>
                <w:sz w:val="17"/>
                <w:szCs w:val="17"/>
              </w:rPr>
              <w:t>部门（单位）代码</w:t>
            </w:r>
          </w:p>
        </w:tc>
        <w:tc>
          <w:tcPr>
            <w:tcW w:w="2162" w:type="dxa"/>
          </w:tcPr>
          <w:p>
            <w:pPr>
              <w:pStyle w:val="26"/>
              <w:bidi w:val="0"/>
              <w:jc w:val="center"/>
              <w:rPr>
                <w:vertAlign w:val="baseline"/>
              </w:rPr>
            </w:pPr>
            <w:r>
              <w:rPr>
                <w:sz w:val="17"/>
                <w:szCs w:val="17"/>
              </w:rPr>
              <w:t>部门（单位）名称（功能分类科目名称）</w:t>
            </w:r>
          </w:p>
        </w:tc>
        <w:tc>
          <w:tcPr>
            <w:tcW w:w="2222" w:type="dxa"/>
            <w:vAlign w:val="center"/>
          </w:tcPr>
          <w:p>
            <w:pPr>
              <w:pStyle w:val="24"/>
              <w:spacing w:line="240" w:lineRule="auto"/>
              <w:ind w:firstLine="0" w:firstLineChars="0"/>
              <w:jc w:val="center"/>
              <w:rPr>
                <w:vertAlign w:val="baseline"/>
              </w:rPr>
            </w:pPr>
            <w:r>
              <w:rPr>
                <w:sz w:val="17"/>
                <w:szCs w:val="17"/>
              </w:rPr>
              <w:t>合计</w:t>
            </w:r>
          </w:p>
        </w:tc>
        <w:tc>
          <w:tcPr>
            <w:tcW w:w="2161" w:type="dxa"/>
            <w:vAlign w:val="center"/>
          </w:tcPr>
          <w:p>
            <w:pPr>
              <w:pStyle w:val="24"/>
              <w:spacing w:line="240" w:lineRule="auto"/>
              <w:ind w:firstLine="0" w:firstLineChars="0"/>
              <w:jc w:val="center"/>
              <w:rPr>
                <w:vertAlign w:val="baseline"/>
              </w:rPr>
            </w:pPr>
            <w:r>
              <w:rPr>
                <w:sz w:val="17"/>
                <w:szCs w:val="17"/>
              </w:rPr>
              <w:t>基本支出</w:t>
            </w:r>
          </w:p>
        </w:tc>
        <w:tc>
          <w:tcPr>
            <w:tcW w:w="2161" w:type="dxa"/>
            <w:vAlign w:val="center"/>
          </w:tcPr>
          <w:p>
            <w:pPr>
              <w:pStyle w:val="24"/>
              <w:spacing w:line="240" w:lineRule="auto"/>
              <w:ind w:firstLine="0" w:firstLineChars="0"/>
              <w:jc w:val="center"/>
              <w:rPr>
                <w:vertAlign w:val="baseline"/>
              </w:rPr>
            </w:pPr>
            <w:r>
              <w:rPr>
                <w:sz w:val="17"/>
                <w:szCs w:val="17"/>
              </w:rPr>
              <w:t>项目支出</w:t>
            </w:r>
          </w:p>
        </w:tc>
        <w:tc>
          <w:tcPr>
            <w:tcW w:w="2163" w:type="dxa"/>
            <w:vAlign w:val="center"/>
          </w:tcPr>
          <w:p>
            <w:pPr>
              <w:pStyle w:val="24"/>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2012999</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其他群众团体事务支出</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2080505</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机关事业单位基本养老保险缴费支出</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2130304</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水利行业业务管理</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2210201</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住房公积金</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26"/>
              <w:bidi w:val="0"/>
              <w:jc w:val="both"/>
              <w:rPr>
                <w:vertAlign w:val="baseline"/>
              </w:rPr>
            </w:pPr>
            <w:r>
              <w:t>注：本报表金额单位转换时可能存在四舍五入尾数误差</w:t>
            </w:r>
          </w:p>
        </w:tc>
      </w:tr>
    </w:tbl>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jc w:val="center"/>
        <w:rPr>
          <w:sz w:val="28"/>
          <w:szCs w:val="28"/>
        </w:rPr>
      </w:pPr>
      <w:r>
        <w:rPr>
          <w:sz w:val="28"/>
          <w:szCs w:val="28"/>
        </w:rPr>
        <w:t>国有资本经营预算支出情况表</w:t>
      </w:r>
    </w:p>
    <w:p>
      <w:pPr>
        <w:pStyle w:val="26"/>
        <w:bidi w:val="0"/>
        <w:jc w:val="center"/>
        <w:rPr>
          <w:sz w:val="28"/>
          <w:szCs w:val="2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4" w:type="dxa"/>
            <w:gridSpan w:val="6"/>
            <w:tcBorders>
              <w:top w:val="nil"/>
              <w:left w:val="nil"/>
              <w:right w:val="nil"/>
            </w:tcBorders>
          </w:tcPr>
          <w:p>
            <w:pPr>
              <w:pStyle w:val="26"/>
              <w:tabs>
                <w:tab w:val="left" w:pos="14213"/>
              </w:tabs>
              <w:ind w:left="101"/>
              <w:jc w:val="left"/>
            </w:pPr>
            <w:r>
              <w:t>单位名称：</w:t>
            </w:r>
            <w:r>
              <w:rPr>
                <w:rFonts w:hint="eastAsia"/>
                <w:lang w:eastAsia="zh-CN"/>
              </w:rPr>
              <w:t>环江毛南族自治县大才乡水利站</w:t>
            </w:r>
            <w:r>
              <w:tab/>
            </w:r>
            <w:r>
              <w:t>单位：万元</w:t>
            </w:r>
          </w:p>
        </w:tc>
        <w:tc>
          <w:tcPr>
            <w:tcW w:w="2163" w:type="dxa"/>
            <w:tcBorders>
              <w:top w:val="nil"/>
              <w:left w:val="nil"/>
              <w:right w:val="nil"/>
            </w:tcBorders>
          </w:tcPr>
          <w:p>
            <w:pPr>
              <w:pStyle w:val="26"/>
              <w:tabs>
                <w:tab w:val="left" w:pos="14213"/>
              </w:tabs>
              <w:ind w:left="101"/>
              <w:jc w:val="left"/>
            </w:pPr>
            <w:r>
              <w:rPr>
                <w:rFonts w:hint="eastAsia" w:ascii="宋体" w:hAnsi="宋体" w:eastAsia="宋体" w:cs="宋体"/>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restart"/>
          </w:tcPr>
          <w:p>
            <w:pPr>
              <w:pStyle w:val="26"/>
              <w:bidi w:val="0"/>
              <w:jc w:val="center"/>
              <w:rPr>
                <w:vertAlign w:val="baseline"/>
              </w:rPr>
            </w:pPr>
            <w:r>
              <w:rPr>
                <w:sz w:val="17"/>
                <w:szCs w:val="17"/>
              </w:rPr>
              <w:t>科目编码</w:t>
            </w:r>
          </w:p>
        </w:tc>
        <w:tc>
          <w:tcPr>
            <w:tcW w:w="2161" w:type="dxa"/>
            <w:vMerge w:val="restart"/>
          </w:tcPr>
          <w:p>
            <w:pPr>
              <w:pStyle w:val="26"/>
              <w:bidi w:val="0"/>
              <w:jc w:val="center"/>
              <w:rPr>
                <w:vertAlign w:val="baseline"/>
              </w:rPr>
            </w:pPr>
            <w:r>
              <w:rPr>
                <w:sz w:val="17"/>
                <w:szCs w:val="17"/>
              </w:rPr>
              <w:t>部门（单位）代码</w:t>
            </w:r>
          </w:p>
        </w:tc>
        <w:tc>
          <w:tcPr>
            <w:tcW w:w="2162" w:type="dxa"/>
            <w:vMerge w:val="restart"/>
          </w:tcPr>
          <w:p>
            <w:pPr>
              <w:pStyle w:val="26"/>
              <w:bidi w:val="0"/>
              <w:jc w:val="center"/>
              <w:rPr>
                <w:vertAlign w:val="baseline"/>
              </w:rPr>
            </w:pPr>
            <w:r>
              <w:rPr>
                <w:sz w:val="17"/>
                <w:szCs w:val="17"/>
              </w:rPr>
              <w:t>部门（单位）名称（功能分类科目名称）</w:t>
            </w:r>
          </w:p>
        </w:tc>
        <w:tc>
          <w:tcPr>
            <w:tcW w:w="2222" w:type="dxa"/>
            <w:vAlign w:val="center"/>
          </w:tcPr>
          <w:p>
            <w:pPr>
              <w:pStyle w:val="24"/>
              <w:spacing w:line="240" w:lineRule="auto"/>
              <w:ind w:firstLine="0" w:firstLineChars="0"/>
              <w:jc w:val="center"/>
              <w:rPr>
                <w:vertAlign w:val="baseline"/>
              </w:rPr>
            </w:pPr>
            <w:r>
              <w:rPr>
                <w:sz w:val="17"/>
                <w:szCs w:val="17"/>
              </w:rPr>
              <w:t>合计</w:t>
            </w:r>
          </w:p>
        </w:tc>
        <w:tc>
          <w:tcPr>
            <w:tcW w:w="2161" w:type="dxa"/>
            <w:vAlign w:val="center"/>
          </w:tcPr>
          <w:p>
            <w:pPr>
              <w:pStyle w:val="24"/>
              <w:spacing w:line="240" w:lineRule="auto"/>
              <w:ind w:firstLine="0" w:firstLineChars="0"/>
              <w:jc w:val="center"/>
              <w:rPr>
                <w:vertAlign w:val="baseline"/>
              </w:rPr>
            </w:pPr>
            <w:r>
              <w:rPr>
                <w:sz w:val="17"/>
                <w:szCs w:val="17"/>
              </w:rPr>
              <w:t>基本支出</w:t>
            </w:r>
          </w:p>
        </w:tc>
        <w:tc>
          <w:tcPr>
            <w:tcW w:w="2161" w:type="dxa"/>
            <w:vAlign w:val="center"/>
          </w:tcPr>
          <w:p>
            <w:pPr>
              <w:pStyle w:val="24"/>
              <w:spacing w:line="240" w:lineRule="auto"/>
              <w:ind w:firstLine="0" w:firstLineChars="0"/>
              <w:jc w:val="center"/>
              <w:rPr>
                <w:vertAlign w:val="baseline"/>
              </w:rPr>
            </w:pPr>
            <w:r>
              <w:rPr>
                <w:sz w:val="17"/>
                <w:szCs w:val="17"/>
              </w:rPr>
              <w:t>项目支出</w:t>
            </w:r>
          </w:p>
        </w:tc>
        <w:tc>
          <w:tcPr>
            <w:tcW w:w="2163" w:type="dxa"/>
            <w:vAlign w:val="center"/>
          </w:tcPr>
          <w:p>
            <w:pPr>
              <w:pStyle w:val="24"/>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continue"/>
          </w:tcPr>
          <w:p>
            <w:pPr>
              <w:pStyle w:val="26"/>
              <w:bidi w:val="0"/>
              <w:jc w:val="both"/>
              <w:rPr>
                <w:vertAlign w:val="baseline"/>
              </w:rPr>
            </w:pPr>
          </w:p>
        </w:tc>
        <w:tc>
          <w:tcPr>
            <w:tcW w:w="2161" w:type="dxa"/>
            <w:vMerge w:val="continue"/>
          </w:tcPr>
          <w:p>
            <w:pPr>
              <w:pStyle w:val="26"/>
              <w:bidi w:val="0"/>
              <w:jc w:val="both"/>
              <w:rPr>
                <w:vertAlign w:val="baseline"/>
              </w:rPr>
            </w:pPr>
          </w:p>
        </w:tc>
        <w:tc>
          <w:tcPr>
            <w:tcW w:w="2162" w:type="dxa"/>
            <w:vMerge w:val="continue"/>
          </w:tcPr>
          <w:p>
            <w:pPr>
              <w:pStyle w:val="26"/>
              <w:bidi w:val="0"/>
              <w:jc w:val="both"/>
              <w:rPr>
                <w:vertAlign w:val="baseline"/>
              </w:rPr>
            </w:pPr>
          </w:p>
        </w:tc>
        <w:tc>
          <w:tcPr>
            <w:tcW w:w="2222"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1</w:t>
            </w:r>
          </w:p>
        </w:tc>
        <w:tc>
          <w:tcPr>
            <w:tcW w:w="2161"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2</w:t>
            </w:r>
          </w:p>
        </w:tc>
        <w:tc>
          <w:tcPr>
            <w:tcW w:w="2161"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3</w:t>
            </w:r>
          </w:p>
        </w:tc>
        <w:tc>
          <w:tcPr>
            <w:tcW w:w="2163"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24"/>
              <w:spacing w:line="240" w:lineRule="auto"/>
              <w:ind w:firstLine="0" w:firstLineChars="0"/>
              <w:jc w:val="left"/>
              <w:rPr>
                <w:vertAlign w:val="baseline"/>
              </w:rPr>
            </w:pPr>
            <w:r>
              <w:rPr>
                <w:sz w:val="17"/>
                <w:szCs w:val="17"/>
              </w:rPr>
              <w:t>合计</w:t>
            </w:r>
          </w:p>
        </w:tc>
        <w:tc>
          <w:tcPr>
            <w:tcW w:w="2222" w:type="dxa"/>
            <w:vAlign w:val="center"/>
          </w:tcPr>
          <w:p>
            <w:pPr>
              <w:pStyle w:val="24"/>
              <w:spacing w:line="240" w:lineRule="auto"/>
              <w:ind w:left="1700" w:leftChars="0"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3"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26"/>
              <w:spacing w:line="302" w:lineRule="exact"/>
              <w:ind w:left="672"/>
              <w:jc w:val="left"/>
            </w:pPr>
            <w:r>
              <w:t>注：本报表金额单位转换时可能存在四舍五入尾数误差。本部门</w:t>
            </w:r>
            <w:r>
              <w:rPr>
                <w:rFonts w:hint="eastAsia" w:ascii="Times New Roman" w:hAnsi="Times New Roman" w:cs="Times New Roman"/>
                <w:b/>
                <w:bCs/>
                <w:lang w:eastAsia="zh-CN"/>
              </w:rPr>
              <w:t>2024</w:t>
            </w:r>
            <w:r>
              <w:rPr>
                <w:rFonts w:ascii="Times New Roman" w:hAnsi="Times New Roman" w:cs="Times New Roman"/>
                <w:b/>
                <w:u w:color="auto"/>
              </w:rPr>
              <w:t>年</w:t>
            </w:r>
            <w:r>
              <w:t>度没有国有资本经营预算支出，故本表无数据</w:t>
            </w:r>
          </w:p>
          <w:p>
            <w:pPr>
              <w:pStyle w:val="26"/>
              <w:bidi w:val="0"/>
              <w:jc w:val="both"/>
              <w:rPr>
                <w:vertAlign w:val="baseline"/>
              </w:rPr>
            </w:pPr>
          </w:p>
        </w:tc>
      </w:tr>
    </w:tbl>
    <w:p>
      <w:pPr>
        <w:pStyle w:val="26"/>
        <w:bidi w:val="0"/>
      </w:pPr>
    </w:p>
    <w:p>
      <w:r>
        <w:br w:type="page"/>
      </w:r>
    </w:p>
    <w:p>
      <w:pPr>
        <w:pStyle w:val="22"/>
        <w:keepNext/>
        <w:keepLines/>
        <w:spacing w:after="240"/>
        <w:jc w:val="center"/>
        <w:rPr>
          <w:rFonts w:hint="default" w:eastAsia="宋体"/>
          <w:lang w:val="en-US" w:eastAsia="zh-CN"/>
        </w:rPr>
      </w:pPr>
      <w:r>
        <w:rPr>
          <w:rFonts w:hint="eastAsia"/>
          <w:lang w:val="en-US" w:eastAsia="zh-CN"/>
        </w:rPr>
        <w:t>2024年度预算项目绩效目标公开表</w:t>
      </w:r>
    </w:p>
    <w:tbl>
      <w:tblPr>
        <w:tblStyle w:val="4"/>
        <w:tblW w:w="0" w:type="auto"/>
        <w:tblInd w:w="0" w:type="dxa"/>
        <w:tblLayout w:type="fixed"/>
        <w:tblCellMar>
          <w:top w:w="0" w:type="dxa"/>
          <w:left w:w="10" w:type="dxa"/>
          <w:bottom w:w="0" w:type="dxa"/>
          <w:right w:w="10" w:type="dxa"/>
        </w:tblCellMar>
      </w:tblPr>
      <w:tblGrid>
        <w:gridCol w:w="1843"/>
        <w:gridCol w:w="2559"/>
        <w:gridCol w:w="3350"/>
        <w:gridCol w:w="1511"/>
        <w:gridCol w:w="6076"/>
      </w:tblGrid>
      <w:tr>
        <w:tblPrEx>
          <w:tblCellMar>
            <w:top w:w="0" w:type="dxa"/>
            <w:left w:w="10" w:type="dxa"/>
            <w:bottom w:w="0" w:type="dxa"/>
            <w:right w:w="10" w:type="dxa"/>
          </w:tblCellMar>
        </w:tblPrEx>
        <w:trPr>
          <w:trHeight w:val="346" w:hRule="exact"/>
        </w:trPr>
        <w:tc>
          <w:tcPr>
            <w:tcW w:w="9263" w:type="dxa"/>
            <w:gridSpan w:val="4"/>
            <w:shd w:val="clear" w:color="auto" w:fill="FFFFFF"/>
          </w:tcPr>
          <w:p>
            <w:pPr>
              <w:pStyle w:val="24"/>
              <w:spacing w:line="240" w:lineRule="auto"/>
              <w:ind w:firstLine="0"/>
              <w:jc w:val="left"/>
              <w:rPr>
                <w:rFonts w:hint="default" w:ascii="宋体" w:hAnsi="宋体" w:eastAsia="宋体" w:cs="宋体"/>
                <w:sz w:val="17"/>
                <w:szCs w:val="17"/>
                <w:lang w:val="en-US"/>
              </w:rPr>
            </w:pPr>
            <w:r>
              <w:rPr>
                <w:rFonts w:hint="eastAsia" w:ascii="宋体" w:hAnsi="宋体" w:eastAsia="宋体" w:cs="宋体"/>
                <w:sz w:val="17"/>
                <w:szCs w:val="17"/>
              </w:rPr>
              <w:t>单位名称：</w:t>
            </w:r>
            <w:r>
              <w:rPr>
                <w:rFonts w:hint="eastAsia" w:ascii="宋体" w:hAnsi="宋体" w:eastAsia="宋体" w:cs="宋体"/>
                <w:sz w:val="17"/>
                <w:szCs w:val="17"/>
                <w:lang w:eastAsia="zh-CN"/>
              </w:rPr>
              <w:t>环江毛南族自治县大才乡水利站</w:t>
            </w:r>
            <w:r>
              <w:rPr>
                <w:rFonts w:hint="eastAsia" w:cs="宋体"/>
                <w:sz w:val="17"/>
                <w:szCs w:val="17"/>
                <w:lang w:val="en-US" w:eastAsia="zh-CN"/>
              </w:rPr>
              <w:t xml:space="preserve">            </w:t>
            </w:r>
          </w:p>
        </w:tc>
        <w:tc>
          <w:tcPr>
            <w:tcW w:w="6076" w:type="dxa"/>
            <w:shd w:val="clear" w:color="auto" w:fill="FFFFFF"/>
          </w:tcPr>
          <w:p>
            <w:pPr>
              <w:pStyle w:val="24"/>
              <w:spacing w:line="240" w:lineRule="auto"/>
              <w:ind w:firstLine="4760" w:firstLineChars="2800"/>
              <w:jc w:val="left"/>
              <w:rPr>
                <w:rFonts w:hint="eastAsia" w:ascii="宋体" w:hAnsi="宋体" w:eastAsia="宋体" w:cs="宋体"/>
                <w:sz w:val="17"/>
                <w:szCs w:val="17"/>
              </w:rPr>
            </w:pPr>
            <w:r>
              <w:rPr>
                <w:rFonts w:hint="eastAsia" w:ascii="宋体" w:hAnsi="宋体" w:eastAsia="宋体" w:cs="宋体"/>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ascii="宋体" w:hAnsi="宋体" w:eastAsia="宋体" w:cs="宋体"/>
                <w:sz w:val="17"/>
                <w:u w:color="auto"/>
              </w:rPr>
              <w:t>单位代码</w:t>
            </w:r>
          </w:p>
        </w:tc>
        <w:tc>
          <w:tcPr>
            <w:tcW w:w="255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单位名称</w:t>
            </w:r>
          </w:p>
        </w:tc>
        <w:tc>
          <w:tcPr>
            <w:tcW w:w="335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项目名称</w:t>
            </w:r>
          </w:p>
        </w:tc>
        <w:tc>
          <w:tcPr>
            <w:tcW w:w="1511"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预算金额</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年度绩效目标</w:t>
            </w:r>
          </w:p>
        </w:tc>
      </w:tr>
    </w:tbl>
    <w:p>
      <w:pPr>
        <w:jc w:val="left"/>
        <w:rPr>
          <w:rFonts w:hint="eastAsia"/>
        </w:rPr>
      </w:pPr>
      <w:r>
        <w:t>注：本报表金额单位转换时可能存在四舍五入尾数误差。</w:t>
      </w:r>
    </w:p>
    <w:p>
      <w:pPr>
        <w:jc w:val="left"/>
        <w:rPr>
          <w:rFonts w:hint="eastAsia"/>
          <w:lang w:eastAsia="zh-CN"/>
        </w:rPr>
        <w:sectPr>
          <w:headerReference r:id="rId10" w:type="default"/>
          <w:footerReference r:id="rId11" w:type="default"/>
          <w:pgSz w:w="16840" w:h="11900" w:orient="landscape"/>
          <w:pgMar w:top="2714" w:right="764" w:bottom="2714" w:left="735" w:header="2286" w:footer="1474" w:gutter="0"/>
          <w:pgBorders>
            <w:top w:val="none" w:sz="0" w:space="0"/>
            <w:left w:val="none" w:sz="0" w:space="0"/>
            <w:bottom w:val="none" w:sz="0" w:space="0"/>
            <w:right w:val="none" w:sz="0" w:space="0"/>
          </w:pgBorders>
          <w:pgNumType w:fmt="decimal"/>
          <w:cols w:space="720" w:num="1"/>
          <w:docGrid w:linePitch="360" w:charSpace="0"/>
        </w:sectPr>
      </w:pPr>
    </w:p>
    <w:p>
      <w:pPr>
        <w:pStyle w:val="12"/>
        <w:keepNext/>
        <w:keepLines/>
        <w:spacing w:before="200" w:after="0"/>
        <w:jc w:val="center"/>
        <w:rPr>
          <w:sz w:val="40"/>
          <w:szCs w:val="40"/>
        </w:rPr>
      </w:pPr>
      <w:bookmarkStart w:id="31" w:name="bookmark95"/>
      <w:bookmarkStart w:id="32" w:name="bookmark94"/>
      <w:bookmarkStart w:id="33" w:name="bookmark96"/>
      <w:r>
        <w:rPr>
          <w:sz w:val="40"/>
          <w:szCs w:val="40"/>
        </w:rPr>
        <w:t>第四部</w:t>
      </w:r>
      <w:r>
        <w:rPr>
          <w:rFonts w:hint="eastAsia"/>
          <w:sz w:val="40"/>
          <w:szCs w:val="40"/>
          <w:lang w:val="en-US" w:eastAsia="zh-CN"/>
        </w:rPr>
        <w:t xml:space="preserve">  </w:t>
      </w:r>
      <w:r>
        <w:rPr>
          <w:sz w:val="40"/>
          <w:szCs w:val="40"/>
        </w:rPr>
        <w:t>分名词解释</w:t>
      </w:r>
      <w:bookmarkEnd w:id="31"/>
      <w:bookmarkEnd w:id="32"/>
      <w:bookmarkEnd w:id="33"/>
    </w:p>
    <w:p>
      <w:pPr>
        <w:pStyle w:val="18"/>
        <w:tabs>
          <w:tab w:val="left" w:pos="1270"/>
        </w:tabs>
        <w:spacing w:line="626" w:lineRule="exact"/>
        <w:ind w:firstLine="640"/>
        <w:jc w:val="left"/>
      </w:pPr>
      <w:bookmarkStart w:id="34" w:name="bookmark97"/>
      <w:r>
        <w:t>一</w:t>
      </w:r>
      <w:bookmarkEnd w:id="34"/>
      <w:r>
        <w:t>、</w:t>
      </w:r>
      <w:r>
        <w:tab/>
      </w:r>
      <w:r>
        <w:t>财政拨款收入：指预算单位从本级财政部门取得的财政预算资金收入。</w:t>
      </w:r>
    </w:p>
    <w:p>
      <w:pPr>
        <w:pStyle w:val="18"/>
        <w:tabs>
          <w:tab w:val="left" w:pos="1280"/>
        </w:tabs>
        <w:spacing w:line="626" w:lineRule="exact"/>
        <w:ind w:firstLine="640"/>
        <w:jc w:val="left"/>
      </w:pPr>
      <w:bookmarkStart w:id="35" w:name="bookmark98"/>
      <w:r>
        <w:t>二</w:t>
      </w:r>
      <w:bookmarkEnd w:id="35"/>
      <w:r>
        <w:t>、</w:t>
      </w:r>
      <w:r>
        <w:tab/>
      </w:r>
      <w:r>
        <w:t>事业收入：指事业单位开展专业业务活动及辅助活动所取得的收入。</w:t>
      </w:r>
    </w:p>
    <w:p>
      <w:pPr>
        <w:pStyle w:val="18"/>
        <w:tabs>
          <w:tab w:val="left" w:pos="1275"/>
        </w:tabs>
        <w:spacing w:line="626" w:lineRule="exact"/>
        <w:ind w:firstLine="640"/>
        <w:jc w:val="left"/>
      </w:pPr>
      <w:bookmarkStart w:id="36" w:name="bookmark99"/>
      <w:r>
        <w:t>三</w:t>
      </w:r>
      <w:bookmarkEnd w:id="36"/>
      <w:r>
        <w:t>、</w:t>
      </w:r>
      <w:r>
        <w:tab/>
      </w:r>
      <w:r>
        <w:t>经营收入：指事业单位在专业业务活动及其辅助活动之外开展非独立核算经营活动取得的收入。</w:t>
      </w:r>
    </w:p>
    <w:p>
      <w:pPr>
        <w:pStyle w:val="18"/>
        <w:tabs>
          <w:tab w:val="left" w:pos="1309"/>
        </w:tabs>
        <w:spacing w:line="626" w:lineRule="exact"/>
        <w:ind w:firstLine="640"/>
        <w:jc w:val="left"/>
      </w:pPr>
      <w:bookmarkStart w:id="37" w:name="bookmark100"/>
      <w:r>
        <w:t>四</w:t>
      </w:r>
      <w:bookmarkEnd w:id="37"/>
      <w:r>
        <w:t>、</w:t>
      </w:r>
      <w:r>
        <w:tab/>
      </w:r>
      <w:r>
        <w:t>其他收入：指除上述</w:t>
      </w:r>
      <w:r>
        <w:rPr>
          <w:lang w:val="zh-CN" w:eastAsia="zh-CN" w:bidi="zh-CN"/>
        </w:rPr>
        <w:t>“财</w:t>
      </w:r>
      <w:r>
        <w:t>政拨款收入”、</w:t>
      </w:r>
      <w:r>
        <w:rPr>
          <w:lang w:val="zh-CN" w:eastAsia="zh-CN" w:bidi="zh-CN"/>
        </w:rPr>
        <w:t>“事</w:t>
      </w:r>
      <w:r>
        <w:t>业收入"、</w:t>
      </w:r>
      <w:r>
        <w:rPr>
          <w:lang w:val="zh-CN" w:eastAsia="zh-CN" w:bidi="zh-CN"/>
        </w:rPr>
        <w:t>“经营</w:t>
      </w:r>
      <w:r>
        <w:t>收入"等以外的收入。主要是非本级财政拨款、存款利息收入、事业单位固定资产出租收入等。</w:t>
      </w:r>
    </w:p>
    <w:p>
      <w:pPr>
        <w:pStyle w:val="18"/>
        <w:tabs>
          <w:tab w:val="left" w:pos="1275"/>
        </w:tabs>
        <w:spacing w:line="626" w:lineRule="exact"/>
        <w:ind w:firstLine="640"/>
        <w:jc w:val="left"/>
      </w:pPr>
      <w:bookmarkStart w:id="38" w:name="bookmark101"/>
      <w:r>
        <w:t>五</w:t>
      </w:r>
      <w:bookmarkEnd w:id="38"/>
      <w:r>
        <w:t>、</w:t>
      </w:r>
      <w:r>
        <w:tab/>
      </w:r>
      <w:r>
        <w:t>用事业基金弥补收支差额：指事业单位在用当年的</w:t>
      </w:r>
      <w:r>
        <w:rPr>
          <w:lang w:val="zh-CN" w:eastAsia="zh-CN" w:bidi="zh-CN"/>
        </w:rPr>
        <w:t>“财</w:t>
      </w:r>
      <w:r>
        <w:t>政拨款收入"、</w:t>
      </w:r>
      <w:r>
        <w:rPr>
          <w:lang w:val="zh-CN" w:eastAsia="zh-CN" w:bidi="zh-CN"/>
        </w:rPr>
        <w:t>“事业</w:t>
      </w:r>
      <w:r>
        <w:t>收入"、</w:t>
      </w:r>
      <w:r>
        <w:rPr>
          <w:lang w:val="zh-CN" w:eastAsia="zh-CN" w:bidi="zh-CN"/>
        </w:rPr>
        <w:t>“经营</w:t>
      </w:r>
      <w:r>
        <w:t>收入"、</w:t>
      </w:r>
      <w:r>
        <w:rPr>
          <w:lang w:val="zh-CN" w:eastAsia="zh-CN" w:bidi="zh-CN"/>
        </w:rPr>
        <w:t>“其他</w:t>
      </w:r>
      <w:r>
        <w:t>收入"不足以安排当年支出的情况下，使用以前年度积累的事业基金（事业单位当年收支相抵后按国家规定提取、用于弥补以后年度收支差额的基金）弥补本年度收支缺口的资金。</w:t>
      </w:r>
    </w:p>
    <w:p>
      <w:pPr>
        <w:pStyle w:val="18"/>
        <w:tabs>
          <w:tab w:val="left" w:pos="1270"/>
        </w:tabs>
        <w:spacing w:line="626" w:lineRule="exact"/>
        <w:ind w:firstLine="640"/>
        <w:jc w:val="left"/>
      </w:pPr>
      <w:bookmarkStart w:id="39" w:name="bookmark102"/>
      <w:r>
        <w:t>六</w:t>
      </w:r>
      <w:bookmarkEnd w:id="39"/>
      <w:r>
        <w:t>、</w:t>
      </w:r>
      <w:r>
        <w:tab/>
      </w:r>
      <w:r>
        <w:t>年初结转和结余：指以前年度尚未完成、结转到本年按有关规定继续使用的资金。</w:t>
      </w:r>
    </w:p>
    <w:p>
      <w:pPr>
        <w:pStyle w:val="18"/>
        <w:tabs>
          <w:tab w:val="left" w:pos="1275"/>
        </w:tabs>
        <w:spacing w:line="626" w:lineRule="exact"/>
        <w:ind w:firstLine="640"/>
        <w:jc w:val="left"/>
      </w:pPr>
      <w:bookmarkStart w:id="40" w:name="bookmark103"/>
      <w:r>
        <w:t>七</w:t>
      </w:r>
      <w:bookmarkEnd w:id="40"/>
      <w:r>
        <w:t>、</w:t>
      </w:r>
      <w:r>
        <w:tab/>
      </w:r>
      <w:r>
        <w:t>结余分配：指事业单位按规定提取的职工福利基金、事业基金和缴纳的所得税，以及建设单位按规定应交回的基本建设竣工项目结余资金。</w:t>
      </w:r>
    </w:p>
    <w:p>
      <w:pPr>
        <w:pStyle w:val="18"/>
        <w:tabs>
          <w:tab w:val="left" w:pos="632"/>
        </w:tabs>
        <w:spacing w:line="626" w:lineRule="exact"/>
        <w:ind w:firstLine="640"/>
        <w:jc w:val="left"/>
      </w:pPr>
      <w:bookmarkStart w:id="41" w:name="bookmark104"/>
      <w:r>
        <w:t>八</w:t>
      </w:r>
      <w:bookmarkEnd w:id="41"/>
      <w:r>
        <w:t>、</w:t>
      </w:r>
      <w:r>
        <w:tab/>
      </w:r>
      <w:r>
        <w:t>年末结转和结余：指本年度或以前年度预算安排、因客观条件发生变化无法按原计划实施，需要延迟到以后年度按有关规定继续使用的资金。</w:t>
      </w:r>
    </w:p>
    <w:p>
      <w:pPr>
        <w:pStyle w:val="18"/>
        <w:spacing w:line="628" w:lineRule="exact"/>
        <w:ind w:firstLine="640"/>
        <w:jc w:val="left"/>
      </w:pPr>
      <w:bookmarkStart w:id="42" w:name="bookmark105"/>
      <w:r>
        <w:t>九</w:t>
      </w:r>
      <w:bookmarkEnd w:id="42"/>
      <w:r>
        <w:t>、基本支出：指为保障机构正常运转、完成日常工作任务而发生的人员支出和公用支出。</w:t>
      </w:r>
    </w:p>
    <w:p>
      <w:pPr>
        <w:pStyle w:val="18"/>
        <w:spacing w:line="628" w:lineRule="exact"/>
        <w:ind w:firstLine="640"/>
        <w:jc w:val="left"/>
      </w:pPr>
      <w:r>
        <w:t>十、项目支出：指在基本支出之外为完成特定行政任务和事业发展目标所发生的支出。</w:t>
      </w:r>
    </w:p>
    <w:p>
      <w:pPr>
        <w:pStyle w:val="18"/>
        <w:spacing w:line="628" w:lineRule="exact"/>
        <w:ind w:firstLine="640"/>
        <w:jc w:val="left"/>
      </w:pPr>
      <w:r>
        <w:t>十一、经营支出：指事业单位在专业业务活动及其辅助活动之外开展非独立核算经营活动所发生的支出。</w:t>
      </w:r>
    </w:p>
    <w:p>
      <w:pPr>
        <w:pStyle w:val="18"/>
        <w:spacing w:line="628" w:lineRule="exact"/>
        <w:ind w:firstLine="640"/>
        <w:jc w:val="left"/>
      </w:pPr>
      <w:r>
        <w:t>十二、</w:t>
      </w:r>
      <w:r>
        <w:rPr>
          <w:lang w:val="zh-CN" w:eastAsia="zh-CN" w:bidi="zh-CN"/>
        </w:rPr>
        <w:t>“三</w:t>
      </w:r>
      <w:r>
        <w:t>公”经费：纳入财政预决算管理的</w:t>
      </w:r>
      <w:r>
        <w:rPr>
          <w:lang w:val="zh-CN" w:eastAsia="zh-CN" w:bidi="zh-CN"/>
        </w:rPr>
        <w:t>“三公</w:t>
      </w:r>
      <w:r>
        <w:t>”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8"/>
        <w:spacing w:line="628" w:lineRule="exact"/>
        <w:ind w:firstLine="640"/>
        <w:jc w:val="left"/>
      </w:pPr>
      <w:r>
        <w:t>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12" w:type="default"/>
      <w:footerReference r:id="rId13" w:type="default"/>
      <w:type w:val="continuous"/>
      <w:pgSz w:w="11900" w:h="16840"/>
      <w:pgMar w:top="1302" w:right="1735" w:bottom="1568" w:left="1793" w:header="874" w:footer="1077" w:gutter="0"/>
      <w:pgBorders>
        <w:top w:val="none" w:sz="0" w:space="0"/>
        <w:left w:val="none" w:sz="0" w:space="0"/>
        <w:bottom w:val="none" w:sz="0" w:space="0"/>
        <w:right w:val="none" w:sz="0" w:space="0"/>
      </w:pgBorders>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88"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5dblS0AAAAAUBAAAPAAAAAAAAAAEAIAAAACIAAABkcnMvZG93bnJldi54&#10;bWxQSwECFAAUAAAACACHTuJAgSzOZwICAAALBAAADgAAAAAAAAABACAAAAAfAQAAZHJzL2Uyb0Rv&#10;Yy54bWxQSwUGAAAAAAYABgBZAQAAk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696" name="文本框 4"/>
              <wp:cNvGraphicFramePr/>
              <a:graphic xmlns:a="http://schemas.openxmlformats.org/drawingml/2006/main">
                <a:graphicData uri="http://schemas.microsoft.com/office/word/2010/wordprocessingShape">
                  <wps:wsp>
                    <wps:cNvSpPr/>
                    <wps:spPr>
                      <a:xfrm>
                        <a:off x="0" y="0"/>
                        <a:ext cx="394970" cy="16891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rect id="文本框 4" o:spid="_x0000_s1026" o:spt="1" style="position:absolute;left:0pt;margin-left:202.75pt;margin-top:0pt;height:13.3pt;width:31.1pt;mso-position-horizontal-relative:margin;z-index:251662336;mso-width-relative:page;mso-height-relative:page;" filled="f" stroked="f" coordsize="21600,21600" o:gfxdata="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tdcQj2QAAAAcBAAAPAAAAAAAAAAEAIAAAACIA&#10;AABkcnMvZG93bnJldi54bWxQSwECFAAUAAAACACHTuJARKmmUQgCAAALBAAADgAAAAAAAAABACAA&#10;AAAoAQAAZHJzL2Uyb0RvYy54bWxQSwUGAAAAAAYABgBZAQAAogUAAAAA&#10;">
              <v:fill on="f" focussize="0,0"/>
              <v:stroke on="f"/>
              <v:imagedata o:title=""/>
              <o:lock v:ext="edit" aspectratio="f"/>
              <v:textbox inset="0mm,0mm,0mm,0mm">
                <w:txbxContent>
                  <w:p>
                    <w:pPr>
                      <w:pStyle w:val="2"/>
                    </w:pPr>
                    <w:r>
                      <w:fldChar w:fldCharType="begin"/>
                    </w:r>
                    <w:r>
                      <w:instrText xml:space="preserve"> PAGE  \* MERGEFORMAT </w:instrText>
                    </w:r>
                    <w:r>
                      <w:fldChar w:fldCharType="separate"/>
                    </w:r>
                    <w:r>
                      <w:t>4</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698" name="文本框 7"/>
              <wp:cNvGraphicFramePr/>
              <a:graphic xmlns:a="http://schemas.openxmlformats.org/drawingml/2006/main">
                <a:graphicData uri="http://schemas.microsoft.com/office/word/2010/wordprocessingShape">
                  <wps:wsp>
                    <wps:cNvSpPr/>
                    <wps:spPr>
                      <a:xfrm>
                        <a:off x="0" y="0"/>
                        <a:ext cx="440055" cy="206375"/>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rect id="文本框 7" o:spid="_x0000_s1026" o:spt="1" style="position:absolute;left:0pt;margin-left:378.75pt;margin-top:0pt;height:16.25pt;width:34.65pt;mso-position-horizontal-relative:margin;z-index:251663360;mso-width-relative:page;mso-height-relative:page;" filled="f" stroked="f" coordsize="21600,21600" o:gfxdata="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rTLjt2AAAAAcBAAAPAAAAAAAAAAEAIAAAACIA&#10;AABkcnMvZG93bnJldi54bWxQSwECFAAUAAAACACHTuJAX9qusgkCAAALBAAADgAAAAAAAAABACAA&#10;AAAnAQAAZHJzL2Uyb0RvYy54bWxQSwUGAAAAAAYABgBZAQAAogUAAAAA&#10;">
              <v:fill on="f" focussize="0,0"/>
              <v:stroke on="f"/>
              <v:imagedata o:title=""/>
              <o:lock v:ext="edit" aspectratio="f"/>
              <v:textbox inset="0mm,0mm,0mm,0mm">
                <w:txbxContent>
                  <w:p>
                    <w:pPr>
                      <w:pStyle w:val="2"/>
                    </w:pPr>
                    <w:r>
                      <w:fldChar w:fldCharType="begin"/>
                    </w:r>
                    <w:r>
                      <w:instrText xml:space="preserve"> PAGE  \* MERGEFORMAT </w:instrText>
                    </w:r>
                    <w:r>
                      <w:fldChar w:fldCharType="separate"/>
                    </w:r>
                    <w:r>
                      <w:t>15</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99" name="文本框 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9" o:spid="_x0000_s1026" o:spt="1"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XW5UtAAAAAFAQAADwAAAAAAAAABACAAAAAiAAAAZHJzL2Rvd25yZXYu&#10;eG1sUEsBAhQAFAAAAAgAh07iQCb8NW0DAgAACwQAAA4AAAAAAAAAAQAgAAAAHwEAAGRycy9lMm9E&#10;b2MueG1sUEsFBgAAAAAGAAYAWQEAAJQ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16</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00" name="文本框 1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11" o:spid="_x0000_s1026" o:spt="1"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5dblS0AAAAAUBAAAPAAAAAAAAAAEAIAAAACIAAABkcnMvZG93bnJldi54&#10;bWxQSwECFAAUAAAACACHTuJAEcUQCwICAAAMBAAADgAAAAAAAAABACAAAAAfAQAAZHJzL2Uyb0Rv&#10;Yy54bWxQSwUGAAAAAAYABgBZAQAAk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17</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01"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XW5UtAAAAAFAQAADwAAAAAAAAABACAAAAAiAAAAZHJzL2Rvd25yZXYu&#10;eG1sUEsBAhQAFAAAAAgAh07iQFGtdt0DAgAADAQAAA4AAAAAAAAAAQAgAAAAHwEAAGRycy9lMm9E&#10;b2MueG1sUEsFBgAAAAAGAAYAWQEAAJQ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25</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695"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20"/>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7216;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Y&#10;wIsR2wAAAA0BAAAPAAAAAAAAAAEAIAAAACIAAABkcnMvZG93bnJldi54bWxQSwECFAAUAAAACACH&#10;TuJAl3+wgOgBAADkAwAADgAAAAAAAAABACAAAAAqAQAAZHJzL2Uyb0RvYy54bWxQSwUGAAAAAAYA&#10;BgBZAQAAhAUAAAAA&#10;">
              <v:fill on="f" focussize="0,0"/>
              <v:stroke on="f"/>
              <v:imagedata o:title=""/>
              <o:lock v:ext="edit" aspectratio="f"/>
              <v:textbox inset="0mm,0mm,0mm,0mm" style="mso-fit-shape-to-text:t;">
                <w:txbxContent>
                  <w:p>
                    <w:pPr>
                      <w:pStyle w:val="20"/>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697"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20"/>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6192;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MCLEdsAAAANAQAADwAAAAAAAAABACAAAAAiAAAAZHJzL2Rvd25yZXYueG1sUEsBAhQAFAAAAAgA&#10;h07iQEGUB43pAQAA5AMAAA4AAAAAAAAAAQAgAAAAKgEAAGRycy9lMm9Eb2MueG1sUEsFBgAAAAAG&#10;AAYAWQEAAIUFAAAAAA==&#10;">
              <v:fill on="f" focussize="0,0"/>
              <v:stroke on="f"/>
              <v:imagedata o:title=""/>
              <o:lock v:ext="edit" aspectratio="f"/>
              <v:textbox inset="0mm,0mm,0mm,0mm" style="mso-fit-shape-to-text:t;">
                <w:txbxContent>
                  <w:p>
                    <w:pPr>
                      <w:pStyle w:val="20"/>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singleLevel"/>
    <w:tmpl w:val="BF205925"/>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dit="readOnly" w:enforcement="1" w:cryptProviderType="rsaAES" w:cryptAlgorithmClass="hash" w:cryptAlgorithmType="typeAny" w:cryptAlgorithmSid="14" w:cryptSpinCount="100000" w:hash="2G9xsENZjiPbk7ATZMazvsW76/+8Unmb66woxKm9/EDExyDQy/cbhjiiSjFCQxR2Rn1HuledoI3TRw0jcYNzqQ==" w:salt="7CgWc12sk6+cCFQ+54pEiA=="/>
  <w:defaultTabStop w:val="420"/>
  <w:drawingGridHorizontalSpacing w:val="181"/>
  <w:drawingGridVerticalSpacing w:val="181"/>
  <w:noPunctuationKerning w:val="1"/>
  <w:characterSpacingControl w:val="compressPunctuation"/>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3MmYwZTNiZDI5Y2Q4YzI1NGE3NmVlMWM4ODU1YTUifQ=="/>
  </w:docVars>
  <w:rsids>
    <w:rsidRoot w:val="00000000"/>
    <w:rsid w:val="61685AAA"/>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Comment Text"/>
    <w:basedOn w:val="1"/>
    <w:qFormat/>
    <w:uiPriority w:val="0"/>
  </w:style>
  <w:style w:type="character" w:customStyle="1" w:styleId="8">
    <w:name w:val="Comment Reference"/>
    <w:basedOn w:val="6"/>
    <w:qFormat/>
    <w:uiPriority w:val="0"/>
    <w:rPr>
      <w:sz w:val="21"/>
      <w:szCs w:val="21"/>
    </w:rPr>
  </w:style>
  <w:style w:type="character" w:customStyle="1" w:styleId="9">
    <w:name w:val="Body text|5_"/>
    <w:basedOn w:val="6"/>
    <w:link w:val="10"/>
    <w:qFormat/>
    <w:uiPriority w:val="0"/>
    <w:rPr>
      <w:rFonts w:ascii="宋体" w:hAnsi="宋体" w:eastAsia="宋体" w:cs="宋体"/>
      <w:sz w:val="54"/>
      <w:szCs w:val="54"/>
      <w:u w:val="none"/>
      <w:shd w:val="clear" w:color="auto" w:fill="auto"/>
      <w:lang w:val="zh-TW" w:eastAsia="zh-TW" w:bidi="zh-TW"/>
    </w:rPr>
  </w:style>
  <w:style w:type="paragraph" w:customStyle="1" w:styleId="10">
    <w:name w:val="Body text|5"/>
    <w:basedOn w:val="1"/>
    <w:link w:val="9"/>
    <w:qFormat/>
    <w:uiPriority w:val="0"/>
    <w:pPr>
      <w:jc w:val="center"/>
    </w:pPr>
    <w:rPr>
      <w:rFonts w:ascii="宋体" w:hAnsi="宋体" w:eastAsia="宋体" w:cs="宋体"/>
      <w:sz w:val="54"/>
      <w:szCs w:val="54"/>
      <w:lang w:val="zh-TW" w:eastAsia="zh-TW" w:bidi="zh-TW"/>
    </w:rPr>
  </w:style>
  <w:style w:type="character" w:customStyle="1" w:styleId="11">
    <w:name w:val="Heading #1|1_"/>
    <w:basedOn w:val="6"/>
    <w:link w:val="12"/>
    <w:qFormat/>
    <w:uiPriority w:val="0"/>
    <w:rPr>
      <w:rFonts w:ascii="宋体" w:hAnsi="宋体" w:eastAsia="宋体" w:cs="宋体"/>
      <w:sz w:val="44"/>
      <w:szCs w:val="44"/>
      <w:u w:val="none"/>
      <w:shd w:val="clear" w:color="auto" w:fill="auto"/>
      <w:lang w:val="zh-TW" w:eastAsia="zh-TW" w:bidi="zh-TW"/>
    </w:rPr>
  </w:style>
  <w:style w:type="paragraph" w:customStyle="1" w:styleId="12">
    <w:name w:val="Heading #1|1"/>
    <w:basedOn w:val="1"/>
    <w:link w:val="11"/>
    <w:qFormat/>
    <w:uiPriority w:val="0"/>
    <w:pPr>
      <w:spacing w:after="400"/>
      <w:jc w:val="center"/>
      <w:outlineLvl w:val="0"/>
    </w:pPr>
    <w:rPr>
      <w:rFonts w:ascii="宋体" w:hAnsi="宋体" w:eastAsia="宋体" w:cs="宋体"/>
      <w:sz w:val="44"/>
      <w:szCs w:val="44"/>
      <w:lang w:val="zh-TW" w:eastAsia="zh-TW" w:bidi="zh-TW"/>
    </w:rPr>
  </w:style>
  <w:style w:type="character" w:customStyle="1" w:styleId="13">
    <w:name w:val="Header or footer|2_"/>
    <w:basedOn w:val="6"/>
    <w:link w:val="14"/>
    <w:qFormat/>
    <w:uiPriority w:val="0"/>
    <w:rPr>
      <w:sz w:val="20"/>
      <w:szCs w:val="20"/>
      <w:u w:val="none"/>
      <w:shd w:val="clear" w:color="auto" w:fill="auto"/>
      <w:lang w:val="zh-TW" w:eastAsia="zh-TW" w:bidi="zh-TW"/>
    </w:rPr>
  </w:style>
  <w:style w:type="paragraph" w:customStyle="1" w:styleId="14">
    <w:name w:val="Header or footer|2"/>
    <w:basedOn w:val="1"/>
    <w:link w:val="13"/>
    <w:qFormat/>
    <w:uiPriority w:val="0"/>
    <w:rPr>
      <w:sz w:val="20"/>
      <w:szCs w:val="20"/>
      <w:lang w:val="zh-TW" w:eastAsia="zh-TW" w:bidi="zh-TW"/>
    </w:rPr>
  </w:style>
  <w:style w:type="character" w:customStyle="1" w:styleId="15">
    <w:name w:val="Body text|2_"/>
    <w:basedOn w:val="6"/>
    <w:link w:val="16"/>
    <w:qFormat/>
    <w:uiPriority w:val="0"/>
    <w:rPr>
      <w:rFonts w:ascii="宋体" w:hAnsi="宋体" w:eastAsia="宋体" w:cs="宋体"/>
      <w:sz w:val="32"/>
      <w:szCs w:val="32"/>
      <w:u w:val="none"/>
      <w:shd w:val="clear" w:color="auto" w:fill="auto"/>
      <w:lang w:val="zh-TW" w:eastAsia="zh-TW" w:bidi="zh-TW"/>
    </w:rPr>
  </w:style>
  <w:style w:type="paragraph" w:customStyle="1" w:styleId="16">
    <w:name w:val="Body text|2"/>
    <w:basedOn w:val="1"/>
    <w:link w:val="15"/>
    <w:qFormat/>
    <w:uiPriority w:val="0"/>
    <w:pPr>
      <w:spacing w:after="240"/>
      <w:ind w:firstLine="560"/>
    </w:pPr>
    <w:rPr>
      <w:rFonts w:ascii="宋体" w:hAnsi="宋体" w:eastAsia="宋体" w:cs="宋体"/>
      <w:sz w:val="32"/>
      <w:szCs w:val="32"/>
      <w:lang w:val="zh-TW" w:eastAsia="zh-TW" w:bidi="zh-TW"/>
    </w:rPr>
  </w:style>
  <w:style w:type="character" w:customStyle="1" w:styleId="17">
    <w:name w:val="Body text|1_"/>
    <w:basedOn w:val="6"/>
    <w:link w:val="18"/>
    <w:qFormat/>
    <w:uiPriority w:val="0"/>
    <w:rPr>
      <w:rFonts w:ascii="宋体" w:hAnsi="宋体" w:eastAsia="宋体" w:cs="宋体"/>
      <w:sz w:val="28"/>
      <w:szCs w:val="28"/>
      <w:u w:val="none"/>
      <w:shd w:val="clear" w:color="auto" w:fill="auto"/>
      <w:lang w:val="zh-TW" w:eastAsia="zh-TW" w:bidi="zh-TW"/>
    </w:rPr>
  </w:style>
  <w:style w:type="paragraph" w:customStyle="1" w:styleId="18">
    <w:name w:val="Body text|1"/>
    <w:basedOn w:val="1"/>
    <w:link w:val="17"/>
    <w:qFormat/>
    <w:uiPriority w:val="0"/>
    <w:pPr>
      <w:spacing w:line="468" w:lineRule="auto"/>
      <w:ind w:firstLine="400"/>
    </w:pPr>
    <w:rPr>
      <w:rFonts w:ascii="宋体" w:hAnsi="宋体" w:eastAsia="宋体" w:cs="宋体"/>
      <w:sz w:val="28"/>
      <w:szCs w:val="28"/>
      <w:lang w:val="zh-TW" w:eastAsia="zh-TW" w:bidi="zh-TW"/>
    </w:rPr>
  </w:style>
  <w:style w:type="character" w:customStyle="1" w:styleId="19">
    <w:name w:val="Header or footer|1_"/>
    <w:basedOn w:val="6"/>
    <w:link w:val="20"/>
    <w:qFormat/>
    <w:uiPriority w:val="0"/>
    <w:rPr>
      <w:b/>
      <w:bCs/>
      <w:sz w:val="17"/>
      <w:szCs w:val="17"/>
      <w:u w:val="none"/>
      <w:shd w:val="clear" w:color="auto" w:fill="auto"/>
      <w:lang w:val="zh-TW" w:eastAsia="zh-TW" w:bidi="zh-TW"/>
    </w:rPr>
  </w:style>
  <w:style w:type="paragraph" w:customStyle="1" w:styleId="20">
    <w:name w:val="Header or footer|1"/>
    <w:basedOn w:val="1"/>
    <w:link w:val="19"/>
    <w:qFormat/>
    <w:uiPriority w:val="0"/>
    <w:rPr>
      <w:b/>
      <w:bCs/>
      <w:sz w:val="17"/>
      <w:szCs w:val="17"/>
      <w:lang w:val="zh-TW" w:eastAsia="zh-TW" w:bidi="zh-TW"/>
    </w:rPr>
  </w:style>
  <w:style w:type="character" w:customStyle="1" w:styleId="21">
    <w:name w:val="Heading #2|1_"/>
    <w:basedOn w:val="6"/>
    <w:link w:val="22"/>
    <w:qFormat/>
    <w:uiPriority w:val="0"/>
    <w:rPr>
      <w:rFonts w:ascii="宋体" w:hAnsi="宋体" w:eastAsia="宋体" w:cs="宋体"/>
      <w:sz w:val="26"/>
      <w:szCs w:val="26"/>
      <w:u w:val="none"/>
      <w:shd w:val="clear" w:color="auto" w:fill="auto"/>
      <w:lang w:val="zh-TW" w:eastAsia="zh-TW" w:bidi="zh-TW"/>
    </w:rPr>
  </w:style>
  <w:style w:type="paragraph" w:customStyle="1" w:styleId="22">
    <w:name w:val="Heading #2|1"/>
    <w:basedOn w:val="1"/>
    <w:link w:val="21"/>
    <w:qFormat/>
    <w:uiPriority w:val="0"/>
    <w:pPr>
      <w:spacing w:after="230"/>
      <w:jc w:val="center"/>
      <w:outlineLvl w:val="1"/>
    </w:pPr>
    <w:rPr>
      <w:rFonts w:ascii="宋体" w:hAnsi="宋体" w:eastAsia="宋体" w:cs="宋体"/>
      <w:sz w:val="26"/>
      <w:szCs w:val="26"/>
      <w:lang w:val="zh-TW" w:eastAsia="zh-TW" w:bidi="zh-TW"/>
    </w:rPr>
  </w:style>
  <w:style w:type="character" w:customStyle="1" w:styleId="23">
    <w:name w:val="Other|1_"/>
    <w:basedOn w:val="6"/>
    <w:link w:val="24"/>
    <w:qFormat/>
    <w:uiPriority w:val="0"/>
    <w:rPr>
      <w:rFonts w:ascii="宋体" w:hAnsi="宋体" w:eastAsia="宋体" w:cs="宋体"/>
      <w:sz w:val="28"/>
      <w:szCs w:val="28"/>
      <w:u w:val="none"/>
      <w:shd w:val="clear" w:color="auto" w:fill="auto"/>
      <w:lang w:val="zh-TW" w:eastAsia="zh-TW" w:bidi="zh-TW"/>
    </w:rPr>
  </w:style>
  <w:style w:type="paragraph" w:customStyle="1" w:styleId="24">
    <w:name w:val="Other|1"/>
    <w:basedOn w:val="1"/>
    <w:link w:val="23"/>
    <w:qFormat/>
    <w:uiPriority w:val="0"/>
    <w:pPr>
      <w:spacing w:line="468" w:lineRule="auto"/>
      <w:ind w:firstLine="400"/>
    </w:pPr>
    <w:rPr>
      <w:rFonts w:ascii="宋体" w:hAnsi="宋体" w:eastAsia="宋体" w:cs="宋体"/>
      <w:sz w:val="28"/>
      <w:szCs w:val="28"/>
      <w:lang w:val="zh-TW" w:eastAsia="zh-TW" w:bidi="zh-TW"/>
    </w:rPr>
  </w:style>
  <w:style w:type="character" w:customStyle="1" w:styleId="25">
    <w:name w:val="Table caption|1_"/>
    <w:basedOn w:val="6"/>
    <w:link w:val="26"/>
    <w:qFormat/>
    <w:uiPriority w:val="0"/>
    <w:rPr>
      <w:rFonts w:ascii="宋体" w:hAnsi="宋体" w:eastAsia="宋体" w:cs="宋体"/>
      <w:sz w:val="17"/>
      <w:szCs w:val="17"/>
      <w:u w:val="none"/>
      <w:shd w:val="clear" w:color="auto" w:fill="auto"/>
      <w:lang w:val="zh-TW" w:eastAsia="zh-TW" w:bidi="zh-TW"/>
    </w:rPr>
  </w:style>
  <w:style w:type="paragraph" w:customStyle="1" w:styleId="26">
    <w:name w:val="Table caption|1"/>
    <w:basedOn w:val="1"/>
    <w:link w:val="25"/>
    <w:qFormat/>
    <w:uiPriority w:val="0"/>
    <w:rPr>
      <w:rFonts w:ascii="宋体" w:hAnsi="宋体" w:eastAsia="宋体" w:cs="宋体"/>
      <w:sz w:val="17"/>
      <w:szCs w:val="17"/>
      <w:lang w:val="zh-TW" w:eastAsia="zh-TW" w:bidi="zh-TW"/>
    </w:rPr>
  </w:style>
  <w:style w:type="character" w:customStyle="1" w:styleId="27">
    <w:name w:val="Body text|4_"/>
    <w:basedOn w:val="6"/>
    <w:link w:val="28"/>
    <w:qFormat/>
    <w:uiPriority w:val="0"/>
    <w:rPr>
      <w:rFonts w:ascii="宋体" w:hAnsi="宋体" w:eastAsia="宋体" w:cs="宋体"/>
      <w:sz w:val="17"/>
      <w:szCs w:val="17"/>
      <w:u w:val="none"/>
      <w:shd w:val="clear" w:color="auto" w:fill="auto"/>
      <w:lang w:val="zh-TW" w:eastAsia="zh-TW" w:bidi="zh-TW"/>
    </w:rPr>
  </w:style>
  <w:style w:type="paragraph" w:customStyle="1" w:styleId="28">
    <w:name w:val="Body text|4"/>
    <w:basedOn w:val="1"/>
    <w:link w:val="27"/>
    <w:qFormat/>
    <w:uiPriority w:val="0"/>
    <w:pPr>
      <w:ind w:firstLine="680"/>
    </w:pPr>
    <w:rPr>
      <w:rFonts w:ascii="宋体" w:hAnsi="宋体" w:eastAsia="宋体" w:cs="宋体"/>
      <w:sz w:val="17"/>
      <w:szCs w:val="17"/>
      <w:lang w:val="zh-TW" w:eastAsia="zh-TW" w:bidi="zh-TW"/>
    </w:rPr>
  </w:style>
  <w:style w:type="character" w:customStyle="1" w:styleId="29">
    <w:name w:val="Body text|3_"/>
    <w:basedOn w:val="6"/>
    <w:link w:val="30"/>
    <w:qFormat/>
    <w:uiPriority w:val="0"/>
    <w:rPr>
      <w:sz w:val="30"/>
      <w:szCs w:val="30"/>
      <w:u w:val="none"/>
      <w:shd w:val="clear" w:color="auto" w:fill="auto"/>
      <w:lang w:val="zh-TW" w:eastAsia="zh-TW" w:bidi="zh-TW"/>
    </w:rPr>
  </w:style>
  <w:style w:type="paragraph" w:customStyle="1" w:styleId="30">
    <w:name w:val="Body text|3"/>
    <w:basedOn w:val="1"/>
    <w:link w:val="29"/>
    <w:qFormat/>
    <w:uiPriority w:val="0"/>
    <w:pPr>
      <w:spacing w:after="140" w:line="336" w:lineRule="auto"/>
      <w:ind w:firstLine="370"/>
    </w:pPr>
    <w:rPr>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4.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hart" Target="charts/chart6.xml"/><Relationship Id="rId2" Type="http://schemas.openxmlformats.org/officeDocument/2006/relationships/settings" Target="settings.xml"/><Relationship Id="rId19" Type="http://schemas.openxmlformats.org/officeDocument/2006/relationships/chart" Target="charts/chart5.xml"/><Relationship Id="rId18" Type="http://schemas.openxmlformats.org/officeDocument/2006/relationships/chart" Target="charts/chart4.xml"/><Relationship Id="rId17" Type="http://schemas.openxmlformats.org/officeDocument/2006/relationships/chart" Target="charts/chart3.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formatCode>General</c:formatCode>
                <c:ptCount val="1"/>
                <c:pt idx="0">
                  <c:v>24.51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Pt>
            <c:idx val="2"/>
            <c:bubble3D val="0"/>
          </c:dPt>
          <c:dPt>
            <c:idx val="3"/>
            <c:bubble3D val="0"/>
          </c:dPt>
          <c:dLbls>
            <c:delete val="1"/>
          </c:dLbls>
          <c:cat>
            <c:strRef>
              <c:f>Sheet1!$A$2:$A$5</c:f>
              <c:strCache>
                <c:ptCount val="4"/>
                <c:pt idx="0">
                  <c:v>一般公共服务支出</c:v>
                </c:pt>
                <c:pt idx="1">
                  <c:v>社会保障和就业支出</c:v>
                </c:pt>
                <c:pt idx="2">
                  <c:v>农林水支出</c:v>
                </c:pt>
                <c:pt idx="3">
                  <c:v>住房保障支出</c:v>
                </c:pt>
              </c:strCache>
            </c:strRef>
          </c:cat>
          <c:val>
            <c:numRef>
              <c:f>Sheet1!$B$2:$B$5</c:f>
              <c:numCache>
                <c:formatCode>General</c:formatCode>
                <c:ptCount val="4"/>
                <c:pt idx="0">
                  <c:v>0.24</c:v>
                </c:pt>
                <c:pt idx="1">
                  <c:v>2.86</c:v>
                </c:pt>
                <c:pt idx="2">
                  <c:v>18.92</c:v>
                </c:pt>
                <c:pt idx="3">
                  <c:v>2.49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c:f>
              <c:strCache>
                <c:ptCount val="1"/>
                <c:pt idx="0">
                  <c:v>收入</c:v>
                </c:pt>
              </c:strCache>
            </c:strRef>
          </c:cat>
          <c:val>
            <c:numRef>
              <c:f>Sheet1!$B$2</c:f>
              <c:numCache>
                <c:formatCode>General</c:formatCode>
                <c:ptCount val="1"/>
                <c:pt idx="0">
                  <c:v>22.9</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c:f>
              <c:strCache>
                <c:ptCount val="1"/>
                <c:pt idx="0">
                  <c:v>收入</c:v>
                </c:pt>
              </c:strCache>
            </c:strRef>
          </c:cat>
          <c:val>
            <c:numRef>
              <c:f>Sheet1!$C$2</c:f>
              <c:numCache>
                <c:formatCode>General</c:formatCode>
                <c:ptCount val="1"/>
                <c:pt idx="0">
                  <c:v>24.51</c:v>
                </c:pt>
              </c:numCache>
            </c:numRef>
          </c:val>
        </c:ser>
        <c:ser>
          <c:idx val="2"/>
          <c:order val="2"/>
          <c:tx>
            <c:strRef>
              <c:f>Sheet1!$D$1</c:f>
              <c:strCache>
                <c:ptCount val="1"/>
                <c:pt idx="0">
                  <c:v>MOF_DIV_CODE</c:v>
                </c:pt>
              </c:strCache>
            </c:strRef>
          </c:tx>
          <c:invertIfNegative val="0"/>
          <c:dLbls>
            <c:delete val="1"/>
          </c:dLbls>
          <c:cat>
            <c:strRef>
              <c:f>Sheet1!$A$2</c:f>
              <c:strCache>
                <c:ptCount val="1"/>
                <c:pt idx="0">
                  <c:v>收入</c:v>
                </c:pt>
              </c:strCache>
            </c:strRef>
          </c:cat>
          <c:val>
            <c:numRef>
              <c:f>Sheet1!$D$2</c:f>
              <c:numCache>
                <c:formatCode>General</c:formatCode>
                <c:ptCount val="1"/>
                <c:pt idx="0">
                  <c:v>451226000</c:v>
                </c:pt>
              </c:numCache>
            </c:numRef>
          </c:val>
        </c:ser>
        <c:ser>
          <c:idx val="3"/>
          <c:order val="3"/>
          <c:tx>
            <c:strRef>
              <c:f>Sheet1!$E$1</c:f>
              <c:strCache>
                <c:ptCount val="1"/>
                <c:pt idx="0">
                  <c:v>AGENCY_CODE</c:v>
                </c:pt>
              </c:strCache>
            </c:strRef>
          </c:tx>
          <c:invertIfNegative val="0"/>
          <c:dLbls>
            <c:delete val="1"/>
          </c:dLbls>
          <c:cat>
            <c:strRef>
              <c:f>Sheet1!$A$2</c:f>
              <c:strCache>
                <c:ptCount val="1"/>
                <c:pt idx="0">
                  <c:v>收入</c:v>
                </c:pt>
              </c:strCache>
            </c:strRef>
          </c:cat>
          <c:val>
            <c:numRef>
              <c:f>Sheet1!$E$2</c:f>
              <c:numCache>
                <c:formatCode>General</c:formatCode>
                <c:ptCount val="1"/>
                <c:pt idx="0">
                  <c:v>702008</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一般公共预算支出情况</a:t>
            </a:r>
            <a:endParaRPr lang="en-US" sz="1100"/>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上年</c:v>
                </c:pt>
              </c:strCache>
            </c:strRef>
          </c:cat>
          <c:val>
            <c:numRef>
              <c:f>Sheet1!$B$2</c:f>
              <c:numCache>
                <c:formatCode>General</c:formatCode>
                <c:ptCount val="1"/>
                <c:pt idx="0">
                  <c:v>24.51</c:v>
                </c:pt>
              </c:numCache>
            </c:numRef>
          </c:val>
        </c:ser>
        <c:ser>
          <c:idx val="1"/>
          <c:order val="1"/>
          <c:tx>
            <c:strRef>
              <c:f>Sheet1!$C$1</c:f>
              <c:strCache>
                <c:ptCount val="1"/>
                <c:pt idx="0">
                  <c:v>结转下年支出</c:v>
                </c:pt>
              </c:strCache>
            </c:strRef>
          </c:tx>
          <c:invertIfNegative val="0"/>
          <c:dLbls>
            <c:delete val="1"/>
          </c:dLbls>
          <c:cat>
            <c:strRef>
              <c:f>Sheet1!$A$2</c:f>
              <c:strCache>
                <c:ptCount val="1"/>
                <c:pt idx="0">
                  <c:v>上年</c:v>
                </c:pt>
              </c:strCache>
            </c:strRef>
          </c:cat>
          <c:val>
            <c:numRef>
              <c:f>Sheet1!$C$2</c:f>
              <c:numCache>
                <c:formatCode>General</c:formatCode>
                <c:ptCount val="1"/>
                <c:pt idx="0">
                  <c:v>0</c:v>
                </c:pt>
              </c:numCache>
            </c:numRef>
          </c:val>
        </c:ser>
        <c:ser>
          <c:idx val="2"/>
          <c:order val="2"/>
          <c:tx>
            <c:strRef>
              <c:f>Sheet1!$D$1</c:f>
              <c:strCache>
                <c:ptCount val="1"/>
                <c:pt idx="0">
                  <c:v>项目支出</c:v>
                </c:pt>
              </c:strCache>
            </c:strRef>
          </c:tx>
          <c:invertIfNegative val="0"/>
          <c:dLbls>
            <c:delete val="1"/>
          </c:dLbls>
          <c:cat>
            <c:strRef>
              <c:f>Sheet1!$A$2</c:f>
              <c:strCache>
                <c:ptCount val="1"/>
                <c:pt idx="0">
                  <c:v>上年</c:v>
                </c:pt>
              </c:strCache>
            </c:strRef>
          </c:cat>
          <c:val>
            <c:numRef>
              <c:f>Sheet1!$D$2</c:f>
              <c:numCache>
                <c:formatCode>General</c:formatCode>
                <c:ptCount val="1"/>
                <c:pt idx="0">
                  <c:v>0</c:v>
                </c:pt>
              </c:numCache>
            </c:numRef>
          </c:val>
        </c:ser>
        <c:ser>
          <c:idx val="3"/>
          <c:order val="3"/>
          <c:tx>
            <c:strRef>
              <c:f>Sheet1!$E$1</c:f>
              <c:strCache>
                <c:ptCount val="1"/>
                <c:pt idx="0">
                  <c:v>公用经费</c:v>
                </c:pt>
              </c:strCache>
            </c:strRef>
          </c:tx>
          <c:invertIfNegative val="0"/>
          <c:dLbls>
            <c:delete val="1"/>
          </c:dLbls>
          <c:cat>
            <c:strRef>
              <c:f>Sheet1!$A$2</c:f>
              <c:strCache>
                <c:ptCount val="1"/>
                <c:pt idx="0">
                  <c:v>上年</c:v>
                </c:pt>
              </c:strCache>
            </c:strRef>
          </c:cat>
          <c:val>
            <c:numRef>
              <c:f>Sheet1!$E$2</c:f>
              <c:numCache>
                <c:formatCode>General</c:formatCode>
                <c:ptCount val="1"/>
                <c:pt idx="0">
                  <c:v>0.72</c:v>
                </c:pt>
              </c:numCache>
            </c:numRef>
          </c:val>
        </c:ser>
        <c:ser>
          <c:idx val="4"/>
          <c:order val="4"/>
          <c:tx>
            <c:strRef>
              <c:f>Sheet1!$F$1</c:f>
              <c:strCache>
                <c:ptCount val="1"/>
                <c:pt idx="0">
                  <c:v>人员经费</c:v>
                </c:pt>
              </c:strCache>
            </c:strRef>
          </c:tx>
          <c:invertIfNegative val="0"/>
          <c:dLbls>
            <c:delete val="1"/>
          </c:dLbls>
          <c:cat>
            <c:strRef>
              <c:f>Sheet1!$A$2</c:f>
              <c:strCache>
                <c:ptCount val="1"/>
                <c:pt idx="0">
                  <c:v>上年</c:v>
                </c:pt>
              </c:strCache>
            </c:strRef>
          </c:cat>
          <c:val>
            <c:numRef>
              <c:f>Sheet1!$F$2</c:f>
              <c:numCache>
                <c:formatCode>General</c:formatCode>
                <c:ptCount val="1"/>
                <c:pt idx="0">
                  <c:v>23.8</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一般公共预算基本支出情况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Lbls>
            <c:delete val="1"/>
          </c:dLbls>
          <c:cat>
            <c:strRef>
              <c:f>Sheet1!$A$2:$A$3</c:f>
              <c:strCache>
                <c:ptCount val="2"/>
                <c:pt idx="0">
                  <c:v>人员经费</c:v>
                </c:pt>
                <c:pt idx="1">
                  <c:v>公用经费</c:v>
                </c:pt>
              </c:strCache>
            </c:strRef>
          </c:cat>
          <c:val>
            <c:numRef>
              <c:f>Sheet1!$B$2:$B$3</c:f>
              <c:numCache>
                <c:formatCode>General</c:formatCode>
                <c:ptCount val="2"/>
                <c:pt idx="0">
                  <c:v>23.8</c:v>
                </c:pt>
                <c:pt idx="1">
                  <c:v>0.72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c:v>
                </c:pt>
                <c:pt idx="1">
                  <c:v>0</c:v>
                </c:pt>
                <c:pt idx="2">
                  <c:v>0</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c:v>
                </c:pt>
                <c:pt idx="1">
                  <c:v>0</c:v>
                </c:pt>
                <c:pt idx="2">
                  <c:v>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DC93C90D53BE4108B92996B0242E3918_13</vt:lpwstr>
  </property>
</Properties>
</file>

<file path=customXml/item3.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19</TotalTime>
  <ScaleCrop>false</ScaleCrop>
  <LinksUpToDate>false</LinksUpToDate>
  <CharactersWithSpaces>11333</CharactersWithSpaces>
  <Application>WPS Office_12.1.0.16388_F1E327BC-269C-435d-A152-05C5408002CA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黄凯璇</cp:lastModifiedBy>
  <dcterms:modified xsi:type="dcterms:W3CDTF">2024-02-28T09:06:10Z</dcterms:modified>
  <cp:revision>3</cp:revision>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523e42-379e-4850-a891-d3b52ad11ae7}">
  <ds:schemaRefs/>
</ds:datastoreItem>
</file>

<file path=customXml/itemProps3.xml><?xml version="1.0" encoding="utf-8"?>
<ds:datastoreItem xmlns:ds="http://schemas.openxmlformats.org/officeDocument/2006/customXml" ds:itemID="{a5f24914-1e30-4c70-bb49-5f546d708edb}">
  <ds:schemaRefs/>
</ds:datastoreItem>
</file>

<file path=customXml/itemProps4.xml><?xml version="1.0" encoding="utf-8"?>
<ds:datastoreItem xmlns:ds="http://schemas.openxmlformats.org/officeDocument/2006/customXml" ds:itemID="{1c7bba2e-4650-4148-84dc-a8f303708957}">
  <ds:schemaRefs/>
</ds:datastoreItem>
</file>

<file path=docProps/app.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19</TotalTime>
  <ScaleCrop>false</ScaleCrop>
  <LinksUpToDate>false</LinksUpToDate>
  <CharactersWithSpaces>11333</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2023-02-07T06:11:00Z</dcterms:created>
  <dc:creator>蔡冬冬</dc:creator>
  <cp:lastModifiedBy>HJCL</cp:lastModifiedBy>
  <dcterms:modified xsi:type="dcterms:W3CDTF">2024-02-29T01:47:39Z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0486CCABFB4E42AE82AD076241057BAD</vt:lpwstr>
  </property>
</Properties>
</file>