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环江毛南族自治县大才乡卫生和计划生育服务所</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1"/>
      <w:bookmarkStart w:id="1" w:name="bookmark2"/>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环江毛南族自治县大才乡卫生和计划生育服务所单位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环江毛南族自治县大才乡卫生和计划生育服务所2024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环江毛南族自治县大才乡卫生和计划生育服务所2024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2"/>
      <w:bookmarkStart w:id="4" w:name="bookmark13"/>
      <w:bookmarkStart w:id="5" w:name="bookmark14"/>
    </w:p>
    <w:p>
      <w:pPr>
        <w:pStyle w:val="12"/>
        <w:keepNext/>
        <w:keepLines/>
        <w:spacing w:after="560"/>
        <w:jc w:val="center"/>
        <w:rPr>
          <w:b/>
          <w:bCs/>
        </w:rPr>
      </w:pPr>
      <w:r>
        <w:rPr>
          <w:b/>
          <w:bCs/>
        </w:rPr>
        <w:t>第一部分</w:t>
      </w:r>
      <w:r>
        <w:rPr>
          <w:rFonts w:hint="eastAsia"/>
          <w:b/>
          <w:bCs/>
          <w:lang w:eastAsia="zh-CN"/>
        </w:rPr>
        <w:t>：</w:t>
      </w:r>
      <w:r>
        <w:rPr>
          <w:b/>
          <w:u w:color="auto"/>
        </w:rPr>
        <w:t>环江毛南族自治县大才乡卫生和计划生育服务所</w:t>
      </w:r>
      <w:r>
        <w:rPr>
          <w:b/>
          <w:bCs/>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大才乡计生所主要职能是：在镇分管领导的直接领导下开展工作;负责国家人口和计划生育政策的宣传教育,依法管理辖区内人口和计划生育工作,与人口和计划生育服务所合署办公;组织本镇计生工作人员学习计生政策和上级决议、指示精神;互相配合,做好计生经常性工作,共同完成上级下达人口计划任务;宣传计生有关政策;了解本镇、村的育龄妇女情况,及时反馈信息;与计生所人员一起共同做好计生服务工作;完成上级交办的其他事项,完成镇党委、政府布置的各项中心工作任务</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本部门人员编制数为5人，实际在编人数5人，本部门独立编制预算，经本机财政单独批复，独立公开预算，均在主管单位环江县财政局公开专栏独立公开</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rPr>
      </w:pPr>
      <w:bookmarkStart w:id="7" w:name="bookmark68"/>
      <w:bookmarkStart w:id="8" w:name="bookmark70"/>
      <w:bookmarkStart w:id="9" w:name="bookmark69"/>
      <w:bookmarkStart w:id="10" w:name="bookmark28"/>
      <w:bookmarkStart w:id="11" w:name="bookmark27"/>
      <w:bookmarkStart w:id="12" w:name="bookmark26"/>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环江毛南族自治县大才乡卫生和计划生育服务所</w:t>
      </w:r>
      <w:r>
        <w:rPr>
          <w:b/>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59.91</w:t>
      </w:r>
      <w:r>
        <w:rPr>
          <w:rFonts w:hint="eastAsia"/>
          <w:b w:val="0"/>
          <w:bCs w:val="0"/>
          <w:sz w:val="28"/>
          <w:szCs w:val="28"/>
        </w:rPr>
        <w:t>万元，总支出</w:t>
      </w:r>
      <w:r>
        <w:rPr>
          <w:rFonts w:hint="eastAsia"/>
          <w:sz w:val="28"/>
          <w:szCs w:val="28"/>
          <w:lang w:val="en-US" w:eastAsia="zh-CN"/>
        </w:rPr>
        <w:t>59.91</w:t>
      </w:r>
      <w:r>
        <w:rPr>
          <w:rFonts w:hint="eastAsia"/>
          <w:b w:val="0"/>
          <w:bCs w:val="0"/>
          <w:sz w:val="28"/>
          <w:szCs w:val="28"/>
        </w:rPr>
        <w:t>万元。总收入较2023年度预算数</w:t>
      </w:r>
      <w:r>
        <w:rPr>
          <w:rFonts w:hint="eastAsia"/>
          <w:sz w:val="28"/>
          <w:szCs w:val="28"/>
          <w:lang w:val="en-US" w:eastAsia="zh-CN"/>
        </w:rPr>
        <w:t>57.42</w:t>
      </w:r>
      <w:r>
        <w:rPr>
          <w:rFonts w:hint="eastAsia"/>
          <w:b w:val="0"/>
          <w:bCs w:val="0"/>
          <w:sz w:val="28"/>
          <w:szCs w:val="28"/>
        </w:rPr>
        <w:t>万元，</w:t>
      </w:r>
      <w:r>
        <w:rPr>
          <w:rFonts w:hint="eastAsia"/>
          <w:sz w:val="28"/>
          <w:szCs w:val="28"/>
        </w:rPr>
        <w:t>增加2.49</w:t>
      </w:r>
      <w:r>
        <w:rPr>
          <w:rFonts w:hint="eastAsia"/>
          <w:b w:val="0"/>
          <w:bCs w:val="0"/>
          <w:sz w:val="28"/>
          <w:szCs w:val="28"/>
        </w:rPr>
        <w:t>万元，</w:t>
      </w:r>
      <w:r>
        <w:rPr>
          <w:rFonts w:hint="eastAsia"/>
          <w:sz w:val="28"/>
          <w:szCs w:val="28"/>
        </w:rPr>
        <w:t>增长4.34%</w:t>
      </w:r>
      <w:r>
        <w:rPr>
          <w:rFonts w:hint="eastAsia"/>
          <w:b w:val="0"/>
          <w:bCs w:val="0"/>
          <w:sz w:val="28"/>
          <w:szCs w:val="28"/>
        </w:rPr>
        <w:t>，主要原因是</w:t>
      </w:r>
      <w:r>
        <w:rPr>
          <w:rFonts w:hint="eastAsia"/>
          <w:highlight w:val="none"/>
          <w:lang w:val="en-US" w:eastAsia="zh-CN"/>
        </w:rPr>
        <w:t>有新进人员，工资福利和经费支出增加，增加基础性绩效工资增量</w:t>
      </w:r>
      <w:r>
        <w:rPr>
          <w:rFonts w:hint="eastAsia"/>
          <w:b w:val="0"/>
          <w:bCs w:val="0"/>
          <w:sz w:val="28"/>
          <w:szCs w:val="28"/>
        </w:rPr>
        <w:t>。总支出较2023年度预算数</w:t>
      </w:r>
      <w:r>
        <w:rPr>
          <w:rFonts w:hint="eastAsia"/>
          <w:sz w:val="28"/>
          <w:szCs w:val="28"/>
          <w:lang w:val="en-US" w:eastAsia="zh-CN"/>
        </w:rPr>
        <w:t>57.42</w:t>
      </w:r>
      <w:r>
        <w:rPr>
          <w:rFonts w:hint="eastAsia"/>
          <w:b w:val="0"/>
          <w:bCs w:val="0"/>
          <w:sz w:val="28"/>
          <w:szCs w:val="28"/>
        </w:rPr>
        <w:t>万元，</w:t>
      </w:r>
      <w:r>
        <w:rPr>
          <w:rFonts w:hint="eastAsia"/>
          <w:sz w:val="28"/>
          <w:szCs w:val="28"/>
        </w:rPr>
        <w:t>增加2.49</w:t>
      </w:r>
      <w:r>
        <w:rPr>
          <w:rFonts w:hint="eastAsia"/>
          <w:b w:val="0"/>
          <w:bCs w:val="0"/>
          <w:sz w:val="28"/>
          <w:szCs w:val="28"/>
        </w:rPr>
        <w:t>万元，</w:t>
      </w:r>
      <w:r>
        <w:rPr>
          <w:rFonts w:hint="eastAsia"/>
          <w:sz w:val="28"/>
          <w:szCs w:val="28"/>
        </w:rPr>
        <w:t>增长4.34%</w:t>
      </w:r>
      <w:r>
        <w:rPr>
          <w:rFonts w:hint="eastAsia"/>
          <w:b w:val="0"/>
          <w:bCs w:val="0"/>
          <w:sz w:val="28"/>
          <w:szCs w:val="28"/>
        </w:rPr>
        <w:t>，主要原因是</w:t>
      </w:r>
      <w:r>
        <w:rPr>
          <w:rFonts w:hint="eastAsia"/>
          <w:highlight w:val="none"/>
          <w:lang w:val="en-US" w:eastAsia="zh-CN"/>
        </w:rPr>
        <w:t>有新进人员，工资福利和经费支出增加，增加基础性绩效工资增量</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84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59.91</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57.42</w:t>
      </w:r>
      <w:r>
        <w:rPr>
          <w:rFonts w:hint="eastAsia" w:ascii="宋体" w:hAnsi="宋体" w:eastAsia="宋体" w:cs="宋体"/>
          <w:sz w:val="28"/>
          <w:szCs w:val="28"/>
          <w:u w:color="auto"/>
        </w:rPr>
        <w:t>万元，</w:t>
      </w:r>
      <w:r>
        <w:rPr>
          <w:rFonts w:hint="eastAsia" w:ascii="宋体" w:hAnsi="宋体" w:eastAsia="宋体" w:cs="宋体"/>
          <w:sz w:val="28"/>
          <w:szCs w:val="28"/>
        </w:rPr>
        <w:t>增加2.49</w:t>
      </w:r>
      <w:r>
        <w:rPr>
          <w:rFonts w:hint="eastAsia" w:ascii="宋体" w:hAnsi="宋体" w:eastAsia="宋体" w:cs="宋体"/>
          <w:sz w:val="28"/>
          <w:szCs w:val="28"/>
          <w:u w:color="auto"/>
        </w:rPr>
        <w:t>万元，</w:t>
      </w:r>
      <w:r>
        <w:rPr>
          <w:rFonts w:hint="eastAsia" w:ascii="宋体" w:hAnsi="宋体" w:eastAsia="宋体" w:cs="宋体"/>
          <w:sz w:val="28"/>
          <w:szCs w:val="28"/>
        </w:rPr>
        <w:t>增长4.34%</w:t>
      </w:r>
      <w:r>
        <w:rPr>
          <w:rFonts w:hint="eastAsia" w:ascii="宋体" w:hAnsi="宋体" w:eastAsia="宋体" w:cs="宋体"/>
          <w:sz w:val="28"/>
          <w:szCs w:val="28"/>
          <w:u w:color="auto"/>
        </w:rPr>
        <w:t>，主要原因是</w:t>
      </w:r>
      <w:r>
        <w:rPr>
          <w:rFonts w:hint="eastAsia"/>
          <w:highlight w:val="none"/>
          <w:lang w:val="en-US" w:eastAsia="zh-CN"/>
        </w:rPr>
        <w:t>有新进人员，工资福利和经费支出增加，增加基础性绩效工资增量</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384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59.91</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57.42</w:t>
      </w:r>
      <w:r>
        <w:rPr>
          <w:rFonts w:hint="eastAsia" w:ascii="宋体" w:hAnsi="宋体" w:eastAsia="宋体" w:cs="宋体"/>
          <w:sz w:val="28"/>
          <w:szCs w:val="28"/>
          <w:lang w:eastAsia="zh-CN"/>
        </w:rPr>
        <w:t>万元，</w:t>
      </w:r>
      <w:r>
        <w:rPr>
          <w:rFonts w:hint="eastAsia" w:ascii="宋体" w:hAnsi="宋体" w:eastAsia="宋体" w:cs="宋体"/>
          <w:sz w:val="28"/>
          <w:szCs w:val="28"/>
        </w:rPr>
        <w:t>增加2.49</w:t>
      </w:r>
      <w:r>
        <w:rPr>
          <w:rFonts w:hint="eastAsia" w:ascii="宋体" w:hAnsi="宋体" w:eastAsia="宋体" w:cs="宋体"/>
          <w:sz w:val="28"/>
          <w:szCs w:val="28"/>
          <w:lang w:eastAsia="zh-CN"/>
        </w:rPr>
        <w:t>万元，</w:t>
      </w:r>
      <w:r>
        <w:rPr>
          <w:rFonts w:hint="eastAsia" w:ascii="宋体" w:hAnsi="宋体" w:eastAsia="宋体" w:cs="宋体"/>
          <w:sz w:val="28"/>
          <w:szCs w:val="28"/>
        </w:rPr>
        <w:t>增长4.34%</w:t>
      </w:r>
      <w:r>
        <w:rPr>
          <w:rFonts w:hint="eastAsia" w:ascii="宋体" w:hAnsi="宋体" w:eastAsia="宋体" w:cs="宋体"/>
          <w:sz w:val="28"/>
          <w:szCs w:val="28"/>
          <w:lang w:eastAsia="zh-CN"/>
        </w:rPr>
        <w:t>，主要原因是</w:t>
      </w:r>
      <w:r>
        <w:rPr>
          <w:rFonts w:hint="eastAsia"/>
          <w:highlight w:val="none"/>
          <w:lang w:val="en-US" w:eastAsia="zh-CN"/>
        </w:rPr>
        <w:t>有新进人员，工资福利和经费支出增加，增加基础性绩效工资增量</w:t>
      </w:r>
      <w:r>
        <w:rPr>
          <w:rFonts w:hint="eastAsia" w:ascii="Times New Roman" w:hAnsi="Times New Roman" w:cs="Times New Roman"/>
          <w:sz w:val="30"/>
          <w:szCs w:val="30"/>
          <w:lang w:eastAsia="zh-CN"/>
        </w:rPr>
        <w:t>。主要包括：</w:t>
      </w:r>
      <w:r>
        <w:rPr>
          <w:rFonts w:hint="eastAsia"/>
          <w:highlight w:val="none"/>
          <w:lang w:val="en-US" w:eastAsia="zh-CN"/>
        </w:rPr>
        <w:t>有新进人员，工资福利和经费支出增加，增加基础性绩效工资增量</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1)卫生健康支出</w:t>
      </w:r>
      <w:r>
        <w:rPr>
          <w:rFonts w:hint="eastAsia"/>
          <w:lang w:val="en-US" w:eastAsia="zh-CN"/>
        </w:rPr>
        <w:t>46.42</w:t>
      </w:r>
      <w:r>
        <w:rPr>
          <w:rFonts w:hint="eastAsia"/>
        </w:rPr>
        <w:t>万元，占支出总预算</w:t>
      </w:r>
      <w:r>
        <w:rPr>
          <w:rFonts w:hint="eastAsia"/>
          <w:lang w:val="en-US" w:eastAsia="zh-CN"/>
        </w:rPr>
        <w:t>77.48%</w:t>
      </w:r>
      <w:r>
        <w:rPr>
          <w:rFonts w:hint="eastAsia"/>
        </w:rPr>
        <w:t>,比上年</w:t>
      </w:r>
      <w:r>
        <w:rPr>
          <w:rFonts w:hint="eastAsia"/>
          <w:lang w:val="en-US" w:eastAsia="zh-CN"/>
        </w:rPr>
        <w:t>增长2.54</w:t>
      </w:r>
      <w:r>
        <w:rPr>
          <w:rFonts w:hint="eastAsia"/>
        </w:rPr>
        <w:t>万元，</w:t>
      </w:r>
      <w:r>
        <w:rPr>
          <w:rFonts w:hint="eastAsia"/>
          <w:lang w:val="en-US" w:eastAsia="zh-CN"/>
        </w:rPr>
        <w:t>增长5.79%</w:t>
      </w:r>
      <w:r>
        <w:rPr>
          <w:rFonts w:hint="eastAsia"/>
        </w:rPr>
        <w:t>,</w:t>
      </w:r>
      <w:r>
        <w:rPr>
          <w:rFonts w:hint="eastAsia"/>
          <w:highlight w:val="none"/>
        </w:rPr>
        <w:t>主要原因是：</w:t>
      </w:r>
      <w:r>
        <w:rPr>
          <w:rFonts w:hint="eastAsia"/>
          <w:highlight w:val="none"/>
          <w:lang w:val="en-US" w:eastAsia="zh-CN"/>
        </w:rPr>
        <w:t>有新进人员，工资福利和经费支出增加，增加基础性绩效工资增量</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2)住房保障支出</w:t>
      </w:r>
      <w:r>
        <w:rPr>
          <w:rFonts w:hint="eastAsia"/>
          <w:lang w:val="en-US" w:eastAsia="zh-CN"/>
        </w:rPr>
        <w:t>6.04</w:t>
      </w:r>
      <w:r>
        <w:rPr>
          <w:rFonts w:hint="eastAsia"/>
        </w:rPr>
        <w:t>万元，占支出总预算</w:t>
      </w:r>
      <w:r>
        <w:rPr>
          <w:rFonts w:hint="eastAsia"/>
          <w:lang w:val="en-US" w:eastAsia="zh-CN"/>
        </w:rPr>
        <w:t>10.08%</w:t>
      </w:r>
      <w:r>
        <w:rPr>
          <w:rFonts w:hint="eastAsia"/>
        </w:rPr>
        <w:t>,比上年</w:t>
      </w:r>
      <w:r>
        <w:rPr>
          <w:rFonts w:hint="eastAsia"/>
          <w:lang w:val="en-US" w:eastAsia="zh-CN"/>
        </w:rPr>
        <w:t>增长0.63</w:t>
      </w:r>
      <w:r>
        <w:rPr>
          <w:rFonts w:hint="eastAsia"/>
        </w:rPr>
        <w:t>万元，</w:t>
      </w:r>
      <w:r>
        <w:rPr>
          <w:rFonts w:hint="eastAsia"/>
          <w:lang w:val="en-US" w:eastAsia="zh-CN"/>
        </w:rPr>
        <w:t>增长11.65%</w:t>
      </w:r>
      <w:r>
        <w:rPr>
          <w:rFonts w:hint="eastAsia"/>
        </w:rPr>
        <w:t>,</w:t>
      </w:r>
      <w:r>
        <w:rPr>
          <w:rFonts w:hint="eastAsia"/>
          <w:highlight w:val="none"/>
        </w:rPr>
        <w:t>主要原因是：</w:t>
      </w:r>
      <w:r>
        <w:rPr>
          <w:rFonts w:hint="eastAsia"/>
          <w:highlight w:val="none"/>
          <w:lang w:val="en-US" w:eastAsia="zh-CN"/>
        </w:rPr>
        <w:t>住房公积金按新基数，需要增加公积金预算</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3)一般公共服务支出</w:t>
      </w:r>
      <w:r>
        <w:rPr>
          <w:rFonts w:hint="eastAsia"/>
          <w:lang w:val="en-US" w:eastAsia="zh-CN"/>
        </w:rPr>
        <w:t>0.56</w:t>
      </w:r>
      <w:r>
        <w:rPr>
          <w:rFonts w:hint="eastAsia"/>
        </w:rPr>
        <w:t>万元，占支出总预算</w:t>
      </w:r>
      <w:r>
        <w:rPr>
          <w:rFonts w:hint="eastAsia"/>
          <w:lang w:val="en-US" w:eastAsia="zh-CN"/>
        </w:rPr>
        <w:t>0.93%</w:t>
      </w:r>
      <w:r>
        <w:rPr>
          <w:rFonts w:hint="eastAsia"/>
        </w:rPr>
        <w:t>,比上年</w:t>
      </w:r>
      <w:r>
        <w:rPr>
          <w:rFonts w:hint="eastAsia"/>
          <w:lang w:val="en-US" w:eastAsia="zh-CN"/>
        </w:rPr>
        <w:t>减少0.34</w:t>
      </w:r>
      <w:r>
        <w:rPr>
          <w:rFonts w:hint="eastAsia"/>
        </w:rPr>
        <w:t>万元，</w:t>
      </w:r>
      <w:r>
        <w:rPr>
          <w:rFonts w:hint="eastAsia"/>
          <w:lang w:val="en-US" w:eastAsia="zh-CN"/>
        </w:rPr>
        <w:t>减少37.78%</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4)社会保障和就业支出</w:t>
      </w:r>
      <w:r>
        <w:rPr>
          <w:rFonts w:hint="eastAsia"/>
          <w:lang w:val="en-US" w:eastAsia="zh-CN"/>
        </w:rPr>
        <w:t>6.90</w:t>
      </w:r>
      <w:r>
        <w:rPr>
          <w:rFonts w:hint="eastAsia"/>
        </w:rPr>
        <w:t>万元，占支出总预算</w:t>
      </w:r>
      <w:r>
        <w:rPr>
          <w:rFonts w:hint="eastAsia"/>
          <w:lang w:val="en-US" w:eastAsia="zh-CN"/>
        </w:rPr>
        <w:t>11.52%</w:t>
      </w:r>
      <w:r>
        <w:rPr>
          <w:rFonts w:hint="eastAsia"/>
        </w:rPr>
        <w:t>,比上年</w:t>
      </w:r>
      <w:r>
        <w:rPr>
          <w:rFonts w:hint="eastAsia"/>
          <w:lang w:val="en-US" w:eastAsia="zh-CN"/>
        </w:rPr>
        <w:t>减少0.32</w:t>
      </w:r>
      <w:r>
        <w:rPr>
          <w:rFonts w:hint="eastAsia"/>
        </w:rPr>
        <w:t>万元，</w:t>
      </w:r>
      <w:r>
        <w:rPr>
          <w:rFonts w:hint="eastAsia"/>
          <w:lang w:val="en-US" w:eastAsia="zh-CN"/>
        </w:rPr>
        <w:t>减少4.43%</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59.91</w:t>
      </w:r>
      <w:r>
        <w:rPr>
          <w:rFonts w:hint="eastAsia"/>
        </w:rPr>
        <w:t>万元，占支出预算</w:t>
      </w:r>
      <w:r>
        <w:rPr>
          <w:u w:color="auto"/>
        </w:rPr>
        <w:t>100.00%,比上年增长2.49万元，增长4.34%</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56.25</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93.89%</w:t>
      </w:r>
      <w:r>
        <w:rPr>
          <w:rFonts w:hint="eastAsia"/>
        </w:rPr>
        <w:t>,</w:t>
      </w:r>
      <w:r>
        <w:t>比上年</w:t>
      </w:r>
      <w:r>
        <w:rPr>
          <w:rFonts w:hint="eastAsia"/>
        </w:rPr>
        <w:t>增长2.82</w:t>
      </w:r>
      <w:r>
        <w:t>万元，</w:t>
      </w:r>
      <w:r>
        <w:rPr>
          <w:rFonts w:hint="eastAsia"/>
        </w:rPr>
        <w:t>增长5.28%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有新进人员，工资福利和经费支出增加，增加基础性绩效工资增量</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3.61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6.03%</w:t>
      </w:r>
      <w:r>
        <w:rPr>
          <w:rFonts w:hint="eastAsia"/>
        </w:rPr>
        <w:t>,</w:t>
      </w:r>
      <w:r>
        <w:t>比上年</w:t>
      </w:r>
      <w:r>
        <w:rPr>
          <w:rFonts w:hint="eastAsia"/>
        </w:rPr>
        <w:t>减少0.34</w:t>
      </w:r>
      <w:r>
        <w:t>万元，</w:t>
      </w:r>
      <w:r>
        <w:rPr>
          <w:rFonts w:hint="eastAsia"/>
        </w:rPr>
        <w:t>减少8.61%</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践行中央过紧日子的文件精神，缩减经费开支</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0.05</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0.08%</w:t>
      </w:r>
      <w:r>
        <w:rPr>
          <w:rFonts w:hint="eastAsia"/>
        </w:rPr>
        <w:t>,</w:t>
      </w:r>
      <w:r>
        <w:t>比上年</w:t>
      </w:r>
      <w:r>
        <w:rPr>
          <w:rFonts w:hint="eastAsia"/>
        </w:rPr>
        <w:t>增长0.01</w:t>
      </w:r>
      <w:r>
        <w:t>万元，</w:t>
      </w:r>
      <w:r>
        <w:rPr>
          <w:rFonts w:hint="eastAsia"/>
        </w:rPr>
        <w:t>增长25.00%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有新进人员，工资福利和经费支出增加，增加基础性绩效工资增量</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84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59.91</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59.91</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57.42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增加2.49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增长4.34%</w:t>
      </w:r>
      <w:r>
        <w:rPr>
          <w:rFonts w:hint="eastAsia" w:ascii="宋体" w:hAnsi="宋体" w:eastAsia="宋体" w:cs="宋体"/>
          <w:sz w:val="28"/>
          <w:szCs w:val="28"/>
        </w:rPr>
        <w:t>，主要原因是</w:t>
      </w:r>
      <w:r>
        <w:rPr>
          <w:rFonts w:hint="eastAsia"/>
          <w:highlight w:val="none"/>
          <w:lang w:val="en-US" w:eastAsia="zh-CN"/>
        </w:rPr>
        <w:t>有新进人员，工资福利和经费支出增加，增加基础性绩效工资增量</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57.42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增加2.49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增长4.34%</w:t>
      </w:r>
      <w:r>
        <w:rPr>
          <w:rFonts w:hint="eastAsia" w:ascii="宋体" w:hAnsi="宋体" w:eastAsia="宋体" w:cs="宋体"/>
          <w:sz w:val="28"/>
          <w:szCs w:val="28"/>
        </w:rPr>
        <w:t>，主要原因是</w:t>
      </w:r>
      <w:r>
        <w:rPr>
          <w:rFonts w:hint="eastAsia"/>
          <w:highlight w:val="none"/>
          <w:lang w:val="en-US" w:eastAsia="zh-CN"/>
        </w:rPr>
        <w:t>有新进人员，工资福利和经费支出增加，增加基础性绩效工资增量</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384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59.91</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57.42</w:t>
      </w:r>
      <w:r>
        <w:rPr>
          <w:rFonts w:hint="eastAsia" w:ascii="宋体" w:hAnsi="宋体" w:eastAsia="宋体" w:cs="宋体"/>
          <w:sz w:val="28"/>
          <w:szCs w:val="28"/>
        </w:rPr>
        <w:t>万元，</w:t>
      </w:r>
      <w:r>
        <w:rPr>
          <w:rFonts w:hint="eastAsia" w:ascii="宋体" w:hAnsi="宋体" w:eastAsia="宋体" w:cs="宋体"/>
          <w:sz w:val="28"/>
          <w:szCs w:val="28"/>
          <w:lang w:val="en-US" w:eastAsia="zh-CN"/>
        </w:rPr>
        <w:t>增加2.49</w:t>
      </w:r>
      <w:r>
        <w:rPr>
          <w:rFonts w:hint="eastAsia" w:ascii="宋体" w:hAnsi="宋体" w:eastAsia="宋体" w:cs="宋体"/>
          <w:sz w:val="28"/>
          <w:szCs w:val="28"/>
        </w:rPr>
        <w:t>万元，</w:t>
      </w:r>
      <w:r>
        <w:rPr>
          <w:rFonts w:hint="eastAsia" w:ascii="宋体" w:hAnsi="宋体" w:eastAsia="宋体" w:cs="宋体"/>
          <w:sz w:val="28"/>
          <w:szCs w:val="28"/>
          <w:lang w:val="en-US" w:eastAsia="zh-CN"/>
        </w:rPr>
        <w:t>增长4.34%</w:t>
      </w:r>
      <w:r>
        <w:rPr>
          <w:rFonts w:hint="eastAsia" w:ascii="宋体" w:hAnsi="宋体" w:eastAsia="宋体" w:cs="宋体"/>
          <w:sz w:val="28"/>
          <w:szCs w:val="28"/>
        </w:rPr>
        <w:t>，主要原因是</w:t>
      </w:r>
      <w:r>
        <w:rPr>
          <w:rFonts w:hint="eastAsia"/>
          <w:highlight w:val="none"/>
          <w:lang w:val="en-US" w:eastAsia="zh-CN"/>
        </w:rPr>
        <w:t>有新进人员，工资福利和经费支出增加，增加基础性绩效工资增量</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0.56</w:t>
      </w:r>
      <w:r>
        <w:rPr>
          <w:rFonts w:hint="eastAsia" w:ascii="宋体" w:hAnsi="宋体" w:eastAsia="宋体" w:cs="宋体"/>
          <w:sz w:val="28"/>
          <w:szCs w:val="28"/>
        </w:rPr>
        <w:t>万元，占支出总预算的</w:t>
      </w:r>
      <w:r>
        <w:rPr>
          <w:rFonts w:ascii="宋体" w:hAnsi="宋体" w:eastAsia="宋体" w:cs="宋体"/>
          <w:sz w:val="28"/>
          <w:u w:color="auto"/>
        </w:rPr>
        <w:t>0.93%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0.90</w:t>
      </w:r>
      <w:r>
        <w:rPr>
          <w:rFonts w:hint="eastAsia" w:ascii="宋体" w:hAnsi="宋体" w:eastAsia="宋体" w:cs="宋体"/>
          <w:sz w:val="28"/>
          <w:szCs w:val="28"/>
        </w:rPr>
        <w:t>万元，</w:t>
      </w:r>
      <w:r>
        <w:rPr>
          <w:rFonts w:ascii="宋体" w:hAnsi="宋体" w:eastAsia="宋体" w:cs="宋体"/>
          <w:sz w:val="28"/>
          <w:u w:color="auto"/>
        </w:rPr>
        <w:t>减少0.34</w:t>
      </w:r>
      <w:r>
        <w:rPr>
          <w:rFonts w:hint="eastAsia" w:ascii="宋体" w:hAnsi="宋体" w:eastAsia="宋体" w:cs="宋体"/>
          <w:sz w:val="28"/>
          <w:szCs w:val="28"/>
        </w:rPr>
        <w:t>万元，</w:t>
      </w:r>
      <w:r>
        <w:rPr>
          <w:rFonts w:ascii="宋体" w:hAnsi="宋体" w:eastAsia="宋体" w:cs="宋体"/>
          <w:sz w:val="28"/>
          <w:u w:color="auto"/>
        </w:rPr>
        <w:t>减少37.78%</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6.04</w:t>
      </w:r>
      <w:r>
        <w:rPr>
          <w:rFonts w:hint="eastAsia" w:ascii="宋体" w:hAnsi="宋体" w:eastAsia="宋体" w:cs="宋体"/>
          <w:sz w:val="28"/>
          <w:szCs w:val="28"/>
        </w:rPr>
        <w:t>万元，占支出总预算的</w:t>
      </w:r>
      <w:r>
        <w:rPr>
          <w:rFonts w:ascii="宋体" w:hAnsi="宋体" w:eastAsia="宋体" w:cs="宋体"/>
          <w:sz w:val="28"/>
          <w:u w:color="auto"/>
        </w:rPr>
        <w:t>10.08%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5.41</w:t>
      </w:r>
      <w:r>
        <w:rPr>
          <w:rFonts w:hint="eastAsia" w:ascii="宋体" w:hAnsi="宋体" w:eastAsia="宋体" w:cs="宋体"/>
          <w:sz w:val="28"/>
          <w:szCs w:val="28"/>
        </w:rPr>
        <w:t>万元，</w:t>
      </w:r>
      <w:r>
        <w:rPr>
          <w:rFonts w:ascii="宋体" w:hAnsi="宋体" w:eastAsia="宋体" w:cs="宋体"/>
          <w:sz w:val="28"/>
          <w:u w:color="auto"/>
        </w:rPr>
        <w:t>增长0.63</w:t>
      </w:r>
      <w:r>
        <w:rPr>
          <w:rFonts w:hint="eastAsia" w:ascii="宋体" w:hAnsi="宋体" w:eastAsia="宋体" w:cs="宋体"/>
          <w:sz w:val="28"/>
          <w:szCs w:val="28"/>
        </w:rPr>
        <w:t>万元，</w:t>
      </w:r>
      <w:r>
        <w:rPr>
          <w:rFonts w:ascii="宋体" w:hAnsi="宋体" w:eastAsia="宋体" w:cs="宋体"/>
          <w:sz w:val="28"/>
          <w:u w:color="auto"/>
        </w:rPr>
        <w:t>增长11.65%</w:t>
      </w:r>
      <w:r>
        <w:rPr>
          <w:rFonts w:hint="eastAsia" w:ascii="宋体" w:hAnsi="宋体" w:eastAsia="宋体" w:cs="宋体"/>
          <w:sz w:val="28"/>
          <w:szCs w:val="28"/>
        </w:rPr>
        <w:t>，主要原因是：</w:t>
      </w:r>
      <w:r>
        <w:rPr>
          <w:rFonts w:hint="eastAsia"/>
          <w:highlight w:val="none"/>
        </w:rPr>
        <w:t>住房公积金按新基数，需要增加公积金预算</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卫生健康支出（类）支出</w:t>
      </w:r>
      <w:r>
        <w:rPr>
          <w:rFonts w:ascii="宋体" w:hAnsi="宋体" w:eastAsia="宋体" w:cs="宋体"/>
          <w:sz w:val="28"/>
          <w:u w:color="auto"/>
        </w:rPr>
        <w:t>46.42</w:t>
      </w:r>
      <w:r>
        <w:rPr>
          <w:rFonts w:hint="eastAsia" w:ascii="宋体" w:hAnsi="宋体" w:eastAsia="宋体" w:cs="宋体"/>
          <w:sz w:val="28"/>
          <w:szCs w:val="28"/>
        </w:rPr>
        <w:t>万元，占支出总预算的</w:t>
      </w:r>
      <w:r>
        <w:rPr>
          <w:rFonts w:ascii="宋体" w:hAnsi="宋体" w:eastAsia="宋体" w:cs="宋体"/>
          <w:sz w:val="28"/>
          <w:u w:color="auto"/>
        </w:rPr>
        <w:t>77.48%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43.88</w:t>
      </w:r>
      <w:r>
        <w:rPr>
          <w:rFonts w:hint="eastAsia" w:ascii="宋体" w:hAnsi="宋体" w:eastAsia="宋体" w:cs="宋体"/>
          <w:sz w:val="28"/>
          <w:szCs w:val="28"/>
        </w:rPr>
        <w:t>万元，</w:t>
      </w:r>
      <w:r>
        <w:rPr>
          <w:rFonts w:ascii="宋体" w:hAnsi="宋体" w:eastAsia="宋体" w:cs="宋体"/>
          <w:sz w:val="28"/>
          <w:u w:color="auto"/>
        </w:rPr>
        <w:t>增长2.54</w:t>
      </w:r>
      <w:r>
        <w:rPr>
          <w:rFonts w:hint="eastAsia" w:ascii="宋体" w:hAnsi="宋体" w:eastAsia="宋体" w:cs="宋体"/>
          <w:sz w:val="28"/>
          <w:szCs w:val="28"/>
        </w:rPr>
        <w:t>万元，</w:t>
      </w:r>
      <w:r>
        <w:rPr>
          <w:rFonts w:ascii="宋体" w:hAnsi="宋体" w:eastAsia="宋体" w:cs="宋体"/>
          <w:sz w:val="28"/>
          <w:u w:color="auto"/>
        </w:rPr>
        <w:t>增长5.79%</w:t>
      </w:r>
      <w:r>
        <w:rPr>
          <w:rFonts w:hint="eastAsia" w:ascii="宋体" w:hAnsi="宋体" w:eastAsia="宋体" w:cs="宋体"/>
          <w:sz w:val="28"/>
          <w:szCs w:val="28"/>
        </w:rPr>
        <w:t>，主要原因是：</w:t>
      </w:r>
      <w:r>
        <w:rPr>
          <w:rFonts w:hint="eastAsia"/>
          <w:highlight w:val="none"/>
        </w:rPr>
        <w:t>有新进人员，工资福利和经费支出增加，增加基础性绩效工资增量</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6.90</w:t>
      </w:r>
      <w:r>
        <w:rPr>
          <w:rFonts w:hint="eastAsia" w:ascii="宋体" w:hAnsi="宋体" w:eastAsia="宋体" w:cs="宋体"/>
          <w:sz w:val="28"/>
          <w:szCs w:val="28"/>
        </w:rPr>
        <w:t>万元，占支出总预算的</w:t>
      </w:r>
      <w:r>
        <w:rPr>
          <w:rFonts w:ascii="宋体" w:hAnsi="宋体" w:eastAsia="宋体" w:cs="宋体"/>
          <w:sz w:val="28"/>
          <w:u w:color="auto"/>
        </w:rPr>
        <w:t>11.52%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7.22</w:t>
      </w:r>
      <w:r>
        <w:rPr>
          <w:rFonts w:hint="eastAsia" w:ascii="宋体" w:hAnsi="宋体" w:eastAsia="宋体" w:cs="宋体"/>
          <w:sz w:val="28"/>
          <w:szCs w:val="28"/>
        </w:rPr>
        <w:t>万元，</w:t>
      </w:r>
      <w:r>
        <w:rPr>
          <w:rFonts w:ascii="宋体" w:hAnsi="宋体" w:eastAsia="宋体" w:cs="宋体"/>
          <w:sz w:val="28"/>
          <w:u w:color="auto"/>
        </w:rPr>
        <w:t>减少0.32</w:t>
      </w:r>
      <w:r>
        <w:rPr>
          <w:rFonts w:hint="eastAsia" w:ascii="宋体" w:hAnsi="宋体" w:eastAsia="宋体" w:cs="宋体"/>
          <w:sz w:val="28"/>
          <w:szCs w:val="28"/>
        </w:rPr>
        <w:t>万元，</w:t>
      </w:r>
      <w:r>
        <w:rPr>
          <w:rFonts w:ascii="宋体" w:hAnsi="宋体" w:eastAsia="宋体" w:cs="宋体"/>
          <w:sz w:val="28"/>
          <w:u w:color="auto"/>
        </w:rPr>
        <w:t>减少4.43%</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84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59.91</w:t>
      </w:r>
      <w:r>
        <w:rPr>
          <w:rFonts w:hint="eastAsia"/>
        </w:rPr>
        <w:t>万元，较2023年度预算数</w:t>
      </w:r>
      <w:r>
        <w:rPr>
          <w:rFonts w:hint="eastAsia"/>
          <w:lang w:val="en-US" w:eastAsia="zh-CN"/>
        </w:rPr>
        <w:t>57.42</w:t>
      </w:r>
      <w:r>
        <w:rPr>
          <w:rFonts w:hint="eastAsia"/>
        </w:rPr>
        <w:t>万元</w:t>
      </w:r>
      <w:r>
        <w:rPr>
          <w:rFonts w:hint="eastAsia"/>
          <w:lang w:val="en-US" w:eastAsia="zh-CN"/>
        </w:rPr>
        <w:t>,</w:t>
      </w:r>
      <w:r>
        <w:rPr>
          <w:u w:color="auto"/>
        </w:rPr>
        <w:t>增加2.49</w:t>
      </w:r>
      <w:r>
        <w:rPr>
          <w:rFonts w:hint="eastAsia"/>
        </w:rPr>
        <w:t>万元，</w:t>
      </w:r>
      <w:r>
        <w:rPr>
          <w:rFonts w:hint="eastAsia"/>
          <w:lang w:val="en-US" w:eastAsia="zh-CN"/>
        </w:rPr>
        <w:t>增长4.34%</w:t>
      </w:r>
      <w:r>
        <w:rPr>
          <w:rFonts w:hint="eastAsia"/>
        </w:rPr>
        <w:t>，主要原因是</w:t>
      </w:r>
      <w:r>
        <w:rPr>
          <w:rFonts w:hint="eastAsia"/>
          <w:highlight w:val="none"/>
          <w:lang w:val="en-US" w:eastAsia="zh-CN"/>
        </w:rPr>
        <w:t>有新进人员，工资福利和经费支出增加，增加基础性绩效工资增量</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56.25</w:t>
      </w:r>
      <w:r>
        <w:t>万元</w:t>
      </w:r>
      <w:r>
        <w:rPr>
          <w:rFonts w:hint="eastAsia"/>
          <w:lang w:eastAsia="zh-CN"/>
        </w:rPr>
        <w:t>，</w:t>
      </w:r>
      <w:r>
        <w:rPr>
          <w:rFonts w:hint="eastAsia"/>
        </w:rPr>
        <w:t>占基本支出预算的</w:t>
      </w:r>
      <w:r>
        <w:rPr>
          <w:rFonts w:hint="eastAsia"/>
          <w:lang w:val="en-US" w:eastAsia="zh-CN"/>
        </w:rPr>
        <w:t>93.89%</w:t>
      </w:r>
      <w:r>
        <w:rPr>
          <w:rFonts w:hint="eastAsia"/>
        </w:rPr>
        <w:t>，较2023年度预算数</w:t>
      </w:r>
      <w:r>
        <w:rPr>
          <w:rFonts w:hint="eastAsia"/>
          <w:lang w:val="en-US" w:eastAsia="zh-CN"/>
        </w:rPr>
        <w:t>53.43</w:t>
      </w:r>
      <w:r>
        <w:rPr>
          <w:rFonts w:hint="eastAsia"/>
        </w:rPr>
        <w:t>万元，</w:t>
      </w:r>
      <w:r>
        <w:rPr>
          <w:rFonts w:hint="eastAsia"/>
          <w:lang w:val="en-US" w:eastAsia="zh-CN"/>
        </w:rPr>
        <w:t>增长2.82</w:t>
      </w:r>
      <w:r>
        <w:rPr>
          <w:rFonts w:hint="eastAsia"/>
        </w:rPr>
        <w:t>万元，</w:t>
      </w:r>
      <w:r>
        <w:rPr>
          <w:rFonts w:hint="eastAsia"/>
          <w:lang w:val="en-US" w:eastAsia="zh-CN"/>
        </w:rPr>
        <w:t>增长5.28%</w:t>
      </w:r>
      <w:r>
        <w:rPr>
          <w:rFonts w:hint="eastAsia"/>
        </w:rPr>
        <w:t>，主要原因是：</w:t>
      </w:r>
      <w:r>
        <w:rPr>
          <w:rFonts w:hint="eastAsia"/>
          <w:highlight w:val="none"/>
        </w:rPr>
        <w:t>有新进人员，工资福利和经费支出增加，增加基础性绩效工资增量</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3.61</w:t>
      </w:r>
      <w:r>
        <w:t>万元</w:t>
      </w:r>
      <w:r>
        <w:rPr>
          <w:rFonts w:hint="eastAsia"/>
          <w:lang w:eastAsia="zh-CN"/>
        </w:rPr>
        <w:t>，</w:t>
      </w:r>
      <w:r>
        <w:rPr>
          <w:rFonts w:hint="eastAsia"/>
        </w:rPr>
        <w:t>占基本支出预算的</w:t>
      </w:r>
      <w:r>
        <w:rPr>
          <w:rFonts w:hint="eastAsia"/>
          <w:lang w:val="en-US" w:eastAsia="zh-CN"/>
        </w:rPr>
        <w:t>6.03%</w:t>
      </w:r>
      <w:r>
        <w:rPr>
          <w:rFonts w:hint="eastAsia"/>
        </w:rPr>
        <w:t>，较2023年度预算数</w:t>
      </w:r>
      <w:r>
        <w:rPr>
          <w:rFonts w:hint="eastAsia"/>
          <w:lang w:val="en-US" w:eastAsia="zh-CN"/>
        </w:rPr>
        <w:t>3.95</w:t>
      </w:r>
      <w:r>
        <w:rPr>
          <w:rFonts w:hint="eastAsia"/>
        </w:rPr>
        <w:t>万元，</w:t>
      </w:r>
      <w:r>
        <w:rPr>
          <w:rFonts w:hint="eastAsia"/>
          <w:lang w:val="en-US" w:eastAsia="zh-CN"/>
        </w:rPr>
        <w:t>减少0.34</w:t>
      </w:r>
      <w:r>
        <w:rPr>
          <w:rFonts w:hint="eastAsia"/>
        </w:rPr>
        <w:t>万元，</w:t>
      </w:r>
      <w:r>
        <w:rPr>
          <w:rFonts w:hint="eastAsia"/>
          <w:lang w:val="en-US" w:eastAsia="zh-CN"/>
        </w:rPr>
        <w:t>减少8.61%</w:t>
      </w:r>
      <w:r>
        <w:rPr>
          <w:rFonts w:hint="eastAsia"/>
        </w:rPr>
        <w:t>，主要原因是：</w:t>
      </w:r>
      <w:r>
        <w:rPr>
          <w:rFonts w:hint="eastAsia"/>
          <w:highlight w:val="none"/>
        </w:rPr>
        <w:t>践行中央过紧日子的文件精神，缩减经费开支</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0.05</w:t>
      </w:r>
      <w:r>
        <w:t>万元</w:t>
      </w:r>
      <w:r>
        <w:rPr>
          <w:rFonts w:hint="eastAsia"/>
          <w:lang w:eastAsia="zh-CN"/>
        </w:rPr>
        <w:t>，</w:t>
      </w:r>
      <w:r>
        <w:rPr>
          <w:rFonts w:hint="eastAsia"/>
        </w:rPr>
        <w:t>占基本支出预算的</w:t>
      </w:r>
      <w:r>
        <w:rPr>
          <w:rFonts w:hint="eastAsia"/>
          <w:lang w:val="en-US" w:eastAsia="zh-CN"/>
        </w:rPr>
        <w:t>0.08%</w:t>
      </w:r>
      <w:r>
        <w:rPr>
          <w:rFonts w:hint="eastAsia"/>
        </w:rPr>
        <w:t>，较2023年度预算数</w:t>
      </w:r>
      <w:r>
        <w:rPr>
          <w:rFonts w:hint="eastAsia"/>
          <w:lang w:val="en-US" w:eastAsia="zh-CN"/>
        </w:rPr>
        <w:t>0.04</w:t>
      </w:r>
      <w:r>
        <w:rPr>
          <w:rFonts w:hint="eastAsia"/>
        </w:rPr>
        <w:t>万元，</w:t>
      </w:r>
      <w:r>
        <w:rPr>
          <w:rFonts w:hint="eastAsia"/>
          <w:lang w:val="en-US" w:eastAsia="zh-CN"/>
        </w:rPr>
        <w:t>增长0.01</w:t>
      </w:r>
      <w:r>
        <w:rPr>
          <w:rFonts w:hint="eastAsia"/>
        </w:rPr>
        <w:t>万元，</w:t>
      </w:r>
      <w:r>
        <w:rPr>
          <w:rFonts w:hint="eastAsia"/>
          <w:lang w:val="en-US" w:eastAsia="zh-CN"/>
        </w:rPr>
        <w:t>增长25.00%</w:t>
      </w:r>
      <w:r>
        <w:rPr>
          <w:rFonts w:hint="eastAsia"/>
        </w:rPr>
        <w:t>，主要原因是：</w:t>
      </w:r>
      <w:r>
        <w:rPr>
          <w:rFonts w:hint="eastAsia"/>
          <w:highlight w:val="none"/>
        </w:rPr>
        <w:t>有新进人员，工资福利和经费支出增加，增加基础性绩效工资增量</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84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1.85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1.85</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1.85</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1.85</w:t>
      </w:r>
      <w:r>
        <w:rPr>
          <w:rFonts w:hint="eastAsia"/>
          <w:b w:val="0"/>
          <w:bCs w:val="0"/>
          <w:sz w:val="28"/>
          <w:szCs w:val="28"/>
        </w:rPr>
        <w:t>万元，同口径较2023年度预算数</w:t>
      </w:r>
      <w:r>
        <w:rPr>
          <w:rFonts w:hint="eastAsia"/>
          <w:b w:val="0"/>
          <w:bCs w:val="0"/>
          <w:sz w:val="28"/>
          <w:szCs w:val="28"/>
          <w:lang w:val="en-US" w:eastAsia="zh-CN"/>
        </w:rPr>
        <w:t>1.85</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本部门无因公出国（境）费用支出</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公务接待费统一在政府部门核算</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1.85</w:t>
      </w:r>
      <w:r>
        <w:rPr>
          <w:rFonts w:hint="eastAsia"/>
          <w:b w:val="0"/>
          <w:bCs w:val="0"/>
          <w:sz w:val="28"/>
          <w:szCs w:val="28"/>
        </w:rPr>
        <w:t>万元，较2023年度预算数</w:t>
      </w:r>
      <w:r>
        <w:rPr>
          <w:sz w:val="28"/>
          <w:u w:color="auto"/>
        </w:rPr>
        <w:t>1.85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本部门本年度无新增公务车购置</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1.85</w:t>
      </w:r>
      <w:r>
        <w:rPr>
          <w:rFonts w:hint="eastAsia"/>
          <w:b w:val="0"/>
          <w:bCs w:val="0"/>
          <w:sz w:val="28"/>
          <w:szCs w:val="28"/>
        </w:rPr>
        <w:t>万元，较2023年度预算数</w:t>
      </w:r>
      <w:r>
        <w:rPr>
          <w:sz w:val="28"/>
          <w:u w:color="auto"/>
        </w:rPr>
        <w:t>1.85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公务用车运行维护费与2023年一致</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我部门2024年无部门政府性基金预算</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我部门2024年无部门国有资本经营预算</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3.61</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3.95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减少0.34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下降8.61%</w:t>
      </w:r>
      <w:r>
        <w:rPr>
          <w:rFonts w:hint="eastAsia" w:ascii="宋体" w:hAnsi="宋体" w:eastAsia="宋体" w:cs="宋体"/>
          <w:sz w:val="28"/>
          <w:szCs w:val="28"/>
          <w:lang w:eastAsia="zh-CN"/>
        </w:rPr>
        <w:t>，主要原因是：</w:t>
      </w:r>
      <w:r>
        <w:rPr>
          <w:rFonts w:hint="eastAsia"/>
          <w:highlight w:val="none"/>
          <w:lang w:val="en-US" w:eastAsia="zh-CN"/>
        </w:rPr>
        <w:t>践行中央过紧日子的文件精神，缩减经费开支</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0</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1</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1</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重点项目集中在政府部门预算，故我部门2024年无重点项目预算</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pPr>
      <w:r>
        <w:t>第</w:t>
      </w:r>
      <w:r>
        <w:rPr>
          <w:rFonts w:hint="eastAsia"/>
          <w:lang w:val="en-US" w:eastAsia="zh-CN"/>
        </w:rPr>
        <w:t>三</w:t>
      </w:r>
      <w:r>
        <w:t>部分</w:t>
      </w:r>
      <w:r>
        <w:rPr>
          <w:rFonts w:hint="eastAsia"/>
          <w:lang w:eastAsia="zh-CN"/>
        </w:rPr>
        <w:t>环江毛南族自治县大才乡卫生和计划生育服务所</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22"/>
        <w:keepNext/>
        <w:keepLines/>
        <w:spacing w:after="240"/>
        <w:jc w:val="center"/>
      </w:pPr>
      <w:bookmarkStart w:id="16" w:name="bookmark30"/>
      <w:bookmarkStart w:id="17" w:name="bookmark29"/>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环江毛南族自治县大才乡卫生和计划生育服务所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0.56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6.90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46.42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6.04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59.91</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环江毛南族自治县大才乡卫生和计划生育服务所</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59.91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59.91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59.91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702003</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59.91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59.91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59.91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1"/>
      <w:bookmarkStart w:id="20" w:name="bookmark42"/>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环江毛南族自治县大才乡卫生和计划生育服务所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59.91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59.91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702003</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59.91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59.91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0.56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0.56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6.90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6.90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2100716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计划生育机构</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46.42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46.42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6.04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6.04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5"/>
      <w:bookmarkStart w:id="23" w:name="bookmark44"/>
      <w:bookmarkStart w:id="24" w:name="bookmark46"/>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环江毛南族自治县大才乡卫生和计划生育服务所</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0.56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6.90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46.42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6.04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59.91</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环江毛南族自治县大才乡卫生和计划生育服务所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702003</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59.91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59.91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56.30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3.61</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0.56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0.56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0.56</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6.90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6.90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6.90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2100716</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计划生育机构</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46.42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46.41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43.36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3.05</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6.04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6.04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6.04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8"/>
      <w:bookmarkStart w:id="26" w:name="bookmark56"/>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环江毛南族自治县大才乡卫生和计划生育服务所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59.91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56.30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56.25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56.25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18.07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18.07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10.22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10.22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8.49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8.49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环江毛南族自治县大才乡卫生和计划生育服务所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702003</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环江毛南族自治县大才乡卫生和计划生育服务所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[kmbm]</w:t>
            </w:r>
          </w:p>
        </w:tc>
        <w:tc>
          <w:tcPr>
            <w:tcW w:w="2161"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[bmbm]</w:t>
            </w: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[mc]</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[hj]</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[xj]</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[xmzc]</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[jzzc]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度没有政府性基金预算支出，故本表无数据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环江毛南族自治县大才乡卫生和计划生育服务所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环江毛南族自治县大才乡卫生和计划生育服务所</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pPr>
      <w:bookmarkStart w:id="31" w:name="bookmark94"/>
      <w:bookmarkStart w:id="32" w:name="bookmark96"/>
      <w:bookmarkStart w:id="33" w:name="bookmark95"/>
      <w: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5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IAmtW3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51"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GvTbmv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readOnly" w:enforcement="1" w:cryptProviderType="rsaAES" w:cryptAlgorithmClass="hash" w:cryptAlgorithmType="typeAny" w:cryptAlgorithmSid="14" w:cryptSpinCount="100000" w:hash="B1K/H53EM6F+cstCO5Zb+AQ4J6Bwwesf05/xZbpzAb0690iV/UTyvMIDrtHDTE/wseJho8BU9ICPoMqJwbbibg==" w:salt="SBKh48ZzZU0TlPknxRnxr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4C31633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59.91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0.56</c:v>
                </c:pt>
                <c:pt idx="1">
                  <c:v>6.9</c:v>
                </c:pt>
                <c:pt idx="2">
                  <c:v>46.42</c:v>
                </c:pt>
                <c:pt idx="3">
                  <c:v>6.04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0</c:v>
                </c:pt>
                <c:pt idx="1">
                  <c:v>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59.91</c:v>
                </c:pt>
                <c:pt idx="1">
                  <c:v>59.91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59.91</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3.61</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56.3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112.61</c:v>
                </c:pt>
                <c:pt idx="1">
                  <c:v>7.22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c:v>
                </c:pt>
                <c:pt idx="1">
                  <c:v>0</c:v>
                </c:pt>
                <c:pt idx="2">
                  <c:v>1.85</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c:v>
                </c:pt>
                <c:pt idx="1">
                  <c:v>0</c:v>
                </c:pt>
                <c:pt idx="2">
                  <c:v>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D829139200B24880927B3DE808632945_13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2024-02-26T02:47:05Z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2c0e4-0b8d-4234-aeeb-6d174ee8fd06}">
  <ds:schemaRefs/>
</ds:datastoreItem>
</file>

<file path=customXml/itemProps3.xml><?xml version="1.0" encoding="utf-8"?>
<ds:datastoreItem xmlns:ds="http://schemas.openxmlformats.org/officeDocument/2006/customXml" ds:itemID="{3c1d2770-b14e-45b6-9e2a-f9028466d4fa}">
  <ds:schemaRefs/>
</ds:datastoreItem>
</file>

<file path=customXml/itemProps4.xml><?xml version="1.0" encoding="utf-8"?>
<ds:datastoreItem xmlns:ds="http://schemas.openxmlformats.org/officeDocument/2006/customXml" ds:itemID="{45830163-cc6c-4cde-a7e8-a245081581d0}">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6</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HJCL</cp:lastModifiedBy>
  <dcterms:modified xsi:type="dcterms:W3CDTF">2024-02-28T07:54:31Z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AC326CB80EF645B2B9C66FFDBF9B025B</vt:lpwstr>
  </property>
</Properties>
</file>