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环江毛南族自治县社会保险事业管理中心</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环江毛南族自治县社会保险事业管理中心</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环江毛南族自治县社会保险事业管理中心</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环江毛南族自治县社会保险事业管理中心</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4"/>
      <w:bookmarkStart w:id="4" w:name="bookmark12"/>
      <w:bookmarkStart w:id="5" w:name="bookmark13"/>
    </w:p>
    <w:p>
      <w:pPr>
        <w:pStyle w:val="Heading#1|1"/>
        <w:keepNext/>
        <w:keepLines/>
        <w:spacing w:after="560"/>
        <w:jc w:val="center"/>
        <w:rPr>
          <w:b/>
          <w:bCs/>
          <w:sz w:val="40"/>
          <w:szCs w:val="40"/>
        </w:rPr>
      </w:pPr>
      <w:r>
        <w:rPr>
          <w:b/>
          <w:bCs/>
          <w:sz w:val="40"/>
          <w:szCs w:val="40"/>
        </w:rPr>
        <w:t xml:space="preserve">第一部分</w:t>
      </w:r>
      <w:r>
        <w:rPr>
          <w:rFonts w:hint="eastAsia"/>
          <w:b/>
          <w:bCs/>
          <w:sz w:val="40"/>
          <w:szCs w:val="40"/>
          <w:lang w:eastAsia="zh-CN"/>
        </w:rPr>
        <w:t xml:space="preserve">：</w:t>
      </w:r>
      <w:r>
        <w:rPr>
          <w:b/>
          <w:sz w:val="40"/>
          <w:u w:color="auto"/>
        </w:rPr>
        <w:t xml:space="preserve">环江毛南族自治县社会保险事业管理中心</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的主要职能是：1、负责经办参保单位社会保险和职业年金登记，人员增减变动，缴费基数审核，基金征缴，养老保险手册审核，社会保险关系转移，开具社会保险参保缴费证明等工作，管理社会保险和职业年金权益记录。2、负责全县机关事业单位养老保险经办管理业务规程、操作规范的制定并组织实施；负责全县机关事业单位养老保险的经办管理工作用；负责职业年金基金配置方案的制定并组织实施；负责全县机关事业单位职业年金的经办管理工作，负责管理全县机关事业单位职业年金投资运营相关工作。3、负责全县城镇职工基本养老保险经办管理业务、企业退休人员社会化管理服务、失业保险经办管理业务、失业人员职业培训、工伤保险经办管理业务规程、操作规范的制定并组织实施；负责全县城镇职工养老保险、失业保险、工伤保险的经办管理工作用；组织实施单位失业人员职业技能培训工作用；承担全县失业动态监测工作。4、负责全县城乡居民养老保险经办管理业务规程、操作规范的制定并组织实施；承担全县城乡居民养老保险经办管理的有关工作。5、承担全县社会保险经办信息系统管理、维护和人员培训工作；制定全县社会保险信息系统业务需求和业务指标体系；承担全县社会保险和职业年金个人权益数据信息管理工作。6、负责本县社会保险业务档案的管理工作</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由原社保所，机关所，城居所，三个单位合并而成。内设9个职能部门：办公室、档案管理股、财务股、基金征缴股、机关事业单位养老保险和职业年金股、城镇职工养老失业工伤生育保险股、城乡居民养老保险股、信息技术股、稽核和内控股。本部门无下属单位，部门预算为本级预算</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sz w:val="40"/>
          <w:szCs w:val="40"/>
        </w:rPr>
      </w:pPr>
      <w:bookmarkStart w:id="7" w:name="bookmark68"/>
      <w:bookmarkStart w:id="8" w:name="bookmark69"/>
      <w:bookmarkStart w:id="9" w:name="bookmark70"/>
      <w:bookmarkStart w:id="10" w:name="bookmark28"/>
      <w:bookmarkStart w:id="11" w:name="bookmark27"/>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环江毛南族自治县社会保险事业管理中心</w:t>
      </w:r>
      <w:r>
        <w:rPr>
          <w:b/>
          <w:sz w:val="40"/>
          <w:u w:color="auto"/>
        </w:rPr>
        <w:t xml:space="preserve">2024</w:t>
      </w:r>
      <w:r>
        <w:rPr>
          <w:b/>
          <w:sz w:val="40"/>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1440.63</w:t>
      </w:r>
      <w:r>
        <w:rPr>
          <w:rFonts w:hint="eastAsia"/>
          <w:b w:val="0"/>
          <w:bCs w:val="0"/>
          <w:sz w:val="28"/>
          <w:szCs w:val="28"/>
        </w:rPr>
        <w:t xml:space="preserve">万元，总支出</w:t>
      </w:r>
      <w:r>
        <w:rPr>
          <w:rFonts w:hint="eastAsia"/>
          <w:sz w:val="28"/>
          <w:szCs w:val="28"/>
          <w:lang w:val="en-US" w:eastAsia="zh-CN"/>
        </w:rPr>
        <w:t xml:space="preserve">1440.63</w:t>
      </w:r>
      <w:r>
        <w:rPr>
          <w:rFonts w:hint="eastAsia"/>
          <w:b w:val="0"/>
          <w:bCs w:val="0"/>
          <w:sz w:val="28"/>
          <w:szCs w:val="28"/>
        </w:rPr>
        <w:t xml:space="preserve">万元。总收入较2023年度预算数</w:t>
      </w:r>
      <w:r>
        <w:rPr>
          <w:rFonts w:hint="eastAsia"/>
          <w:sz w:val="28"/>
          <w:szCs w:val="28"/>
          <w:lang w:val="en-US" w:eastAsia="zh-CN"/>
        </w:rPr>
        <w:t xml:space="preserve">3805.86</w:t>
      </w:r>
      <w:r>
        <w:rPr>
          <w:rFonts w:hint="eastAsia"/>
          <w:b w:val="0"/>
          <w:bCs w:val="0"/>
          <w:sz w:val="28"/>
          <w:szCs w:val="28"/>
        </w:rPr>
        <w:t xml:space="preserve">万元，</w:t>
      </w:r>
      <w:r>
        <w:rPr>
          <w:rFonts w:hint="eastAsia"/>
          <w:sz w:val="28"/>
          <w:szCs w:val="28"/>
        </w:rPr>
        <w:t xml:space="preserve">减少2365.23</w:t>
      </w:r>
      <w:r>
        <w:rPr>
          <w:rFonts w:hint="eastAsia"/>
          <w:b w:val="0"/>
          <w:bCs w:val="0"/>
          <w:sz w:val="28"/>
          <w:szCs w:val="28"/>
        </w:rPr>
        <w:t xml:space="preserve">万元，</w:t>
      </w:r>
      <w:r>
        <w:rPr>
          <w:rFonts w:hint="eastAsia"/>
          <w:sz w:val="28"/>
          <w:szCs w:val="28"/>
        </w:rPr>
        <w:t xml:space="preserve">下降62.15%</w:t>
      </w:r>
      <w:r>
        <w:rPr>
          <w:rFonts w:hint="eastAsia"/>
          <w:b w:val="0"/>
          <w:bCs w:val="0"/>
          <w:sz w:val="28"/>
          <w:szCs w:val="28"/>
        </w:rPr>
        <w:t xml:space="preserve">，主要原因是</w:t>
      </w:r>
      <w:r>
        <w:rPr>
          <w:rFonts w:hint="eastAsia"/>
          <w:highlight w:val="none"/>
          <w:lang w:val="en-US" w:eastAsia="zh-CN"/>
        </w:rPr>
        <w:t xml:space="preserve">机关事业单位养老保险基金县级补助及职业年金记实利息在本年度不再纳入我单位部门预算</w:t>
      </w:r>
      <w:r>
        <w:rPr>
          <w:rFonts w:hint="eastAsia"/>
          <w:b w:val="0"/>
          <w:bCs w:val="0"/>
          <w:sz w:val="28"/>
          <w:szCs w:val="28"/>
        </w:rPr>
        <w:t xml:space="preserve">。总支出较2023年度预算数</w:t>
      </w:r>
      <w:r>
        <w:rPr>
          <w:rFonts w:hint="eastAsia"/>
          <w:sz w:val="28"/>
          <w:szCs w:val="28"/>
          <w:lang w:val="en-US" w:eastAsia="zh-CN"/>
        </w:rPr>
        <w:t xml:space="preserve">3805.86</w:t>
      </w:r>
      <w:r>
        <w:rPr>
          <w:rFonts w:hint="eastAsia"/>
          <w:b w:val="0"/>
          <w:bCs w:val="0"/>
          <w:sz w:val="28"/>
          <w:szCs w:val="28"/>
        </w:rPr>
        <w:t xml:space="preserve">万元，</w:t>
      </w:r>
      <w:r>
        <w:rPr>
          <w:rFonts w:hint="eastAsia"/>
          <w:sz w:val="28"/>
          <w:szCs w:val="28"/>
        </w:rPr>
        <w:t xml:space="preserve">减少2365.23</w:t>
      </w:r>
      <w:r>
        <w:rPr>
          <w:rFonts w:hint="eastAsia"/>
          <w:b w:val="0"/>
          <w:bCs w:val="0"/>
          <w:sz w:val="28"/>
          <w:szCs w:val="28"/>
        </w:rPr>
        <w:t xml:space="preserve">万元，</w:t>
      </w:r>
      <w:r>
        <w:rPr>
          <w:rFonts w:hint="eastAsia"/>
          <w:sz w:val="28"/>
          <w:szCs w:val="28"/>
        </w:rPr>
        <w:t xml:space="preserve">下降62.15%</w:t>
      </w:r>
      <w:r>
        <w:rPr>
          <w:rFonts w:hint="eastAsia"/>
          <w:b w:val="0"/>
          <w:bCs w:val="0"/>
          <w:sz w:val="28"/>
          <w:szCs w:val="28"/>
        </w:rPr>
        <w:t xml:space="preserve">，主要原因是</w:t>
      </w:r>
      <w:r>
        <w:rPr>
          <w:rFonts w:hint="eastAsia"/>
          <w:highlight w:val="none"/>
          <w:lang w:val="en-US" w:eastAsia="zh-CN"/>
        </w:rPr>
        <w:t xml:space="preserve">机关事业单位养老保险基金县级补助及职业年金记实利息在本年度不再纳入我单位部门预算</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2386"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1440.63</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3805.86</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减少2365.23</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下降62.15%</w:t>
      </w:r>
      <w:r>
        <w:rPr>
          <w:rFonts w:ascii="宋体" w:eastAsia="宋体" w:hAnsi="宋体" w:cs="宋体" w:hint="eastAsia"/>
          <w:sz w:val="28"/>
          <w:szCs w:val="28"/>
          <w:u w:color="auto"/>
        </w:rPr>
        <w:t xml:space="preserve">，主要原因是</w:t>
      </w:r>
      <w:r>
        <w:rPr>
          <w:rFonts w:hint="eastAsia"/>
          <w:highlight w:val="none"/>
          <w:lang w:val="en-US" w:eastAsia="zh-CN"/>
        </w:rPr>
        <w:t xml:space="preserve">机关事业单位养老保险基金县级补助及职业年金记实利息在本年度不再纳入我单位部门预算</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2387"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1440.63</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3805.86</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减少2365.23</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下降62.15%</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机关事业单位养老保险基金县级补助及职业年金记实利息在本年度不再纳入我单位部门预算</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机关事业单位养老保险基金县级补助及职业年金记实利息</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3</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社会保障和就业支出</w:t>
      </w:r>
      <w:r>
        <w:rPr>
          <w:rFonts w:hint="eastAsia"/>
          <w:lang w:val="en-US" w:eastAsia="zh-CN"/>
        </w:rPr>
        <w:t xml:space="preserve">1406.83</w:t>
      </w:r>
      <w:r>
        <w:rPr>
          <w:rFonts w:hint="eastAsia"/>
        </w:rPr>
        <w:t xml:space="preserve">万元，占支出总预算</w:t>
      </w:r>
      <w:r>
        <w:rPr>
          <w:rFonts w:hint="eastAsia"/>
          <w:lang w:val="en-US" w:eastAsia="zh-CN"/>
        </w:rPr>
        <w:t xml:space="preserve">97.65%</w:t>
      </w:r>
      <w:r>
        <w:rPr>
          <w:rFonts w:hint="eastAsia"/>
        </w:rPr>
        <w:t xml:space="preserve">,比上年</w:t>
      </w:r>
      <w:r>
        <w:rPr>
          <w:rFonts w:hint="eastAsia"/>
          <w:lang w:val="en-US" w:eastAsia="zh-CN"/>
        </w:rPr>
        <w:t xml:space="preserve">减少2367.97</w:t>
      </w:r>
      <w:r>
        <w:rPr>
          <w:rFonts w:hint="eastAsia"/>
        </w:rPr>
        <w:t xml:space="preserve">万元，</w:t>
      </w:r>
      <w:r>
        <w:rPr>
          <w:rFonts w:hint="eastAsia"/>
          <w:lang w:val="en-US" w:eastAsia="zh-CN"/>
        </w:rPr>
        <w:t xml:space="preserve">减少62.73%</w:t>
      </w:r>
      <w:r>
        <w:rPr>
          <w:rFonts w:hint="eastAsia"/>
        </w:rPr>
        <w:t xml:space="preserve">,</w:t>
      </w:r>
      <w:r>
        <w:rPr>
          <w:rFonts w:hint="eastAsia"/>
          <w:highlight w:val="none"/>
        </w:rPr>
        <w:t xml:space="preserve">主要原因是：</w:t>
      </w:r>
      <w:r>
        <w:rPr>
          <w:rFonts w:hint="eastAsia"/>
          <w:highlight w:val="none"/>
          <w:lang w:val="en-US" w:eastAsia="zh-CN"/>
        </w:rPr>
        <w:t xml:space="preserve">机关事业单位养老保险基金县级补助及职业年金记实利息在本年度不再纳入我单位部门预算</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一般公共服务支出</w:t>
      </w:r>
      <w:r>
        <w:rPr>
          <w:rFonts w:hint="eastAsia"/>
          <w:lang w:val="en-US" w:eastAsia="zh-CN"/>
        </w:rPr>
        <w:t xml:space="preserve">3.06</w:t>
      </w:r>
      <w:r>
        <w:rPr>
          <w:rFonts w:hint="eastAsia"/>
        </w:rPr>
        <w:t xml:space="preserve">万元，占支出总预算</w:t>
      </w:r>
      <w:r>
        <w:rPr>
          <w:rFonts w:hint="eastAsia"/>
          <w:lang w:val="en-US" w:eastAsia="zh-CN"/>
        </w:rPr>
        <w:t xml:space="preserve">0.21%</w:t>
      </w:r>
      <w:r>
        <w:rPr>
          <w:rFonts w:hint="eastAsia"/>
        </w:rPr>
        <w:t xml:space="preserve">,比上年</w:t>
      </w:r>
      <w:r>
        <w:rPr>
          <w:rFonts w:hint="eastAsia"/>
          <w:lang w:val="en-US" w:eastAsia="zh-CN"/>
        </w:rPr>
        <w:t xml:space="preserve">减少1.38</w:t>
      </w:r>
      <w:r>
        <w:rPr>
          <w:rFonts w:hint="eastAsia"/>
        </w:rPr>
        <w:t xml:space="preserve">万元，</w:t>
      </w:r>
      <w:r>
        <w:rPr>
          <w:rFonts w:hint="eastAsia"/>
          <w:lang w:val="en-US" w:eastAsia="zh-CN"/>
        </w:rPr>
        <w:t xml:space="preserve">减少31.08%</w:t>
      </w:r>
      <w:r>
        <w:rPr>
          <w:rFonts w:hint="eastAsia"/>
        </w:rPr>
        <w:t xml:space="preserve">,</w:t>
      </w:r>
      <w:r>
        <w:rPr>
          <w:rFonts w:hint="eastAsia"/>
          <w:highlight w:val="none"/>
        </w:rPr>
        <w:t xml:space="preserve">主要原因是：</w:t>
      </w:r>
      <w:r>
        <w:rPr>
          <w:rFonts w:hint="eastAsia"/>
          <w:highlight w:val="none"/>
          <w:lang w:val="en-US" w:eastAsia="zh-CN"/>
        </w:rPr>
        <w:t xml:space="preserve">本年度我县工会经费计算基数比例下调</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住房保障支出</w:t>
      </w:r>
      <w:r>
        <w:rPr>
          <w:rFonts w:hint="eastAsia"/>
          <w:lang w:val="en-US" w:eastAsia="zh-CN"/>
        </w:rPr>
        <w:t xml:space="preserve">30.74</w:t>
      </w:r>
      <w:r>
        <w:rPr>
          <w:rFonts w:hint="eastAsia"/>
        </w:rPr>
        <w:t xml:space="preserve">万元，占支出总预算</w:t>
      </w:r>
      <w:r>
        <w:rPr>
          <w:rFonts w:hint="eastAsia"/>
          <w:lang w:val="en-US" w:eastAsia="zh-CN"/>
        </w:rPr>
        <w:t xml:space="preserve">2.13%</w:t>
      </w:r>
      <w:r>
        <w:rPr>
          <w:rFonts w:hint="eastAsia"/>
        </w:rPr>
        <w:t xml:space="preserve">,比上年</w:t>
      </w:r>
      <w:r>
        <w:rPr>
          <w:rFonts w:hint="eastAsia"/>
          <w:lang w:val="en-US" w:eastAsia="zh-CN"/>
        </w:rPr>
        <w:t xml:space="preserve">增长4.12</w:t>
      </w:r>
      <w:r>
        <w:rPr>
          <w:rFonts w:hint="eastAsia"/>
        </w:rPr>
        <w:t xml:space="preserve">万元，</w:t>
      </w:r>
      <w:r>
        <w:rPr>
          <w:rFonts w:hint="eastAsia"/>
          <w:lang w:val="en-US" w:eastAsia="zh-CN"/>
        </w:rPr>
        <w:t xml:space="preserve">增长15.48%</w:t>
      </w:r>
      <w:r>
        <w:rPr>
          <w:rFonts w:hint="eastAsia"/>
        </w:rPr>
        <w:t xml:space="preserve">,</w:t>
      </w:r>
      <w:r>
        <w:rPr>
          <w:rFonts w:hint="eastAsia"/>
          <w:highlight w:val="none"/>
        </w:rPr>
        <w:t xml:space="preserve">主要原因是：</w:t>
      </w:r>
      <w:r>
        <w:rPr>
          <w:rFonts w:hint="eastAsia"/>
          <w:highlight w:val="none"/>
          <w:lang w:val="en-US" w:eastAsia="zh-CN"/>
        </w:rPr>
        <w:t xml:space="preserve">增人增资</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410.47</w:t>
      </w:r>
      <w:r>
        <w:rPr>
          <w:rFonts w:hint="eastAsia"/>
        </w:rPr>
        <w:t xml:space="preserve">万元，占支出预算</w:t>
      </w:r>
      <w:r>
        <w:rPr>
          <w:u w:color="auto"/>
        </w:rPr>
        <w:t xml:space="preserve">28.49%</w:t>
      </w:r>
      <w:r>
        <w:rPr>
          <w:u w:color="auto"/>
        </w:rPr>
        <w:t xml:space="preserve">,比上年</w:t>
      </w:r>
      <w:r>
        <w:rPr>
          <w:u w:color="auto"/>
        </w:rPr>
        <w:t xml:space="preserve">增长54.21</w:t>
      </w:r>
      <w:r>
        <w:rPr>
          <w:u w:color="auto"/>
        </w:rPr>
        <w:t xml:space="preserve">万元，</w:t>
      </w:r>
      <w:r>
        <w:rPr>
          <w:u w:color="auto"/>
        </w:rPr>
        <w:t xml:space="preserve">增长15.22%</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341.41</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83.18%</w:t>
      </w:r>
      <w:r>
        <w:rPr>
          <w:rFonts w:hint="eastAsia"/>
        </w:rPr>
        <w:t xml:space="preserve">,</w:t>
      </w:r>
      <w:r>
        <w:t xml:space="preserve">比上年</w:t>
      </w:r>
      <w:r>
        <w:rPr>
          <w:rFonts w:hint="eastAsia"/>
        </w:rPr>
        <w:t xml:space="preserve">增长49.77</w:t>
      </w:r>
      <w:r>
        <w:t xml:space="preserve">万元，</w:t>
      </w:r>
      <w:r>
        <w:rPr>
          <w:rFonts w:hint="eastAsia"/>
        </w:rPr>
        <w:t xml:space="preserve">增长17.07%</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增人增资</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31.43</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7.66%</w:t>
      </w:r>
      <w:r>
        <w:rPr>
          <w:rFonts w:hint="eastAsia"/>
        </w:rPr>
        <w:t xml:space="preserve">,</w:t>
      </w:r>
      <w:r>
        <w:t xml:space="preserve">比上年</w:t>
      </w:r>
      <w:r>
        <w:rPr>
          <w:rFonts w:hint="eastAsia"/>
        </w:rPr>
        <w:t xml:space="preserve">减少0.08</w:t>
      </w:r>
      <w:r>
        <w:t xml:space="preserve">万元，</w:t>
      </w:r>
      <w:r>
        <w:rPr>
          <w:rFonts w:hint="eastAsia"/>
        </w:rPr>
        <w:t xml:space="preserve">减少0.25%</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工会经费减少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37.64</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9.17%</w:t>
      </w:r>
      <w:r>
        <w:rPr>
          <w:rFonts w:hint="eastAsia"/>
        </w:rPr>
        <w:t xml:space="preserve">,</w:t>
      </w:r>
      <w:r>
        <w:t xml:space="preserve">比上年</w:t>
      </w:r>
      <w:r>
        <w:rPr>
          <w:rFonts w:hint="eastAsia"/>
        </w:rPr>
        <w:t xml:space="preserve">增长4.53</w:t>
      </w:r>
      <w:r>
        <w:t xml:space="preserve">万元，</w:t>
      </w:r>
      <w:r>
        <w:rPr>
          <w:rFonts w:hint="eastAsia"/>
        </w:rPr>
        <w:t xml:space="preserve">增长13.68%</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企业镇南关、离退休人员生活补助增加</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1030.16</w:t>
      </w:r>
      <w:r>
        <w:rPr>
          <w:rFonts w:hint="eastAsia"/>
        </w:rPr>
        <w:t xml:space="preserve">万元，占支出预算</w:t>
      </w:r>
      <w:r>
        <w:rPr>
          <w:u w:color="auto"/>
        </w:rPr>
        <w:t xml:space="preserve">71.51%</w:t>
      </w:r>
      <w:r>
        <w:rPr>
          <w:rFonts w:hint="eastAsia"/>
        </w:rPr>
        <w:t xml:space="preserve">,比上年</w:t>
      </w:r>
      <w:r>
        <w:rPr>
          <w:u w:color="auto"/>
        </w:rPr>
        <w:t xml:space="preserve">减少2419.43</w:t>
      </w:r>
      <w:r>
        <w:rPr>
          <w:rFonts w:hint="eastAsia"/>
        </w:rPr>
        <w:t xml:space="preserve">万元，</w:t>
      </w:r>
      <w:r>
        <w:rPr>
          <w:u w:color="auto"/>
        </w:rPr>
        <w:t xml:space="preserve">减少70.14%</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63.80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6.19%</w:t>
      </w:r>
      <w:r>
        <w:t xml:space="preserve">,比上年</w:t>
      </w:r>
      <w:r>
        <w:rPr>
          <w:rFonts w:hint="eastAsia"/>
        </w:rPr>
        <w:t xml:space="preserve">增长18.00</w:t>
      </w:r>
      <w:r>
        <w:t xml:space="preserve">万元，</w:t>
      </w:r>
      <w:r>
        <w:rPr>
          <w:rFonts w:hint="eastAsia"/>
        </w:rPr>
        <w:t xml:space="preserve">增长39.30%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结转上年上级补助资金增加</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对社会保障基金补助</w:t>
      </w:r>
      <w:r>
        <w:rPr>
          <w:rFonts w:ascii="宋体" w:eastAsia="宋体" w:hAnsi="宋体" w:cs="宋体" w:hint="eastAsia"/>
          <w:sz w:val="28"/>
          <w:szCs w:val="28"/>
          <w:lang w:val="en-US" w:eastAsia="zh-CN"/>
        </w:rPr>
        <w:t xml:space="preserve">616.28</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59.82%</w:t>
      </w:r>
      <w:r>
        <w:t xml:space="preserve">,比上年</w:t>
      </w:r>
      <w:r>
        <w:rPr>
          <w:rFonts w:hint="eastAsia"/>
        </w:rPr>
        <w:t xml:space="preserve">减少2440.04</w:t>
      </w:r>
      <w:r>
        <w:t xml:space="preserve">万元，</w:t>
      </w:r>
      <w:r>
        <w:rPr>
          <w:rFonts w:hint="eastAsia"/>
        </w:rPr>
        <w:t xml:space="preserve">减少79.84%</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机关事业单位养老保险基金县级补助及职业年金记实利息在本年度不再纳入我单位部门预算</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350.08</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33.98%</w:t>
      </w:r>
      <w:r>
        <w:t xml:space="preserve">,比上年</w:t>
      </w:r>
      <w:r>
        <w:rPr>
          <w:rFonts w:hint="eastAsia"/>
        </w:rPr>
        <w:t xml:space="preserve">增长2.61</w:t>
      </w:r>
      <w:r>
        <w:t xml:space="preserve">万元，</w:t>
      </w:r>
      <w:r>
        <w:rPr>
          <w:rFonts w:hint="eastAsia"/>
        </w:rPr>
        <w:t xml:space="preserve">增长0.75%</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企业镇南关、离退休人员生活补助增加</w:t>
      </w: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2388"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1440.63</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1440.63</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3805.86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减少2365.23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下降62.15%</w:t>
      </w:r>
      <w:r>
        <w:rPr>
          <w:rFonts w:ascii="宋体" w:eastAsia="宋体" w:hAnsi="宋体" w:cs="宋体" w:hint="eastAsia"/>
          <w:sz w:val="28"/>
          <w:szCs w:val="28"/>
        </w:rPr>
        <w:t xml:space="preserve">，主要原因是</w:t>
      </w:r>
      <w:r>
        <w:rPr>
          <w:rFonts w:hint="eastAsia"/>
          <w:highlight w:val="none"/>
          <w:lang w:val="en-US" w:eastAsia="zh-CN"/>
        </w:rPr>
        <w:t xml:space="preserve">机关事业单位养老保险基金县级补助及职业年金记实利息在本年度不再纳入我单位部门预算</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3805.86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减少2365.23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下降62.15%</w:t>
      </w:r>
      <w:r>
        <w:rPr>
          <w:rFonts w:ascii="宋体" w:eastAsia="宋体" w:hAnsi="宋体" w:cs="宋体" w:hint="eastAsia"/>
          <w:sz w:val="28"/>
          <w:szCs w:val="28"/>
        </w:rPr>
        <w:t xml:space="preserve">，主要原因是</w:t>
      </w:r>
      <w:r>
        <w:rPr>
          <w:rFonts w:hint="eastAsia"/>
          <w:highlight w:val="none"/>
          <w:lang w:val="en-US" w:eastAsia="zh-CN"/>
        </w:rPr>
        <w:t xml:space="preserve">机关事业单位养老保险基金县级补助及职业年金记实利息在本年度不再纳入我单位部门预算</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2389"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1440.63</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3805.86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减少2365.23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下降62.15%</w:t>
      </w:r>
      <w:r>
        <w:rPr>
          <w:rFonts w:ascii="宋体" w:eastAsia="宋体" w:hAnsi="宋体" w:cs="宋体" w:hint="eastAsia"/>
          <w:sz w:val="28"/>
          <w:szCs w:val="28"/>
        </w:rPr>
        <w:t xml:space="preserve">，主要原因是</w:t>
      </w:r>
      <w:r>
        <w:rPr>
          <w:rFonts w:hint="eastAsia"/>
          <w:highlight w:val="none"/>
          <w:lang w:val="en-US" w:eastAsia="zh-CN"/>
        </w:rPr>
        <w:t xml:space="preserve">机关事业单位养老保险基金县级补助及职业年金记实利息在本年度不再纳入我单位部门预算</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3.06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0.21%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4.44</w:t>
      </w:r>
      <w:r>
        <w:rPr>
          <w:rFonts w:ascii="宋体" w:eastAsia="宋体" w:hAnsi="宋体" w:cs="宋体" w:hint="eastAsia"/>
          <w:sz w:val="28"/>
          <w:szCs w:val="28"/>
        </w:rPr>
        <w:t xml:space="preserve">万元，</w:t>
      </w:r>
      <w:r>
        <w:rPr>
          <w:rFonts w:ascii="宋体" w:eastAsia="宋体" w:hAnsi="宋体" w:cs="宋体"/>
          <w:sz w:val="28"/>
          <w:u w:color="auto"/>
        </w:rPr>
        <w:t xml:space="preserve">减少1.38</w:t>
      </w:r>
      <w:r>
        <w:rPr>
          <w:rFonts w:ascii="宋体" w:eastAsia="宋体" w:hAnsi="宋体" w:cs="宋体" w:hint="eastAsia"/>
          <w:sz w:val="28"/>
          <w:szCs w:val="28"/>
        </w:rPr>
        <w:t xml:space="preserve">万元，</w:t>
      </w:r>
      <w:r>
        <w:rPr>
          <w:rFonts w:ascii="宋体" w:eastAsia="宋体" w:hAnsi="宋体" w:cs="宋体"/>
          <w:sz w:val="28"/>
          <w:u w:color="auto"/>
        </w:rPr>
        <w:t xml:space="preserve">减少31.08%</w:t>
      </w:r>
      <w:r>
        <w:rPr>
          <w:rFonts w:ascii="宋体" w:eastAsia="宋体" w:hAnsi="宋体" w:cs="宋体" w:hint="eastAsia"/>
          <w:sz w:val="28"/>
          <w:szCs w:val="28"/>
        </w:rPr>
        <w:t xml:space="preserve">，主要原因是：</w:t>
      </w:r>
      <w:r>
        <w:rPr>
          <w:rFonts w:hint="eastAsia"/>
          <w:highlight w:val="none"/>
        </w:rPr>
        <w:t xml:space="preserve">本年度我县工会经费计算基数比例下调</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30.74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2.13%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26.62</w:t>
      </w:r>
      <w:r>
        <w:rPr>
          <w:rFonts w:ascii="宋体" w:eastAsia="宋体" w:hAnsi="宋体" w:cs="宋体" w:hint="eastAsia"/>
          <w:sz w:val="28"/>
          <w:szCs w:val="28"/>
        </w:rPr>
        <w:t xml:space="preserve">万元，</w:t>
      </w:r>
      <w:r>
        <w:rPr>
          <w:rFonts w:ascii="宋体" w:eastAsia="宋体" w:hAnsi="宋体" w:cs="宋体"/>
          <w:sz w:val="28"/>
          <w:u w:color="auto"/>
        </w:rPr>
        <w:t xml:space="preserve">增长4.12</w:t>
      </w:r>
      <w:r>
        <w:rPr>
          <w:rFonts w:ascii="宋体" w:eastAsia="宋体" w:hAnsi="宋体" w:cs="宋体" w:hint="eastAsia"/>
          <w:sz w:val="28"/>
          <w:szCs w:val="28"/>
        </w:rPr>
        <w:t xml:space="preserve">万元，</w:t>
      </w:r>
      <w:r>
        <w:rPr>
          <w:rFonts w:ascii="宋体" w:eastAsia="宋体" w:hAnsi="宋体" w:cs="宋体"/>
          <w:sz w:val="28"/>
          <w:u w:color="auto"/>
        </w:rPr>
        <w:t xml:space="preserve">增长15.48%</w:t>
      </w:r>
      <w:r>
        <w:rPr>
          <w:rFonts w:ascii="宋体" w:eastAsia="宋体" w:hAnsi="宋体" w:cs="宋体" w:hint="eastAsia"/>
          <w:sz w:val="28"/>
          <w:szCs w:val="28"/>
        </w:rPr>
        <w:t xml:space="preserve">，主要原因是：</w:t>
      </w:r>
      <w:r>
        <w:rPr>
          <w:rFonts w:hint="eastAsia"/>
          <w:highlight w:val="none"/>
        </w:rPr>
        <w:t xml:space="preserve">增人增资</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1406.83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97.65%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3774.80</w:t>
      </w:r>
      <w:r>
        <w:rPr>
          <w:rFonts w:ascii="宋体" w:eastAsia="宋体" w:hAnsi="宋体" w:cs="宋体" w:hint="eastAsia"/>
          <w:sz w:val="28"/>
          <w:szCs w:val="28"/>
        </w:rPr>
        <w:t xml:space="preserve">万元，</w:t>
      </w:r>
      <w:r>
        <w:rPr>
          <w:rFonts w:ascii="宋体" w:eastAsia="宋体" w:hAnsi="宋体" w:cs="宋体"/>
          <w:sz w:val="28"/>
          <w:u w:color="auto"/>
        </w:rPr>
        <w:t xml:space="preserve">减少2367.97</w:t>
      </w:r>
      <w:r>
        <w:rPr>
          <w:rFonts w:ascii="宋体" w:eastAsia="宋体" w:hAnsi="宋体" w:cs="宋体" w:hint="eastAsia"/>
          <w:sz w:val="28"/>
          <w:szCs w:val="28"/>
        </w:rPr>
        <w:t xml:space="preserve">万元，</w:t>
      </w:r>
      <w:r>
        <w:rPr>
          <w:rFonts w:ascii="宋体" w:eastAsia="宋体" w:hAnsi="宋体" w:cs="宋体"/>
          <w:sz w:val="28"/>
          <w:u w:color="auto"/>
        </w:rPr>
        <w:t xml:space="preserve">减少62.73%</w:t>
      </w:r>
      <w:r>
        <w:rPr>
          <w:rFonts w:ascii="宋体" w:eastAsia="宋体" w:hAnsi="宋体" w:cs="宋体" w:hint="eastAsia"/>
          <w:sz w:val="28"/>
          <w:szCs w:val="28"/>
        </w:rPr>
        <w:t xml:space="preserve">，主要原因是：</w:t>
      </w:r>
      <w:r>
        <w:rPr>
          <w:rFonts w:hint="eastAsia"/>
          <w:highlight w:val="none"/>
        </w:rPr>
        <w:t xml:space="preserve">机关事业单位养老保险基金县级补助及职业年金记实利息在本年度不再纳入我单位部门预算</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2390"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410.47</w:t>
      </w:r>
      <w:r>
        <w:rPr>
          <w:rFonts w:hint="eastAsia"/>
        </w:rPr>
        <w:t xml:space="preserve">万元，较2023年度预算数</w:t>
      </w:r>
      <w:r>
        <w:rPr>
          <w:rFonts w:hint="eastAsia"/>
          <w:lang w:val="en-US" w:eastAsia="zh-CN"/>
        </w:rPr>
        <w:t xml:space="preserve">356.26</w:t>
      </w:r>
      <w:r>
        <w:rPr>
          <w:rFonts w:hint="eastAsia"/>
        </w:rPr>
        <w:t xml:space="preserve">万元</w:t>
      </w:r>
      <w:r>
        <w:rPr>
          <w:rFonts w:hint="eastAsia"/>
          <w:lang w:val="en-US" w:eastAsia="zh-CN"/>
        </w:rPr>
        <w:t xml:space="preserve">,</w:t>
      </w:r>
      <w:r>
        <w:rPr>
          <w:u w:color="auto"/>
        </w:rPr>
        <w:t xml:space="preserve">增加54.21</w:t>
      </w:r>
      <w:r>
        <w:rPr>
          <w:rFonts w:hint="eastAsia"/>
        </w:rPr>
        <w:t xml:space="preserve">万元，</w:t>
      </w:r>
      <w:r>
        <w:rPr>
          <w:rFonts w:hint="eastAsia"/>
          <w:lang w:val="en-US" w:eastAsia="zh-CN"/>
        </w:rPr>
        <w:t xml:space="preserve">增长15.22%</w:t>
      </w:r>
      <w:r>
        <w:rPr>
          <w:rFonts w:hint="eastAsia"/>
        </w:rPr>
        <w:t xml:space="preserve">，主要原因是</w:t>
      </w:r>
      <w:r>
        <w:rPr>
          <w:rFonts w:hint="eastAsia"/>
          <w:highlight w:val="none"/>
          <w:lang w:val="en-US" w:eastAsia="zh-CN"/>
        </w:rPr>
        <w:t xml:space="preserve">增人增资</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341.41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83.18%</w:t>
      </w:r>
      <w:r>
        <w:rPr>
          <w:rFonts w:hint="eastAsia"/>
        </w:rPr>
        <w:t xml:space="preserve">，较2023年度预算数</w:t>
      </w:r>
      <w:r>
        <w:rPr>
          <w:rFonts w:hint="eastAsia"/>
          <w:lang w:val="en-US" w:eastAsia="zh-CN"/>
        </w:rPr>
        <w:t xml:space="preserve">291.64</w:t>
      </w:r>
      <w:r>
        <w:rPr>
          <w:rFonts w:hint="eastAsia"/>
        </w:rPr>
        <w:t xml:space="preserve">万元，</w:t>
      </w:r>
      <w:r>
        <w:rPr>
          <w:rFonts w:hint="eastAsia"/>
          <w:lang w:val="en-US" w:eastAsia="zh-CN"/>
        </w:rPr>
        <w:t xml:space="preserve">增长49.77</w:t>
      </w:r>
      <w:r>
        <w:rPr>
          <w:rFonts w:hint="eastAsia"/>
        </w:rPr>
        <w:t xml:space="preserve">万元，</w:t>
      </w:r>
      <w:r>
        <w:rPr>
          <w:rFonts w:hint="eastAsia"/>
          <w:lang w:val="en-US" w:eastAsia="zh-CN"/>
        </w:rPr>
        <w:t xml:space="preserve">增长17.07%</w:t>
      </w:r>
      <w:r>
        <w:rPr>
          <w:rFonts w:hint="eastAsia"/>
        </w:rPr>
        <w:t xml:space="preserve">，主要原因是：</w:t>
      </w:r>
      <w:r>
        <w:rPr>
          <w:rFonts w:hint="eastAsia"/>
          <w:highlight w:val="none"/>
        </w:rPr>
        <w:t xml:space="preserve">增人增资</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31.43</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7.66%</w:t>
      </w:r>
      <w:r>
        <w:rPr>
          <w:rFonts w:hint="eastAsia"/>
        </w:rPr>
        <w:t xml:space="preserve">，较2023年度预算数</w:t>
      </w:r>
      <w:r>
        <w:rPr>
          <w:rFonts w:hint="eastAsia"/>
          <w:lang w:val="en-US" w:eastAsia="zh-CN"/>
        </w:rPr>
        <w:t xml:space="preserve">31.51</w:t>
      </w:r>
      <w:r>
        <w:rPr>
          <w:rFonts w:hint="eastAsia"/>
        </w:rPr>
        <w:t xml:space="preserve">万元，</w:t>
      </w:r>
      <w:r>
        <w:rPr>
          <w:rFonts w:hint="eastAsia"/>
          <w:lang w:val="en-US" w:eastAsia="zh-CN"/>
        </w:rPr>
        <w:t xml:space="preserve">减少0.08</w:t>
      </w:r>
      <w:r>
        <w:rPr>
          <w:rFonts w:hint="eastAsia"/>
        </w:rPr>
        <w:t xml:space="preserve">万元，</w:t>
      </w:r>
      <w:r>
        <w:rPr>
          <w:rFonts w:hint="eastAsia"/>
          <w:lang w:val="en-US" w:eastAsia="zh-CN"/>
        </w:rPr>
        <w:t xml:space="preserve">减少0.25%</w:t>
      </w:r>
      <w:r>
        <w:rPr>
          <w:rFonts w:hint="eastAsia"/>
        </w:rPr>
        <w:t xml:space="preserve">，主要原因是：</w:t>
      </w:r>
      <w:r>
        <w:rPr>
          <w:rFonts w:hint="eastAsia"/>
          <w:highlight w:val="none"/>
        </w:rPr>
        <w:t xml:space="preserve">本年度工会经费减少</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37.64</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9.17%</w:t>
      </w:r>
      <w:r>
        <w:rPr>
          <w:rFonts w:hint="eastAsia"/>
        </w:rPr>
        <w:t xml:space="preserve">，较2023年度预算数</w:t>
      </w:r>
      <w:r>
        <w:rPr>
          <w:rFonts w:hint="eastAsia"/>
          <w:lang w:val="en-US" w:eastAsia="zh-CN"/>
        </w:rPr>
        <w:t xml:space="preserve">33.11</w:t>
      </w:r>
      <w:r>
        <w:rPr>
          <w:rFonts w:hint="eastAsia"/>
        </w:rPr>
        <w:t xml:space="preserve">万元，</w:t>
      </w:r>
      <w:r>
        <w:rPr>
          <w:rFonts w:hint="eastAsia"/>
          <w:lang w:val="en-US" w:eastAsia="zh-CN"/>
        </w:rPr>
        <w:t xml:space="preserve">增长4.53</w:t>
      </w:r>
      <w:r>
        <w:rPr>
          <w:rFonts w:hint="eastAsia"/>
        </w:rPr>
        <w:t xml:space="preserve">万元，</w:t>
      </w:r>
      <w:r>
        <w:rPr>
          <w:rFonts w:hint="eastAsia"/>
          <w:lang w:val="en-US" w:eastAsia="zh-CN"/>
        </w:rPr>
        <w:t xml:space="preserve">增长13.68%</w:t>
      </w:r>
      <w:r>
        <w:rPr>
          <w:rFonts w:hint="eastAsia"/>
        </w:rPr>
        <w:t xml:space="preserve">，主要原因是：</w:t>
      </w:r>
      <w:r>
        <w:rPr>
          <w:rFonts w:hint="eastAsia"/>
          <w:highlight w:val="none"/>
        </w:rPr>
        <w:t xml:space="preserve">本年度企业离退休人员补助由原来的项目支出变为基本支出</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2391"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2.00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2.00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2.00</w:t>
      </w:r>
      <w:r>
        <w:rPr>
          <w:rFonts w:hint="eastAsia"/>
          <w:b w:val="0"/>
          <w:bCs w:val="0"/>
          <w:sz w:val="28"/>
          <w:szCs w:val="28"/>
        </w:rPr>
        <w:t xml:space="preserve">万元，同口径较2023年度预算数</w:t>
      </w:r>
      <w:r>
        <w:rPr>
          <w:rFonts w:hint="eastAsia"/>
          <w:b w:val="0"/>
          <w:bCs w:val="0"/>
          <w:sz w:val="28"/>
          <w:szCs w:val="28"/>
          <w:lang w:val="en-US" w:eastAsia="zh-CN"/>
        </w:rPr>
        <w:t xml:space="preserve">2.00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我部门2024年部门预算无因公出国（境）费预算</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2.00</w:t>
      </w:r>
      <w:r>
        <w:rPr>
          <w:rFonts w:hint="eastAsia"/>
          <w:b w:val="0"/>
          <w:bCs w:val="0"/>
          <w:sz w:val="28"/>
          <w:szCs w:val="28"/>
        </w:rPr>
        <w:t xml:space="preserve">万元，较2023年度预算数</w:t>
      </w:r>
      <w:r>
        <w:rPr>
          <w:sz w:val="28"/>
          <w:u w:color="auto"/>
        </w:rPr>
        <w:t xml:space="preserve">2.00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，主要原因是</w:t>
      </w:r>
      <w:r>
        <w:rPr>
          <w:rFonts w:hint="eastAsia"/>
          <w:highlight w:val="none"/>
          <w:lang w:val="en-US" w:eastAsia="zh-CN"/>
        </w:rPr>
        <w:t xml:space="preserve">与上年持平</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我部门2024年部门预算无公务用车购置费预算</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我部门2024年部门预算无公务用车运行维护费预算</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我部门2024年部门预算无政府性基金预算</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我部门2024年部门预算无国有资本经营预算</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31.43</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31.51</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减少0.08</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下降0.25%</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本年度工会经费减少</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5</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3.6</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1.4</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货物类采购用于购买办公用纸、电脑、打印机等办公设备，服务类采购用于购买印刷品等</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1</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1</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12</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1030.16</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2024年我单位申报12个项目绩效考评，涉及一般公共预算当年财政拨款1030.16万元，占年初项目预算的100%。其中重点项目2个，共涉及资金616.28万元，占一般公共预算项目支出总额的59.82%。</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项目分别为城乡基本养老个人缴费县级补助67.94万元，城乡基本养老基础养老金县级补助548.34万元。年度绩效目标是统筹推进城乡社会保障体系建设，保障城乡居民年老后的基本生活，提高生活质量，维护社会和谐，政府对缴费人群按缴费档次给予的缴费补贴和中央及地方财政对基础养老金的补助。我县城乡居保以年满16周岁（不含在校学生），非国家机关和事业单位工作人员以及不属于职工基本养老保险制度覆盖范围的城乡居民均属于参保对象，全县实际参保人数154100人，参保率95%以上，缴费率85%以上，发放率100%</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环江毛南族自治县社会保险事业管理中心</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29"/>
      <w:bookmarkStart w:id="18" w:name="bookmark30"/>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环江毛南族自治县社会保险事业管理中心</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1440.63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3.06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363.00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1077.63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1406.83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30.74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1440.63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1440.63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1440.63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1440.63</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环江毛南族自治县社会保险事业管理中心</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1440.63</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1440.63</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1440.63</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403002</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1440.63</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1440.63</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1440.63</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3"/>
      <w:bookmarkStart w:id="21" w:name="bookmark42"/>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环江毛南族自治县社会保险事业管理中心</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1440.63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410.47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1030.16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403002</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1440.63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410.47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1030.16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2080109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社会保险经办机构</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385.29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325.49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59.80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35.70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35.70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其他行政事业单位养老支出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4.08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4.08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2082602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财政对城乡居民基本养老保险基金的补助</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616.28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616.28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2083001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财政代缴城乡居民基本养老保险费支出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346.00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346.00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其他社会保障和就业支出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19.48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15.48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30.74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30.74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4"/>
      <w:bookmarkStart w:id="24" w:name="bookmark45"/>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环江毛南族自治县社会保险事业管理中心</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1440.63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3.06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363.00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1077.63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1406.83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30.74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1440.63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1440.63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1440.63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1440.63</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环江毛南族自治县社会保险事业管理中心</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403002</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1440.63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410.47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379.04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31.43</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1030.16</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3.06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3.06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3.06</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2080109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社会保险经办机构</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385.29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325.49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297.12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28.37</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59.80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35.70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35.70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35.70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其他行政事业单位养老支出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4.08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4.08</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2082602</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财政对城乡居民基本养老保险基金的补助</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616.28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616.28</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2083001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财政代缴城乡居民基本养老保险费支出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346.00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346.00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2089999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其他社会保障和就业支出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19.48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15.48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15.48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30.74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30.74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30.74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8"/>
      <w:bookmarkStart w:id="26" w:name="bookmark56"/>
      <w:bookmarkStart w:id="27" w:name="bookmark57"/>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环江毛南族自治县社会保险事业管理中心</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410.48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379.05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31.43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341.41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341.41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93.34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93.34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51.93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51.93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75.69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75.69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35.70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35.70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14.28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14.28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30.74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30.74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39.51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39.51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31.43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31.43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印刷费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会议费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19.68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19.68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37.64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37.64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离休费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21.28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21.28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0.85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0.85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代缴社会保险费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15.50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对社会保障基金补助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对社会保险基金补助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7"/>
      <w:bookmarkStart w:id="29" w:name="bookmark66"/>
      <w:bookmarkStart w:id="30"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环江毛南族自治县社会保险事业管理中心</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403002</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环江毛南族自治县社会保险事业管理中心</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2080109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社会保险经办机构</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其他行政事业单位养老支出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2082602</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财政对城乡居民基本养老保险基金的补助</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2083001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财政代缴城乡居民基本养老保险费支出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2089999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其他社会保障和就业支出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环江毛南族自治县社会保险事业管理中心</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环江毛南族自治县社会保险事业管理中心</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403002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环江毛南族自治县社会保险事业管理中心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被征地农民开展工作经费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社会保险制度更加公平可持续。</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403002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环江毛南族自治县社会保险事业管理中心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退休职工生存认证、工伤保险待遇支付调查工作专项经费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防止人为套取工伤保险待遇，防止基金流失，确保基金安全，不被冒领以及维护离退休人员合法权益。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403002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环江毛南族自治县社会保险事业管理中心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档案整理</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将历年来的企业、机关单位及城乡居民养老保险业务档案整理齐全。</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403002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环江毛南族自治县社会保险事业管理中心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建国初期参加革命工作部分退休干部护理费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确保我县建国初期参加革命工作退休干部生活得到保障。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403002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环江毛南族自治县社会保险事业管理中心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社会保险基金征缴任务工作经费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11.80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完成本年度社会保险的扩面征缴工作指标。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403002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环江毛南族自治县社会保险事业管理中心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城乡基本养老个人缴费县级补助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67.94</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提高参保率，有利于解决我县部分居民的养老保障问题，提高居民生活质量。</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403002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环江毛南族自治县社会保险事业管理中心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城乡基本养老基础养老金县级补助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548.35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保障我县居民老有所养老，老有所依的社会问题。</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403002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环江毛南族自治县社会保险事业管理中心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城乡居民养老保险特殊人群政府代缴个人保险费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17.00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保障我县居民老有所养老，老有所依的社会问题。</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403002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环江毛南族自治县社会保险事业管理中心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城乡居民基本养老保险补助资金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329.00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城乡居民城乡居民基本养老保险上级财政补助资金。</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403002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环江毛南族自治县社会保险事业管理中心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企业职工基本养老保险工作激励奖励资金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贯彻落实企业职工基本养老保险全国统筹制度，压实政府责任，激发工作积极性，确保全国统筹制度各项工作任务落实到位。</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403002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环江毛南族自治县社会保险事业管理中心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下达企业职工基本养老保险激励奖励资金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全面落实企业职工基本养老保险自治区统筹制度，压实各级政府责任，激发工作积极性，确保自治区级统筹各项工作任务落实到位。</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403002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环江毛南族自治县社会保险事业管理中心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社保机构日常工作经费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确保我中心工作正常开展及维护我县社保基金工作有序进行。</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rPr>
          <w:sz w:val="40"/>
          <w:szCs w:val="40"/>
        </w:rPr>
      </w:pPr>
      <w:bookmarkStart w:id="31" w:name="bookmark95"/>
      <w:bookmarkStart w:id="32" w:name="bookmark94"/>
      <w:bookmarkStart w:id="33" w:name="bookmark96"/>
      <w:r>
        <w:rPr>
          <w:sz w:val="40"/>
          <w:szCs w:val="40"/>
        </w:rPr>
        <w:t xml:space="preserve">第四部</w:t>
      </w:r>
      <w:r>
        <w:rPr>
          <w:rFonts w:hint="eastAsia"/>
          <w:sz w:val="40"/>
          <w:szCs w:val="40"/>
          <w:lang w:val="en-US" w:eastAsia="zh-CN"/>
        </w:rPr>
        <w:t xml:space="preserve">  </w:t>
      </w:r>
      <w:bookmarkStart w:id="34" w:name="_GoBack"/>
      <w:bookmarkEnd w:id="34"/>
      <w:r>
        <w:rPr>
          <w:sz w:val="40"/>
          <w:szCs w:val="40"/>
        </w:rPr>
        <w:t xml:space="preserve">分名词解释</w:t>
      </w:r>
      <w:bookmarkEnd w:id="31"/>
      <w:bookmarkEnd w:id="32"/>
      <w:bookmarkEnd w:id="33"/>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392"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717"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393"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71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0"/>
  <w:bordersDoNotSurroundFooter w:val="0"/>
  <w:bordersDoNotSurroundHeader w:val="0"/>
  <w:doNotTrackMoves/>
  <w:documentProtection w:enforcement="1" w:edit="readOnly" w:salt="/qRDI6c+dXLXiYF48sflYA==" w:hash="HvSYiNnV8A45OyqpaakyvP0pSovuy1UA8iCh2TxtnzE/j18nvaS3+kXsY4rrufjo6USKpwqdgf4Tbjv92wlUaw=="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DFiOTZkYjkwN2Q1MTBhY2U1NDI3ZmEwNzcyMDM4OG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1440.63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Sheet1!$A$2:$A$4</c:f>
              <c:strCache>
                <c:ptCount val="3"/>
                <c:pt idx="0">
                  <c:v>一般公共服务支出</c:v>
                </c:pt>
                <c:pt idx="1">
                  <c:v>社会保障和就业支出</c:v>
                </c:pt>
                <c:pt idx="2">
                  <c:v>住房保障支出</c:v>
                </c:pt>
              </c:strCache>
            </c:strRef>
          </c:cat>
          <c:val>
            <c:numRef>
              <c:f>Sheet1!$B$2:$B$4</c:f>
              <c:numCache>
                <c:ptCount val="3"/>
                <c:pt idx="0">
                  <c:v>3.06</c:v>
                </c:pt>
                <c:pt idx="1">
                  <c:v>1043.83</c:v>
                </c:pt>
                <c:pt idx="2">
                  <c:v>30.74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3463.86</c:v>
                </c:pt>
                <c:pt idx="1">
                  <c:v>3463.86</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1077.63</c:v>
                </c:pt>
                <c:pt idx="1">
                  <c:v>1077.63</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410.47</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667.16</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31.43</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379.04</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379.04</c:v>
                </c:pt>
                <c:pt idx="1">
                  <c:v>31.43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公务接待费预算</c:v>
                </c:pt>
                <c:pt idx="1">
                  <c:v>公务用车购置及运行费预算</c:v>
                </c:pt>
                <c:pt idx="2">
                  <c:v>因公出国（境）经费预算</c:v>
                </c:pt>
              </c:strCache>
            </c:strRef>
          </c:cat>
          <c:val>
            <c:numRef>
              <c:f>Sheet1!$B$2:$B$4</c:f>
              <c:numCache>
                <c:formatCode>General</c:formatCode>
                <c:ptCount val="3"/>
                <c:pt idx="0">
                  <c:v>2.0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公务接待费预算</c:v>
                </c:pt>
                <c:pt idx="1">
                  <c:v>公务用车购置及运行费预算</c:v>
                </c:pt>
                <c:pt idx="2">
                  <c:v>因公出国（境）经费预算</c:v>
                </c:pt>
              </c:strCache>
            </c:strRef>
          </c:cat>
          <c:val>
            <c:numRef>
              <c:f>Sheet1!$C$2:$C$4</c:f>
              <c:numCache>
                <c:formatCode>General</c:formatCode>
                <c:ptCount val="3"/>
                <c:pt idx="0">
                  <c:v>2.0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2024-02-27T09:38:28Z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Office_12.1.0.16120_F1E327BC-269C-435d-A152-05C5408002CA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88404FF73E4A4D02B71DC44154D3F401_13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Office_12.1.0.16120_F1E327BC-269C-435d-A152-05C5408002CA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2024-02-28T03:24:27Z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2052-12.1.0.16120</vt:lpstr>
  </property>
  <property fmtid="{D5CDD505-2E9C-101B-9397-08002B2CF9AE}" pid="3" name="ICV">
    <vt:lpstr>88404FF73E4A4D02B71DC44154D3F401_13</vt:lpstr>
  </property>
</Properties>
</file>