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环江毛南族自治县川山镇中心卫生院</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0"/>
      <w:bookmarkStart w:id="1" w:name="bookmark2"/>
      <w:bookmarkStart w:id="2" w:name="bookmark1"/>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环江毛南族自治县川山镇中心卫生院</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环江毛南族自治县川山镇中心卫生院</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环江毛南族自治县川山镇中心卫生院</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环江毛南族自治县川山镇中心卫生院</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提供基本医疗服务：按照广西壮族自治区乡镇卫生院管理办法；建立门诊、住院科室；开展急诊急救、内科、外科、儿科、妇科、中医科、检查、检验等等基础医疗业务；服务于当地人民群众。2，.提供预防保健服务：开展健康教育、预防接种服务，执行卫生计生监督协管与传染病及突发公卫事件报告工作；预防重大公共领域健康安全事件发生。3，提供基本公共卫生、重大公共卫生服务，持续开展基本公共卫生、重大公共卫生项目下的各项子目业务，为本辖区人民群众的健康提供综合性、连续性的服务保障。4，承担县（区）级卫生行政部门委托的卫生管理职能：实施环江县医疗卫生服务县乡一体化改革实施工作、乡镇卫生院与村卫生室一体化管理工作；制定村医基本公共卫生服务项目目标责任书及乡村医生实施基本公共卫生服务项目绩效考核指标体系、评分细则及实施方案。5，承担乡镇人民政府安交办的其他事项。</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卫生健康局二层的独立核算机构--环江毛南族自治县川山镇中心卫生院：下设川山本部和都川分部。川山本部设有：综合科、公共卫生部、妇产科、中医科、急诊科、预防接种室、医技科（化验、B超、DR、心电图等）药房、办公室、财务科等；都川分部设有：：综合科、内科、儿科、妇科、中医科、预防接种室、医技科（化验、B超、DR、心电图）药房等。</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8"/>
      <w:bookmarkStart w:id="8" w:name="bookmark70"/>
      <w:bookmarkStart w:id="9" w:name="bookmark69"/>
      <w:bookmarkStart w:id="10" w:name="bookmark26"/>
      <w:bookmarkStart w:id="11" w:name="bookmark27"/>
      <w:bookmarkStart w:id="12" w:name="bookmark28"/>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环江毛南族自治县川山镇中心卫生院</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1980.66</w:t>
      </w:r>
      <w:r>
        <w:rPr>
          <w:rFonts w:hint="eastAsia"/>
          <w:b w:val="0"/>
          <w:bCs w:val="0"/>
          <w:sz w:val="28"/>
          <w:szCs w:val="28"/>
        </w:rPr>
        <w:t xml:space="preserve">万元，总支出</w:t>
      </w:r>
      <w:r>
        <w:rPr>
          <w:rFonts w:hint="eastAsia"/>
          <w:sz w:val="28"/>
          <w:szCs w:val="28"/>
          <w:lang w:val="en-US" w:eastAsia="zh-CN"/>
        </w:rPr>
        <w:t xml:space="preserve">1980.66</w:t>
      </w:r>
      <w:r>
        <w:rPr>
          <w:rFonts w:hint="eastAsia"/>
          <w:b w:val="0"/>
          <w:bCs w:val="0"/>
          <w:sz w:val="28"/>
          <w:szCs w:val="28"/>
        </w:rPr>
        <w:t xml:space="preserve">万元。总收入较2023年度预算数</w:t>
      </w:r>
      <w:r>
        <w:rPr>
          <w:rFonts w:hint="eastAsia"/>
          <w:sz w:val="28"/>
          <w:szCs w:val="28"/>
          <w:lang w:val="en-US" w:eastAsia="zh-CN"/>
        </w:rPr>
        <w:t xml:space="preserve">1674.51</w:t>
      </w:r>
      <w:r>
        <w:rPr>
          <w:rFonts w:hint="eastAsia"/>
          <w:b w:val="0"/>
          <w:bCs w:val="0"/>
          <w:sz w:val="28"/>
          <w:szCs w:val="28"/>
        </w:rPr>
        <w:t xml:space="preserve">万元，</w:t>
      </w:r>
      <w:r>
        <w:rPr>
          <w:rFonts w:hint="eastAsia"/>
          <w:sz w:val="28"/>
          <w:szCs w:val="28"/>
        </w:rPr>
        <w:t xml:space="preserve">增加306.15</w:t>
      </w:r>
      <w:r>
        <w:rPr>
          <w:rFonts w:hint="eastAsia"/>
          <w:b w:val="0"/>
          <w:bCs w:val="0"/>
          <w:sz w:val="28"/>
          <w:szCs w:val="28"/>
        </w:rPr>
        <w:t xml:space="preserve">万元，</w:t>
      </w:r>
      <w:r>
        <w:rPr>
          <w:rFonts w:hint="eastAsia"/>
          <w:sz w:val="28"/>
          <w:szCs w:val="28"/>
        </w:rPr>
        <w:t xml:space="preserve">增长18.28%</w:t>
      </w:r>
      <w:r>
        <w:rPr>
          <w:rFonts w:hint="eastAsia"/>
          <w:b w:val="0"/>
          <w:bCs w:val="0"/>
          <w:sz w:val="28"/>
          <w:szCs w:val="28"/>
        </w:rPr>
        <w:t xml:space="preserve">，主要原因是</w:t>
      </w:r>
      <w:r>
        <w:rPr>
          <w:rFonts w:hint="eastAsia"/>
          <w:highlight w:val="none"/>
          <w:lang w:val="en-US" w:eastAsia="zh-CN"/>
        </w:rPr>
        <w:t xml:space="preserve">历年医疗业务事业收入的预算与决算偏差较大，单位的医疗业务事业收入又逐年提升，预算增长更接近实际发展</w:t>
      </w:r>
      <w:r>
        <w:rPr>
          <w:rFonts w:hint="eastAsia"/>
          <w:b w:val="0"/>
          <w:bCs w:val="0"/>
          <w:sz w:val="28"/>
          <w:szCs w:val="28"/>
        </w:rPr>
        <w:t xml:space="preserve">。总支出较2023年度预算数</w:t>
      </w:r>
      <w:r>
        <w:rPr>
          <w:rFonts w:hint="eastAsia"/>
          <w:sz w:val="28"/>
          <w:szCs w:val="28"/>
          <w:lang w:val="en-US" w:eastAsia="zh-CN"/>
        </w:rPr>
        <w:t xml:space="preserve">1674.51</w:t>
      </w:r>
      <w:r>
        <w:rPr>
          <w:rFonts w:hint="eastAsia"/>
          <w:b w:val="0"/>
          <w:bCs w:val="0"/>
          <w:sz w:val="28"/>
          <w:szCs w:val="28"/>
        </w:rPr>
        <w:t xml:space="preserve">万元，</w:t>
      </w:r>
      <w:r>
        <w:rPr>
          <w:rFonts w:hint="eastAsia"/>
          <w:sz w:val="28"/>
          <w:szCs w:val="28"/>
        </w:rPr>
        <w:t xml:space="preserve">增加306.15</w:t>
      </w:r>
      <w:r>
        <w:rPr>
          <w:rFonts w:hint="eastAsia"/>
          <w:b w:val="0"/>
          <w:bCs w:val="0"/>
          <w:sz w:val="28"/>
          <w:szCs w:val="28"/>
        </w:rPr>
        <w:t xml:space="preserve">万元，</w:t>
      </w:r>
      <w:r>
        <w:rPr>
          <w:rFonts w:hint="eastAsia"/>
          <w:sz w:val="28"/>
          <w:szCs w:val="28"/>
        </w:rPr>
        <w:t xml:space="preserve">增长18.28%</w:t>
      </w:r>
      <w:r>
        <w:rPr>
          <w:rFonts w:hint="eastAsia"/>
          <w:b w:val="0"/>
          <w:bCs w:val="0"/>
          <w:sz w:val="28"/>
          <w:szCs w:val="28"/>
        </w:rPr>
        <w:t xml:space="preserve">，主要原因是</w:t>
      </w:r>
      <w:r>
        <w:rPr>
          <w:rFonts w:hint="eastAsia"/>
          <w:highlight w:val="none"/>
          <w:lang w:val="en-US" w:eastAsia="zh-CN"/>
        </w:rPr>
        <w:t xml:space="preserve">预算收入的增加促进了预算支出的增长</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4045"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1980.66</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1674.51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增加306.15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增长18.28%</w:t>
      </w:r>
      <w:r>
        <w:rPr>
          <w:rFonts w:ascii="宋体" w:eastAsia="宋体" w:hAnsi="宋体" w:cs="宋体" w:hint="eastAsia"/>
          <w:sz w:val="28"/>
          <w:szCs w:val="28"/>
          <w:u w:color="auto"/>
        </w:rPr>
        <w:t xml:space="preserve">，主要原因是</w:t>
      </w:r>
      <w:r>
        <w:rPr>
          <w:rFonts w:hint="eastAsia"/>
          <w:highlight w:val="none"/>
          <w:lang w:val="en-US" w:eastAsia="zh-CN"/>
        </w:rPr>
        <w:t xml:space="preserve">历年医疗业务事业收入的预算与决算偏差较大，单位的医疗业务事业收入又逐年提升，预算增长更接近实际发展</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4046"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1980.66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1674.51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增加306.15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增长18.28%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预算收入的增加促进了预算支出的增长</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根据单位实际支出占比，调整了医疗卫生业务事业支出占总预算中比例</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卫生健康支出</w:t>
      </w:r>
      <w:r>
        <w:rPr>
          <w:rFonts w:ascii="宋体" w:eastAsia="宋体" w:hAnsi="宋体" w:cs="宋体" w:hint="eastAsia"/>
          <w:sz w:val="28"/>
          <w:szCs w:val="28"/>
          <w:lang w:val="en-US" w:eastAsia="zh-CN"/>
        </w:rPr>
        <w:t xml:space="preserve">1836.16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92.70%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增长322.36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增长21.29%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历年医疗业务事业收入的预算与决算偏差较大，单位的医疗业务事业收入又逐年提升，预算增长更接近实际发展</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5.99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0.30%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减少2.24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减少27.22%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工会经费预算比例财补预算调减及人员变动减少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89.04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4.50%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减少11.09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减少11.08%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在职人员变动减少（较上年比退休2人，调离2人）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49.47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2.50%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减少2.88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减少5.50%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在职人员变动减少（较上年比退休2人，调离2人）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619.24</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31.26%</w:t>
      </w:r>
      <w:r>
        <w:rPr>
          <w:rFonts w:ascii="宋体" w:eastAsia="宋体" w:hAnsi="宋体" w:cs="宋体"/>
          <w:sz w:val="28"/>
          <w:u w:color="auto"/>
        </w:rPr>
        <w:t xml:space="preserve">,比上年</w:t>
      </w:r>
      <w:r>
        <w:rPr>
          <w:rFonts w:ascii="宋体" w:eastAsia="宋体" w:hAnsi="宋体" w:cs="宋体"/>
          <w:sz w:val="28"/>
          <w:u w:color="auto"/>
        </w:rPr>
        <w:t xml:space="preserve">减少34.66</w:t>
      </w:r>
      <w:r>
        <w:rPr>
          <w:rFonts w:ascii="宋体" w:eastAsia="宋体" w:hAnsi="宋体" w:cs="宋体"/>
          <w:sz w:val="28"/>
          <w:u w:color="auto"/>
        </w:rPr>
        <w:t xml:space="preserve">万元，</w:t>
      </w:r>
      <w:r>
        <w:rPr>
          <w:rFonts w:ascii="宋体" w:eastAsia="宋体" w:hAnsi="宋体" w:cs="宋体"/>
          <w:sz w:val="28"/>
          <w:u w:color="auto"/>
        </w:rPr>
        <w:t xml:space="preserve">减少5.30%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548.10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88.51%</w:t>
      </w:r>
      <w:r>
        <w:rPr>
          <w:rFonts w:ascii="宋体" w:eastAsia="宋体" w:hAnsi="宋体" w:cs="宋体" w:hint="eastAsia"/>
          <w:sz w:val="28"/>
          <w:szCs w:val="28"/>
        </w:rPr>
        <w:t xml:space="preserve">,比上年</w:t>
      </w:r>
      <w:r>
        <w:rPr>
          <w:rFonts w:ascii="宋体" w:eastAsia="宋体" w:hAnsi="宋体" w:cs="宋体"/>
          <w:sz w:val="28"/>
          <w:u w:color="auto"/>
        </w:rPr>
        <w:t xml:space="preserve">减少36.23</w:t>
      </w:r>
      <w:r>
        <w:rPr>
          <w:rFonts w:ascii="宋体" w:eastAsia="宋体" w:hAnsi="宋体" w:cs="宋体"/>
          <w:sz w:val="28"/>
          <w:u w:color="auto"/>
        </w:rPr>
        <w:t xml:space="preserve">万元，</w:t>
      </w:r>
      <w:r>
        <w:rPr>
          <w:rFonts w:ascii="宋体" w:eastAsia="宋体" w:hAnsi="宋体" w:cs="宋体"/>
          <w:sz w:val="28"/>
          <w:u w:color="auto"/>
        </w:rPr>
        <w:t xml:space="preserve">减少6.20%</w:t>
      </w:r>
      <w:r>
        <w:rPr>
          <w:rFonts w:ascii="宋体" w:eastAsia="宋体" w:hAnsi="宋体" w:cs="宋体"/>
          <w:sz w:val="28"/>
          <w:u w:color="auto"/>
        </w:rPr>
        <w:t xml:space="preserve">,主要原因是：在职人员变动减少（较上年比退休2人，调离2人）</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61.35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9.91%</w:t>
      </w:r>
      <w:r>
        <w:rPr>
          <w:rFonts w:ascii="宋体" w:eastAsia="宋体" w:hAnsi="宋体" w:cs="宋体" w:hint="eastAsia"/>
          <w:sz w:val="28"/>
          <w:szCs w:val="28"/>
        </w:rPr>
        <w:t xml:space="preserve">,比上年</w:t>
      </w:r>
      <w:r>
        <w:rPr>
          <w:rFonts w:ascii="宋体" w:eastAsia="宋体" w:hAnsi="宋体" w:cs="宋体"/>
          <w:sz w:val="28"/>
          <w:u w:color="auto"/>
        </w:rPr>
        <w:t xml:space="preserve">增长3.82</w:t>
      </w:r>
      <w:r>
        <w:rPr>
          <w:rFonts w:ascii="宋体" w:eastAsia="宋体" w:hAnsi="宋体" w:cs="宋体"/>
          <w:sz w:val="28"/>
          <w:u w:color="auto"/>
        </w:rPr>
        <w:t xml:space="preserve">万元，</w:t>
      </w:r>
      <w:r>
        <w:rPr>
          <w:rFonts w:ascii="宋体" w:eastAsia="宋体" w:hAnsi="宋体" w:cs="宋体"/>
          <w:sz w:val="28"/>
          <w:u w:color="auto"/>
        </w:rPr>
        <w:t xml:space="preserve">增长6.64%</w:t>
      </w:r>
      <w:r>
        <w:rPr>
          <w:rFonts w:ascii="宋体" w:eastAsia="宋体" w:hAnsi="宋体" w:cs="宋体"/>
          <w:sz w:val="28"/>
          <w:u w:color="auto"/>
        </w:rPr>
        <w:t xml:space="preserve">,主要原因是：退休人员增加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9.79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1.58%</w:t>
      </w:r>
      <w:r>
        <w:rPr>
          <w:rFonts w:ascii="宋体" w:eastAsia="宋体" w:hAnsi="宋体" w:cs="宋体" w:hint="eastAsia"/>
          <w:sz w:val="28"/>
          <w:szCs w:val="28"/>
        </w:rPr>
        <w:t xml:space="preserve">,比上年</w:t>
      </w:r>
      <w:r>
        <w:rPr>
          <w:rFonts w:ascii="宋体" w:eastAsia="宋体" w:hAnsi="宋体" w:cs="宋体"/>
          <w:sz w:val="28"/>
          <w:u w:color="auto"/>
        </w:rPr>
        <w:t xml:space="preserve">减少2.24</w:t>
      </w:r>
      <w:r>
        <w:rPr>
          <w:rFonts w:ascii="宋体" w:eastAsia="宋体" w:hAnsi="宋体" w:cs="宋体"/>
          <w:sz w:val="28"/>
          <w:u w:color="auto"/>
        </w:rPr>
        <w:t xml:space="preserve">万元，</w:t>
      </w:r>
      <w:r>
        <w:rPr>
          <w:rFonts w:ascii="宋体" w:eastAsia="宋体" w:hAnsi="宋体" w:cs="宋体"/>
          <w:sz w:val="28"/>
          <w:u w:color="auto"/>
        </w:rPr>
        <w:t xml:space="preserve">减少18.62%</w:t>
      </w:r>
      <w:r>
        <w:rPr>
          <w:rFonts w:ascii="宋体" w:eastAsia="宋体" w:hAnsi="宋体" w:cs="宋体"/>
          <w:sz w:val="28"/>
          <w:u w:color="auto"/>
        </w:rPr>
        <w:t xml:space="preserve">,主要原因是：工会经费预算比例财补预算调减及人员变动减少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1361.42</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68.74%</w:t>
      </w:r>
      <w:r>
        <w:rPr>
          <w:rFonts w:ascii="宋体" w:eastAsia="宋体" w:hAnsi="宋体" w:cs="宋体" w:hint="eastAsia"/>
          <w:sz w:val="28"/>
          <w:szCs w:val="28"/>
        </w:rPr>
        <w:t xml:space="preserve">,比上年</w:t>
      </w:r>
      <w:r>
        <w:rPr>
          <w:rFonts w:ascii="宋体" w:eastAsia="宋体" w:hAnsi="宋体" w:cs="宋体"/>
          <w:sz w:val="28"/>
          <w:u w:color="auto"/>
        </w:rPr>
        <w:t xml:space="preserve">增长340.81</w:t>
      </w:r>
      <w:r>
        <w:rPr>
          <w:rFonts w:ascii="宋体" w:eastAsia="宋体" w:hAnsi="宋体" w:cs="宋体" w:hint="eastAsia"/>
          <w:sz w:val="28"/>
          <w:szCs w:val="28"/>
        </w:rPr>
        <w:t xml:space="preserve">万元，</w:t>
      </w:r>
      <w:r>
        <w:rPr>
          <w:rFonts w:ascii="宋体" w:eastAsia="宋体" w:hAnsi="宋体" w:cs="宋体"/>
          <w:sz w:val="28"/>
          <w:u w:color="auto"/>
        </w:rPr>
        <w:t xml:space="preserve">增长33.39%</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359.36</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26.40%</w:t>
      </w:r>
      <w:r>
        <w:rPr>
          <w:rFonts w:ascii="宋体" w:eastAsia="宋体" w:hAnsi="宋体" w:cs="宋体" w:hint="eastAsia"/>
          <w:color w:val="000000"/>
          <w:sz w:val="28"/>
          <w:szCs w:val="28"/>
          <w:lang w:val="zh-TW" w:eastAsia="zh-TW" w:bidi="zh-TW"/>
        </w:rPr>
        <w:t xml:space="preserve">,比上年</w:t>
      </w:r>
      <w:bookmarkStart w:id="14" w:name="_GoBack"/>
      <w:bookmarkEnd w:id="14"/>
      <w:r>
        <w:rPr>
          <w:rFonts w:ascii="宋体" w:eastAsia="宋体" w:hAnsi="宋体" w:cs="宋体"/>
          <w:color w:val="000000"/>
          <w:sz w:val="28"/>
          <w:u w:color="auto"/>
        </w:rPr>
        <w:t xml:space="preserve">增长261.56</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增长267.44%</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w:t>
      </w:r>
      <w:r>
        <w:rPr>
          <w:rFonts w:ascii="宋体" w:eastAsia="宋体" w:hAnsi="宋体" w:cs="宋体" w:hint="eastAsia"/>
          <w:color w:val="000000"/>
          <w:sz w:val="28"/>
          <w:szCs w:val="28"/>
          <w:lang w:val="zh-TW" w:eastAsia="zh-TW" w:bidi="zh-TW"/>
        </w:rPr>
        <w:t xml:space="preserve">上年度的医疗卫生事业支出的预算与单位实际偏离较大</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0.49</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增长0.38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增长345.45%</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w:t>
      </w:r>
      <w:r>
        <w:rPr>
          <w:rFonts w:ascii="宋体" w:eastAsia="宋体" w:hAnsi="宋体" w:cs="宋体" w:hint="eastAsia"/>
          <w:color w:val="000000"/>
          <w:sz w:val="28"/>
          <w:szCs w:val="28"/>
          <w:lang w:val="zh-TW" w:eastAsia="zh-TW" w:bidi="zh-TW"/>
        </w:rPr>
        <w:t xml:space="preserve">遗嘱人员增加1人</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742.17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54.51%</w:t>
      </w:r>
      <w:r>
        <w:rPr>
          <w:rFonts w:ascii="宋体" w:eastAsia="宋体" w:hAnsi="宋体" w:cs="宋体" w:hint="eastAsia"/>
          <w:color w:val="000000"/>
          <w:sz w:val="28"/>
          <w:szCs w:val="28"/>
          <w:lang w:val="zh-TW" w:eastAsia="zh-TW" w:bidi="zh-TW"/>
        </w:rPr>
        <w:t xml:space="preserve">,比上年</w:t>
      </w:r>
      <w:bookmarkEnd w:id="14"/>
      <w:r>
        <w:rPr>
          <w:rFonts w:ascii="宋体" w:eastAsia="宋体" w:hAnsi="宋体" w:cs="宋体"/>
          <w:color w:val="000000"/>
          <w:sz w:val="28"/>
          <w:u w:color="auto"/>
        </w:rPr>
        <w:t xml:space="preserve">增长189.97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增长34.40%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w:t>
      </w:r>
      <w:r>
        <w:rPr>
          <w:rFonts w:ascii="宋体" w:eastAsia="宋体" w:hAnsi="宋体" w:cs="宋体" w:hint="eastAsia"/>
          <w:color w:val="000000"/>
          <w:sz w:val="28"/>
          <w:szCs w:val="28"/>
          <w:lang w:val="zh-TW" w:eastAsia="zh-TW" w:bidi="zh-TW"/>
        </w:rPr>
        <w:t xml:space="preserve">上年度的医疗卫生事业支出的预算与单位实际偏离较大</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259.40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19.05%</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减少111.10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减少29.99%</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w:t>
      </w:r>
      <w:r>
        <w:rPr>
          <w:rFonts w:ascii="宋体" w:eastAsia="宋体" w:hAnsi="宋体" w:cs="宋体" w:hint="eastAsia"/>
          <w:color w:val="000000"/>
          <w:sz w:val="28"/>
          <w:szCs w:val="28"/>
          <w:lang w:val="zh-TW" w:eastAsia="zh-TW" w:bidi="zh-TW"/>
        </w:rPr>
        <w:t xml:space="preserve">上年度住院综合楼等部份项目纳入预算，但项目因故未能执行，故本年度预算谨慎实施</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4047"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617.37</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617.37</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650.21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减少32.84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下降5.05%</w:t>
      </w:r>
      <w:r>
        <w:rPr>
          <w:rFonts w:ascii="宋体" w:eastAsia="宋体" w:hAnsi="宋体" w:cs="宋体" w:hint="eastAsia"/>
          <w:sz w:val="28"/>
          <w:szCs w:val="28"/>
        </w:rPr>
        <w:t xml:space="preserve">，主要原因是</w:t>
      </w:r>
      <w:r>
        <w:rPr>
          <w:rFonts w:hint="eastAsia"/>
          <w:highlight w:val="none"/>
          <w:lang w:val="en-US" w:eastAsia="zh-CN"/>
        </w:rPr>
        <w:t xml:space="preserve">在职人员变动减少（较上年比退休2人，调离2人）</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650.21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减少32.84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下降5.05%</w:t>
      </w:r>
      <w:r>
        <w:rPr>
          <w:rFonts w:ascii="宋体" w:eastAsia="宋体" w:hAnsi="宋体" w:cs="宋体" w:hint="eastAsia"/>
          <w:sz w:val="28"/>
          <w:szCs w:val="28"/>
        </w:rPr>
        <w:t xml:space="preserve">，主要原因是</w:t>
      </w:r>
      <w:r>
        <w:rPr>
          <w:rFonts w:hint="eastAsia"/>
          <w:highlight w:val="none"/>
          <w:lang w:val="en-US" w:eastAsia="zh-CN"/>
        </w:rPr>
        <w:t xml:space="preserve">在职人员变动减少（较上年比退休2人，调离2人）</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4048"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617.37</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650.21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减少32.84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下降5.05%</w:t>
      </w:r>
      <w:r>
        <w:rPr>
          <w:rFonts w:ascii="宋体" w:eastAsia="宋体" w:hAnsi="宋体" w:cs="宋体" w:hint="eastAsia"/>
          <w:sz w:val="28"/>
          <w:szCs w:val="28"/>
        </w:rPr>
        <w:t xml:space="preserve">，主要原因是</w:t>
      </w:r>
      <w:r>
        <w:rPr>
          <w:rFonts w:hint="eastAsia"/>
          <w:highlight w:val="none"/>
          <w:lang w:val="en-US" w:eastAsia="zh-CN"/>
        </w:rPr>
        <w:t xml:space="preserve">在职人员变动减少（较上年比退休2人，调离2人）</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5.99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8.23</w:t>
      </w:r>
      <w:r>
        <w:rPr>
          <w:rFonts w:ascii="宋体" w:eastAsia="宋体" w:hAnsi="宋体" w:cs="宋体" w:hint="eastAsia"/>
          <w:sz w:val="28"/>
          <w:szCs w:val="28"/>
        </w:rPr>
        <w:t xml:space="preserve">万元，</w:t>
      </w:r>
      <w:r>
        <w:rPr>
          <w:rFonts w:ascii="宋体" w:eastAsia="宋体" w:hAnsi="宋体" w:cs="宋体"/>
          <w:sz w:val="28"/>
          <w:u w:color="auto"/>
        </w:rPr>
        <w:t xml:space="preserve">减少2.24</w:t>
      </w:r>
      <w:r>
        <w:rPr>
          <w:rFonts w:ascii="宋体" w:eastAsia="宋体" w:hAnsi="宋体" w:cs="宋体" w:hint="eastAsia"/>
          <w:sz w:val="28"/>
          <w:szCs w:val="28"/>
        </w:rPr>
        <w:t xml:space="preserve">万元，</w:t>
      </w:r>
      <w:r>
        <w:rPr>
          <w:rFonts w:ascii="宋体" w:eastAsia="宋体" w:hAnsi="宋体" w:cs="宋体"/>
          <w:sz w:val="28"/>
          <w:u w:color="auto"/>
        </w:rPr>
        <w:t xml:space="preserve">减少27.22%</w:t>
      </w:r>
      <w:r>
        <w:rPr>
          <w:rFonts w:ascii="宋体" w:eastAsia="宋体" w:hAnsi="宋体" w:cs="宋体" w:hint="eastAsia"/>
          <w:sz w:val="28"/>
          <w:szCs w:val="28"/>
        </w:rPr>
        <w:t xml:space="preserve">，主要原因是：</w:t>
      </w:r>
      <w:r>
        <w:rPr>
          <w:rFonts w:hint="eastAsia"/>
          <w:highlight w:val="none"/>
        </w:rPr>
        <w:t xml:space="preserve">工会经费预算比例财补预算调减及人员变动减少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49.47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8.01%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52.35</w:t>
      </w:r>
      <w:r>
        <w:rPr>
          <w:rFonts w:ascii="宋体" w:eastAsia="宋体" w:hAnsi="宋体" w:cs="宋体" w:hint="eastAsia"/>
          <w:sz w:val="28"/>
          <w:szCs w:val="28"/>
        </w:rPr>
        <w:t xml:space="preserve">万元，</w:t>
      </w:r>
      <w:r>
        <w:rPr>
          <w:rFonts w:ascii="宋体" w:eastAsia="宋体" w:hAnsi="宋体" w:cs="宋体"/>
          <w:sz w:val="28"/>
          <w:u w:color="auto"/>
        </w:rPr>
        <w:t xml:space="preserve">减少2.88</w:t>
      </w:r>
      <w:r>
        <w:rPr>
          <w:rFonts w:ascii="宋体" w:eastAsia="宋体" w:hAnsi="宋体" w:cs="宋体" w:hint="eastAsia"/>
          <w:sz w:val="28"/>
          <w:szCs w:val="28"/>
        </w:rPr>
        <w:t xml:space="preserve">万元，</w:t>
      </w:r>
      <w:r>
        <w:rPr>
          <w:rFonts w:ascii="宋体" w:eastAsia="宋体" w:hAnsi="宋体" w:cs="宋体"/>
          <w:sz w:val="28"/>
          <w:u w:color="auto"/>
        </w:rPr>
        <w:t xml:space="preserve">减少5.50%</w:t>
      </w:r>
      <w:r>
        <w:rPr>
          <w:rFonts w:ascii="宋体" w:eastAsia="宋体" w:hAnsi="宋体" w:cs="宋体" w:hint="eastAsia"/>
          <w:sz w:val="28"/>
          <w:szCs w:val="28"/>
        </w:rPr>
        <w:t xml:space="preserve">，主要原因是：</w:t>
      </w:r>
      <w:r>
        <w:rPr>
          <w:rFonts w:hint="eastAsia"/>
          <w:highlight w:val="none"/>
        </w:rPr>
        <w:t xml:space="preserve">在职人员变动减少（较上年比退休2人，调离2人）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472.87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76.59%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489.50</w:t>
      </w:r>
      <w:r>
        <w:rPr>
          <w:rFonts w:ascii="宋体" w:eastAsia="宋体" w:hAnsi="宋体" w:cs="宋体" w:hint="eastAsia"/>
          <w:sz w:val="28"/>
          <w:szCs w:val="28"/>
        </w:rPr>
        <w:t xml:space="preserve">万元，</w:t>
      </w:r>
      <w:r>
        <w:rPr>
          <w:rFonts w:ascii="宋体" w:eastAsia="宋体" w:hAnsi="宋体" w:cs="宋体"/>
          <w:sz w:val="28"/>
          <w:u w:color="auto"/>
        </w:rPr>
        <w:t xml:space="preserve">减少16.63</w:t>
      </w:r>
      <w:r>
        <w:rPr>
          <w:rFonts w:ascii="宋体" w:eastAsia="宋体" w:hAnsi="宋体" w:cs="宋体" w:hint="eastAsia"/>
          <w:sz w:val="28"/>
          <w:szCs w:val="28"/>
        </w:rPr>
        <w:t xml:space="preserve">万元，</w:t>
      </w:r>
      <w:r>
        <w:rPr>
          <w:rFonts w:ascii="宋体" w:eastAsia="宋体" w:hAnsi="宋体" w:cs="宋体"/>
          <w:sz w:val="28"/>
          <w:u w:color="auto"/>
        </w:rPr>
        <w:t xml:space="preserve">减少3.40%</w:t>
      </w:r>
      <w:r>
        <w:rPr>
          <w:rFonts w:ascii="宋体" w:eastAsia="宋体" w:hAnsi="宋体" w:cs="宋体" w:hint="eastAsia"/>
          <w:sz w:val="28"/>
          <w:szCs w:val="28"/>
        </w:rPr>
        <w:t xml:space="preserve">，主要原因是：</w:t>
      </w:r>
      <w:r>
        <w:rPr>
          <w:rFonts w:hint="eastAsia"/>
          <w:highlight w:val="none"/>
        </w:rPr>
        <w:t xml:space="preserve">在职人员变动减少（较上年比退休2人，调离2人）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89.04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14.42%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100.13</w:t>
      </w:r>
      <w:r>
        <w:rPr>
          <w:rFonts w:ascii="宋体" w:eastAsia="宋体" w:hAnsi="宋体" w:cs="宋体" w:hint="eastAsia"/>
          <w:sz w:val="28"/>
          <w:szCs w:val="28"/>
        </w:rPr>
        <w:t xml:space="preserve">万元，</w:t>
      </w:r>
      <w:r>
        <w:rPr>
          <w:rFonts w:ascii="宋体" w:eastAsia="宋体" w:hAnsi="宋体" w:cs="宋体"/>
          <w:sz w:val="28"/>
          <w:u w:color="auto"/>
        </w:rPr>
        <w:t xml:space="preserve">减少11.09</w:t>
      </w:r>
      <w:r>
        <w:rPr>
          <w:rFonts w:ascii="宋体" w:eastAsia="宋体" w:hAnsi="宋体" w:cs="宋体" w:hint="eastAsia"/>
          <w:sz w:val="28"/>
          <w:szCs w:val="28"/>
        </w:rPr>
        <w:t xml:space="preserve">万元，</w:t>
      </w:r>
      <w:r>
        <w:rPr>
          <w:rFonts w:ascii="宋体" w:eastAsia="宋体" w:hAnsi="宋体" w:cs="宋体"/>
          <w:sz w:val="28"/>
          <w:u w:color="auto"/>
        </w:rPr>
        <w:t xml:space="preserve">减少11.08%</w:t>
      </w:r>
      <w:r>
        <w:rPr>
          <w:rFonts w:ascii="宋体" w:eastAsia="宋体" w:hAnsi="宋体" w:cs="宋体" w:hint="eastAsia"/>
          <w:sz w:val="28"/>
          <w:szCs w:val="28"/>
        </w:rPr>
        <w:t xml:space="preserve">，主要原因是：</w:t>
      </w:r>
      <w:r>
        <w:rPr>
          <w:rFonts w:hint="eastAsia"/>
          <w:highlight w:val="none"/>
        </w:rPr>
        <w:t xml:space="preserve">在职人员变动减少（较上年比退休2人，调离2人）</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4049"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615.44</w:t>
      </w:r>
      <w:r>
        <w:rPr>
          <w:rFonts w:hint="eastAsia"/>
        </w:rPr>
        <w:t xml:space="preserve">万元，较2023年度预算数</w:t>
      </w:r>
      <w:r>
        <w:rPr>
          <w:rFonts w:hint="eastAsia"/>
          <w:lang w:val="en-US" w:eastAsia="zh-CN"/>
        </w:rPr>
        <w:t xml:space="preserve">650.10</w:t>
      </w:r>
      <w:r>
        <w:rPr>
          <w:rFonts w:hint="eastAsia"/>
        </w:rPr>
        <w:t xml:space="preserve">万元</w:t>
      </w:r>
      <w:r>
        <w:rPr>
          <w:rFonts w:hint="eastAsia"/>
          <w:lang w:val="en-US" w:eastAsia="zh-CN"/>
        </w:rPr>
        <w:t xml:space="preserve">,</w:t>
      </w:r>
      <w:r>
        <w:rPr>
          <w:u w:color="auto"/>
        </w:rPr>
        <w:t xml:space="preserve">减少34.66</w:t>
      </w:r>
      <w:r>
        <w:rPr>
          <w:rFonts w:hint="eastAsia"/>
        </w:rPr>
        <w:t xml:space="preserve">万元，</w:t>
      </w:r>
      <w:r>
        <w:rPr>
          <w:rFonts w:hint="eastAsia"/>
          <w:lang w:val="en-US" w:eastAsia="zh-CN"/>
        </w:rPr>
        <w:t xml:space="preserve">下降5.33%</w:t>
      </w:r>
      <w:r>
        <w:rPr>
          <w:rFonts w:hint="eastAsia"/>
        </w:rPr>
        <w:t xml:space="preserve">，主要原因是</w:t>
      </w:r>
      <w:r>
        <w:rPr>
          <w:rFonts w:hint="eastAsia"/>
          <w:highlight w:val="none"/>
          <w:lang w:val="en-US" w:eastAsia="zh-CN"/>
        </w:rPr>
        <w:t xml:space="preserve">在职人员变动减少（较上年比退休2人，调离2人）</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548.10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88.51%</w:t>
      </w:r>
      <w:r>
        <w:rPr>
          <w:rFonts w:hint="eastAsia"/>
        </w:rPr>
        <w:t xml:space="preserve">，较2023年度预算数</w:t>
      </w:r>
      <w:r>
        <w:rPr>
          <w:rFonts w:hint="eastAsia"/>
          <w:lang w:val="en-US" w:eastAsia="zh-CN"/>
        </w:rPr>
        <w:t xml:space="preserve">584.33</w:t>
      </w:r>
      <w:r>
        <w:rPr>
          <w:rFonts w:hint="eastAsia"/>
        </w:rPr>
        <w:t xml:space="preserve">万元，</w:t>
      </w:r>
      <w:r>
        <w:rPr>
          <w:rFonts w:hint="eastAsia"/>
          <w:lang w:val="en-US" w:eastAsia="zh-CN"/>
        </w:rPr>
        <w:t xml:space="preserve">减少36.23</w:t>
      </w:r>
      <w:r>
        <w:rPr>
          <w:rFonts w:hint="eastAsia"/>
        </w:rPr>
        <w:t xml:space="preserve">万元，</w:t>
      </w:r>
      <w:r>
        <w:rPr>
          <w:rFonts w:hint="eastAsia"/>
          <w:lang w:val="en-US" w:eastAsia="zh-CN"/>
        </w:rPr>
        <w:t xml:space="preserve">减少6.20%</w:t>
      </w:r>
      <w:r>
        <w:rPr>
          <w:rFonts w:hint="eastAsia"/>
        </w:rPr>
        <w:t xml:space="preserve">，主要原因是：</w:t>
      </w:r>
      <w:r>
        <w:rPr>
          <w:rFonts w:hint="eastAsia"/>
          <w:highlight w:val="none"/>
        </w:rPr>
        <w:t xml:space="preserve">在职人员变动减少（较上年比退休2人，调离2人）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61.35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9.91%</w:t>
      </w:r>
      <w:r>
        <w:rPr>
          <w:rFonts w:hint="eastAsia"/>
        </w:rPr>
        <w:t xml:space="preserve">，较2023年度预算数</w:t>
      </w:r>
      <w:r>
        <w:rPr>
          <w:rFonts w:hint="eastAsia"/>
          <w:lang w:val="en-US" w:eastAsia="zh-CN"/>
        </w:rPr>
        <w:t xml:space="preserve">57.53</w:t>
      </w:r>
      <w:r>
        <w:rPr>
          <w:rFonts w:hint="eastAsia"/>
        </w:rPr>
        <w:t xml:space="preserve">万元，</w:t>
      </w:r>
      <w:r>
        <w:rPr>
          <w:rFonts w:hint="eastAsia"/>
          <w:lang w:val="en-US" w:eastAsia="zh-CN"/>
        </w:rPr>
        <w:t xml:space="preserve">增长3.82</w:t>
      </w:r>
      <w:r>
        <w:rPr>
          <w:rFonts w:hint="eastAsia"/>
        </w:rPr>
        <w:t xml:space="preserve">万元，</w:t>
      </w:r>
      <w:r>
        <w:rPr>
          <w:rFonts w:hint="eastAsia"/>
          <w:lang w:val="en-US" w:eastAsia="zh-CN"/>
        </w:rPr>
        <w:t xml:space="preserve">增长6.64%</w:t>
      </w:r>
      <w:r>
        <w:rPr>
          <w:rFonts w:hint="eastAsia"/>
        </w:rPr>
        <w:t xml:space="preserve">，主要原因是：</w:t>
      </w:r>
      <w:r>
        <w:rPr>
          <w:rFonts w:hint="eastAsia"/>
          <w:highlight w:val="none"/>
        </w:rPr>
        <w:t xml:space="preserve">退休及遗嘱人员增加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9.79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1.58%</w:t>
      </w:r>
      <w:r>
        <w:rPr>
          <w:rFonts w:hint="eastAsia"/>
        </w:rPr>
        <w:t xml:space="preserve">，较2023年度预算数</w:t>
      </w:r>
      <w:r>
        <w:rPr>
          <w:rFonts w:hint="eastAsia"/>
          <w:lang w:val="en-US" w:eastAsia="zh-CN"/>
        </w:rPr>
        <w:t xml:space="preserve">12.03</w:t>
      </w:r>
      <w:r>
        <w:rPr>
          <w:rFonts w:hint="eastAsia"/>
        </w:rPr>
        <w:t xml:space="preserve">万元，</w:t>
      </w:r>
      <w:r>
        <w:rPr>
          <w:rFonts w:hint="eastAsia"/>
          <w:lang w:val="en-US" w:eastAsia="zh-CN"/>
        </w:rPr>
        <w:t xml:space="preserve">减少2.24</w:t>
      </w:r>
      <w:r>
        <w:rPr>
          <w:rFonts w:hint="eastAsia"/>
        </w:rPr>
        <w:t xml:space="preserve">万元，</w:t>
      </w:r>
      <w:r>
        <w:rPr>
          <w:rFonts w:hint="eastAsia"/>
          <w:lang w:val="en-US" w:eastAsia="zh-CN"/>
        </w:rPr>
        <w:t xml:space="preserve">减少18.62%</w:t>
      </w:r>
      <w:r>
        <w:rPr>
          <w:rFonts w:hint="eastAsia"/>
        </w:rPr>
        <w:t xml:space="preserve">，主要原因是：</w:t>
      </w:r>
      <w:r>
        <w:rPr>
          <w:rFonts w:hint="eastAsia"/>
          <w:highlight w:val="none"/>
        </w:rPr>
        <w:t xml:space="preserve">工会经费预算比例财补预算调减及人员变动减少</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4050"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3.80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3.80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3.80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本单位公共预算未安排相关业务预算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本单位公共预算未安排相关业务预算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本单位公共预算未安排相关业务预算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本单位公共预算未安排相关业务预算</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本单位公共预算未安排相关业务预算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本单位公共预算未安排相关业务预算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9.79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12.03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减少2.24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下降18.62%</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工会经费预算比例财补预算调减及人员变动减少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259.4</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149.4</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110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主要用于：单位开展医疗卫生服务能力及质量提升</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3</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2</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7</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1361.42</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项目名称：川山住院综合楼加层改造，预算资金225万元，今年预计投资75万元。2024年绩效目标：项目期限内完成工程施工并投入使用；设有2条数量指标：1，是建设工程量、建筑面积1200平方米，2，政府采购率：≥80%；设1条质量指标：竣工验收合格率≥100%；设1条时效指标：项目按计划完工率≥100%；设1条成本指标：超概算项目比例≤；设1条经济效益指标：建筑综合利用率≥95%；设1条满意指标：受益群体满意度≥98%。</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环江毛南族自治县川山镇中心卫生院</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环江毛南族自治县川山镇中心卫生院</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615.44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5.99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615.44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89.04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1836.16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1363.20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49.47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1978.73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1980.66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1980.66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1980.66</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环江毛南族自治县川山镇中心卫生院</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402010</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环江毛南族自治县川山镇中心卫生院</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1980.66</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1978.73</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615.44</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1363.29</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1.93</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1.93</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2"/>
      <w:bookmarkStart w:id="22" w:name="bookmark43"/>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环江毛南族自治县川山镇中心卫生院</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1980.66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619.24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1361.42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402010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1980.66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619.24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1361.42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59.36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59.36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机关事业单位职业年金缴费支出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29.68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29.68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2100302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乡镇卫生院</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1785.45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425.96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1359.49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2100399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其他基层医疗卫生机构支出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50.71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48.78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49.47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49.47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环江毛南族自治县川山镇中心卫生院</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615.44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5.99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615.44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89.04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472.87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49.47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615.44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617.37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617.37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617.37</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环江毛南族自治县川山镇中心卫生院</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402010</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617.37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615.44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609.45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5.99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5.99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5.99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5.99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59.36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59.36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59.36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机关事业单位职业年金缴费支出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29.68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29.68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29.68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2100302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乡镇卫生院</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422.16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422.16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422.16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2100399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其他基层医疗卫生机构支出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50.71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48.78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48.78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49.47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49.47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49.47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环江毛南族自治县川山镇中心卫生院</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615.44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609.45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548.10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548.10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184.06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184.06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55.09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55.09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49.03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91.26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91.26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60.10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职业年金缴费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24.04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61.35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61.35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48.78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48.78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环江毛南族自治县川山镇中心卫生院</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402010</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3.80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3.80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3.80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环江毛南族自治县川山镇中心卫生院</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机关事业单位职业年金缴费支出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2100302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乡镇卫生院</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2100399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其他基层医疗卫生机构支出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环江毛南族自治县川山镇中心卫生院</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环江毛南族自治县川山镇中心卫生院</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402010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环江毛南族自治县川山镇中心卫生院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按时支出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402010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环江毛南族自治县川山镇中心卫生院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自有资金房屋建筑物采购项目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项目期限内完成工程施工并投入使用。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402010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环江毛南族自治县川山镇中心卫生院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补助市县乡村医生生活补助经费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0.49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补助市县乡村医生生活补助经费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402010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环江毛南族自治县川山镇中心卫生院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中央医疗服务与保障能力提升卫生健康人才培养</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中央医疗服务与保障能力提升卫生健康人才培养</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402010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环江毛南族自治县川山镇中心卫生院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设备采购</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149.40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年度内完成采购计划及使用.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402010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环江毛南族自治县川山镇中心卫生院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手术室装修费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年度内完成更新改建使用.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402010</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环江毛南族自治县川山镇中心卫生院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医疗卫生支出(自有资金)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年度内完成业务支出</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44"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742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4052"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7429"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4054"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7431"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55"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743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56"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743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57"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743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05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42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05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43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tJAOkTeeJq6ybxvE9p+v0A==" w:hash="jKhbMkeTI44XCf4eSkn7CbpCqieScYb6Yju/0EKwYWRtToPAjxupt8Ssar/dc7RceL7SlrOGKuU/HdjfyF2WW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jZmNDg4ZmJkNDJhZjkyNzE5MzgyZjAyYmZiN2MwYT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事业收入</c:v>
                </c:pt>
              </c:strCache>
            </c:strRef>
          </c:cat>
          <c:val>
            <c:numRef>
              <c:f>Sheet1!$B$2:$B$3</c:f>
              <c:numCache>
                <c:ptCount val="2"/>
                <c:pt idx="0">
                  <c:v>617.37</c:v>
                </c:pt>
                <c:pt idx="1">
                  <c:v>1363.29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5.99</c:v>
                </c:pt>
                <c:pt idx="1">
                  <c:v>89.04</c:v>
                </c:pt>
                <c:pt idx="2">
                  <c:v>1834.23</c:v>
                </c:pt>
                <c:pt idx="3">
                  <c:v>49.47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650.21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617.37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615.44</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5.99</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609.45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609.45</c:v>
                </c:pt>
                <c:pt idx="1">
                  <c:v>9.79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3.8</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3.8</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PC</cp:lastModifiedBy>
  <dcterms:modified xsi:type="dcterms:W3CDTF">2024-02-29T13:39:52Z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65F2272583C547A8BCE73C239E2E6D45_13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PC</cp:lastModifiedBy>
  <dcterms:modified xsi:type="dcterms:W3CDTF">2024-03-01T08:05:20Z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65F2272583C547A8BCE73C239E2E6D45_13</vt:lpstr>
  </property>
</Properties>
</file>