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环江毛南族自治县水源镇卫生院</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公开及“三公”经费预算编制说明</w:t>
      </w:r>
      <w:bookmarkStart w:id="0" w:name="_GoBack"/>
      <w:bookmarkEnd w:id="0"/>
    </w:p>
    <w:p>
      <w:pPr>
        <w:pStyle w:val="Heading#1|1"/>
        <w:keepNext/>
        <w:keepLines/>
        <w:spacing w:after="240"/>
        <w:jc w:val="center"/>
      </w:pPr>
      <w:bookmarkStart w:id="1" w:name="bookmark2"/>
      <w:bookmarkStart w:id="2" w:name="bookmark1"/>
      <w:bookmarkStart w:id="3" w:name="bookmark0"/>
      <w:r>
        <w:t xml:space="preserve">目录</w:t>
      </w:r>
      <w:bookmarkEnd w:id="1"/>
      <w:bookmarkEnd w:id="2"/>
      <w:bookmarkEnd w:id="3"/>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环江毛南族自治县水源镇卫生院</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环江毛南族自治县水源镇卫生院</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环江毛南族自治县水源镇卫生院</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3"/>
      <w:bookmarkStart w:id="5" w:name="bookmark14"/>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环江毛南族自治县水源镇卫生院</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为人民身体健康提供医疗与预防保健服务，以公共卫生服务为主，综合提供预防、保健和基本医疗等职能，向辖区居民提供基本医疗服务和公共卫生服务。</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1.本级单位和内设机构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本单位属于差额拨款公益一类事业单位，财政差额拨款事业单位，开展的诊疗科目有：预防保健科、内科、儿科、妇产科、X线诊断科、全科医学科、医学检验科。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2.所属单位</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本单位属于差额拨款公益一类事业单位，属于环江县卫生健康局的二层机构，为二级预算单位。</w:t>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68"/>
      <w:bookmarkStart w:id="10" w:name="bookmark70"/>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环江毛南族自治县水源镇卫生院</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564.49</w:t>
      </w:r>
      <w:r>
        <w:rPr>
          <w:rFonts w:hint="eastAsia"/>
          <w:b w:val="0"/>
          <w:bCs w:val="0"/>
          <w:sz w:val="28"/>
          <w:szCs w:val="28"/>
        </w:rPr>
        <w:t xml:space="preserve">万元，总支出</w:t>
      </w:r>
      <w:r>
        <w:rPr>
          <w:rFonts w:hint="eastAsia"/>
          <w:sz w:val="28"/>
          <w:szCs w:val="28"/>
          <w:lang w:val="en-US" w:eastAsia="zh-CN"/>
        </w:rPr>
        <w:t xml:space="preserve">564.49</w:t>
      </w:r>
      <w:r>
        <w:rPr>
          <w:rFonts w:hint="eastAsia"/>
          <w:b w:val="0"/>
          <w:bCs w:val="0"/>
          <w:sz w:val="28"/>
          <w:szCs w:val="28"/>
        </w:rPr>
        <w:t xml:space="preserve">万元。总收入较2023年度预算数</w:t>
      </w:r>
      <w:r>
        <w:rPr>
          <w:rFonts w:hint="eastAsia"/>
          <w:sz w:val="28"/>
          <w:szCs w:val="28"/>
          <w:lang w:val="en-US" w:eastAsia="zh-CN"/>
        </w:rPr>
        <w:t xml:space="preserve">562.26</w:t>
      </w:r>
      <w:r>
        <w:rPr>
          <w:rFonts w:hint="eastAsia"/>
          <w:b w:val="0"/>
          <w:bCs w:val="0"/>
          <w:sz w:val="28"/>
          <w:szCs w:val="28"/>
        </w:rPr>
        <w:t xml:space="preserve">万元，</w:t>
      </w:r>
      <w:r>
        <w:rPr>
          <w:rFonts w:hint="eastAsia"/>
          <w:sz w:val="28"/>
          <w:szCs w:val="28"/>
        </w:rPr>
        <w:t xml:space="preserve">增加2.23</w:t>
      </w:r>
      <w:r>
        <w:rPr>
          <w:rFonts w:hint="eastAsia"/>
          <w:b w:val="0"/>
          <w:bCs w:val="0"/>
          <w:sz w:val="28"/>
          <w:szCs w:val="28"/>
        </w:rPr>
        <w:t xml:space="preserve">万元，</w:t>
      </w:r>
      <w:r>
        <w:rPr>
          <w:rFonts w:hint="eastAsia"/>
          <w:sz w:val="28"/>
          <w:szCs w:val="28"/>
        </w:rPr>
        <w:t xml:space="preserve">增长0.40%</w:t>
      </w:r>
      <w:r>
        <w:rPr>
          <w:rFonts w:hint="eastAsia"/>
          <w:b w:val="0"/>
          <w:bCs w:val="0"/>
          <w:sz w:val="28"/>
          <w:szCs w:val="28"/>
        </w:rPr>
        <w:t xml:space="preserve">，主要原因是</w:t>
      </w:r>
      <w:r>
        <w:rPr>
          <w:rFonts w:hint="eastAsia"/>
          <w:highlight w:val="none"/>
          <w:lang w:val="en-US" w:eastAsia="zh-CN"/>
        </w:rPr>
        <w:t xml:space="preserve">人员工资正常调整增加，总收入预算数增加</w:t>
      </w:r>
      <w:r>
        <w:rPr>
          <w:rFonts w:hint="eastAsia"/>
          <w:b w:val="0"/>
          <w:bCs w:val="0"/>
          <w:sz w:val="28"/>
          <w:szCs w:val="28"/>
        </w:rPr>
        <w:t xml:space="preserve">。总支出较2023年度预算数</w:t>
      </w:r>
      <w:r>
        <w:rPr>
          <w:rFonts w:hint="eastAsia"/>
          <w:sz w:val="28"/>
          <w:szCs w:val="28"/>
          <w:lang w:val="en-US" w:eastAsia="zh-CN"/>
        </w:rPr>
        <w:t xml:space="preserve">562.26</w:t>
      </w:r>
      <w:r>
        <w:rPr>
          <w:rFonts w:hint="eastAsia"/>
          <w:b w:val="0"/>
          <w:bCs w:val="0"/>
          <w:sz w:val="28"/>
          <w:szCs w:val="28"/>
        </w:rPr>
        <w:t xml:space="preserve">万元，</w:t>
      </w:r>
      <w:r>
        <w:rPr>
          <w:rFonts w:hint="eastAsia"/>
          <w:sz w:val="28"/>
          <w:szCs w:val="28"/>
        </w:rPr>
        <w:t xml:space="preserve">增加2.23</w:t>
      </w:r>
      <w:r>
        <w:rPr>
          <w:rFonts w:hint="eastAsia"/>
          <w:b w:val="0"/>
          <w:bCs w:val="0"/>
          <w:sz w:val="28"/>
          <w:szCs w:val="28"/>
        </w:rPr>
        <w:t xml:space="preserve">万元，</w:t>
      </w:r>
      <w:r>
        <w:rPr>
          <w:rFonts w:hint="eastAsia"/>
          <w:sz w:val="28"/>
          <w:szCs w:val="28"/>
        </w:rPr>
        <w:t xml:space="preserve">增长0.40%</w:t>
      </w:r>
      <w:r>
        <w:rPr>
          <w:rFonts w:hint="eastAsia"/>
          <w:b w:val="0"/>
          <w:bCs w:val="0"/>
          <w:sz w:val="28"/>
          <w:szCs w:val="28"/>
        </w:rPr>
        <w:t xml:space="preserve">，主要原因是</w:t>
      </w:r>
      <w:r>
        <w:rPr>
          <w:rFonts w:hint="eastAsia"/>
          <w:highlight w:val="none"/>
          <w:lang w:val="en-US" w:eastAsia="zh-CN"/>
        </w:rPr>
        <w:t xml:space="preserve">人员工资正常调整增加，总支出预算数增加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8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564.49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562.26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增长0.40%</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人员工资正常调整增加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8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564.49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562.26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增长0.40%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人员工资正常调整增加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职工工资正常调资</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39.07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6.92%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人员变动减少，住房公积金单位缴存部分减少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452.50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80.16%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减少16.02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减少3.42%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人员变动减少，基本工资支出减少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68.32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12.10%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增长20.22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增长42.04%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五险基数增加，基本养老保险缴费单位部分和职业年金缴费单位部分增加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4.60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减少24.59%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2024年预算减少工会经费的支出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488.85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86.60%</w:t>
      </w:r>
      <w:r>
        <w:rPr>
          <w:rFonts w:ascii="宋体" w:eastAsia="宋体" w:hAnsi="宋体" w:cs="宋体"/>
          <w:sz w:val="28"/>
          <w:u w:color="auto"/>
        </w:rPr>
        <w:t xml:space="preserve">,比上年</w:t>
      </w:r>
      <w:r>
        <w:rPr>
          <w:rFonts w:ascii="宋体" w:eastAsia="宋体" w:hAnsi="宋体" w:cs="宋体"/>
          <w:sz w:val="28"/>
          <w:u w:color="auto"/>
        </w:rPr>
        <w:t xml:space="preserve">增长1.66</w:t>
      </w:r>
      <w:r>
        <w:rPr>
          <w:rFonts w:ascii="宋体" w:eastAsia="宋体" w:hAnsi="宋体" w:cs="宋体"/>
          <w:sz w:val="28"/>
          <w:u w:color="auto"/>
        </w:rPr>
        <w:t xml:space="preserve">万元，</w:t>
      </w:r>
      <w:r>
        <w:rPr>
          <w:rFonts w:ascii="宋体" w:eastAsia="宋体" w:hAnsi="宋体" w:cs="宋体"/>
          <w:sz w:val="28"/>
          <w:u w:color="auto"/>
        </w:rPr>
        <w:t xml:space="preserve">增长0.34%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423.18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86.57%</w:t>
      </w:r>
      <w:r>
        <w:rPr>
          <w:rFonts w:ascii="宋体" w:eastAsia="宋体" w:hAnsi="宋体" w:cs="宋体" w:hint="eastAsia"/>
          <w:sz w:val="28"/>
          <w:szCs w:val="28"/>
        </w:rPr>
        <w:t xml:space="preserve">,比上年</w:t>
      </w:r>
      <w:r>
        <w:rPr>
          <w:rFonts w:ascii="宋体" w:eastAsia="宋体" w:hAnsi="宋体" w:cs="宋体"/>
          <w:sz w:val="28"/>
          <w:u w:color="auto"/>
        </w:rPr>
        <w:t xml:space="preserve">减少6.73</w:t>
      </w:r>
      <w:r>
        <w:rPr>
          <w:rFonts w:ascii="宋体" w:eastAsia="宋体" w:hAnsi="宋体" w:cs="宋体"/>
          <w:sz w:val="28"/>
          <w:u w:color="auto"/>
        </w:rPr>
        <w:t xml:space="preserve">万元，</w:t>
      </w:r>
      <w:r>
        <w:rPr>
          <w:rFonts w:ascii="宋体" w:eastAsia="宋体" w:hAnsi="宋体" w:cs="宋体"/>
          <w:sz w:val="28"/>
          <w:u w:color="auto"/>
        </w:rPr>
        <w:t xml:space="preserve">减少1.57%</w:t>
      </w:r>
      <w:r>
        <w:rPr>
          <w:rFonts w:ascii="宋体" w:eastAsia="宋体" w:hAnsi="宋体" w:cs="宋体"/>
          <w:sz w:val="28"/>
          <w:u w:color="auto"/>
        </w:rPr>
        <w:t xml:space="preserve">,主要原因是：人员变动减少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59.08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12.09%</w:t>
      </w:r>
      <w:r>
        <w:rPr>
          <w:rFonts w:ascii="宋体" w:eastAsia="宋体" w:hAnsi="宋体" w:cs="宋体" w:hint="eastAsia"/>
          <w:sz w:val="28"/>
          <w:szCs w:val="28"/>
        </w:rPr>
        <w:t xml:space="preserve">,比上年</w:t>
      </w:r>
      <w:r>
        <w:rPr>
          <w:rFonts w:ascii="宋体" w:eastAsia="宋体" w:hAnsi="宋体" w:cs="宋体"/>
          <w:sz w:val="28"/>
          <w:u w:color="auto"/>
        </w:rPr>
        <w:t xml:space="preserve">增长9.90</w:t>
      </w:r>
      <w:r>
        <w:rPr>
          <w:rFonts w:ascii="宋体" w:eastAsia="宋体" w:hAnsi="宋体" w:cs="宋体"/>
          <w:sz w:val="28"/>
          <w:u w:color="auto"/>
        </w:rPr>
        <w:t xml:space="preserve">万元，</w:t>
      </w:r>
      <w:r>
        <w:rPr>
          <w:rFonts w:ascii="宋体" w:eastAsia="宋体" w:hAnsi="宋体" w:cs="宋体"/>
          <w:sz w:val="28"/>
          <w:u w:color="auto"/>
        </w:rPr>
        <w:t xml:space="preserve">增长20.13%</w:t>
      </w:r>
      <w:r>
        <w:rPr>
          <w:rFonts w:ascii="宋体" w:eastAsia="宋体" w:hAnsi="宋体" w:cs="宋体"/>
          <w:sz w:val="28"/>
          <w:u w:color="auto"/>
        </w:rPr>
        <w:t xml:space="preserve">,主要原因是：退休人员生活补助提高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6.59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1.35%</w:t>
      </w:r>
      <w:r>
        <w:rPr>
          <w:rFonts w:ascii="宋体" w:eastAsia="宋体" w:hAnsi="宋体" w:cs="宋体" w:hint="eastAsia"/>
          <w:sz w:val="28"/>
          <w:szCs w:val="28"/>
        </w:rPr>
        <w:t xml:space="preserve">,比上年</w:t>
      </w:r>
      <w:r>
        <w:rPr>
          <w:rFonts w:ascii="宋体" w:eastAsia="宋体" w:hAnsi="宋体" w:cs="宋体"/>
          <w:sz w:val="28"/>
          <w:u w:color="auto"/>
        </w:rPr>
        <w:t xml:space="preserve">减少1.51</w:t>
      </w:r>
      <w:r>
        <w:rPr>
          <w:rFonts w:ascii="宋体" w:eastAsia="宋体" w:hAnsi="宋体" w:cs="宋体"/>
          <w:sz w:val="28"/>
          <w:u w:color="auto"/>
        </w:rPr>
        <w:t xml:space="preserve">万元，</w:t>
      </w:r>
      <w:r>
        <w:rPr>
          <w:rFonts w:ascii="宋体" w:eastAsia="宋体" w:hAnsi="宋体" w:cs="宋体"/>
          <w:sz w:val="28"/>
          <w:u w:color="auto"/>
        </w:rPr>
        <w:t xml:space="preserve">减少18.64%</w:t>
      </w:r>
      <w:r>
        <w:rPr>
          <w:rFonts w:ascii="宋体" w:eastAsia="宋体" w:hAnsi="宋体" w:cs="宋体"/>
          <w:sz w:val="28"/>
          <w:u w:color="auto"/>
        </w:rPr>
        <w:t xml:space="preserve">,主要原因是：2024年预算减少工会经费的支出</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75.64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13.40%</w:t>
      </w:r>
      <w:r>
        <w:rPr>
          <w:rFonts w:ascii="宋体" w:eastAsia="宋体" w:hAnsi="宋体" w:cs="宋体" w:hint="eastAsia"/>
          <w:sz w:val="28"/>
          <w:szCs w:val="28"/>
        </w:rPr>
        <w:t xml:space="preserve">,比上年</w:t>
      </w:r>
      <w:r>
        <w:rPr>
          <w:rFonts w:ascii="宋体" w:eastAsia="宋体" w:hAnsi="宋体" w:cs="宋体"/>
          <w:sz w:val="28"/>
          <w:u w:color="auto"/>
        </w:rPr>
        <w:t xml:space="preserve">增长0.57</w:t>
      </w:r>
      <w:r>
        <w:rPr>
          <w:rFonts w:ascii="宋体" w:eastAsia="宋体" w:hAnsi="宋体" w:cs="宋体" w:hint="eastAsia"/>
          <w:sz w:val="28"/>
          <w:szCs w:val="28"/>
        </w:rPr>
        <w:t xml:space="preserve">万元，</w:t>
      </w:r>
      <w:r>
        <w:rPr>
          <w:rFonts w:ascii="宋体" w:eastAsia="宋体" w:hAnsi="宋体" w:cs="宋体"/>
          <w:sz w:val="28"/>
          <w:u w:color="auto"/>
        </w:rPr>
        <w:t xml:space="preserve">增长0.76%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0.57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0.75%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增长0.50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增长714.29%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人员变动增加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0.07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增长0.07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党支部生活经费0.07万元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75.00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99.15%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增长75.00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为提高医疗服务质量，提升患者满意度，购置卫生院实际需求的设备</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减少75.00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2024年部门预算无资本性支出（基本建设）项目</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48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487.42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487.42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485.26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增长0.45%</w:t>
      </w:r>
      <w:r>
        <w:rPr>
          <w:rFonts w:ascii="宋体" w:eastAsia="宋体" w:hAnsi="宋体" w:cs="宋体" w:hint="eastAsia"/>
          <w:sz w:val="28"/>
          <w:szCs w:val="28"/>
        </w:rPr>
        <w:t xml:space="preserve">，主要原因是</w:t>
      </w:r>
      <w:r>
        <w:rPr>
          <w:rFonts w:hint="eastAsia"/>
          <w:highlight w:val="none"/>
          <w:lang w:val="en-US" w:eastAsia="zh-CN"/>
        </w:rPr>
        <w:t xml:space="preserve">人员工资正常调整增加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485.26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增长0.45%</w:t>
      </w:r>
      <w:r>
        <w:rPr>
          <w:rFonts w:ascii="宋体" w:eastAsia="宋体" w:hAnsi="宋体" w:cs="宋体" w:hint="eastAsia"/>
          <w:sz w:val="28"/>
          <w:szCs w:val="28"/>
        </w:rPr>
        <w:t xml:space="preserve">，主要原因是</w:t>
      </w:r>
      <w:r>
        <w:rPr>
          <w:rFonts w:hint="eastAsia"/>
          <w:highlight w:val="none"/>
          <w:lang w:val="en-US" w:eastAsia="zh-CN"/>
        </w:rPr>
        <w:t xml:space="preserve">人员工资正常调整增加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8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487.42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485.26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增长0.45%</w:t>
      </w:r>
      <w:r>
        <w:rPr>
          <w:rFonts w:ascii="宋体" w:eastAsia="宋体" w:hAnsi="宋体" w:cs="宋体" w:hint="eastAsia"/>
          <w:sz w:val="28"/>
          <w:szCs w:val="28"/>
        </w:rPr>
        <w:t xml:space="preserve">，主要原因是</w:t>
      </w:r>
      <w:r>
        <w:rPr>
          <w:rFonts w:hint="eastAsia"/>
          <w:highlight w:val="none"/>
          <w:lang w:val="en-US" w:eastAsia="zh-CN"/>
        </w:rPr>
        <w:t xml:space="preserve">人员工资正常调整增加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4.60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6.10</w:t>
      </w:r>
      <w:r>
        <w:rPr>
          <w:rFonts w:ascii="宋体" w:eastAsia="宋体" w:hAnsi="宋体" w:cs="宋体" w:hint="eastAsia"/>
          <w:sz w:val="28"/>
          <w:szCs w:val="28"/>
        </w:rPr>
        <w:t xml:space="preserve">万元，</w:t>
      </w:r>
      <w:r>
        <w:rPr>
          <w:rFonts w:ascii="宋体" w:eastAsia="宋体" w:hAnsi="宋体" w:cs="宋体"/>
          <w:sz w:val="28"/>
          <w:u w:color="auto"/>
        </w:rPr>
        <w:t xml:space="preserve">减少1.50</w:t>
      </w:r>
      <w:r>
        <w:rPr>
          <w:rFonts w:ascii="宋体" w:eastAsia="宋体" w:hAnsi="宋体" w:cs="宋体" w:hint="eastAsia"/>
          <w:sz w:val="28"/>
          <w:szCs w:val="28"/>
        </w:rPr>
        <w:t xml:space="preserve">万元，</w:t>
      </w:r>
      <w:r>
        <w:rPr>
          <w:rFonts w:ascii="宋体" w:eastAsia="宋体" w:hAnsi="宋体" w:cs="宋体"/>
          <w:sz w:val="28"/>
          <w:u w:color="auto"/>
        </w:rPr>
        <w:t xml:space="preserve">减少24.59%</w:t>
      </w:r>
      <w:r>
        <w:rPr>
          <w:rFonts w:ascii="宋体" w:eastAsia="宋体" w:hAnsi="宋体" w:cs="宋体" w:hint="eastAsia"/>
          <w:sz w:val="28"/>
          <w:szCs w:val="28"/>
        </w:rPr>
        <w:t xml:space="preserve">，主要原因是：</w:t>
      </w:r>
      <w:r>
        <w:rPr>
          <w:rFonts w:hint="eastAsia"/>
          <w:highlight w:val="none"/>
        </w:rPr>
        <w:t xml:space="preserve">2024年预算减少工会经费的支出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39.07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39.53</w:t>
      </w:r>
      <w:r>
        <w:rPr>
          <w:rFonts w:ascii="宋体" w:eastAsia="宋体" w:hAnsi="宋体" w:cs="宋体" w:hint="eastAsia"/>
          <w:sz w:val="28"/>
          <w:szCs w:val="28"/>
        </w:rPr>
        <w:t xml:space="preserve">万元，</w:t>
      </w:r>
      <w:r>
        <w:rPr>
          <w:rFonts w:ascii="宋体" w:eastAsia="宋体" w:hAnsi="宋体" w:cs="宋体"/>
          <w:sz w:val="28"/>
          <w:u w:color="auto"/>
        </w:rPr>
        <w:t xml:space="preserve">减少0.46</w:t>
      </w:r>
      <w:r>
        <w:rPr>
          <w:rFonts w:ascii="宋体" w:eastAsia="宋体" w:hAnsi="宋体" w:cs="宋体" w:hint="eastAsia"/>
          <w:sz w:val="28"/>
          <w:szCs w:val="28"/>
        </w:rPr>
        <w:t xml:space="preserve">万元，</w:t>
      </w:r>
      <w:r>
        <w:rPr>
          <w:rFonts w:ascii="宋体" w:eastAsia="宋体" w:hAnsi="宋体" w:cs="宋体"/>
          <w:sz w:val="28"/>
          <w:u w:color="auto"/>
        </w:rPr>
        <w:t xml:space="preserve">减少1.16%</w:t>
      </w:r>
      <w:r>
        <w:rPr>
          <w:rFonts w:ascii="宋体" w:eastAsia="宋体" w:hAnsi="宋体" w:cs="宋体" w:hint="eastAsia"/>
          <w:sz w:val="28"/>
          <w:szCs w:val="28"/>
        </w:rPr>
        <w:t xml:space="preserve">，主要原因是：</w:t>
      </w:r>
      <w:r>
        <w:rPr>
          <w:rFonts w:hint="eastAsia"/>
          <w:highlight w:val="none"/>
        </w:rPr>
        <w:t xml:space="preserve">人员变动减少，住房公积金单位缴存部分减少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375.43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391.53</w:t>
      </w:r>
      <w:r>
        <w:rPr>
          <w:rFonts w:ascii="宋体" w:eastAsia="宋体" w:hAnsi="宋体" w:cs="宋体" w:hint="eastAsia"/>
          <w:sz w:val="28"/>
          <w:szCs w:val="28"/>
        </w:rPr>
        <w:t xml:space="preserve">万元，</w:t>
      </w:r>
      <w:r>
        <w:rPr>
          <w:rFonts w:ascii="宋体" w:eastAsia="宋体" w:hAnsi="宋体" w:cs="宋体"/>
          <w:sz w:val="28"/>
          <w:u w:color="auto"/>
        </w:rPr>
        <w:t xml:space="preserve">减少16.10</w:t>
      </w:r>
      <w:r>
        <w:rPr>
          <w:rFonts w:ascii="宋体" w:eastAsia="宋体" w:hAnsi="宋体" w:cs="宋体" w:hint="eastAsia"/>
          <w:sz w:val="28"/>
          <w:szCs w:val="28"/>
        </w:rPr>
        <w:t xml:space="preserve">万元，</w:t>
      </w:r>
      <w:r>
        <w:rPr>
          <w:rFonts w:ascii="宋体" w:eastAsia="宋体" w:hAnsi="宋体" w:cs="宋体"/>
          <w:sz w:val="28"/>
          <w:u w:color="auto"/>
        </w:rPr>
        <w:t xml:space="preserve">减少4.11%</w:t>
      </w:r>
      <w:r>
        <w:rPr>
          <w:rFonts w:ascii="宋体" w:eastAsia="宋体" w:hAnsi="宋体" w:cs="宋体" w:hint="eastAsia"/>
          <w:sz w:val="28"/>
          <w:szCs w:val="28"/>
        </w:rPr>
        <w:t xml:space="preserve">，主要原因是：</w:t>
      </w:r>
      <w:r>
        <w:rPr>
          <w:rFonts w:hint="eastAsia"/>
          <w:highlight w:val="none"/>
        </w:rPr>
        <w:t xml:space="preserve">人员变动减少，基本工资支出减少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68.32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48.10</w:t>
      </w:r>
      <w:r>
        <w:rPr>
          <w:rFonts w:ascii="宋体" w:eastAsia="宋体" w:hAnsi="宋体" w:cs="宋体" w:hint="eastAsia"/>
          <w:sz w:val="28"/>
          <w:szCs w:val="28"/>
        </w:rPr>
        <w:t xml:space="preserve">万元，</w:t>
      </w:r>
      <w:r>
        <w:rPr>
          <w:rFonts w:ascii="宋体" w:eastAsia="宋体" w:hAnsi="宋体" w:cs="宋体"/>
          <w:sz w:val="28"/>
          <w:u w:color="auto"/>
        </w:rPr>
        <w:t xml:space="preserve">增长20.22</w:t>
      </w:r>
      <w:r>
        <w:rPr>
          <w:rFonts w:ascii="宋体" w:eastAsia="宋体" w:hAnsi="宋体" w:cs="宋体" w:hint="eastAsia"/>
          <w:sz w:val="28"/>
          <w:szCs w:val="28"/>
        </w:rPr>
        <w:t xml:space="preserve">万元，</w:t>
      </w:r>
      <w:r>
        <w:rPr>
          <w:rFonts w:ascii="宋体" w:eastAsia="宋体" w:hAnsi="宋体" w:cs="宋体"/>
          <w:sz w:val="28"/>
          <w:u w:color="auto"/>
        </w:rPr>
        <w:t xml:space="preserve">增长42.04%</w:t>
      </w:r>
      <w:r>
        <w:rPr>
          <w:rFonts w:ascii="宋体" w:eastAsia="宋体" w:hAnsi="宋体" w:cs="宋体" w:hint="eastAsia"/>
          <w:sz w:val="28"/>
          <w:szCs w:val="28"/>
        </w:rPr>
        <w:t xml:space="preserve">，主要原因是：</w:t>
      </w:r>
      <w:r>
        <w:rPr>
          <w:rFonts w:hint="eastAsia"/>
          <w:highlight w:val="none"/>
        </w:rPr>
        <w:t xml:space="preserve">五险基数增加，基本养老保险缴费单位部分和职业年金缴费单位部分增加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8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486.86</w:t>
      </w:r>
      <w:r>
        <w:rPr>
          <w:rFonts w:hint="eastAsia"/>
        </w:rPr>
        <w:t xml:space="preserve">万元，较2023年度预算数</w:t>
      </w:r>
      <w:r>
        <w:rPr>
          <w:rFonts w:hint="eastAsia"/>
          <w:lang w:val="en-US" w:eastAsia="zh-CN"/>
        </w:rPr>
        <w:t xml:space="preserve">485.19</w:t>
      </w:r>
      <w:r>
        <w:rPr>
          <w:rFonts w:hint="eastAsia"/>
        </w:rPr>
        <w:t xml:space="preserve">万元</w:t>
      </w:r>
      <w:r>
        <w:rPr>
          <w:rFonts w:hint="eastAsia"/>
          <w:lang w:val="en-US" w:eastAsia="zh-CN"/>
        </w:rPr>
        <w:t xml:space="preserve">,</w:t>
      </w:r>
      <w:r>
        <w:rPr>
          <w:u w:color="auto"/>
        </w:rPr>
        <w:t xml:space="preserve">增加1.67</w:t>
      </w:r>
      <w:r>
        <w:rPr>
          <w:rFonts w:hint="eastAsia"/>
        </w:rPr>
        <w:t xml:space="preserve">万元，</w:t>
      </w:r>
      <w:r>
        <w:rPr>
          <w:rFonts w:hint="eastAsia"/>
          <w:lang w:val="en-US" w:eastAsia="zh-CN"/>
        </w:rPr>
        <w:t xml:space="preserve">增长0.34%</w:t>
      </w:r>
      <w:r>
        <w:rPr>
          <w:rFonts w:hint="eastAsia"/>
        </w:rPr>
        <w:t xml:space="preserve">，主要原因是</w:t>
      </w:r>
      <w:r>
        <w:rPr>
          <w:rFonts w:hint="eastAsia"/>
          <w:highlight w:val="none"/>
          <w:lang w:val="en-US" w:eastAsia="zh-CN"/>
        </w:rPr>
        <w:t xml:space="preserve">人员工资正常调整增加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423.18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86.57%</w:t>
      </w:r>
      <w:r>
        <w:rPr>
          <w:rFonts w:hint="eastAsia"/>
        </w:rPr>
        <w:t xml:space="preserve">，较2023年度预算数</w:t>
      </w:r>
      <w:r>
        <w:rPr>
          <w:rFonts w:hint="eastAsia"/>
          <w:lang w:val="en-US" w:eastAsia="zh-CN"/>
        </w:rPr>
        <w:t xml:space="preserve">429.91</w:t>
      </w:r>
      <w:r>
        <w:rPr>
          <w:rFonts w:hint="eastAsia"/>
        </w:rPr>
        <w:t xml:space="preserve">万元，</w:t>
      </w:r>
      <w:r>
        <w:rPr>
          <w:rFonts w:hint="eastAsia"/>
          <w:lang w:val="en-US" w:eastAsia="zh-CN"/>
        </w:rPr>
        <w:t xml:space="preserve">减少6.73</w:t>
      </w:r>
      <w:r>
        <w:rPr>
          <w:rFonts w:hint="eastAsia"/>
        </w:rPr>
        <w:t xml:space="preserve">万元，</w:t>
      </w:r>
      <w:r>
        <w:rPr>
          <w:rFonts w:hint="eastAsia"/>
          <w:lang w:val="en-US" w:eastAsia="zh-CN"/>
        </w:rPr>
        <w:t xml:space="preserve">减少1.57%</w:t>
      </w:r>
      <w:r>
        <w:rPr>
          <w:rFonts w:hint="eastAsia"/>
        </w:rPr>
        <w:t xml:space="preserve">，主要原因是：</w:t>
      </w:r>
      <w:r>
        <w:rPr>
          <w:rFonts w:hint="eastAsia"/>
          <w:highlight w:val="none"/>
        </w:rPr>
        <w:t xml:space="preserve">人员变动减少，基本工资支出减少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59.08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12.09%</w:t>
      </w:r>
      <w:r>
        <w:rPr>
          <w:rFonts w:hint="eastAsia"/>
        </w:rPr>
        <w:t xml:space="preserve">，较2023年度预算数</w:t>
      </w:r>
      <w:r>
        <w:rPr>
          <w:rFonts w:hint="eastAsia"/>
          <w:lang w:val="en-US" w:eastAsia="zh-CN"/>
        </w:rPr>
        <w:t xml:space="preserve">49.18</w:t>
      </w:r>
      <w:r>
        <w:rPr>
          <w:rFonts w:hint="eastAsia"/>
        </w:rPr>
        <w:t xml:space="preserve">万元，</w:t>
      </w:r>
      <w:r>
        <w:rPr>
          <w:rFonts w:hint="eastAsia"/>
          <w:lang w:val="en-US" w:eastAsia="zh-CN"/>
        </w:rPr>
        <w:t xml:space="preserve">增长9.90</w:t>
      </w:r>
      <w:r>
        <w:rPr>
          <w:rFonts w:hint="eastAsia"/>
        </w:rPr>
        <w:t xml:space="preserve">万元，</w:t>
      </w:r>
      <w:r>
        <w:rPr>
          <w:rFonts w:hint="eastAsia"/>
          <w:lang w:val="en-US" w:eastAsia="zh-CN"/>
        </w:rPr>
        <w:t xml:space="preserve">增长20.13%</w:t>
      </w:r>
      <w:r>
        <w:rPr>
          <w:rFonts w:hint="eastAsia"/>
        </w:rPr>
        <w:t xml:space="preserve">，主要原因是：</w:t>
      </w:r>
      <w:r>
        <w:rPr>
          <w:rFonts w:hint="eastAsia"/>
          <w:highlight w:val="none"/>
        </w:rPr>
        <w:t xml:space="preserve">退休人员生活补助提高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6.59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1.35%</w:t>
      </w:r>
      <w:r>
        <w:rPr>
          <w:rFonts w:hint="eastAsia"/>
        </w:rPr>
        <w:t xml:space="preserve">，较2023年度预算数</w:t>
      </w:r>
      <w:r>
        <w:rPr>
          <w:rFonts w:hint="eastAsia"/>
          <w:lang w:val="en-US" w:eastAsia="zh-CN"/>
        </w:rPr>
        <w:t xml:space="preserve">8.10</w:t>
      </w:r>
      <w:r>
        <w:rPr>
          <w:rFonts w:hint="eastAsia"/>
        </w:rPr>
        <w:t xml:space="preserve">万元，</w:t>
      </w:r>
      <w:r>
        <w:rPr>
          <w:rFonts w:hint="eastAsia"/>
          <w:lang w:val="en-US" w:eastAsia="zh-CN"/>
        </w:rPr>
        <w:t xml:space="preserve">减少1.51</w:t>
      </w:r>
      <w:r>
        <w:rPr>
          <w:rFonts w:hint="eastAsia"/>
        </w:rPr>
        <w:t xml:space="preserve">万元，</w:t>
      </w:r>
      <w:r>
        <w:rPr>
          <w:rFonts w:hint="eastAsia"/>
          <w:lang w:val="en-US" w:eastAsia="zh-CN"/>
        </w:rPr>
        <w:t xml:space="preserve">减少18.64%</w:t>
      </w:r>
      <w:r>
        <w:rPr>
          <w:rFonts w:hint="eastAsia"/>
        </w:rPr>
        <w:t xml:space="preserve">，主要原因是：</w:t>
      </w:r>
      <w:r>
        <w:rPr>
          <w:rFonts w:hint="eastAsia"/>
          <w:highlight w:val="none"/>
        </w:rPr>
        <w:t xml:space="preserve">2024年预算减少工会经费的支出</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8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2.00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我部门2024年部门预算无因公出国（境）费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我部门2024年部门预算无公务接待费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我部门2024年部门预算无公务用车购置及运行费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我部门2024年部门预算无公务用车运行维护费</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6.59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8.10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减少1.51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下降18.64%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2024年预算减少工会经费的支出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75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75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主要用于：购买办公设备，医疗设备等。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75.64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自有资金采购项目，预算资金75万元，2024年度绩效目标为：购置符合国家相关标准和卫生院实际需求的医疗设备、办公设备，提高医疗服务质量、提升患者满意度。数量指标：卫生院实际需求的医疗设备、办公设备，质量指标：设备故障率≤5%，时效指标：项目起止时间：2024年1月1日-2024年12月31日，成本指标：购置成本≤75万元，社会效益指标：设备利用率=100%，满意度指标：服务对象满意度≥90%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环江毛南族自治县水源镇卫生院</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环江毛南族自治县水源镇卫生院</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486.86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486.86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68.32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452.50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77.07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39.07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563.92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564.49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0.57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564.49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564.49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环江毛南族自治县水源镇卫生院</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402008</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环江毛南族自治县水源镇卫生院</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564.49</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563.92</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486.86</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77.07</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0.57</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0.57</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2"/>
      <w:bookmarkStart w:id="21" w:name="bookmark43"/>
      <w:bookmarkStart w:id="22" w:name="bookmark41"/>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环江毛南族自治县水源镇卫生院</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564.49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488.85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75.64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402008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564.49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488.85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75.64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45.55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45.55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2100302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乡镇卫生院</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414.79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339.72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75.07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2100399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其他基层医疗卫生机构支出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37.71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37.14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0.57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5"/>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环江毛南族自治县水源镇卫生院</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486.86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4.60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486.86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68.32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375.43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39.07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486.86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487.42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0.57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487.42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487.42</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环江毛南族自治县水源镇卫生院</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402008</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487.42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486.86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482.26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0.57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4.60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45.55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45.55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45.55</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2080506</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机关事业单位职业年金缴费支出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22.77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22.77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22.77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2100302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乡镇卫生院</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337.72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337.72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337.72</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2100399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其他基层医疗卫生机构支出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37.71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37.14</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0.57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39.07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39.07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39.07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8"/>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环江毛南族自治县水源镇卫生院</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486.86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482.26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423.18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423.18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143.55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143.55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38.35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38.35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38.82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38.82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67.38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67.38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47.03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47.03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22.77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22.77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18.81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18.81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39.07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39.07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59.08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59.08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21.21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21.21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环江毛南族自治县水源镇卫生院</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402008</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环江毛南族自治县水源镇卫生院</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环江毛南族自治县水源镇卫生院</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环江毛南族自治县水源镇卫生院</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402008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环江毛南族自治县水源镇卫生院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自有资金政府采购项目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按政府采购要求进行采购</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402008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环江毛南族自治县水源镇卫生院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按时发放</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402008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环江毛南族自治县水源镇卫生院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乡村医生养老生活补助县级配套资金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0.57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乡村医生养老生活补助县级配套资金</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3"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79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491"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80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493"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80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494"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80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495"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80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6"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80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9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80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9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80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3KfOhowm6Ip56FAoWuqSug==" w:hash="GhlXwfbNm5hGfRiC1SkM5jApH/3ka2GmC7AP9vcUFcfQrJGkyW98lGyy/hr6DXVUm1hJhtWM36g2az0C5yFbX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事业收入</c:v>
                </c:pt>
              </c:strCache>
            </c:strRef>
          </c:cat>
          <c:val>
            <c:numRef>
              <c:f>Sheet1!$B$2:$B$3</c:f>
              <c:numCache>
                <c:ptCount val="2"/>
                <c:pt idx="0">
                  <c:v>487.42</c:v>
                </c:pt>
                <c:pt idx="1">
                  <c:v>77.07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4.6</c:v>
                </c:pt>
                <c:pt idx="1">
                  <c:v>68.32</c:v>
                </c:pt>
                <c:pt idx="2">
                  <c:v>451.93</c:v>
                </c:pt>
                <c:pt idx="3">
                  <c:v>39.07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485.26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487.42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486.86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482.26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482.26</c:v>
                </c:pt>
                <c:pt idx="1">
                  <c:v>6.59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2.0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2.0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2024-03-04T00:40:28Z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B4AA90A30DE84F8D8667E2974483B4D8_13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2024-03-04T01:36:22Z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B4AA90A30DE84F8D8667E2974483B4D8_13</vt:lpstr>
  </property>
</Properties>
</file>