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jc w:val="center"/>
        <w:rPr>
          <w:rFonts w:hint="eastAsia"/>
          <w:lang w:eastAsia="zh-CN"/>
        </w:rPr>
      </w:pPr>
      <w:r>
        <w:rPr>
          <w:rFonts w:hint="eastAsia"/>
          <w:lang w:eastAsia="zh-CN"/>
        </w:rPr>
        <w:t>环江毛南族自治县疾病预防控制中心</w:t>
      </w:r>
    </w:p>
    <w:p>
      <w:pPr>
        <w:pStyle w:val="10"/>
        <w:jc w:val="center"/>
        <w:sectPr>
          <w:pgSz w:w="11900" w:h="16840"/>
          <w:pgMar w:top="4713" w:right="1913" w:bottom="4713" w:left="2020" w:header="4285" w:footer="4285" w:gutter="0"/>
          <w:pgBorders>
            <w:top w:val="none" w:sz="0" w:space="0"/>
            <w:left w:val="none" w:sz="0" w:space="0"/>
            <w:bottom w:val="none" w:sz="0" w:space="0"/>
            <w:right w:val="none" w:sz="0" w:space="0"/>
          </w:pgBorders>
          <w:pgNumType w:start="1"/>
          <w:cols w:space="720" w:num="1"/>
          <w:docGrid w:linePitch="360" w:charSpace="0"/>
        </w:sectPr>
      </w:pPr>
      <w:r>
        <w:rPr>
          <w:rFonts w:hint="eastAsia"/>
          <w:lang w:eastAsia="zh-CN"/>
        </w:rPr>
        <w:t>2024</w:t>
      </w:r>
      <w:r>
        <w:rPr>
          <w:rFonts w:ascii="Times New Roman" w:hAnsi="Times New Roman" w:eastAsia="Times New Roman" w:cs="Times New Roman"/>
          <w:sz w:val="56"/>
          <w:u w:color="auto"/>
        </w:rPr>
        <w:t>年</w:t>
      </w:r>
      <w:r>
        <w:t>度部门预算</w:t>
      </w:r>
    </w:p>
    <w:p>
      <w:pPr>
        <w:pStyle w:val="12"/>
        <w:keepNext/>
        <w:keepLines/>
        <w:spacing w:after="240"/>
        <w:jc w:val="center"/>
      </w:pPr>
      <w:bookmarkStart w:id="0" w:name="bookmark2"/>
      <w:bookmarkStart w:id="1" w:name="bookmark1"/>
      <w:bookmarkStart w:id="2" w:name="bookmark0"/>
      <w:r>
        <w:t>目录</w:t>
      </w:r>
      <w:bookmarkEnd w:id="0"/>
      <w:bookmarkEnd w:id="1"/>
      <w:bookmarkEnd w:id="2"/>
    </w:p>
    <w:p>
      <w:pPr>
        <w:pStyle w:val="16"/>
        <w:ind w:left="0" w:leftChars="0" w:firstLine="320" w:firstLineChars="100"/>
        <w:jc w:val="left"/>
      </w:pPr>
      <w:r>
        <w:t>第一部分</w:t>
      </w:r>
      <w:r>
        <w:rPr>
          <w:rFonts w:hint="eastAsia"/>
          <w:lang w:eastAsia="zh-CN"/>
        </w:rPr>
        <w:t>：</w:t>
      </w:r>
      <w:r>
        <w:rPr>
          <w:u w:color="auto"/>
        </w:rPr>
        <w:t>环江毛南族自治县疾病预防控制中心单位</w:t>
      </w:r>
      <w:r>
        <w:t>概况</w:t>
      </w:r>
    </w:p>
    <w:p>
      <w:pPr>
        <w:pStyle w:val="16"/>
        <w:jc w:val="left"/>
      </w:pPr>
      <w:r>
        <w:rPr>
          <w:lang w:val="en-US" w:eastAsia="zh-CN" w:bidi="en-US"/>
        </w:rPr>
        <w:t>—</w:t>
      </w:r>
      <w:r>
        <w:t>、主要职责</w:t>
      </w:r>
    </w:p>
    <w:p>
      <w:pPr>
        <w:pStyle w:val="16"/>
        <w:jc w:val="left"/>
        <w:rPr>
          <w:rFonts w:hint="eastAsia"/>
        </w:rPr>
      </w:pPr>
      <w:r>
        <w:rPr>
          <w:rFonts w:hint="eastAsia"/>
          <w:lang w:val="en-US" w:eastAsia="zh-CN"/>
        </w:rPr>
        <w:t>二、</w:t>
      </w:r>
      <w:r>
        <w:rPr>
          <w:rFonts w:hint="eastAsia"/>
        </w:rPr>
        <w:t>机构设置情况</w:t>
      </w:r>
    </w:p>
    <w:p>
      <w:pPr>
        <w:pStyle w:val="16"/>
        <w:ind w:left="0" w:leftChars="0" w:firstLine="320" w:firstLineChars="100"/>
        <w:jc w:val="left"/>
      </w:pPr>
      <w:r>
        <w:t>第二部分</w:t>
      </w:r>
      <w:r>
        <w:rPr>
          <w:rFonts w:hint="eastAsia"/>
          <w:lang w:eastAsia="zh-CN"/>
        </w:rPr>
        <w:t>：</w:t>
      </w:r>
      <w:r>
        <w:rPr>
          <w:u w:color="auto"/>
        </w:rPr>
        <w:t>环江毛南族自治县疾病预防控制中心2024</w:t>
      </w:r>
      <w:r>
        <w:t>部门预算情况说明</w:t>
      </w:r>
    </w:p>
    <w:p>
      <w:pPr>
        <w:pStyle w:val="16"/>
        <w:numPr>
          <w:ilvl w:val="0"/>
          <w:numId w:val="0"/>
        </w:numPr>
        <w:ind w:firstLine="640" w:firstLineChars="200"/>
        <w:jc w:val="left"/>
        <w:rPr>
          <w:rFonts w:hint="eastAsia"/>
        </w:rPr>
      </w:pPr>
      <w:r>
        <w:rPr>
          <w:rFonts w:hint="eastAsia"/>
        </w:rPr>
        <w:t>一、部门收支总体情况说明</w:t>
      </w:r>
    </w:p>
    <w:p>
      <w:pPr>
        <w:pStyle w:val="16"/>
        <w:numPr>
          <w:ilvl w:val="0"/>
          <w:numId w:val="0"/>
        </w:numPr>
        <w:ind w:firstLine="640" w:firstLineChars="200"/>
        <w:jc w:val="left"/>
        <w:rPr>
          <w:rFonts w:hint="eastAsia"/>
        </w:rPr>
      </w:pPr>
      <w:r>
        <w:rPr>
          <w:rFonts w:hint="eastAsia"/>
        </w:rPr>
        <w:t>二、部门收入总体情况说明</w:t>
      </w:r>
    </w:p>
    <w:p>
      <w:pPr>
        <w:pStyle w:val="16"/>
        <w:numPr>
          <w:ilvl w:val="0"/>
          <w:numId w:val="0"/>
        </w:numPr>
        <w:ind w:firstLine="640" w:firstLineChars="200"/>
        <w:jc w:val="left"/>
        <w:rPr>
          <w:rFonts w:hint="eastAsia"/>
        </w:rPr>
      </w:pPr>
      <w:r>
        <w:rPr>
          <w:rFonts w:hint="eastAsia"/>
        </w:rPr>
        <w:t>三、部门支出总体情况说明</w:t>
      </w:r>
    </w:p>
    <w:p>
      <w:pPr>
        <w:pStyle w:val="16"/>
        <w:numPr>
          <w:ilvl w:val="0"/>
          <w:numId w:val="0"/>
        </w:numPr>
        <w:ind w:firstLine="640" w:firstLineChars="200"/>
        <w:jc w:val="left"/>
        <w:rPr>
          <w:rFonts w:hint="eastAsia"/>
        </w:rPr>
      </w:pPr>
      <w:r>
        <w:rPr>
          <w:rFonts w:hint="eastAsia"/>
        </w:rPr>
        <w:t>四、财政拨款收支总体情况说明</w:t>
      </w:r>
    </w:p>
    <w:p>
      <w:pPr>
        <w:pStyle w:val="16"/>
        <w:numPr>
          <w:ilvl w:val="0"/>
          <w:numId w:val="0"/>
        </w:numPr>
        <w:ind w:firstLine="640" w:firstLineChars="200"/>
        <w:jc w:val="left"/>
        <w:rPr>
          <w:rFonts w:hint="eastAsia"/>
        </w:rPr>
      </w:pPr>
      <w:r>
        <w:rPr>
          <w:rFonts w:hint="eastAsia"/>
        </w:rPr>
        <w:t>五、一般公共预算支出情况说明</w:t>
      </w:r>
    </w:p>
    <w:p>
      <w:pPr>
        <w:pStyle w:val="16"/>
        <w:numPr>
          <w:ilvl w:val="0"/>
          <w:numId w:val="0"/>
        </w:numPr>
        <w:ind w:firstLine="640" w:firstLineChars="200"/>
        <w:jc w:val="left"/>
        <w:rPr>
          <w:rFonts w:hint="eastAsia"/>
        </w:rPr>
      </w:pPr>
      <w:r>
        <w:rPr>
          <w:rFonts w:hint="eastAsia"/>
        </w:rPr>
        <w:t>六、一般公共预算基本支出情况说明</w:t>
      </w:r>
    </w:p>
    <w:p>
      <w:pPr>
        <w:pStyle w:val="16"/>
        <w:numPr>
          <w:ilvl w:val="0"/>
          <w:numId w:val="0"/>
        </w:numPr>
        <w:ind w:firstLine="640" w:firstLineChars="200"/>
        <w:jc w:val="left"/>
        <w:rPr>
          <w:rFonts w:hint="eastAsia"/>
        </w:rPr>
      </w:pPr>
      <w:r>
        <w:rPr>
          <w:rFonts w:hint="eastAsia"/>
        </w:rPr>
        <w:t>七、一般公共预算“三公”经费支出情况说明</w:t>
      </w:r>
    </w:p>
    <w:p>
      <w:pPr>
        <w:pStyle w:val="16"/>
        <w:numPr>
          <w:ilvl w:val="0"/>
          <w:numId w:val="0"/>
        </w:numPr>
        <w:ind w:firstLine="640" w:firstLineChars="200"/>
        <w:jc w:val="left"/>
        <w:rPr>
          <w:rFonts w:hint="eastAsia"/>
        </w:rPr>
      </w:pPr>
      <w:r>
        <w:rPr>
          <w:rFonts w:hint="eastAsia"/>
        </w:rPr>
        <w:t>八、政府性基金预算支出情况说明</w:t>
      </w:r>
    </w:p>
    <w:p>
      <w:pPr>
        <w:pStyle w:val="16"/>
        <w:numPr>
          <w:ilvl w:val="0"/>
          <w:numId w:val="0"/>
        </w:numPr>
        <w:ind w:firstLine="640" w:firstLineChars="200"/>
        <w:jc w:val="left"/>
        <w:rPr>
          <w:rFonts w:hint="eastAsia"/>
        </w:rPr>
      </w:pPr>
      <w:r>
        <w:rPr>
          <w:rFonts w:hint="eastAsia"/>
        </w:rPr>
        <w:t>九、国有资本经营预算支出情况说明</w:t>
      </w:r>
    </w:p>
    <w:p>
      <w:pPr>
        <w:pStyle w:val="16"/>
        <w:numPr>
          <w:ilvl w:val="0"/>
          <w:numId w:val="0"/>
        </w:numPr>
        <w:ind w:firstLine="640" w:firstLineChars="200"/>
        <w:jc w:val="left"/>
      </w:pPr>
      <w:r>
        <w:rPr>
          <w:rFonts w:hint="eastAsia"/>
        </w:rPr>
        <w:t>十、其他重要事项情况说明</w:t>
      </w:r>
    </w:p>
    <w:p>
      <w:pPr>
        <w:pStyle w:val="16"/>
        <w:ind w:left="0" w:leftChars="0" w:firstLine="320" w:firstLineChars="100"/>
        <w:jc w:val="left"/>
      </w:pPr>
      <w:r>
        <w:t>第三部分</w:t>
      </w:r>
      <w:r>
        <w:rPr>
          <w:rFonts w:hint="eastAsia"/>
          <w:lang w:eastAsia="zh-CN"/>
        </w:rPr>
        <w:t>：</w:t>
      </w:r>
      <w:r>
        <w:rPr>
          <w:u w:color="auto"/>
        </w:rPr>
        <w:t>环江毛南族自治县疾病预防控制中心2024</w:t>
      </w:r>
      <w:r>
        <w:rPr>
          <w:rFonts w:ascii="Times New Roman" w:hAnsi="Times New Roman" w:cs="Times New Roman"/>
          <w:u w:color="auto"/>
        </w:rPr>
        <w:t>年</w:t>
      </w:r>
      <w:r>
        <w:t>部门预算</w:t>
      </w:r>
      <w:r>
        <w:rPr>
          <w:rFonts w:hint="eastAsia"/>
          <w:lang w:val="en-US" w:eastAsia="zh-CN"/>
        </w:rPr>
        <w:t>相关报</w:t>
      </w:r>
      <w:r>
        <w:t>表</w:t>
      </w:r>
    </w:p>
    <w:p>
      <w:pPr>
        <w:pStyle w:val="16"/>
        <w:jc w:val="left"/>
        <w:rPr>
          <w:rFonts w:hint="eastAsia"/>
        </w:rPr>
      </w:pPr>
      <w:r>
        <w:rPr>
          <w:rFonts w:hint="eastAsia"/>
        </w:rPr>
        <w:t>一、部门收支总体情况表</w:t>
      </w:r>
    </w:p>
    <w:p>
      <w:pPr>
        <w:pStyle w:val="16"/>
        <w:jc w:val="left"/>
        <w:rPr>
          <w:rFonts w:hint="eastAsia"/>
        </w:rPr>
      </w:pPr>
      <w:r>
        <w:rPr>
          <w:rFonts w:hint="eastAsia"/>
        </w:rPr>
        <w:t>二、部门收入总体情况表</w:t>
      </w:r>
    </w:p>
    <w:p>
      <w:pPr>
        <w:pStyle w:val="16"/>
        <w:jc w:val="left"/>
        <w:rPr>
          <w:rFonts w:hint="eastAsia"/>
        </w:rPr>
      </w:pPr>
      <w:r>
        <w:rPr>
          <w:rFonts w:hint="eastAsia"/>
        </w:rPr>
        <w:t>三、部门支出总体情况表</w:t>
      </w:r>
    </w:p>
    <w:p>
      <w:pPr>
        <w:pStyle w:val="16"/>
        <w:jc w:val="left"/>
        <w:rPr>
          <w:rFonts w:hint="eastAsia"/>
        </w:rPr>
      </w:pPr>
      <w:r>
        <w:rPr>
          <w:rFonts w:hint="eastAsia"/>
        </w:rPr>
        <w:t>四、财政拨款收支总体情况表</w:t>
      </w:r>
    </w:p>
    <w:p>
      <w:pPr>
        <w:pStyle w:val="16"/>
        <w:jc w:val="left"/>
        <w:rPr>
          <w:rFonts w:hint="eastAsia"/>
        </w:rPr>
      </w:pPr>
      <w:r>
        <w:rPr>
          <w:rFonts w:hint="eastAsia"/>
        </w:rPr>
        <w:t>五、一般公共预算支出情况表</w:t>
      </w:r>
    </w:p>
    <w:p>
      <w:pPr>
        <w:pStyle w:val="16"/>
        <w:jc w:val="left"/>
        <w:rPr>
          <w:rFonts w:hint="eastAsia"/>
        </w:rPr>
      </w:pPr>
      <w:r>
        <w:rPr>
          <w:rFonts w:hint="eastAsia"/>
        </w:rPr>
        <w:t>六、一般公共预算基本支出情况表</w:t>
      </w:r>
    </w:p>
    <w:p>
      <w:pPr>
        <w:pStyle w:val="16"/>
        <w:jc w:val="left"/>
        <w:rPr>
          <w:rFonts w:hint="eastAsia"/>
        </w:rPr>
      </w:pPr>
      <w:r>
        <w:rPr>
          <w:rFonts w:hint="eastAsia"/>
        </w:rPr>
        <w:t>七、一般公开预算“三公”经费支出情况表</w:t>
      </w:r>
    </w:p>
    <w:p>
      <w:pPr>
        <w:pStyle w:val="16"/>
        <w:jc w:val="left"/>
        <w:rPr>
          <w:rFonts w:hint="eastAsia"/>
        </w:rPr>
      </w:pPr>
      <w:r>
        <w:rPr>
          <w:rFonts w:hint="eastAsia"/>
        </w:rPr>
        <w:t>八、政府性基金预算支出情况表</w:t>
      </w:r>
    </w:p>
    <w:p>
      <w:pPr>
        <w:pStyle w:val="16"/>
        <w:jc w:val="left"/>
        <w:rPr>
          <w:rFonts w:hint="eastAsia"/>
        </w:rPr>
      </w:pPr>
      <w:r>
        <w:rPr>
          <w:rFonts w:hint="eastAsia"/>
        </w:rPr>
        <w:t>九、国有资本经营预算支出情况表</w:t>
      </w:r>
    </w:p>
    <w:p>
      <w:pPr>
        <w:pStyle w:val="16"/>
        <w:jc w:val="left"/>
        <w:rPr>
          <w:rFonts w:hint="eastAsia" w:eastAsia="宋体"/>
          <w:lang w:eastAsia="zh-CN"/>
        </w:rPr>
      </w:pPr>
      <w:r>
        <w:rPr>
          <w:rFonts w:hint="eastAsia"/>
        </w:rPr>
        <w:t>十、2024年度预算项目绩效目标公开表</w:t>
      </w:r>
    </w:p>
    <w:p>
      <w:pPr>
        <w:pStyle w:val="16"/>
        <w:ind w:left="0" w:leftChars="0" w:firstLine="320" w:firstLineChars="100"/>
        <w:jc w:val="left"/>
        <w:rPr>
          <w:rFonts w:hint="eastAsia" w:eastAsia="宋体"/>
          <w:lang w:eastAsia="zh-CN"/>
        </w:rPr>
        <w:sectPr>
          <w:footerReference r:id="rId3" w:type="default"/>
          <w:pgSz w:w="11900" w:h="16840"/>
          <w:pgMar w:top="1508" w:right="1674" w:bottom="1508" w:left="1851" w:header="1080" w:footer="3" w:gutter="0"/>
          <w:pgBorders>
            <w:top w:val="none" w:sz="0" w:space="0"/>
            <w:left w:val="none" w:sz="0" w:space="0"/>
            <w:bottom w:val="none" w:sz="0" w:space="0"/>
            <w:right w:val="none" w:sz="0" w:space="0"/>
          </w:pgBorders>
          <w:cols w:space="720" w:num="1"/>
          <w:docGrid w:linePitch="360" w:charSpace="0"/>
        </w:sectPr>
      </w:pPr>
      <w:r>
        <w:t>第四部分</w:t>
      </w:r>
      <w:r>
        <w:rPr>
          <w:rFonts w:hint="eastAsia"/>
          <w:lang w:eastAsia="zh-CN"/>
        </w:rPr>
        <w:t>：</w:t>
      </w:r>
      <w:r>
        <w:t>名词</w:t>
      </w:r>
      <w:r>
        <w:rPr>
          <w:rFonts w:hint="eastAsia"/>
          <w:lang w:val="en-US" w:eastAsia="zh-CN"/>
        </w:rPr>
        <w:t>解释</w:t>
      </w:r>
    </w:p>
    <w:p>
      <w:pPr>
        <w:pStyle w:val="12"/>
        <w:keepNext/>
        <w:keepLines/>
        <w:spacing w:after="560"/>
        <w:jc w:val="both"/>
      </w:pPr>
      <w:bookmarkStart w:id="3" w:name="bookmark13"/>
      <w:bookmarkStart w:id="4" w:name="bookmark14"/>
      <w:bookmarkStart w:id="5" w:name="bookmark12"/>
    </w:p>
    <w:p>
      <w:pPr>
        <w:pStyle w:val="12"/>
        <w:keepNext/>
        <w:keepLines/>
        <w:spacing w:after="560"/>
        <w:jc w:val="center"/>
        <w:rPr>
          <w:b/>
          <w:bCs/>
        </w:rPr>
      </w:pPr>
      <w:r>
        <w:rPr>
          <w:b/>
          <w:bCs/>
        </w:rPr>
        <w:t>第一部分</w:t>
      </w:r>
      <w:r>
        <w:rPr>
          <w:rFonts w:hint="eastAsia"/>
          <w:b/>
          <w:bCs/>
          <w:lang w:eastAsia="zh-CN"/>
        </w:rPr>
        <w:t>：</w:t>
      </w:r>
      <w:r>
        <w:rPr>
          <w:b/>
          <w:u w:color="auto"/>
        </w:rPr>
        <w:t>环江毛南族自治县疾病预防控制中心</w:t>
      </w:r>
      <w:r>
        <w:rPr>
          <w:b/>
          <w:bCs/>
        </w:rPr>
        <w:t>概况</w:t>
      </w:r>
      <w:bookmarkEnd w:id="3"/>
      <w:bookmarkEnd w:id="4"/>
      <w:bookmarkEnd w:id="5"/>
    </w:p>
    <w:p>
      <w:pPr>
        <w:pStyle w:val="16"/>
        <w:spacing w:after="0" w:line="619" w:lineRule="exact"/>
        <w:ind w:firstLine="620"/>
        <w:jc w:val="left"/>
        <w:rPr>
          <w:b/>
          <w:bCs/>
        </w:rPr>
      </w:pPr>
      <w:r>
        <w:rPr>
          <w:rFonts w:hint="eastAsia"/>
          <w:b/>
          <w:bCs/>
          <w:lang w:val="en-US" w:eastAsia="zh-CN"/>
        </w:rPr>
        <w:t>一、</w:t>
      </w:r>
      <w:r>
        <w:rPr>
          <w:b/>
          <w:bCs/>
        </w:rPr>
        <w:t>主要职责</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一）乡镇预防接种设备建设及预防接种服务工作：利用财政冷链经费对部分乡镇卫生院预防接种门诊进行改造，解决群众预防接种难问题，解决基层接种单位疫苗储存安全和信息读取难问题。全县各接种单位每季度都开展一次适龄儿童国家免疫规划疫苗查漏补种工作，消除免疫空白点，提高疫苗接种率。</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（二）艾滋病防控工作：相关资料按时上报艾滋病专报系统。哨点监测采集及成调查问卷。初筛发现阳性者进行面对面告知结果并指导进一步咨询诊治。发放宣传材料及安全套，完成上级下达工作任务。</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（三）结核病防控：定点医疗机构管理肺结核患者，开展密切接触者筛查等工作。每季度对对各乡镇开展督导工作1次，对学校结核防治知识培训1次。</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四）麻风病防控工作：年内举办麻风病、性病防治相关知识培训班，利用皮肤病防治综合门诊向就诊者宣传“麻风病可防、可治、不可怕”的道理，使广大人民群众了解和掌握有关麻风病的基本防治知识，唤起全社会对麻风病人的关爱，消除对麻风病的恐惧。</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（五）居民健康档案管理工作：全县建立电子健康档案人份，建档率90.24%，达到广西建档率的指标要求（≥90%）。</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（六）血吸虫病防治工作：全年查螺面积4万平方米，</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（七）饮用水监测工作：根据各乡镇的水源类型、水处理工艺、供水方式和规模，设置监测点，并完成相关数据的录入上报工作，按时完成全年监测任务。</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（八）食品风险监测工作：全年食品风险监测样品，样品数据上报自治区；及时完成相关数据的收集归档和数据网络直报工作。</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九）职业病风险监测工作：随访职业性尘肺病深入各乡镇开展职业病危害因素的督导及危害因素申报工作，协助河池市疾控中心安排的第三方企业危害因素监测组对自治县20家企业开展危害因素监测工作并把监测结果上报职业病危害因素监测系统。</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（十）学生营养监测工作：监测农村义务教育学校学生营养改善计划实施基本情况，包括营养改善计划覆盖学生总数，不同供餐模式学校数和学生人数等基本信息；常规监测指标：学生的身高和体重。</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（十一）学生视力筛查工作：选取环江第二幼儿园、第五幼儿园、环江一小、环江二小、环江一中、思源中学、环江高中等7所学校开展学生视力筛查工作。</w:t>
      </w:r>
    </w:p>
    <w:p>
      <w:pPr>
        <w:pStyle w:val="16"/>
        <w:tabs>
          <w:tab w:val="left" w:pos="1369"/>
        </w:tabs>
        <w:spacing w:after="0" w:line="623" w:lineRule="exact"/>
        <w:ind w:firstLine="620"/>
        <w:jc w:val="left"/>
        <w:rPr>
          <w:b/>
          <w:bCs/>
        </w:rPr>
      </w:pPr>
      <w:bookmarkStart w:id="6" w:name="bookmark24"/>
      <w:r>
        <w:rPr>
          <w:b/>
          <w:bCs/>
        </w:rPr>
        <w:t>二</w:t>
      </w:r>
      <w:bookmarkEnd w:id="6"/>
      <w:r>
        <w:rPr>
          <w:b/>
          <w:bCs/>
        </w:rPr>
        <w:t>、</w:t>
      </w:r>
      <w:r>
        <w:rPr>
          <w:b/>
          <w:bCs/>
        </w:rPr>
        <w:tab/>
      </w:r>
      <w:r>
        <w:rPr>
          <w:rFonts w:hint="eastAsia"/>
          <w:b/>
          <w:bCs/>
        </w:rPr>
        <w:t>机构设置情况</w:t>
      </w:r>
    </w:p>
    <w:p>
      <w:pPr>
        <w:pStyle w:val="18"/>
        <w:spacing w:line="623" w:lineRule="exact"/>
        <w:ind w:left="0" w:leftChars="0" w:firstLine="560" w:firstLineChars="200"/>
        <w:jc w:val="left"/>
        <w:rPr>
          <w:rFonts w:hint="default"/>
          <w:highlight w:val="yellow"/>
          <w:lang w:val="en-US" w:eastAsia="zh-CN"/>
        </w:rPr>
      </w:pPr>
      <w:r>
        <w:rPr>
          <w:rFonts w:hint="eastAsia"/>
          <w:highlight w:val="none"/>
          <w:lang w:val="en-US" w:eastAsia="zh-CN"/>
        </w:rPr>
        <w:t>我部门没有下属单位，按照部门预算编报要求，单独编制本部门预算。机构及人员情况：我中心设有党务办、中心办（应急办）、财务科、健康教育科、后勤保障科、卫生科、检验科、免疫规划管理科、慢性非传染疾病管理科、皮防科、疾控科、艾防科等12个业务科室。</w:t>
      </w:r>
    </w:p>
    <w:p>
      <w:pPr>
        <w:pStyle w:val="18"/>
        <w:spacing w:line="623" w:lineRule="exact"/>
        <w:ind w:firstLine="1018" w:firstLineChars="0"/>
        <w:jc w:val="left"/>
        <w:rPr>
          <w:rFonts w:hint="eastAsia"/>
          <w:highlight w:val="none"/>
          <w:lang w:val="en-US" w:eastAsia="zh-CN"/>
        </w:rPr>
      </w:pPr>
    </w:p>
    <w:p>
      <w:pPr>
        <w:pStyle w:val="18"/>
        <w:spacing w:line="623" w:lineRule="exact"/>
        <w:ind w:firstLine="1018" w:firstLineChars="0"/>
        <w:jc w:val="left"/>
        <w:rPr>
          <w:rFonts w:hint="eastAsia"/>
          <w:highlight w:val="none"/>
          <w:lang w:val="en-US" w:eastAsia="zh-CN"/>
        </w:rPr>
      </w:pPr>
    </w:p>
    <w:p>
      <w:r>
        <w:br w:type="page"/>
      </w:r>
    </w:p>
    <w:p>
      <w:pPr>
        <w:pStyle w:val="12"/>
        <w:keepNext/>
        <w:keepLines/>
        <w:spacing w:before="120" w:after="0" w:line="629" w:lineRule="exact"/>
        <w:jc w:val="center"/>
        <w:rPr>
          <w:b/>
          <w:bCs/>
        </w:rPr>
      </w:pPr>
      <w:bookmarkStart w:id="7" w:name="bookmark70"/>
      <w:bookmarkStart w:id="8" w:name="bookmark68"/>
      <w:bookmarkStart w:id="9" w:name="bookmark69"/>
      <w:bookmarkStart w:id="10" w:name="bookmark27"/>
      <w:bookmarkStart w:id="11" w:name="bookmark28"/>
      <w:bookmarkStart w:id="12" w:name="bookmark26"/>
      <w:r>
        <w:rPr>
          <w:b/>
          <w:bCs/>
        </w:rPr>
        <w:t>第</w:t>
      </w:r>
      <w:r>
        <w:rPr>
          <w:rFonts w:hint="eastAsia"/>
          <w:b/>
          <w:bCs/>
          <w:lang w:val="en-US" w:eastAsia="zh-CN"/>
        </w:rPr>
        <w:t>二</w:t>
      </w:r>
      <w:r>
        <w:rPr>
          <w:b/>
          <w:bCs/>
        </w:rPr>
        <w:t>部分</w:t>
      </w:r>
      <w:r>
        <w:rPr>
          <w:rFonts w:hint="eastAsia"/>
          <w:b/>
          <w:bCs/>
          <w:lang w:eastAsia="zh-CN"/>
        </w:rPr>
        <w:t>：</w:t>
      </w:r>
      <w:bookmarkEnd w:id="7"/>
      <w:bookmarkEnd w:id="8"/>
      <w:bookmarkEnd w:id="9"/>
      <w:r>
        <w:rPr>
          <w:rFonts w:hint="eastAsia"/>
          <w:b/>
          <w:bCs/>
          <w:lang w:eastAsia="zh-CN"/>
        </w:rPr>
        <w:t>环江毛南族自治县疾病预防控制中心</w:t>
      </w:r>
      <w:r>
        <w:rPr>
          <w:b/>
          <w:u w:color="auto"/>
        </w:rPr>
        <w:t>2024年部门预算情况说明</w:t>
      </w:r>
    </w:p>
    <w:p>
      <w:pPr>
        <w:pStyle w:val="16"/>
        <w:tabs>
          <w:tab w:val="left" w:pos="1235"/>
        </w:tabs>
        <w:spacing w:after="0" w:line="624" w:lineRule="exact"/>
        <w:ind w:firstLine="580"/>
        <w:jc w:val="left"/>
        <w:rPr>
          <w:b/>
          <w:bCs/>
        </w:rPr>
      </w:pPr>
      <w:bookmarkStart w:id="13" w:name="bookmark71"/>
      <w:r>
        <w:rPr>
          <w:b/>
          <w:bCs/>
        </w:rPr>
        <w:t>一</w:t>
      </w:r>
      <w:bookmarkEnd w:id="13"/>
      <w:r>
        <w:rPr>
          <w:b/>
          <w:bCs/>
        </w:rPr>
        <w:t>、</w:t>
      </w:r>
      <w:r>
        <w:rPr>
          <w:b/>
          <w:bCs/>
        </w:rPr>
        <w:tab/>
      </w:r>
      <w:r>
        <w:rPr>
          <w:b/>
          <w:bCs/>
        </w:rPr>
        <w:t>部门预算收支总体情况说明</w:t>
      </w:r>
    </w:p>
    <w:p>
      <w:pPr>
        <w:pStyle w:val="18"/>
        <w:spacing w:line="623" w:lineRule="exact"/>
        <w:ind w:left="0" w:leftChars="0" w:firstLine="560" w:firstLineChars="200"/>
        <w:jc w:val="left"/>
        <w:rPr>
          <w:rFonts w:ascii="Times New Roman" w:hAnsi="Times New Roman" w:cs="Times New Roman"/>
          <w:b/>
          <w:bCs/>
          <w:sz w:val="28"/>
          <w:szCs w:val="28"/>
          <w:lang w:val="en-US" w:eastAsia="zh-CN"/>
        </w:rPr>
      </w:pPr>
      <w:r>
        <w:rPr>
          <w:rFonts w:hint="eastAsia"/>
          <w:b w:val="0"/>
          <w:bCs w:val="0"/>
          <w:sz w:val="28"/>
          <w:szCs w:val="28"/>
        </w:rPr>
        <w:t>我部门总收入</w:t>
      </w:r>
      <w:r>
        <w:rPr>
          <w:rFonts w:hint="eastAsia"/>
          <w:sz w:val="28"/>
          <w:szCs w:val="28"/>
          <w:lang w:val="en-US" w:eastAsia="zh-CN"/>
        </w:rPr>
        <w:t>846.80</w:t>
      </w:r>
      <w:r>
        <w:rPr>
          <w:rFonts w:hint="eastAsia"/>
          <w:b w:val="0"/>
          <w:bCs w:val="0"/>
          <w:sz w:val="28"/>
          <w:szCs w:val="28"/>
        </w:rPr>
        <w:t>万元，总支出</w:t>
      </w:r>
      <w:r>
        <w:rPr>
          <w:rFonts w:hint="eastAsia"/>
          <w:sz w:val="28"/>
          <w:szCs w:val="28"/>
          <w:lang w:val="en-US" w:eastAsia="zh-CN"/>
        </w:rPr>
        <w:t>846.80</w:t>
      </w:r>
      <w:r>
        <w:rPr>
          <w:rFonts w:hint="eastAsia"/>
          <w:b w:val="0"/>
          <w:bCs w:val="0"/>
          <w:sz w:val="28"/>
          <w:szCs w:val="28"/>
        </w:rPr>
        <w:t>万元。总收入较2023年度预算数</w:t>
      </w:r>
      <w:r>
        <w:rPr>
          <w:rFonts w:hint="eastAsia"/>
          <w:sz w:val="28"/>
          <w:szCs w:val="28"/>
          <w:lang w:val="en-US" w:eastAsia="zh-CN"/>
        </w:rPr>
        <w:t>732.66</w:t>
      </w:r>
      <w:r>
        <w:rPr>
          <w:rFonts w:hint="eastAsia"/>
          <w:b w:val="0"/>
          <w:bCs w:val="0"/>
          <w:sz w:val="28"/>
          <w:szCs w:val="28"/>
        </w:rPr>
        <w:t>万元，</w:t>
      </w:r>
      <w:r>
        <w:rPr>
          <w:rFonts w:hint="eastAsia"/>
          <w:sz w:val="28"/>
          <w:szCs w:val="28"/>
        </w:rPr>
        <w:t>增加114.14</w:t>
      </w:r>
      <w:r>
        <w:rPr>
          <w:rFonts w:hint="eastAsia"/>
          <w:b w:val="0"/>
          <w:bCs w:val="0"/>
          <w:sz w:val="28"/>
          <w:szCs w:val="28"/>
        </w:rPr>
        <w:t>万元，</w:t>
      </w:r>
      <w:r>
        <w:rPr>
          <w:rFonts w:hint="eastAsia"/>
          <w:sz w:val="28"/>
          <w:szCs w:val="28"/>
        </w:rPr>
        <w:t>增长15.58%</w:t>
      </w:r>
      <w:r>
        <w:rPr>
          <w:rFonts w:hint="eastAsia"/>
          <w:b w:val="0"/>
          <w:bCs w:val="0"/>
          <w:sz w:val="28"/>
          <w:szCs w:val="28"/>
        </w:rPr>
        <w:t>，主要原因是</w:t>
      </w:r>
      <w:r>
        <w:rPr>
          <w:rFonts w:hint="eastAsia"/>
          <w:highlight w:val="none"/>
          <w:lang w:val="en-US" w:eastAsia="zh-CN"/>
        </w:rPr>
        <w:t>人员工资正常变动增加、部分医疗单位预算业务收入增加</w:t>
      </w:r>
      <w:r>
        <w:rPr>
          <w:rFonts w:hint="eastAsia"/>
          <w:b w:val="0"/>
          <w:bCs w:val="0"/>
          <w:sz w:val="28"/>
          <w:szCs w:val="28"/>
        </w:rPr>
        <w:t>。总支出较2023年度预算数</w:t>
      </w:r>
      <w:r>
        <w:rPr>
          <w:rFonts w:hint="eastAsia"/>
          <w:sz w:val="28"/>
          <w:szCs w:val="28"/>
          <w:lang w:val="en-US" w:eastAsia="zh-CN"/>
        </w:rPr>
        <w:t>732.66</w:t>
      </w:r>
      <w:r>
        <w:rPr>
          <w:rFonts w:hint="eastAsia"/>
          <w:b w:val="0"/>
          <w:bCs w:val="0"/>
          <w:sz w:val="28"/>
          <w:szCs w:val="28"/>
        </w:rPr>
        <w:t>万元，</w:t>
      </w:r>
      <w:r>
        <w:rPr>
          <w:rFonts w:hint="eastAsia"/>
          <w:sz w:val="28"/>
          <w:szCs w:val="28"/>
        </w:rPr>
        <w:t>增加114.14</w:t>
      </w:r>
      <w:r>
        <w:rPr>
          <w:rFonts w:hint="eastAsia"/>
          <w:b w:val="0"/>
          <w:bCs w:val="0"/>
          <w:sz w:val="28"/>
          <w:szCs w:val="28"/>
        </w:rPr>
        <w:t>万元，</w:t>
      </w:r>
      <w:r>
        <w:rPr>
          <w:rFonts w:hint="eastAsia"/>
          <w:sz w:val="28"/>
          <w:szCs w:val="28"/>
        </w:rPr>
        <w:t>增长15.58%</w:t>
      </w:r>
      <w:r>
        <w:rPr>
          <w:rFonts w:hint="eastAsia"/>
          <w:b w:val="0"/>
          <w:bCs w:val="0"/>
          <w:sz w:val="28"/>
          <w:szCs w:val="28"/>
        </w:rPr>
        <w:t>，主要原因是</w:t>
      </w:r>
      <w:r>
        <w:rPr>
          <w:rFonts w:hint="eastAsia"/>
          <w:highlight w:val="none"/>
          <w:lang w:val="en-US" w:eastAsia="zh-CN"/>
        </w:rPr>
        <w:t>(1)基本支出增加主要为人员增加的工资福利支出增加；（2）项目支出增加主要新增管理项目</w:t>
      </w:r>
      <w:r>
        <w:rPr>
          <w:rFonts w:hint="eastAsia"/>
          <w:b w:val="0"/>
          <w:bCs w:val="0"/>
          <w:sz w:val="28"/>
          <w:szCs w:val="28"/>
        </w:rPr>
        <w:t>。</w:t>
      </w:r>
    </w:p>
    <w:p>
      <w:pPr>
        <w:pStyle w:val="16"/>
        <w:tabs>
          <w:tab w:val="left" w:pos="1235"/>
        </w:tabs>
        <w:spacing w:after="0" w:line="624" w:lineRule="exact"/>
        <w:ind w:firstLine="580"/>
        <w:jc w:val="left"/>
        <w:rPr>
          <w:b/>
          <w:bCs/>
          <w:lang w:val="en-US" w:eastAsia="zh-CN"/>
        </w:rPr>
      </w:pPr>
      <w:r>
        <w:rPr>
          <w:rFonts w:hint="eastAsia"/>
          <w:b/>
          <w:bCs/>
          <w:lang w:val="en-US" w:eastAsia="zh-CN"/>
        </w:rPr>
        <w:t>二、</w:t>
      </w:r>
      <w:r>
        <w:rPr>
          <w:b/>
          <w:bCs/>
        </w:rPr>
        <w:t>部门收入总体情况说明</w:t>
      </w:r>
    </w:p>
    <w:p>
      <w:pPr>
        <w:pStyle w:val="18"/>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402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u w:color="auto"/>
          <w:lang w:eastAsia="zh-CN"/>
        </w:rPr>
        <w:t>2024</w:t>
      </w:r>
      <w:r>
        <w:rPr>
          <w:rFonts w:hint="eastAsia" w:ascii="宋体" w:hAnsi="宋体" w:eastAsia="宋体" w:cs="宋体"/>
          <w:sz w:val="28"/>
          <w:szCs w:val="28"/>
          <w:u w:color="auto"/>
        </w:rPr>
        <w:t>年我部门总收入</w:t>
      </w:r>
      <w:r>
        <w:rPr>
          <w:rFonts w:hint="eastAsia" w:ascii="宋体" w:hAnsi="宋体" w:eastAsia="宋体" w:cs="宋体"/>
          <w:sz w:val="28"/>
          <w:szCs w:val="28"/>
          <w:lang w:val="en-US" w:eastAsia="zh-CN"/>
        </w:rPr>
        <w:t>846.80</w:t>
      </w:r>
      <w:r>
        <w:rPr>
          <w:rFonts w:hint="eastAsia" w:ascii="宋体" w:hAnsi="宋体" w:eastAsia="宋体" w:cs="宋体"/>
          <w:sz w:val="28"/>
          <w:szCs w:val="28"/>
          <w:u w:color="auto"/>
        </w:rPr>
        <w:t>万元，较2023年度预算数</w:t>
      </w:r>
      <w:r>
        <w:rPr>
          <w:rFonts w:hint="eastAsia" w:ascii="宋体" w:hAnsi="宋体" w:eastAsia="宋体" w:cs="宋体"/>
          <w:sz w:val="28"/>
          <w:szCs w:val="28"/>
          <w:lang w:val="en-US" w:eastAsia="zh-CN"/>
        </w:rPr>
        <w:t>732.66</w:t>
      </w:r>
      <w:r>
        <w:rPr>
          <w:rFonts w:hint="eastAsia" w:ascii="宋体" w:hAnsi="宋体" w:eastAsia="宋体" w:cs="宋体"/>
          <w:sz w:val="28"/>
          <w:szCs w:val="28"/>
          <w:u w:color="auto"/>
        </w:rPr>
        <w:t>万元，</w:t>
      </w:r>
      <w:r>
        <w:rPr>
          <w:rFonts w:hint="eastAsia" w:ascii="宋体" w:hAnsi="宋体" w:eastAsia="宋体" w:cs="宋体"/>
          <w:sz w:val="28"/>
          <w:szCs w:val="28"/>
        </w:rPr>
        <w:t>增加114.14</w:t>
      </w:r>
      <w:r>
        <w:rPr>
          <w:rFonts w:hint="eastAsia" w:ascii="宋体" w:hAnsi="宋体" w:eastAsia="宋体" w:cs="宋体"/>
          <w:sz w:val="28"/>
          <w:szCs w:val="28"/>
          <w:u w:color="auto"/>
        </w:rPr>
        <w:t>万元，</w:t>
      </w:r>
      <w:r>
        <w:rPr>
          <w:rFonts w:hint="eastAsia" w:ascii="宋体" w:hAnsi="宋体" w:eastAsia="宋体" w:cs="宋体"/>
          <w:sz w:val="28"/>
          <w:szCs w:val="28"/>
        </w:rPr>
        <w:t>增长15.58%</w:t>
      </w:r>
      <w:r>
        <w:rPr>
          <w:rFonts w:hint="eastAsia" w:ascii="宋体" w:hAnsi="宋体" w:eastAsia="宋体" w:cs="宋体"/>
          <w:sz w:val="28"/>
          <w:szCs w:val="28"/>
          <w:u w:color="auto"/>
        </w:rPr>
        <w:t>，主要原因是</w:t>
      </w:r>
      <w:r>
        <w:rPr>
          <w:rFonts w:hint="eastAsia"/>
          <w:highlight w:val="none"/>
          <w:lang w:val="en-US" w:eastAsia="zh-CN"/>
        </w:rPr>
        <w:t>人员工资正常变动增加、部分医疗单位预算业务收入增加</w:t>
      </w:r>
      <w:r>
        <w:rPr>
          <w:rFonts w:hint="eastAsia" w:ascii="宋体" w:hAnsi="宋体" w:eastAsia="宋体" w:cs="宋体"/>
          <w:sz w:val="28"/>
          <w:szCs w:val="28"/>
          <w:u w:color="auto"/>
        </w:rPr>
        <w:t>。</w:t>
      </w:r>
    </w:p>
    <w:p>
      <w:pPr>
        <w:pStyle w:val="16"/>
        <w:tabs>
          <w:tab w:val="left" w:pos="1235"/>
        </w:tabs>
        <w:spacing w:after="0" w:line="624" w:lineRule="exact"/>
        <w:ind w:firstLine="580"/>
        <w:jc w:val="left"/>
        <w:rPr>
          <w:b/>
          <w:bCs/>
        </w:rPr>
      </w:pPr>
      <w:r>
        <w:rPr>
          <w:rFonts w:hint="eastAsia"/>
          <w:b/>
          <w:bCs/>
          <w:lang w:val="en-US" w:eastAsia="zh-CN"/>
        </w:rPr>
        <w:t>三、</w:t>
      </w:r>
      <w:r>
        <w:rPr>
          <w:b/>
          <w:bCs/>
        </w:rPr>
        <w:t>部门支出总体情况说明</w:t>
      </w:r>
    </w:p>
    <w:p>
      <w:pPr>
        <w:pStyle w:val="18"/>
        <w:spacing w:line="240" w:lineRule="auto"/>
        <w:ind w:firstLine="0"/>
        <w:jc w:val="left"/>
        <w:rPr>
          <w:rFonts w:ascii="Times New Roman" w:hAnsi="Times New Roman" w:eastAsia="Times New Roman" w:cs="Times New Roman"/>
          <w:sz w:val="30"/>
          <w:szCs w:val="30"/>
        </w:rPr>
      </w:pPr>
      <w:r>
        <w:rPr>
          <w:rFonts w:ascii="Times New Roman" w:hAnsi="Times New Roman" w:eastAsia="Times New Roman" w:cs="Times New Roman"/>
          <w:sz w:val="30"/>
          <w:szCs w:val="30"/>
        </w:rPr>
        <w:drawing>
          <wp:inline distT="0" distB="0" distL="114300" distR="114300">
            <wp:extent cx="5080000" cy="3810000"/>
            <wp:effectExtent l="4445" t="4445" r="20955" b="14605"/>
            <wp:docPr id="402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pStyle w:val="18"/>
        <w:spacing w:line="623" w:lineRule="exact"/>
        <w:ind w:left="0" w:leftChars="0" w:firstLine="560" w:firstLineChars="200"/>
        <w:jc w:val="left"/>
        <w:rPr>
          <w:rFonts w:hint="eastAsia" w:ascii="Times New Roman" w:hAnsi="Times New Roman" w:cs="Times New Roman"/>
          <w:sz w:val="30"/>
          <w:szCs w:val="30"/>
          <w:lang w:eastAsia="zh-CN"/>
        </w:rPr>
      </w:pPr>
      <w:r>
        <w:rPr>
          <w:rFonts w:hint="eastAsia" w:ascii="宋体" w:hAnsi="宋体" w:eastAsia="宋体" w:cs="宋体"/>
          <w:sz w:val="28"/>
          <w:szCs w:val="28"/>
          <w:lang w:eastAsia="zh-CN"/>
        </w:rPr>
        <w:t>2024</w:t>
      </w:r>
      <w:r>
        <w:rPr>
          <w:rFonts w:ascii="宋体" w:hAnsi="宋体" w:eastAsia="宋体" w:cs="宋体"/>
          <w:sz w:val="28"/>
          <w:u w:color="auto"/>
        </w:rPr>
        <w:t>年我部门总支出</w:t>
      </w:r>
      <w:r>
        <w:rPr>
          <w:rFonts w:hint="eastAsia" w:ascii="宋体" w:hAnsi="宋体" w:eastAsia="宋体" w:cs="宋体"/>
          <w:sz w:val="28"/>
          <w:szCs w:val="28"/>
          <w:lang w:val="en-US" w:eastAsia="zh-CN"/>
        </w:rPr>
        <w:t>846.80</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732.66</w:t>
      </w:r>
      <w:r>
        <w:rPr>
          <w:rFonts w:hint="eastAsia" w:ascii="宋体" w:hAnsi="宋体" w:eastAsia="宋体" w:cs="宋体"/>
          <w:sz w:val="28"/>
          <w:szCs w:val="28"/>
          <w:lang w:eastAsia="zh-CN"/>
        </w:rPr>
        <w:t>万元，</w:t>
      </w:r>
      <w:r>
        <w:rPr>
          <w:rFonts w:hint="eastAsia" w:ascii="宋体" w:hAnsi="宋体" w:eastAsia="宋体" w:cs="宋体"/>
          <w:sz w:val="28"/>
          <w:szCs w:val="28"/>
        </w:rPr>
        <w:t>增加114.14</w:t>
      </w:r>
      <w:r>
        <w:rPr>
          <w:rFonts w:hint="eastAsia" w:ascii="宋体" w:hAnsi="宋体" w:eastAsia="宋体" w:cs="宋体"/>
          <w:sz w:val="28"/>
          <w:szCs w:val="28"/>
          <w:lang w:eastAsia="zh-CN"/>
        </w:rPr>
        <w:t>万元，</w:t>
      </w:r>
      <w:r>
        <w:rPr>
          <w:rFonts w:hint="eastAsia" w:ascii="宋体" w:hAnsi="宋体" w:eastAsia="宋体" w:cs="宋体"/>
          <w:sz w:val="28"/>
          <w:szCs w:val="28"/>
        </w:rPr>
        <w:t>增长15.58%</w:t>
      </w:r>
      <w:r>
        <w:rPr>
          <w:rFonts w:hint="eastAsia" w:ascii="宋体" w:hAnsi="宋体" w:eastAsia="宋体" w:cs="宋体"/>
          <w:sz w:val="28"/>
          <w:szCs w:val="28"/>
          <w:lang w:eastAsia="zh-CN"/>
        </w:rPr>
        <w:t>，主要原因是</w:t>
      </w:r>
      <w:r>
        <w:rPr>
          <w:rFonts w:hint="eastAsia"/>
          <w:highlight w:val="none"/>
          <w:lang w:val="en-US" w:eastAsia="zh-CN"/>
        </w:rPr>
        <w:t>(1)基本支出增加主要为人员增加的工资福利支出增加；（2）项目支出增加主要新增管理项目</w:t>
      </w:r>
      <w:r>
        <w:rPr>
          <w:rFonts w:hint="eastAsia" w:ascii="Times New Roman" w:hAnsi="Times New Roman" w:cs="Times New Roman"/>
          <w:sz w:val="30"/>
          <w:szCs w:val="30"/>
          <w:lang w:eastAsia="zh-CN"/>
        </w:rPr>
        <w:t>。主要包括：</w:t>
      </w:r>
      <w:r>
        <w:rPr>
          <w:rFonts w:hint="eastAsia"/>
          <w:highlight w:val="none"/>
          <w:lang w:val="en-US" w:eastAsia="zh-CN"/>
        </w:rPr>
        <w:t>1.机关事业单位基本养老保险缴费支出82.61万元；2.疾病预防控制机构支出624.56万元，其中：基本支出560.38万元，项目支出64.18万元。基本支出主要是县疾控中心人员工资福利支出，项目支出主要是计划免疫项目支出县级配套经费。3.住房公积金支出70.23万元，主要是在职在编人员的住房公积金财政负担部分。4.城乡建设支出30万元，主要是用于传染病集中医学观察业务楼消防工程项目支出。5.其他卫生健康支出32万元，主要用于提升卫生机构人才医疗服务和保障能力。6.其他群众团体事务支出7.4万元，主要是职工工会福利经费</w:t>
      </w:r>
      <w:r>
        <w:rPr>
          <w:rFonts w:hint="eastAsia" w:ascii="Times New Roman" w:hAnsi="Times New Roman" w:cs="Times New Roman"/>
          <w:sz w:val="30"/>
          <w:szCs w:val="30"/>
          <w:lang w:eastAsia="zh-CN"/>
        </w:rPr>
        <w:t>。</w:t>
      </w:r>
    </w:p>
    <w:p>
      <w:pPr>
        <w:pStyle w:val="18"/>
        <w:spacing w:after="140" w:line="240" w:lineRule="auto"/>
        <w:ind w:firstLine="0"/>
        <w:jc w:val="left"/>
      </w:pPr>
      <w:r>
        <w:t>（一）按支出功能分类科目划分，共分为</w:t>
      </w:r>
      <w:r>
        <w:rPr>
          <w:rFonts w:hint="eastAsia"/>
          <w:lang w:val="en-US" w:eastAsia="zh-CN"/>
        </w:rPr>
        <w:t>5</w:t>
      </w:r>
      <w:r>
        <w:t>类，其中:</w:t>
      </w:r>
    </w:p>
    <w:p>
      <w:pPr>
        <w:pStyle w:val="18"/>
        <w:spacing w:line="623" w:lineRule="exact"/>
        <w:ind w:left="0" w:leftChars="0" w:firstLine="560" w:firstLineChars="200"/>
        <w:jc w:val="left"/>
        <w:rPr>
          <w:rFonts w:hint="eastAsia"/>
        </w:rPr>
      </w:pPr>
      <w:r>
        <w:rPr>
          <w:rFonts w:hint="eastAsia"/>
        </w:rPr>
        <w:t>(</w:t>
      </w:r>
      <w:r>
        <w:rPr>
          <w:u w:color="auto"/>
        </w:rPr>
        <w:t>1)社会保障和就业支出</w:t>
      </w:r>
      <w:r>
        <w:rPr>
          <w:rFonts w:hint="eastAsia"/>
          <w:lang w:val="en-US" w:eastAsia="zh-CN"/>
        </w:rPr>
        <w:t>82.61</w:t>
      </w:r>
      <w:r>
        <w:rPr>
          <w:rFonts w:hint="eastAsia"/>
        </w:rPr>
        <w:t>万元，占支出总预算</w:t>
      </w:r>
      <w:r>
        <w:rPr>
          <w:rFonts w:hint="eastAsia"/>
          <w:lang w:val="en-US" w:eastAsia="zh-CN"/>
        </w:rPr>
        <w:t>9.76%</w:t>
      </w:r>
      <w:r>
        <w:rPr>
          <w:rFonts w:hint="eastAsia"/>
        </w:rPr>
        <w:t>,比上年</w:t>
      </w:r>
      <w:r>
        <w:rPr>
          <w:rFonts w:hint="eastAsia"/>
          <w:lang w:val="en-US" w:eastAsia="zh-CN"/>
        </w:rPr>
        <w:t>减少42.19</w:t>
      </w:r>
      <w:r>
        <w:rPr>
          <w:rFonts w:hint="eastAsia"/>
        </w:rPr>
        <w:t>万元，</w:t>
      </w:r>
      <w:r>
        <w:rPr>
          <w:rFonts w:hint="eastAsia"/>
          <w:lang w:val="en-US" w:eastAsia="zh-CN"/>
        </w:rPr>
        <w:t>减少33.81%</w:t>
      </w:r>
      <w:r>
        <w:rPr>
          <w:rFonts w:hint="eastAsia"/>
        </w:rPr>
        <w:t>,</w:t>
      </w:r>
      <w:r>
        <w:rPr>
          <w:rFonts w:hint="eastAsia"/>
          <w:highlight w:val="none"/>
        </w:rPr>
        <w:t>主要原因是：</w:t>
      </w:r>
      <w:r>
        <w:rPr>
          <w:rFonts w:hint="eastAsia"/>
          <w:highlight w:val="none"/>
          <w:lang w:val="en-US" w:eastAsia="zh-CN"/>
        </w:rPr>
        <w:t>主要是由于将职工医疗保险及工伤、失业保险调整至疾病预防控制机构功能科目，故收入比去年减少</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2)卫生健康支出</w:t>
      </w:r>
      <w:r>
        <w:rPr>
          <w:rFonts w:hint="eastAsia"/>
          <w:lang w:val="en-US" w:eastAsia="zh-CN"/>
        </w:rPr>
        <w:t>656.56</w:t>
      </w:r>
      <w:r>
        <w:rPr>
          <w:rFonts w:hint="eastAsia"/>
        </w:rPr>
        <w:t>万元，占支出总预算</w:t>
      </w:r>
      <w:r>
        <w:rPr>
          <w:rFonts w:hint="eastAsia"/>
          <w:lang w:val="en-US" w:eastAsia="zh-CN"/>
        </w:rPr>
        <w:t>77.53%</w:t>
      </w:r>
      <w:r>
        <w:rPr>
          <w:rFonts w:hint="eastAsia"/>
        </w:rPr>
        <w:t>,比上年</w:t>
      </w:r>
      <w:r>
        <w:rPr>
          <w:rFonts w:hint="eastAsia"/>
          <w:lang w:val="en-US" w:eastAsia="zh-CN"/>
        </w:rPr>
        <w:t>增长123.84</w:t>
      </w:r>
      <w:r>
        <w:rPr>
          <w:rFonts w:hint="eastAsia"/>
        </w:rPr>
        <w:t>万元，</w:t>
      </w:r>
      <w:r>
        <w:rPr>
          <w:rFonts w:hint="eastAsia"/>
          <w:lang w:val="en-US" w:eastAsia="zh-CN"/>
        </w:rPr>
        <w:t>增长23.25%</w:t>
      </w:r>
      <w:r>
        <w:rPr>
          <w:rFonts w:hint="eastAsia"/>
        </w:rPr>
        <w:t>,</w:t>
      </w:r>
      <w:r>
        <w:rPr>
          <w:rFonts w:hint="eastAsia"/>
          <w:highlight w:val="none"/>
        </w:rPr>
        <w:t>主要原因是：</w:t>
      </w:r>
      <w:r>
        <w:rPr>
          <w:rFonts w:hint="eastAsia"/>
          <w:highlight w:val="none"/>
          <w:lang w:val="en-US" w:eastAsia="zh-CN"/>
        </w:rPr>
        <w:t>主要是人员工资福利增加；新增提升卫生机构人才医疗服务和保障能力支出</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3)一般公共服务支出</w:t>
      </w:r>
      <w:r>
        <w:rPr>
          <w:rFonts w:hint="eastAsia"/>
          <w:lang w:val="en-US" w:eastAsia="zh-CN"/>
        </w:rPr>
        <w:t>7.40</w:t>
      </w:r>
      <w:r>
        <w:rPr>
          <w:rFonts w:hint="eastAsia"/>
        </w:rPr>
        <w:t>万元，占支出总预算</w:t>
      </w:r>
      <w:r>
        <w:rPr>
          <w:rFonts w:hint="eastAsia"/>
          <w:lang w:val="en-US" w:eastAsia="zh-CN"/>
        </w:rPr>
        <w:t>0.87%</w:t>
      </w:r>
      <w:r>
        <w:rPr>
          <w:rFonts w:hint="eastAsia"/>
        </w:rPr>
        <w:t>,比上年</w:t>
      </w:r>
      <w:r>
        <w:rPr>
          <w:rFonts w:hint="eastAsia"/>
          <w:lang w:val="en-US" w:eastAsia="zh-CN"/>
        </w:rPr>
        <w:t>减少3.34</w:t>
      </w:r>
      <w:r>
        <w:rPr>
          <w:rFonts w:hint="eastAsia"/>
        </w:rPr>
        <w:t>万元，</w:t>
      </w:r>
      <w:r>
        <w:rPr>
          <w:rFonts w:hint="eastAsia"/>
          <w:lang w:val="en-US" w:eastAsia="zh-CN"/>
        </w:rPr>
        <w:t>减少31.10%</w:t>
      </w:r>
      <w:r>
        <w:rPr>
          <w:rFonts w:hint="eastAsia"/>
        </w:rPr>
        <w:t>,</w:t>
      </w:r>
      <w:r>
        <w:rPr>
          <w:rFonts w:hint="eastAsia"/>
          <w:highlight w:val="none"/>
        </w:rPr>
        <w:t>主要原因是：</w:t>
      </w:r>
      <w:r>
        <w:rPr>
          <w:rFonts w:hint="eastAsia"/>
          <w:highlight w:val="none"/>
          <w:lang w:val="en-US" w:eastAsia="zh-CN"/>
        </w:rPr>
        <w:t>职工工会活动减少，支出减少</w:t>
      </w: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4)住房保障支出</w:t>
      </w:r>
      <w:r>
        <w:rPr>
          <w:rFonts w:hint="eastAsia"/>
          <w:lang w:val="en-US" w:eastAsia="zh-CN"/>
        </w:rPr>
        <w:t>70.23</w:t>
      </w:r>
      <w:r>
        <w:rPr>
          <w:rFonts w:hint="eastAsia"/>
        </w:rPr>
        <w:t>万元，占支出总预算</w:t>
      </w:r>
      <w:r>
        <w:rPr>
          <w:rFonts w:hint="eastAsia"/>
          <w:lang w:val="en-US" w:eastAsia="zh-CN"/>
        </w:rPr>
        <w:t>8.29%</w:t>
      </w:r>
      <w:r>
        <w:rPr>
          <w:rFonts w:hint="eastAsia"/>
        </w:rPr>
        <w:t>,比上年</w:t>
      </w:r>
      <w:r>
        <w:rPr>
          <w:rFonts w:hint="eastAsia"/>
          <w:lang w:val="en-US" w:eastAsia="zh-CN"/>
        </w:rPr>
        <w:t>增长5.82</w:t>
      </w:r>
      <w:r>
        <w:rPr>
          <w:rFonts w:hint="eastAsia"/>
        </w:rPr>
        <w:t>万元，</w:t>
      </w:r>
      <w:r>
        <w:rPr>
          <w:rFonts w:hint="eastAsia"/>
          <w:lang w:val="en-US" w:eastAsia="zh-CN"/>
        </w:rPr>
        <w:t>增长9.04%</w:t>
      </w:r>
      <w:r>
        <w:rPr>
          <w:rFonts w:hint="eastAsia"/>
        </w:rPr>
        <w:t>,</w:t>
      </w:r>
      <w:r>
        <w:rPr>
          <w:rFonts w:hint="eastAsia"/>
          <w:highlight w:val="none"/>
        </w:rPr>
        <w:t>主要原因是：</w:t>
      </w:r>
      <w:r>
        <w:rPr>
          <w:rFonts w:hint="eastAsia"/>
          <w:highlight w:val="none"/>
          <w:lang w:val="en-US" w:eastAsia="zh-CN"/>
        </w:rPr>
        <w:t>2023年9月份新招录人员4人，住房公积金财政负担部分增多</w:t>
      </w:r>
      <w:bookmarkStart w:id="43" w:name="_GoBack"/>
      <w:bookmarkEnd w:id="43"/>
    </w:p>
    <w:p>
      <w:pPr>
        <w:pStyle w:val="18"/>
        <w:spacing w:line="623" w:lineRule="exact"/>
        <w:ind w:left="0" w:leftChars="0" w:firstLine="560" w:firstLineChars="200"/>
        <w:jc w:val="left"/>
        <w:rPr>
          <w:rFonts w:hint="eastAsia"/>
        </w:rPr>
      </w:pPr>
      <w:r>
        <w:rPr>
          <w:rFonts w:hint="eastAsia"/>
          <w:highlight w:val="none"/>
        </w:rPr>
        <w:t>。</w:t>
      </w:r>
    </w:p>
    <w:p>
      <w:pPr>
        <w:pStyle w:val="18"/>
        <w:spacing w:line="623" w:lineRule="exact"/>
        <w:ind w:left="0" w:leftChars="0" w:firstLine="560" w:firstLineChars="200"/>
        <w:jc w:val="left"/>
        <w:rPr>
          <w:rFonts w:hint="eastAsia"/>
        </w:rPr>
      </w:pPr>
      <w:r>
        <w:rPr>
          <w:rFonts w:hint="eastAsia"/>
        </w:rPr>
        <w:t>(</w:t>
      </w:r>
      <w:r>
        <w:rPr>
          <w:u w:color="auto"/>
        </w:rPr>
        <w:t>5)城乡社区支出</w:t>
      </w:r>
      <w:r>
        <w:rPr>
          <w:rFonts w:hint="eastAsia"/>
          <w:lang w:val="en-US" w:eastAsia="zh-CN"/>
        </w:rPr>
        <w:t>30.00</w:t>
      </w:r>
      <w:r>
        <w:rPr>
          <w:rFonts w:hint="eastAsia"/>
        </w:rPr>
        <w:t>万元，占支出总预算</w:t>
      </w:r>
      <w:r>
        <w:rPr>
          <w:rFonts w:hint="eastAsia"/>
          <w:lang w:val="en-US" w:eastAsia="zh-CN"/>
        </w:rPr>
        <w:t>3.54%</w:t>
      </w:r>
      <w:r>
        <w:rPr>
          <w:rFonts w:hint="eastAsia"/>
        </w:rPr>
        <w:t>,比上年</w:t>
      </w:r>
      <w:r>
        <w:rPr>
          <w:rFonts w:hint="eastAsia"/>
          <w:lang w:val="en-US" w:eastAsia="zh-CN"/>
        </w:rPr>
        <w:t>增长30.00</w:t>
      </w:r>
      <w:r>
        <w:rPr>
          <w:rFonts w:hint="eastAsia"/>
        </w:rPr>
        <w:t>万元，</w:t>
      </w:r>
      <w:r>
        <w:rPr>
          <w:rFonts w:hint="eastAsia"/>
          <w:lang w:val="en-US" w:eastAsia="zh-CN"/>
        </w:rPr>
        <w:t>增长100%</w:t>
      </w:r>
      <w:r>
        <w:rPr>
          <w:rFonts w:hint="eastAsia"/>
        </w:rPr>
        <w:t>,</w:t>
      </w:r>
      <w:r>
        <w:rPr>
          <w:rFonts w:hint="eastAsia"/>
          <w:highlight w:val="none"/>
        </w:rPr>
        <w:t>主要原因是：</w:t>
      </w:r>
      <w:r>
        <w:rPr>
          <w:rFonts w:hint="eastAsia"/>
          <w:highlight w:val="none"/>
          <w:lang w:val="en-US" w:eastAsia="zh-CN"/>
        </w:rPr>
        <w:t>主要是用于传染病集中医学观察业务楼消防工程项目支出</w:t>
      </w:r>
      <w:r>
        <w:rPr>
          <w:rFonts w:hint="eastAsia"/>
          <w:highlight w:val="none"/>
        </w:rPr>
        <w:t>。</w:t>
      </w:r>
    </w:p>
    <w:p>
      <w:pPr>
        <w:pStyle w:val="18"/>
        <w:spacing w:line="635" w:lineRule="exact"/>
        <w:ind w:firstLine="740"/>
        <w:jc w:val="left"/>
      </w:pPr>
      <w:r>
        <w:t>(二)按支出结构分类划分，分为基本支出预算和项目支出预算。</w:t>
      </w:r>
    </w:p>
    <w:p>
      <w:pPr>
        <w:pStyle w:val="18"/>
        <w:spacing w:line="635" w:lineRule="exact"/>
        <w:ind w:firstLine="600"/>
        <w:jc w:val="left"/>
      </w:pPr>
      <w:r>
        <w:rPr>
          <w:rFonts w:ascii="Times New Roman" w:hAnsi="Times New Roman" w:eastAsia="Times New Roman" w:cs="Times New Roman"/>
          <w:sz w:val="30"/>
          <w:szCs w:val="30"/>
        </w:rPr>
        <w:t>1</w:t>
      </w:r>
      <w:r>
        <w:t>.基本支出预算。</w:t>
      </w:r>
    </w:p>
    <w:p>
      <w:pPr>
        <w:pStyle w:val="18"/>
        <w:spacing w:line="619" w:lineRule="exact"/>
        <w:ind w:firstLine="600"/>
        <w:jc w:val="left"/>
        <w:rPr>
          <w:rFonts w:hint="eastAsia"/>
          <w:lang w:val="en-US" w:eastAsia="zh-CN"/>
        </w:rPr>
      </w:pPr>
      <w:r>
        <w:rPr>
          <w:rFonts w:hint="eastAsia"/>
        </w:rPr>
        <w:t>基本支出预算</w:t>
      </w:r>
      <w:r>
        <w:rPr>
          <w:rFonts w:hint="eastAsia"/>
          <w:lang w:val="en-US" w:eastAsia="zh-CN"/>
        </w:rPr>
        <w:t>720.62</w:t>
      </w:r>
      <w:r>
        <w:rPr>
          <w:rFonts w:hint="eastAsia"/>
        </w:rPr>
        <w:t>万元，占支出预算</w:t>
      </w:r>
      <w:r>
        <w:rPr>
          <w:u w:color="auto"/>
        </w:rPr>
        <w:t>85.10%,比上年增长51.13万元，增长7.64%</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1)工资福利支出</w:t>
      </w:r>
      <w:r>
        <w:rPr>
          <w:rFonts w:hint="eastAsia" w:ascii="宋体" w:hAnsi="宋体" w:eastAsia="宋体" w:cs="宋体"/>
          <w:sz w:val="28"/>
          <w:szCs w:val="28"/>
          <w:lang w:val="en-US" w:eastAsia="zh-CN"/>
        </w:rPr>
        <w:t>669.53</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92.91%</w:t>
      </w:r>
      <w:r>
        <w:rPr>
          <w:rFonts w:hint="eastAsia"/>
        </w:rPr>
        <w:t>,</w:t>
      </w:r>
      <w:r>
        <w:t>比上年</w:t>
      </w:r>
      <w:r>
        <w:rPr>
          <w:rFonts w:hint="eastAsia"/>
        </w:rPr>
        <w:t>增长40.38</w:t>
      </w:r>
      <w:r>
        <w:t>万元，</w:t>
      </w:r>
      <w:r>
        <w:rPr>
          <w:rFonts w:hint="eastAsia"/>
        </w:rPr>
        <w:t>增长6.42%</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2023年9月份新招录人员4人，故今年工资福利支出增加</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2)商品和服务支出</w:t>
      </w:r>
      <w:r>
        <w:rPr>
          <w:rFonts w:hint="eastAsia" w:ascii="宋体" w:hAnsi="宋体" w:eastAsia="宋体" w:cs="宋体"/>
          <w:sz w:val="28"/>
          <w:szCs w:val="28"/>
          <w:lang w:val="en-US" w:eastAsia="zh-CN"/>
        </w:rPr>
        <w:t>23.39</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3.25%</w:t>
      </w:r>
      <w:r>
        <w:rPr>
          <w:rFonts w:hint="eastAsia"/>
        </w:rPr>
        <w:t>,</w:t>
      </w:r>
      <w:r>
        <w:t>比上年</w:t>
      </w:r>
      <w:r>
        <w:rPr>
          <w:rFonts w:hint="eastAsia"/>
        </w:rPr>
        <w:t>减少3.09</w:t>
      </w:r>
      <w:r>
        <w:t>万元，</w:t>
      </w:r>
      <w:r>
        <w:rPr>
          <w:rFonts w:hint="eastAsia"/>
        </w:rPr>
        <w:t>减少11.67%</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职工工会活动减少，支出减少</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3)对个人和家庭的补助</w:t>
      </w:r>
      <w:r>
        <w:rPr>
          <w:rFonts w:hint="eastAsia" w:ascii="宋体" w:hAnsi="宋体" w:eastAsia="宋体" w:cs="宋体"/>
          <w:sz w:val="28"/>
          <w:szCs w:val="28"/>
          <w:lang w:val="en-US" w:eastAsia="zh-CN"/>
        </w:rPr>
        <w:t>27.70</w:t>
      </w:r>
      <w:r>
        <w:rPr>
          <w:rFonts w:hint="eastAsia" w:ascii="宋体" w:hAnsi="宋体" w:eastAsia="宋体" w:cs="宋体"/>
          <w:sz w:val="28"/>
          <w:szCs w:val="28"/>
        </w:rPr>
        <w:t>万</w:t>
      </w:r>
      <w:r>
        <w:rPr>
          <w:rFonts w:ascii="宋体" w:hAnsi="宋体" w:eastAsia="宋体" w:cs="宋体"/>
          <w:sz w:val="28"/>
          <w:szCs w:val="28"/>
        </w:rPr>
        <w:t>元，占基本支出总预算</w:t>
      </w:r>
      <w:r>
        <w:rPr>
          <w:rFonts w:hint="eastAsia" w:ascii="宋体" w:hAnsi="宋体" w:eastAsia="宋体" w:cs="宋体"/>
          <w:sz w:val="28"/>
          <w:szCs w:val="28"/>
          <w:lang w:val="en-US" w:eastAsia="zh-CN"/>
        </w:rPr>
        <w:t>3.84%</w:t>
      </w:r>
      <w:r>
        <w:rPr>
          <w:rFonts w:hint="eastAsia"/>
        </w:rPr>
        <w:t>,</w:t>
      </w:r>
      <w:r>
        <w:t>比上年</w:t>
      </w:r>
      <w:r>
        <w:rPr>
          <w:rFonts w:hint="eastAsia"/>
        </w:rPr>
        <w:t>增长13.83</w:t>
      </w:r>
      <w:r>
        <w:t>万元，</w:t>
      </w:r>
      <w:r>
        <w:rPr>
          <w:rFonts w:hint="eastAsia"/>
        </w:rPr>
        <w:t>增长99.71%</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退休人员生活补助标准提高及年度还有新增退休人员</w:t>
      </w:r>
      <w:r>
        <w:rPr>
          <w:rFonts w:hint="eastAsia"/>
          <w:highlight w:val="none"/>
          <w:lang w:val="en-US" w:eastAsia="zh-CN"/>
        </w:rPr>
        <w:t>。</w:t>
      </w:r>
    </w:p>
    <w:p>
      <w:pPr>
        <w:pStyle w:val="18"/>
        <w:numPr>
          <w:ilvl w:val="0"/>
          <w:numId w:val="1"/>
        </w:numPr>
        <w:spacing w:line="614" w:lineRule="exact"/>
        <w:ind w:firstLine="600"/>
        <w:jc w:val="left"/>
      </w:pPr>
      <w:r>
        <w:t>项目支出预算。</w:t>
      </w:r>
    </w:p>
    <w:p>
      <w:pPr>
        <w:pStyle w:val="18"/>
        <w:spacing w:line="619" w:lineRule="exact"/>
        <w:ind w:firstLine="600"/>
        <w:jc w:val="left"/>
        <w:rPr>
          <w:rFonts w:hint="eastAsia"/>
          <w:lang w:val="en-US" w:eastAsia="zh-CN"/>
        </w:rPr>
      </w:pPr>
      <w:r>
        <w:rPr>
          <w:rFonts w:hint="eastAsia"/>
        </w:rPr>
        <w:t>项目支出预算</w:t>
      </w:r>
      <w:r>
        <w:rPr>
          <w:rFonts w:hint="eastAsia"/>
          <w:lang w:val="en-US" w:eastAsia="zh-CN"/>
        </w:rPr>
        <w:t>126.18</w:t>
      </w:r>
      <w:r>
        <w:rPr>
          <w:rFonts w:hint="eastAsia"/>
        </w:rPr>
        <w:t>万元，占支出预算</w:t>
      </w:r>
      <w:r>
        <w:rPr>
          <w:u w:color="auto"/>
        </w:rPr>
        <w:t>14.90%</w:t>
      </w:r>
      <w:r>
        <w:rPr>
          <w:rFonts w:hint="eastAsia"/>
        </w:rPr>
        <w:t>,比上年</w:t>
      </w:r>
      <w:r>
        <w:rPr>
          <w:u w:color="auto"/>
        </w:rPr>
        <w:t>增长63.01</w:t>
      </w:r>
      <w:r>
        <w:rPr>
          <w:rFonts w:hint="eastAsia"/>
        </w:rPr>
        <w:t>万元，</w:t>
      </w:r>
      <w:r>
        <w:rPr>
          <w:u w:color="auto"/>
        </w:rPr>
        <w:t>增长99.75%</w:t>
      </w:r>
      <w:r>
        <w:t>。</w:t>
      </w:r>
      <w:r>
        <w:rPr>
          <w:rFonts w:hint="eastAsia"/>
          <w:lang w:val="en-US" w:eastAsia="zh-CN"/>
        </w:rPr>
        <w:t>其中：</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1)商品和服务支出</w:t>
      </w:r>
      <w:r>
        <w:rPr>
          <w:rFonts w:hint="eastAsia" w:ascii="宋体" w:hAnsi="宋体" w:eastAsia="宋体" w:cs="宋体"/>
          <w:sz w:val="28"/>
          <w:szCs w:val="28"/>
          <w:lang w:val="en-US" w:eastAsia="zh-CN"/>
        </w:rPr>
        <w:t>96.18</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76.22%</w:t>
      </w:r>
      <w:r>
        <w:t>,比上年</w:t>
      </w:r>
      <w:r>
        <w:rPr>
          <w:rFonts w:hint="eastAsia"/>
        </w:rPr>
        <w:t>增长33.01</w:t>
      </w:r>
      <w:r>
        <w:t>万元，</w:t>
      </w:r>
      <w:r>
        <w:rPr>
          <w:rFonts w:hint="eastAsia"/>
        </w:rPr>
        <w:t>增长52.26%</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新增提升卫生机构人才医疗服务和保障能力支出32万元</w:t>
      </w:r>
      <w:r>
        <w:rPr>
          <w:rFonts w:hint="eastAsia"/>
          <w:highlight w:val="none"/>
          <w:lang w:val="en-US" w:eastAsia="zh-CN"/>
        </w:rPr>
        <w:t>。</w:t>
      </w:r>
    </w:p>
    <w:p>
      <w:pPr>
        <w:pStyle w:val="30"/>
        <w:spacing w:after="0" w:line="619" w:lineRule="exact"/>
        <w:ind w:firstLine="740"/>
        <w:jc w:val="left"/>
        <w:rPr>
          <w:rFonts w:hint="eastAsia"/>
          <w:highlight w:val="none"/>
          <w:lang w:val="en-US" w:eastAsia="zh-CN"/>
        </w:rPr>
      </w:pPr>
      <w:r>
        <w:rPr>
          <w:rFonts w:hint="eastAsia" w:ascii="宋体" w:hAnsi="宋体" w:eastAsia="宋体" w:cs="宋体"/>
          <w:sz w:val="28"/>
          <w:szCs w:val="28"/>
        </w:rPr>
        <w:t>(</w:t>
      </w:r>
      <w:r>
        <w:rPr>
          <w:rFonts w:ascii="宋体" w:hAnsi="宋体" w:eastAsia="宋体" w:cs="宋体"/>
          <w:sz w:val="28"/>
          <w:u w:color="auto"/>
        </w:rPr>
        <w:t>2)资本性支出（基本建设）</w:t>
      </w:r>
      <w:r>
        <w:rPr>
          <w:rFonts w:hint="eastAsia" w:ascii="宋体" w:hAnsi="宋体" w:eastAsia="宋体" w:cs="宋体"/>
          <w:sz w:val="28"/>
          <w:szCs w:val="28"/>
          <w:lang w:val="en-US" w:eastAsia="zh-CN"/>
        </w:rPr>
        <w:t>30.00</w:t>
      </w:r>
      <w:r>
        <w:rPr>
          <w:rFonts w:hint="eastAsia" w:ascii="宋体" w:hAnsi="宋体" w:eastAsia="宋体" w:cs="宋体"/>
          <w:sz w:val="28"/>
          <w:szCs w:val="28"/>
        </w:rPr>
        <w:t>万</w:t>
      </w:r>
      <w:r>
        <w:rPr>
          <w:rFonts w:ascii="宋体" w:hAnsi="宋体" w:eastAsia="宋体" w:cs="宋体"/>
          <w:sz w:val="28"/>
          <w:szCs w:val="28"/>
        </w:rPr>
        <w:t>元，占</w:t>
      </w:r>
      <w:r>
        <w:rPr>
          <w:rFonts w:hint="eastAsia"/>
        </w:rPr>
        <w:t>项目</w:t>
      </w:r>
      <w:r>
        <w:rPr>
          <w:rFonts w:ascii="宋体" w:hAnsi="宋体" w:eastAsia="宋体" w:cs="宋体"/>
          <w:sz w:val="28"/>
          <w:szCs w:val="28"/>
        </w:rPr>
        <w:t>支出总预算</w:t>
      </w:r>
      <w:r>
        <w:rPr>
          <w:rFonts w:hint="eastAsia" w:ascii="宋体" w:hAnsi="宋体" w:eastAsia="宋体" w:cs="宋体"/>
          <w:sz w:val="28"/>
          <w:szCs w:val="28"/>
          <w:lang w:val="en-US" w:eastAsia="zh-CN"/>
        </w:rPr>
        <w:t>23.78%</w:t>
      </w:r>
      <w:r>
        <w:t>,比上年</w:t>
      </w:r>
      <w:r>
        <w:rPr>
          <w:rFonts w:hint="eastAsia"/>
        </w:rPr>
        <w:t>增长30.00</w:t>
      </w:r>
      <w:r>
        <w:t>万元，</w:t>
      </w:r>
      <w:r>
        <w:rPr>
          <w:rFonts w:hint="eastAsia"/>
        </w:rPr>
        <w:t>增长100%</w:t>
      </w:r>
      <w:r>
        <w:rPr>
          <w:rFonts w:ascii="Times New Roman" w:hAnsi="Times New Roman" w:eastAsia="Times New Roman" w:cs="Times New Roman"/>
          <w:sz w:val="30"/>
          <w:szCs w:val="30"/>
          <w:highlight w:val="none"/>
        </w:rPr>
        <w:t>,</w:t>
      </w:r>
      <w:r>
        <w:rPr>
          <w:highlight w:val="none"/>
        </w:rPr>
        <w:t>主要原因是：</w:t>
      </w:r>
      <w:r>
        <w:rPr>
          <w:rFonts w:hint="eastAsia"/>
          <w:highlight w:val="none"/>
        </w:rPr>
        <w:t>主要是用于传染病集中医学观察业务楼消防工程项目支出</w:t>
      </w:r>
      <w:r>
        <w:rPr>
          <w:rFonts w:hint="eastAsia"/>
          <w:highlight w:val="none"/>
          <w:lang w:val="en-US" w:eastAsia="zh-CN"/>
        </w:rPr>
        <w:t>。</w:t>
      </w:r>
    </w:p>
    <w:p>
      <w:pPr>
        <w:pStyle w:val="16"/>
        <w:numPr>
          <w:ilvl w:val="0"/>
          <w:numId w:val="0"/>
        </w:numPr>
        <w:tabs>
          <w:tab w:val="left" w:pos="1238"/>
        </w:tabs>
        <w:spacing w:after="0" w:line="625" w:lineRule="exact"/>
        <w:jc w:val="left"/>
        <w:rPr>
          <w:b/>
          <w:bCs/>
        </w:rPr>
      </w:pPr>
    </w:p>
    <w:p>
      <w:pPr>
        <w:pStyle w:val="16"/>
        <w:tabs>
          <w:tab w:val="left" w:pos="1235"/>
        </w:tabs>
        <w:spacing w:after="0" w:line="624" w:lineRule="exact"/>
        <w:ind w:firstLine="580"/>
        <w:jc w:val="left"/>
        <w:rPr>
          <w:b/>
          <w:bCs/>
        </w:rPr>
      </w:pPr>
      <w:r>
        <w:rPr>
          <w:rFonts w:hint="eastAsia"/>
          <w:b/>
          <w:bCs/>
          <w:lang w:val="en-US" w:eastAsia="zh-CN"/>
        </w:rPr>
        <w:t>四、</w:t>
      </w:r>
      <w:r>
        <w:rPr>
          <w:b/>
          <w:bCs/>
        </w:rPr>
        <w:t>财政拨款收支总体情况说明</w:t>
      </w:r>
    </w:p>
    <w:p>
      <w:pPr>
        <w:pStyle w:val="18"/>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20955" b="14605"/>
            <wp:docPr id="402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pPr>
        <w:pStyle w:val="18"/>
        <w:spacing w:line="624" w:lineRule="exact"/>
        <w:ind w:firstLine="6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u w:color="auto"/>
        </w:rPr>
        <w:t>年</w:t>
      </w:r>
      <w:r>
        <w:rPr>
          <w:rFonts w:hint="eastAsia" w:ascii="宋体" w:hAnsi="宋体" w:eastAsia="宋体" w:cs="宋体"/>
          <w:sz w:val="28"/>
          <w:szCs w:val="28"/>
        </w:rPr>
        <w:t>财政拨款收入我部门财政拨款总收入</w:t>
      </w:r>
      <w:r>
        <w:rPr>
          <w:rFonts w:hint="eastAsia" w:ascii="宋体" w:hAnsi="宋体" w:eastAsia="宋体" w:cs="宋体"/>
          <w:sz w:val="28"/>
          <w:szCs w:val="28"/>
          <w:lang w:val="en-US" w:eastAsia="zh-CN" w:bidi="en-US"/>
        </w:rPr>
        <w:t>829.80</w:t>
      </w:r>
      <w:r>
        <w:rPr>
          <w:rFonts w:hint="eastAsia" w:ascii="宋体" w:hAnsi="宋体" w:eastAsia="宋体" w:cs="宋体"/>
          <w:sz w:val="28"/>
          <w:szCs w:val="28"/>
        </w:rPr>
        <w:t>万元，总支出</w:t>
      </w:r>
      <w:r>
        <w:rPr>
          <w:rFonts w:hint="eastAsia" w:ascii="宋体" w:hAnsi="宋体" w:eastAsia="宋体" w:cs="宋体"/>
          <w:sz w:val="28"/>
          <w:szCs w:val="28"/>
          <w:lang w:val="en-US" w:eastAsia="zh-CN" w:bidi="en-US"/>
        </w:rPr>
        <w:t>829.80</w:t>
      </w:r>
      <w:r>
        <w:rPr>
          <w:rFonts w:hint="eastAsia" w:ascii="宋体" w:hAnsi="宋体" w:eastAsia="宋体" w:cs="宋体"/>
          <w:sz w:val="28"/>
          <w:szCs w:val="28"/>
        </w:rPr>
        <w:t>万元。财政拨款总收入较2023年度预算数</w:t>
      </w:r>
      <w:r>
        <w:rPr>
          <w:rFonts w:hint="eastAsia" w:ascii="宋体" w:hAnsi="宋体" w:eastAsia="宋体" w:cs="宋体"/>
          <w:sz w:val="28"/>
          <w:szCs w:val="28"/>
          <w:lang w:val="en-US" w:eastAsia="zh-CN" w:bidi="en-US"/>
        </w:rPr>
        <w:t>722.66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增加107.14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增长14.83%</w:t>
      </w:r>
      <w:r>
        <w:rPr>
          <w:rFonts w:hint="eastAsia" w:ascii="宋体" w:hAnsi="宋体" w:eastAsia="宋体" w:cs="宋体"/>
          <w:sz w:val="28"/>
          <w:szCs w:val="28"/>
        </w:rPr>
        <w:t>，主要原因是</w:t>
      </w:r>
      <w:r>
        <w:rPr>
          <w:rFonts w:hint="eastAsia"/>
          <w:highlight w:val="none"/>
          <w:lang w:val="en-US" w:eastAsia="zh-CN"/>
        </w:rPr>
        <w:t>工资福利增加及项目拨款收入增加</w:t>
      </w:r>
      <w:r>
        <w:rPr>
          <w:rFonts w:hint="eastAsia" w:ascii="宋体" w:hAnsi="宋体" w:eastAsia="宋体" w:cs="宋体"/>
          <w:sz w:val="28"/>
          <w:szCs w:val="28"/>
        </w:rPr>
        <w:t>。财政拨款总支出较2023年度预算数</w:t>
      </w:r>
      <w:r>
        <w:rPr>
          <w:rFonts w:hint="eastAsia" w:ascii="宋体" w:hAnsi="宋体" w:eastAsia="宋体" w:cs="宋体"/>
          <w:sz w:val="28"/>
          <w:szCs w:val="28"/>
          <w:lang w:val="en-US" w:eastAsia="zh-CN" w:bidi="en-US"/>
        </w:rPr>
        <w:t>722.66</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增加107.14</w:t>
      </w:r>
      <w:r>
        <w:rPr>
          <w:rFonts w:hint="eastAsia" w:ascii="宋体" w:hAnsi="宋体" w:eastAsia="宋体" w:cs="宋体"/>
          <w:sz w:val="28"/>
          <w:szCs w:val="28"/>
        </w:rPr>
        <w:t>万元，</w:t>
      </w:r>
      <w:r>
        <w:rPr>
          <w:rFonts w:hint="eastAsia" w:ascii="宋体" w:hAnsi="宋体" w:eastAsia="宋体" w:cs="宋体"/>
          <w:sz w:val="28"/>
          <w:szCs w:val="28"/>
          <w:lang w:val="en-US" w:eastAsia="zh-CN" w:bidi="en-US"/>
        </w:rPr>
        <w:t>增长14.83%</w:t>
      </w:r>
      <w:r>
        <w:rPr>
          <w:rFonts w:hint="eastAsia" w:ascii="宋体" w:hAnsi="宋体" w:eastAsia="宋体" w:cs="宋体"/>
          <w:sz w:val="28"/>
          <w:szCs w:val="28"/>
        </w:rPr>
        <w:t>，主要原因是</w:t>
      </w:r>
      <w:r>
        <w:rPr>
          <w:rFonts w:hint="eastAsia"/>
          <w:highlight w:val="none"/>
          <w:lang w:val="en-US" w:eastAsia="zh-CN"/>
        </w:rPr>
        <w:t>新增项目支出</w:t>
      </w:r>
      <w:r>
        <w:rPr>
          <w:rFonts w:hint="eastAsia" w:ascii="宋体" w:hAnsi="宋体" w:eastAsia="宋体" w:cs="宋体"/>
          <w:sz w:val="28"/>
          <w:szCs w:val="28"/>
        </w:rPr>
        <w:t>。</w:t>
      </w:r>
    </w:p>
    <w:p>
      <w:pPr>
        <w:pStyle w:val="16"/>
        <w:numPr>
          <w:ilvl w:val="0"/>
          <w:numId w:val="0"/>
        </w:numPr>
        <w:tabs>
          <w:tab w:val="left" w:pos="1238"/>
        </w:tabs>
        <w:spacing w:after="0" w:line="625" w:lineRule="exact"/>
        <w:ind w:firstLine="560" w:firstLineChars="200"/>
        <w:jc w:val="left"/>
        <w:rPr>
          <w:rFonts w:hint="eastAsia"/>
          <w:sz w:val="28"/>
          <w:szCs w:val="28"/>
        </w:rPr>
      </w:pPr>
    </w:p>
    <w:p>
      <w:pPr>
        <w:pStyle w:val="16"/>
        <w:tabs>
          <w:tab w:val="left" w:pos="1235"/>
        </w:tabs>
        <w:spacing w:after="0" w:line="624" w:lineRule="exact"/>
        <w:ind w:firstLine="580"/>
        <w:jc w:val="left"/>
        <w:rPr>
          <w:b/>
          <w:bCs/>
        </w:rPr>
      </w:pPr>
      <w:r>
        <w:rPr>
          <w:rFonts w:hint="eastAsia"/>
          <w:b/>
          <w:bCs/>
          <w:lang w:val="en-US" w:eastAsia="zh-CN"/>
        </w:rPr>
        <w:t>五、</w:t>
      </w:r>
      <w:r>
        <w:rPr>
          <w:b/>
          <w:bCs/>
        </w:rPr>
        <w:t>一般公共预算支出情况说明</w:t>
      </w:r>
    </w:p>
    <w:p>
      <w:pPr>
        <w:pStyle w:val="18"/>
        <w:spacing w:line="240" w:lineRule="auto"/>
        <w:ind w:firstLine="0"/>
        <w:jc w:val="left"/>
        <w:rPr>
          <w:lang w:eastAsia="zh-CN"/>
        </w:rPr>
      </w:pPr>
      <w:r>
        <w:rPr>
          <w:lang w:eastAsia="zh-CN"/>
        </w:rPr>
        <w:drawing>
          <wp:inline distT="0" distB="0" distL="114300" distR="114300">
            <wp:extent cx="5080000" cy="3810000"/>
            <wp:effectExtent l="4445" t="4445" r="20955" b="14605"/>
            <wp:docPr id="402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lang w:eastAsia="zh-CN"/>
        </w:rPr>
        <w:t>2024</w:t>
      </w:r>
      <w:r>
        <w:rPr>
          <w:rFonts w:hint="eastAsia" w:ascii="宋体" w:hAnsi="宋体" w:eastAsia="宋体" w:cs="宋体"/>
          <w:sz w:val="28"/>
          <w:szCs w:val="28"/>
          <w:lang w:val="en-US" w:eastAsia="zh-CN"/>
        </w:rPr>
        <w:t>年</w:t>
      </w:r>
      <w:r>
        <w:rPr>
          <w:rFonts w:hint="eastAsia" w:ascii="宋体" w:hAnsi="宋体" w:eastAsia="宋体" w:cs="宋体"/>
          <w:sz w:val="28"/>
          <w:szCs w:val="28"/>
        </w:rPr>
        <w:t>一般公共预算支出共</w:t>
      </w:r>
      <w:r>
        <w:rPr>
          <w:rFonts w:hint="eastAsia" w:ascii="宋体" w:hAnsi="宋体" w:eastAsia="宋体" w:cs="宋体"/>
          <w:sz w:val="28"/>
          <w:szCs w:val="28"/>
          <w:lang w:val="en-US" w:eastAsia="zh-CN"/>
        </w:rPr>
        <w:t>799.80</w:t>
      </w:r>
      <w:r>
        <w:rPr>
          <w:rFonts w:hint="eastAsia" w:ascii="宋体" w:hAnsi="宋体" w:eastAsia="宋体" w:cs="宋体"/>
          <w:sz w:val="28"/>
          <w:szCs w:val="28"/>
        </w:rPr>
        <w:t>万元，较2023年度预算数</w:t>
      </w:r>
      <w:r>
        <w:rPr>
          <w:rFonts w:hint="eastAsia" w:ascii="宋体" w:hAnsi="宋体" w:eastAsia="宋体" w:cs="宋体"/>
          <w:sz w:val="28"/>
          <w:szCs w:val="28"/>
          <w:lang w:val="en-US" w:eastAsia="zh-CN"/>
        </w:rPr>
        <w:t>722.66</w:t>
      </w:r>
      <w:r>
        <w:rPr>
          <w:rFonts w:hint="eastAsia" w:ascii="宋体" w:hAnsi="宋体" w:eastAsia="宋体" w:cs="宋体"/>
          <w:sz w:val="28"/>
          <w:szCs w:val="28"/>
        </w:rPr>
        <w:t>万元，</w:t>
      </w:r>
      <w:r>
        <w:rPr>
          <w:rFonts w:hint="eastAsia" w:ascii="宋体" w:hAnsi="宋体" w:eastAsia="宋体" w:cs="宋体"/>
          <w:sz w:val="28"/>
          <w:szCs w:val="28"/>
          <w:lang w:val="en-US" w:eastAsia="zh-CN"/>
        </w:rPr>
        <w:t>增加77.14</w:t>
      </w:r>
      <w:r>
        <w:rPr>
          <w:rFonts w:hint="eastAsia" w:ascii="宋体" w:hAnsi="宋体" w:eastAsia="宋体" w:cs="宋体"/>
          <w:sz w:val="28"/>
          <w:szCs w:val="28"/>
        </w:rPr>
        <w:t>万元，</w:t>
      </w:r>
      <w:r>
        <w:rPr>
          <w:rFonts w:hint="eastAsia" w:ascii="宋体" w:hAnsi="宋体" w:eastAsia="宋体" w:cs="宋体"/>
          <w:sz w:val="28"/>
          <w:szCs w:val="28"/>
          <w:lang w:val="en-US" w:eastAsia="zh-CN"/>
        </w:rPr>
        <w:t>增长10.67%</w:t>
      </w:r>
      <w:r>
        <w:rPr>
          <w:rFonts w:hint="eastAsia" w:ascii="宋体" w:hAnsi="宋体" w:eastAsia="宋体" w:cs="宋体"/>
          <w:sz w:val="28"/>
          <w:szCs w:val="28"/>
        </w:rPr>
        <w:t>，主要原因是</w:t>
      </w:r>
      <w:r>
        <w:rPr>
          <w:rFonts w:hint="eastAsia"/>
          <w:highlight w:val="none"/>
          <w:lang w:val="en-US" w:eastAsia="zh-CN"/>
        </w:rPr>
        <w:t>新增提升卫生机构人才医疗服务和保障能力支出</w:t>
      </w:r>
      <w:r>
        <w:rPr>
          <w:rFonts w:hint="eastAsia" w:ascii="宋体" w:hAnsi="宋体" w:eastAsia="宋体" w:cs="宋体"/>
          <w:sz w:val="28"/>
          <w:szCs w:val="28"/>
        </w:rPr>
        <w:t>。中央提前下达2024年一般公共预算转移支付资金安排的支出</w:t>
      </w:r>
      <w:r>
        <w:rPr>
          <w:rFonts w:hint="eastAsia" w:ascii="宋体" w:hAnsi="宋体" w:eastAsia="宋体" w:cs="宋体"/>
          <w:sz w:val="28"/>
          <w:szCs w:val="28"/>
          <w:lang w:val="en-US" w:eastAsia="zh-CN"/>
        </w:rPr>
        <w:t>0.00</w:t>
      </w:r>
      <w:r>
        <w:rPr>
          <w:rFonts w:hint="eastAsia" w:ascii="宋体" w:hAnsi="宋体" w:eastAsia="宋体" w:cs="宋体"/>
          <w:sz w:val="28"/>
          <w:szCs w:val="28"/>
        </w:rPr>
        <w:t>万元。具体情况为：</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一般公共服务支出（类）支出</w:t>
      </w:r>
      <w:r>
        <w:rPr>
          <w:rFonts w:ascii="宋体" w:hAnsi="宋体" w:eastAsia="宋体" w:cs="宋体"/>
          <w:sz w:val="28"/>
          <w:u w:color="auto"/>
        </w:rPr>
        <w:t>7.40</w:t>
      </w:r>
      <w:r>
        <w:rPr>
          <w:rFonts w:hint="eastAsia" w:ascii="宋体" w:hAnsi="宋体" w:eastAsia="宋体" w:cs="宋体"/>
          <w:sz w:val="28"/>
          <w:szCs w:val="28"/>
        </w:rPr>
        <w:t>万元，占支出总预算的</w:t>
      </w:r>
      <w:r>
        <w:rPr>
          <w:rFonts w:ascii="宋体" w:hAnsi="宋体" w:eastAsia="宋体" w:cs="宋体"/>
          <w:sz w:val="28"/>
          <w:u w:color="auto"/>
        </w:rPr>
        <w:t>0.93%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10.74</w:t>
      </w:r>
      <w:r>
        <w:rPr>
          <w:rFonts w:hint="eastAsia" w:ascii="宋体" w:hAnsi="宋体" w:eastAsia="宋体" w:cs="宋体"/>
          <w:sz w:val="28"/>
          <w:szCs w:val="28"/>
        </w:rPr>
        <w:t>万元，</w:t>
      </w:r>
      <w:r>
        <w:rPr>
          <w:rFonts w:ascii="宋体" w:hAnsi="宋体" w:eastAsia="宋体" w:cs="宋体"/>
          <w:sz w:val="28"/>
          <w:u w:color="auto"/>
        </w:rPr>
        <w:t>减少3.34</w:t>
      </w:r>
      <w:r>
        <w:rPr>
          <w:rFonts w:hint="eastAsia" w:ascii="宋体" w:hAnsi="宋体" w:eastAsia="宋体" w:cs="宋体"/>
          <w:sz w:val="28"/>
          <w:szCs w:val="28"/>
        </w:rPr>
        <w:t>万元，</w:t>
      </w:r>
      <w:r>
        <w:rPr>
          <w:rFonts w:ascii="宋体" w:hAnsi="宋体" w:eastAsia="宋体" w:cs="宋体"/>
          <w:sz w:val="28"/>
          <w:u w:color="auto"/>
        </w:rPr>
        <w:t>减少31.10%</w:t>
      </w:r>
      <w:r>
        <w:rPr>
          <w:rFonts w:hint="eastAsia" w:ascii="宋体" w:hAnsi="宋体" w:eastAsia="宋体" w:cs="宋体"/>
          <w:sz w:val="28"/>
          <w:szCs w:val="28"/>
        </w:rPr>
        <w:t>，主要原因是：</w:t>
      </w:r>
      <w:r>
        <w:rPr>
          <w:rFonts w:hint="eastAsia"/>
          <w:highlight w:val="none"/>
        </w:rPr>
        <w:t>职工工会活动减少，支出减少</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住房保障支出（类）支出</w:t>
      </w:r>
      <w:r>
        <w:rPr>
          <w:rFonts w:ascii="宋体" w:hAnsi="宋体" w:eastAsia="宋体" w:cs="宋体"/>
          <w:sz w:val="28"/>
          <w:u w:color="auto"/>
        </w:rPr>
        <w:t>70.23</w:t>
      </w:r>
      <w:r>
        <w:rPr>
          <w:rFonts w:hint="eastAsia" w:ascii="宋体" w:hAnsi="宋体" w:eastAsia="宋体" w:cs="宋体"/>
          <w:sz w:val="28"/>
          <w:szCs w:val="28"/>
        </w:rPr>
        <w:t>万元，占支出总预算的</w:t>
      </w:r>
      <w:r>
        <w:rPr>
          <w:rFonts w:ascii="宋体" w:hAnsi="宋体" w:eastAsia="宋体" w:cs="宋体"/>
          <w:sz w:val="28"/>
          <w:u w:color="auto"/>
        </w:rPr>
        <w:t>8.78%</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64.41</w:t>
      </w:r>
      <w:r>
        <w:rPr>
          <w:rFonts w:hint="eastAsia" w:ascii="宋体" w:hAnsi="宋体" w:eastAsia="宋体" w:cs="宋体"/>
          <w:sz w:val="28"/>
          <w:szCs w:val="28"/>
        </w:rPr>
        <w:t>万元，</w:t>
      </w:r>
      <w:r>
        <w:rPr>
          <w:rFonts w:ascii="宋体" w:hAnsi="宋体" w:eastAsia="宋体" w:cs="宋体"/>
          <w:sz w:val="28"/>
          <w:u w:color="auto"/>
        </w:rPr>
        <w:t>增长5.82</w:t>
      </w:r>
      <w:r>
        <w:rPr>
          <w:rFonts w:hint="eastAsia" w:ascii="宋体" w:hAnsi="宋体" w:eastAsia="宋体" w:cs="宋体"/>
          <w:sz w:val="28"/>
          <w:szCs w:val="28"/>
        </w:rPr>
        <w:t>万元，</w:t>
      </w:r>
      <w:r>
        <w:rPr>
          <w:rFonts w:ascii="宋体" w:hAnsi="宋体" w:eastAsia="宋体" w:cs="宋体"/>
          <w:sz w:val="28"/>
          <w:u w:color="auto"/>
        </w:rPr>
        <w:t>增长9.04%</w:t>
      </w:r>
      <w:r>
        <w:rPr>
          <w:rFonts w:hint="eastAsia" w:ascii="宋体" w:hAnsi="宋体" w:eastAsia="宋体" w:cs="宋体"/>
          <w:sz w:val="28"/>
          <w:szCs w:val="28"/>
        </w:rPr>
        <w:t>，主要原因是：</w:t>
      </w:r>
      <w:r>
        <w:rPr>
          <w:rFonts w:hint="eastAsia"/>
          <w:highlight w:val="none"/>
        </w:rPr>
        <w:t>2023年9月份新招录人员4人，住房公积金财政负担部分增多</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卫生健康支出（类）支出</w:t>
      </w:r>
      <w:r>
        <w:rPr>
          <w:rFonts w:ascii="宋体" w:hAnsi="宋体" w:eastAsia="宋体" w:cs="宋体"/>
          <w:sz w:val="28"/>
          <w:u w:color="auto"/>
        </w:rPr>
        <w:t>639.56</w:t>
      </w:r>
      <w:r>
        <w:rPr>
          <w:rFonts w:hint="eastAsia" w:ascii="宋体" w:hAnsi="宋体" w:eastAsia="宋体" w:cs="宋体"/>
          <w:sz w:val="28"/>
          <w:szCs w:val="28"/>
        </w:rPr>
        <w:t>万元，占支出总预算的</w:t>
      </w:r>
      <w:r>
        <w:rPr>
          <w:rFonts w:ascii="宋体" w:hAnsi="宋体" w:eastAsia="宋体" w:cs="宋体"/>
          <w:sz w:val="28"/>
          <w:u w:color="auto"/>
        </w:rPr>
        <w:t>79.96%</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522.72</w:t>
      </w:r>
      <w:r>
        <w:rPr>
          <w:rFonts w:hint="eastAsia" w:ascii="宋体" w:hAnsi="宋体" w:eastAsia="宋体" w:cs="宋体"/>
          <w:sz w:val="28"/>
          <w:szCs w:val="28"/>
        </w:rPr>
        <w:t>万元，</w:t>
      </w:r>
      <w:r>
        <w:rPr>
          <w:rFonts w:ascii="宋体" w:hAnsi="宋体" w:eastAsia="宋体" w:cs="宋体"/>
          <w:sz w:val="28"/>
          <w:u w:color="auto"/>
        </w:rPr>
        <w:t>增长116.84</w:t>
      </w:r>
      <w:r>
        <w:rPr>
          <w:rFonts w:hint="eastAsia" w:ascii="宋体" w:hAnsi="宋体" w:eastAsia="宋体" w:cs="宋体"/>
          <w:sz w:val="28"/>
          <w:szCs w:val="28"/>
        </w:rPr>
        <w:t>万元，</w:t>
      </w:r>
      <w:r>
        <w:rPr>
          <w:rFonts w:ascii="宋体" w:hAnsi="宋体" w:eastAsia="宋体" w:cs="宋体"/>
          <w:sz w:val="28"/>
          <w:u w:color="auto"/>
        </w:rPr>
        <w:t>增长22.35%</w:t>
      </w:r>
      <w:r>
        <w:rPr>
          <w:rFonts w:hint="eastAsia" w:ascii="宋体" w:hAnsi="宋体" w:eastAsia="宋体" w:cs="宋体"/>
          <w:sz w:val="28"/>
          <w:szCs w:val="28"/>
        </w:rPr>
        <w:t>，主要原因是：</w:t>
      </w:r>
      <w:r>
        <w:rPr>
          <w:rFonts w:hint="eastAsia"/>
          <w:highlight w:val="none"/>
        </w:rPr>
        <w:t>新增提升卫生机构人才医疗服务和保障能力支出32万元</w:t>
      </w:r>
      <w:r>
        <w:rPr>
          <w:rFonts w:hint="eastAsia" w:ascii="宋体" w:hAnsi="宋体" w:eastAsia="宋体" w:cs="宋体"/>
          <w:sz w:val="28"/>
          <w:szCs w:val="28"/>
        </w:rPr>
        <w:t>。</w:t>
      </w:r>
    </w:p>
    <w:p>
      <w:pPr>
        <w:pStyle w:val="18"/>
        <w:spacing w:line="623" w:lineRule="exact"/>
        <w:ind w:left="0" w:leftChars="0" w:firstLine="560" w:firstLineChars="200"/>
        <w:jc w:val="left"/>
        <w:rPr>
          <w:rFonts w:hint="eastAsia" w:ascii="宋体" w:hAnsi="宋体" w:eastAsia="宋体" w:cs="宋体"/>
          <w:sz w:val="28"/>
          <w:szCs w:val="28"/>
        </w:rPr>
      </w:pPr>
      <w:r>
        <w:rPr>
          <w:rFonts w:hint="eastAsia" w:ascii="宋体" w:hAnsi="宋体" w:eastAsia="宋体" w:cs="宋体"/>
          <w:sz w:val="28"/>
          <w:szCs w:val="28"/>
        </w:rPr>
        <w:t>社会保障和就业支出（类）支出</w:t>
      </w:r>
      <w:r>
        <w:rPr>
          <w:rFonts w:ascii="宋体" w:hAnsi="宋体" w:eastAsia="宋体" w:cs="宋体"/>
          <w:sz w:val="28"/>
          <w:u w:color="auto"/>
        </w:rPr>
        <w:t>82.61</w:t>
      </w:r>
      <w:r>
        <w:rPr>
          <w:rFonts w:hint="eastAsia" w:ascii="宋体" w:hAnsi="宋体" w:eastAsia="宋体" w:cs="宋体"/>
          <w:sz w:val="28"/>
          <w:szCs w:val="28"/>
        </w:rPr>
        <w:t>万元，占支出总预算的</w:t>
      </w:r>
      <w:r>
        <w:rPr>
          <w:rFonts w:ascii="宋体" w:hAnsi="宋体" w:eastAsia="宋体" w:cs="宋体"/>
          <w:sz w:val="28"/>
          <w:u w:color="auto"/>
        </w:rPr>
        <w:t>10.33%</w:t>
      </w:r>
      <w:r>
        <w:rPr>
          <w:rFonts w:hint="eastAsia" w:ascii="宋体" w:hAnsi="宋体" w:eastAsia="宋体" w:cs="宋体"/>
          <w:sz w:val="28"/>
          <w:szCs w:val="28"/>
          <w:lang w:eastAsia="zh-CN"/>
        </w:rPr>
        <w:t>，</w:t>
      </w:r>
      <w:r>
        <w:rPr>
          <w:rFonts w:hint="eastAsia" w:ascii="宋体" w:hAnsi="宋体" w:eastAsia="宋体" w:cs="宋体"/>
          <w:sz w:val="28"/>
          <w:szCs w:val="28"/>
        </w:rPr>
        <w:t>较2023年度预算数</w:t>
      </w:r>
      <w:r>
        <w:rPr>
          <w:rFonts w:ascii="宋体" w:hAnsi="宋体" w:eastAsia="宋体" w:cs="宋体"/>
          <w:sz w:val="28"/>
          <w:u w:color="auto"/>
        </w:rPr>
        <w:t>124.80</w:t>
      </w:r>
      <w:r>
        <w:rPr>
          <w:rFonts w:hint="eastAsia" w:ascii="宋体" w:hAnsi="宋体" w:eastAsia="宋体" w:cs="宋体"/>
          <w:sz w:val="28"/>
          <w:szCs w:val="28"/>
        </w:rPr>
        <w:t>万元，</w:t>
      </w:r>
      <w:r>
        <w:rPr>
          <w:rFonts w:ascii="宋体" w:hAnsi="宋体" w:eastAsia="宋体" w:cs="宋体"/>
          <w:sz w:val="28"/>
          <w:u w:color="auto"/>
        </w:rPr>
        <w:t>减少42.19</w:t>
      </w:r>
      <w:r>
        <w:rPr>
          <w:rFonts w:hint="eastAsia" w:ascii="宋体" w:hAnsi="宋体" w:eastAsia="宋体" w:cs="宋体"/>
          <w:sz w:val="28"/>
          <w:szCs w:val="28"/>
        </w:rPr>
        <w:t>万元，</w:t>
      </w:r>
      <w:r>
        <w:rPr>
          <w:rFonts w:ascii="宋体" w:hAnsi="宋体" w:eastAsia="宋体" w:cs="宋体"/>
          <w:sz w:val="28"/>
          <w:u w:color="auto"/>
        </w:rPr>
        <w:t>减少33.81%</w:t>
      </w:r>
      <w:r>
        <w:rPr>
          <w:rFonts w:hint="eastAsia" w:ascii="宋体" w:hAnsi="宋体" w:eastAsia="宋体" w:cs="宋体"/>
          <w:sz w:val="28"/>
          <w:szCs w:val="28"/>
        </w:rPr>
        <w:t>，主要原因是：</w:t>
      </w:r>
      <w:r>
        <w:rPr>
          <w:rFonts w:hint="eastAsia"/>
          <w:highlight w:val="none"/>
        </w:rPr>
        <w:t>主要是由于将职工医疗保险及工伤、失业保险调整至疾病预防控制机构功能科目，故收入比去年减少</w:t>
      </w:r>
      <w:r>
        <w:rPr>
          <w:rFonts w:hint="eastAsia" w:ascii="宋体" w:hAnsi="宋体" w:eastAsia="宋体" w:cs="宋体"/>
          <w:sz w:val="28"/>
          <w:szCs w:val="28"/>
        </w:rPr>
        <w:t>。</w:t>
      </w:r>
    </w:p>
    <w:p>
      <w:pPr>
        <w:pStyle w:val="16"/>
        <w:tabs>
          <w:tab w:val="left" w:pos="1235"/>
        </w:tabs>
        <w:spacing w:after="0" w:line="624" w:lineRule="exact"/>
        <w:ind w:firstLine="580"/>
        <w:jc w:val="left"/>
        <w:rPr>
          <w:b/>
          <w:bCs/>
        </w:rPr>
      </w:pPr>
      <w:r>
        <w:rPr>
          <w:rFonts w:hint="eastAsia"/>
          <w:b/>
          <w:bCs/>
          <w:lang w:val="en-US" w:eastAsia="zh-CN"/>
        </w:rPr>
        <w:t>六、</w:t>
      </w:r>
      <w:r>
        <w:rPr>
          <w:b/>
          <w:bCs/>
        </w:rPr>
        <w:t>一般公共预算基本支出情况说明</w:t>
      </w:r>
    </w:p>
    <w:p>
      <w:pPr>
        <w:pStyle w:val="16"/>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402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pPr>
        <w:pStyle w:val="18"/>
        <w:spacing w:line="623" w:lineRule="exact"/>
        <w:ind w:left="0" w:leftChars="0" w:firstLine="560" w:firstLineChars="200"/>
        <w:jc w:val="left"/>
        <w:rPr>
          <w:rFonts w:hint="eastAsia"/>
          <w:lang w:val="en-US" w:eastAsia="zh-CN"/>
        </w:rPr>
      </w:pPr>
      <w:r>
        <w:rPr>
          <w:rFonts w:hint="eastAsia"/>
          <w:lang w:val="en-US" w:eastAsia="zh-CN"/>
        </w:rPr>
        <w:t>2024</w:t>
      </w:r>
      <w:r>
        <w:rPr>
          <w:u w:color="auto"/>
        </w:rPr>
        <w:t>年</w:t>
      </w:r>
      <w:r>
        <w:rPr>
          <w:rFonts w:hint="eastAsia"/>
        </w:rPr>
        <w:t>一般公共预算基本支出共</w:t>
      </w:r>
      <w:r>
        <w:rPr>
          <w:rFonts w:hint="eastAsia"/>
          <w:lang w:val="en-US" w:eastAsia="zh-CN"/>
        </w:rPr>
        <w:t>720.62</w:t>
      </w:r>
      <w:r>
        <w:rPr>
          <w:rFonts w:hint="eastAsia"/>
        </w:rPr>
        <w:t>万元，较2023年度预算数</w:t>
      </w:r>
      <w:r>
        <w:rPr>
          <w:rFonts w:hint="eastAsia"/>
          <w:lang w:val="en-US" w:eastAsia="zh-CN"/>
        </w:rPr>
        <w:t>669.49</w:t>
      </w:r>
      <w:r>
        <w:rPr>
          <w:rFonts w:hint="eastAsia"/>
        </w:rPr>
        <w:t>万元</w:t>
      </w:r>
      <w:r>
        <w:rPr>
          <w:rFonts w:hint="eastAsia"/>
          <w:lang w:val="en-US" w:eastAsia="zh-CN"/>
        </w:rPr>
        <w:t>,</w:t>
      </w:r>
      <w:r>
        <w:rPr>
          <w:u w:color="auto"/>
        </w:rPr>
        <w:t>增加51.13</w:t>
      </w:r>
      <w:r>
        <w:rPr>
          <w:rFonts w:hint="eastAsia"/>
        </w:rPr>
        <w:t>万元，</w:t>
      </w:r>
      <w:r>
        <w:rPr>
          <w:rFonts w:hint="eastAsia"/>
          <w:lang w:val="en-US" w:eastAsia="zh-CN"/>
        </w:rPr>
        <w:t>增长7.64%</w:t>
      </w:r>
      <w:r>
        <w:rPr>
          <w:rFonts w:hint="eastAsia"/>
        </w:rPr>
        <w:t>，主要原因是</w:t>
      </w:r>
      <w:r>
        <w:rPr>
          <w:rFonts w:hint="eastAsia"/>
          <w:highlight w:val="none"/>
          <w:lang w:val="en-US" w:eastAsia="zh-CN"/>
        </w:rPr>
        <w:t>新增提升卫生机构人才医疗服务和保障能力支出</w:t>
      </w:r>
      <w:r>
        <w:rPr>
          <w:rFonts w:hint="eastAsia"/>
        </w:rPr>
        <w:t>。具体情况为：</w:t>
      </w:r>
    </w:p>
    <w:p>
      <w:pPr>
        <w:pStyle w:val="18"/>
        <w:spacing w:line="626" w:lineRule="exact"/>
        <w:ind w:firstLine="600"/>
        <w:jc w:val="left"/>
        <w:rPr>
          <w:rFonts w:hint="default"/>
          <w:lang w:val="en-US" w:eastAsia="zh-CN"/>
        </w:rPr>
      </w:pPr>
      <w:r>
        <w:rPr>
          <w:rFonts w:hint="eastAsia"/>
          <w:lang w:val="en-US" w:eastAsia="zh-CN"/>
        </w:rPr>
        <w:t>工资福利支出</w:t>
      </w:r>
      <w:r>
        <w:rPr>
          <w:rFonts w:hint="eastAsia"/>
        </w:rPr>
        <w:t>支出预算</w:t>
      </w:r>
      <w:r>
        <w:rPr>
          <w:rFonts w:hint="eastAsia"/>
          <w:lang w:val="en-US" w:eastAsia="zh-CN"/>
        </w:rPr>
        <w:t>669.53</w:t>
      </w:r>
      <w:r>
        <w:t>万元</w:t>
      </w:r>
      <w:r>
        <w:rPr>
          <w:rFonts w:hint="eastAsia"/>
          <w:lang w:eastAsia="zh-CN"/>
        </w:rPr>
        <w:t>，</w:t>
      </w:r>
      <w:r>
        <w:rPr>
          <w:rFonts w:hint="eastAsia"/>
        </w:rPr>
        <w:t>占基本支出预算的</w:t>
      </w:r>
      <w:r>
        <w:rPr>
          <w:rFonts w:hint="eastAsia"/>
          <w:lang w:val="en-US" w:eastAsia="zh-CN"/>
        </w:rPr>
        <w:t>92.91%</w:t>
      </w:r>
      <w:r>
        <w:rPr>
          <w:rFonts w:hint="eastAsia"/>
        </w:rPr>
        <w:t>，较2023年度预算数</w:t>
      </w:r>
      <w:r>
        <w:rPr>
          <w:rFonts w:hint="eastAsia"/>
          <w:lang w:val="en-US" w:eastAsia="zh-CN"/>
        </w:rPr>
        <w:t>629.15</w:t>
      </w:r>
      <w:r>
        <w:rPr>
          <w:rFonts w:hint="eastAsia"/>
        </w:rPr>
        <w:t>万元，</w:t>
      </w:r>
      <w:r>
        <w:rPr>
          <w:rFonts w:hint="eastAsia"/>
          <w:lang w:val="en-US" w:eastAsia="zh-CN"/>
        </w:rPr>
        <w:t>增长40.38</w:t>
      </w:r>
      <w:r>
        <w:rPr>
          <w:rFonts w:hint="eastAsia"/>
        </w:rPr>
        <w:t>万元，</w:t>
      </w:r>
      <w:r>
        <w:rPr>
          <w:rFonts w:hint="eastAsia"/>
          <w:lang w:val="en-US" w:eastAsia="zh-CN"/>
        </w:rPr>
        <w:t>增长6.42%</w:t>
      </w:r>
      <w:r>
        <w:rPr>
          <w:rFonts w:hint="eastAsia"/>
        </w:rPr>
        <w:t>，主要原因是：</w:t>
      </w:r>
      <w:r>
        <w:rPr>
          <w:rFonts w:hint="eastAsia"/>
          <w:highlight w:val="none"/>
        </w:rPr>
        <w:t>2023年9月份新招录人员4人，故今年工资福利支出增加</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商品和服务支出</w:t>
      </w:r>
      <w:r>
        <w:rPr>
          <w:rFonts w:hint="eastAsia"/>
        </w:rPr>
        <w:t>支出预算</w:t>
      </w:r>
      <w:r>
        <w:rPr>
          <w:rFonts w:hint="eastAsia"/>
          <w:lang w:val="en-US" w:eastAsia="zh-CN"/>
        </w:rPr>
        <w:t>23.39</w:t>
      </w:r>
      <w:r>
        <w:t>万元</w:t>
      </w:r>
      <w:r>
        <w:rPr>
          <w:rFonts w:hint="eastAsia"/>
          <w:lang w:eastAsia="zh-CN"/>
        </w:rPr>
        <w:t>，</w:t>
      </w:r>
      <w:r>
        <w:rPr>
          <w:rFonts w:hint="eastAsia"/>
        </w:rPr>
        <w:t>占基本支出预算的</w:t>
      </w:r>
      <w:r>
        <w:rPr>
          <w:rFonts w:hint="eastAsia"/>
          <w:lang w:val="en-US" w:eastAsia="zh-CN"/>
        </w:rPr>
        <w:t>3.25%</w:t>
      </w:r>
      <w:r>
        <w:rPr>
          <w:rFonts w:hint="eastAsia"/>
        </w:rPr>
        <w:t>，较2023年度预算数</w:t>
      </w:r>
      <w:r>
        <w:rPr>
          <w:rFonts w:hint="eastAsia"/>
          <w:lang w:val="en-US" w:eastAsia="zh-CN"/>
        </w:rPr>
        <w:t>26.48</w:t>
      </w:r>
      <w:r>
        <w:rPr>
          <w:rFonts w:hint="eastAsia"/>
        </w:rPr>
        <w:t>万元，</w:t>
      </w:r>
      <w:r>
        <w:rPr>
          <w:rFonts w:hint="eastAsia"/>
          <w:lang w:val="en-US" w:eastAsia="zh-CN"/>
        </w:rPr>
        <w:t>减少3.09</w:t>
      </w:r>
      <w:r>
        <w:rPr>
          <w:rFonts w:hint="eastAsia"/>
        </w:rPr>
        <w:t>万元，</w:t>
      </w:r>
      <w:r>
        <w:rPr>
          <w:rFonts w:hint="eastAsia"/>
          <w:lang w:val="en-US" w:eastAsia="zh-CN"/>
        </w:rPr>
        <w:t>减少11.67%</w:t>
      </w:r>
      <w:r>
        <w:rPr>
          <w:rFonts w:hint="eastAsia"/>
        </w:rPr>
        <w:t>，主要原因是：</w:t>
      </w:r>
      <w:r>
        <w:rPr>
          <w:rFonts w:hint="eastAsia"/>
          <w:highlight w:val="none"/>
        </w:rPr>
        <w:t>职工工会活动减少，支出减少</w:t>
      </w:r>
      <w:r>
        <w:rPr>
          <w:rFonts w:hint="eastAsia"/>
          <w:highlight w:val="none"/>
          <w:lang w:val="en-US" w:eastAsia="zh-CN"/>
        </w:rPr>
        <w:t>。</w:t>
      </w:r>
    </w:p>
    <w:p>
      <w:pPr>
        <w:pStyle w:val="18"/>
        <w:spacing w:line="626" w:lineRule="exact"/>
        <w:ind w:firstLine="600"/>
        <w:jc w:val="left"/>
        <w:rPr>
          <w:rFonts w:hint="default"/>
          <w:lang w:val="en-US" w:eastAsia="zh-CN"/>
        </w:rPr>
      </w:pPr>
      <w:r>
        <w:rPr>
          <w:rFonts w:hint="eastAsia"/>
          <w:lang w:val="en-US" w:eastAsia="zh-CN"/>
        </w:rPr>
        <w:t>对个人和家庭的补助</w:t>
      </w:r>
      <w:r>
        <w:rPr>
          <w:rFonts w:hint="eastAsia"/>
        </w:rPr>
        <w:t>支出预算</w:t>
      </w:r>
      <w:r>
        <w:rPr>
          <w:rFonts w:hint="eastAsia"/>
          <w:lang w:val="en-US" w:eastAsia="zh-CN"/>
        </w:rPr>
        <w:t>27.70</w:t>
      </w:r>
      <w:r>
        <w:t>万元</w:t>
      </w:r>
      <w:r>
        <w:rPr>
          <w:rFonts w:hint="eastAsia"/>
          <w:lang w:eastAsia="zh-CN"/>
        </w:rPr>
        <w:t>，</w:t>
      </w:r>
      <w:r>
        <w:rPr>
          <w:rFonts w:hint="eastAsia"/>
        </w:rPr>
        <w:t>占基本支出预算的</w:t>
      </w:r>
      <w:r>
        <w:rPr>
          <w:rFonts w:hint="eastAsia"/>
          <w:lang w:val="en-US" w:eastAsia="zh-CN"/>
        </w:rPr>
        <w:t>3.84%</w:t>
      </w:r>
      <w:r>
        <w:rPr>
          <w:rFonts w:hint="eastAsia"/>
        </w:rPr>
        <w:t>，较2023年度预算数</w:t>
      </w:r>
      <w:r>
        <w:rPr>
          <w:rFonts w:hint="eastAsia"/>
          <w:lang w:val="en-US" w:eastAsia="zh-CN"/>
        </w:rPr>
        <w:t>13.87</w:t>
      </w:r>
      <w:r>
        <w:rPr>
          <w:rFonts w:hint="eastAsia"/>
        </w:rPr>
        <w:t>万元，</w:t>
      </w:r>
      <w:r>
        <w:rPr>
          <w:rFonts w:hint="eastAsia"/>
          <w:lang w:val="en-US" w:eastAsia="zh-CN"/>
        </w:rPr>
        <w:t>增长13.83</w:t>
      </w:r>
      <w:r>
        <w:rPr>
          <w:rFonts w:hint="eastAsia"/>
        </w:rPr>
        <w:t>万元，</w:t>
      </w:r>
      <w:r>
        <w:rPr>
          <w:rFonts w:hint="eastAsia"/>
          <w:lang w:val="en-US" w:eastAsia="zh-CN"/>
        </w:rPr>
        <w:t>增长99.71%</w:t>
      </w:r>
      <w:r>
        <w:rPr>
          <w:rFonts w:hint="eastAsia"/>
        </w:rPr>
        <w:t>，主要原因是：</w:t>
      </w:r>
      <w:r>
        <w:rPr>
          <w:rFonts w:hint="eastAsia"/>
          <w:highlight w:val="none"/>
        </w:rPr>
        <w:t>退休人员生活补助标准提高及年度还有新增退休人员</w:t>
      </w:r>
      <w:r>
        <w:rPr>
          <w:rFonts w:hint="eastAsia"/>
          <w:highlight w:val="none"/>
          <w:lang w:val="en-US" w:eastAsia="zh-CN"/>
        </w:rPr>
        <w:t>。</w:t>
      </w:r>
    </w:p>
    <w:p>
      <w:pPr>
        <w:pStyle w:val="16"/>
        <w:tabs>
          <w:tab w:val="left" w:pos="1235"/>
        </w:tabs>
        <w:spacing w:after="0" w:line="624" w:lineRule="exact"/>
        <w:ind w:firstLine="580"/>
        <w:jc w:val="left"/>
        <w:rPr>
          <w:rFonts w:hint="eastAsia"/>
          <w:b/>
          <w:bCs/>
        </w:rPr>
      </w:pPr>
      <w:r>
        <w:rPr>
          <w:rFonts w:hint="eastAsia"/>
          <w:b/>
          <w:bCs/>
          <w:lang w:val="en-US" w:eastAsia="zh-CN"/>
        </w:rPr>
        <w:t>七、</w:t>
      </w:r>
      <w:r>
        <w:rPr>
          <w:b/>
          <w:bCs/>
        </w:rPr>
        <w:t>一般公共预算</w:t>
      </w:r>
      <w:r>
        <w:rPr>
          <w:b/>
          <w:bCs/>
          <w:lang w:val="zh-CN" w:eastAsia="zh-CN" w:bidi="zh-CN"/>
        </w:rPr>
        <w:t>“三</w:t>
      </w:r>
      <w:r>
        <w:rPr>
          <w:b/>
          <w:bCs/>
        </w:rPr>
        <w:t>公”</w:t>
      </w:r>
      <w:r>
        <w:rPr>
          <w:rFonts w:hint="eastAsia"/>
          <w:b/>
          <w:bCs/>
        </w:rPr>
        <w:t>经费支出情况说明</w:t>
      </w:r>
    </w:p>
    <w:p>
      <w:pPr>
        <w:pStyle w:val="16"/>
        <w:numPr>
          <w:ilvl w:val="0"/>
          <w:numId w:val="0"/>
        </w:numPr>
        <w:spacing w:after="0"/>
        <w:jc w:val="left"/>
        <w:rPr>
          <w:rFonts w:hint="eastAsia"/>
          <w:b/>
          <w:bCs/>
        </w:rPr>
      </w:pPr>
    </w:p>
    <w:p>
      <w:pPr>
        <w:pStyle w:val="16"/>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402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pPr>
        <w:pStyle w:val="16"/>
        <w:tabs>
          <w:tab w:val="left" w:pos="1253"/>
        </w:tabs>
        <w:spacing w:after="0" w:line="629" w:lineRule="exact"/>
        <w:ind w:firstLine="600"/>
        <w:jc w:val="left"/>
        <w:rPr>
          <w:rFonts w:hint="eastAsia"/>
          <w:b w:val="0"/>
          <w:bCs w:val="0"/>
          <w:sz w:val="28"/>
          <w:szCs w:val="28"/>
          <w:lang w:eastAsia="zh-CN"/>
        </w:rPr>
      </w:pPr>
      <w:bookmarkStart w:id="14" w:name="bookmark90"/>
      <w:r>
        <w:rPr>
          <w:rFonts w:hint="eastAsia"/>
          <w:b w:val="0"/>
          <w:bCs w:val="0"/>
          <w:sz w:val="28"/>
          <w:szCs w:val="28"/>
          <w:lang w:eastAsia="zh-CN"/>
        </w:rPr>
        <w:t>（</w:t>
      </w:r>
      <w:r>
        <w:rPr>
          <w:rFonts w:hint="eastAsia"/>
          <w:b w:val="0"/>
          <w:bCs w:val="0"/>
          <w:sz w:val="28"/>
          <w:szCs w:val="28"/>
          <w:lang w:val="en-US" w:eastAsia="zh-CN"/>
        </w:rPr>
        <w:t>一</w:t>
      </w:r>
      <w:r>
        <w:rPr>
          <w:rFonts w:hint="eastAsia"/>
          <w:b w:val="0"/>
          <w:bCs w:val="0"/>
          <w:sz w:val="28"/>
          <w:szCs w:val="28"/>
          <w:lang w:eastAsia="zh-CN"/>
        </w:rPr>
        <w:t>）</w:t>
      </w:r>
      <w:r>
        <w:rPr>
          <w:sz w:val="28"/>
          <w:u w:color="auto"/>
        </w:rPr>
        <w:t>2024年部门预算共安排</w:t>
      </w:r>
      <w:r>
        <w:rPr>
          <w:rFonts w:hint="eastAsia"/>
          <w:b w:val="0"/>
          <w:bCs w:val="0"/>
          <w:sz w:val="28"/>
          <w:szCs w:val="28"/>
          <w:lang w:val="zh-CN" w:eastAsia="zh-CN"/>
        </w:rPr>
        <w:t>“三公</w:t>
      </w:r>
      <w:r>
        <w:rPr>
          <w:rFonts w:hint="eastAsia"/>
          <w:b w:val="0"/>
          <w:bCs w:val="0"/>
          <w:sz w:val="28"/>
          <w:szCs w:val="28"/>
          <w:lang w:val="en-US" w:eastAsia="zh-CN"/>
        </w:rPr>
        <w:t>"</w:t>
      </w:r>
      <w:r>
        <w:rPr>
          <w:rFonts w:hint="eastAsia"/>
          <w:b w:val="0"/>
          <w:bCs w:val="0"/>
          <w:sz w:val="28"/>
          <w:szCs w:val="28"/>
          <w:lang w:eastAsia="zh-CN"/>
        </w:rPr>
        <w:t>经费支出预算</w:t>
      </w:r>
      <w:r>
        <w:rPr>
          <w:rFonts w:hint="eastAsia"/>
          <w:b w:val="0"/>
          <w:bCs w:val="0"/>
          <w:sz w:val="28"/>
          <w:szCs w:val="28"/>
          <w:lang w:val="en-US" w:eastAsia="zh-CN"/>
        </w:rPr>
        <w:t>3.99</w:t>
      </w:r>
      <w:r>
        <w:rPr>
          <w:rFonts w:hint="eastAsia"/>
          <w:b w:val="0"/>
          <w:bCs w:val="0"/>
          <w:sz w:val="28"/>
          <w:szCs w:val="28"/>
          <w:lang w:eastAsia="zh-CN"/>
        </w:rPr>
        <w:t>万元（全口径），其中：因公出国（境）经费支出预算</w:t>
      </w:r>
      <w:r>
        <w:rPr>
          <w:rFonts w:hint="eastAsia"/>
          <w:b w:val="0"/>
          <w:bCs w:val="0"/>
          <w:sz w:val="28"/>
          <w:szCs w:val="28"/>
          <w:lang w:val="en-US" w:eastAsia="zh-CN"/>
        </w:rPr>
        <w:t>0.00</w:t>
      </w:r>
      <w:r>
        <w:rPr>
          <w:rFonts w:hint="eastAsia"/>
          <w:b w:val="0"/>
          <w:bCs w:val="0"/>
          <w:sz w:val="28"/>
          <w:szCs w:val="28"/>
          <w:lang w:eastAsia="zh-CN"/>
        </w:rPr>
        <w:t>万元，公务接待费支出预算</w:t>
      </w:r>
      <w:r>
        <w:rPr>
          <w:rFonts w:hint="eastAsia"/>
          <w:b w:val="0"/>
          <w:bCs w:val="0"/>
          <w:sz w:val="28"/>
          <w:szCs w:val="28"/>
          <w:lang w:val="en-US" w:eastAsia="zh-CN"/>
        </w:rPr>
        <w:t>0.00</w:t>
      </w:r>
      <w:r>
        <w:rPr>
          <w:rFonts w:hint="eastAsia"/>
          <w:b w:val="0"/>
          <w:bCs w:val="0"/>
          <w:sz w:val="28"/>
          <w:szCs w:val="28"/>
          <w:lang w:eastAsia="zh-CN"/>
        </w:rPr>
        <w:t>万元，公务用车购置及运行费支出预算</w:t>
      </w:r>
      <w:r>
        <w:rPr>
          <w:rFonts w:hint="eastAsia"/>
          <w:b w:val="0"/>
          <w:bCs w:val="0"/>
          <w:sz w:val="28"/>
          <w:szCs w:val="28"/>
          <w:lang w:val="en-US" w:eastAsia="zh-CN"/>
        </w:rPr>
        <w:t>3.99</w:t>
      </w:r>
      <w:r>
        <w:rPr>
          <w:rFonts w:hint="eastAsia"/>
          <w:b w:val="0"/>
          <w:bCs w:val="0"/>
          <w:sz w:val="28"/>
          <w:szCs w:val="28"/>
          <w:lang w:eastAsia="zh-CN"/>
        </w:rPr>
        <w:t>万元（公务用车购置费</w:t>
      </w:r>
      <w:r>
        <w:rPr>
          <w:rFonts w:hint="eastAsia"/>
          <w:b w:val="0"/>
          <w:bCs w:val="0"/>
          <w:sz w:val="28"/>
          <w:szCs w:val="28"/>
          <w:lang w:val="en-US" w:eastAsia="zh-CN"/>
        </w:rPr>
        <w:t>0.00</w:t>
      </w:r>
      <w:r>
        <w:rPr>
          <w:rFonts w:hint="eastAsia"/>
          <w:b w:val="0"/>
          <w:bCs w:val="0"/>
          <w:sz w:val="28"/>
          <w:szCs w:val="28"/>
          <w:lang w:eastAsia="zh-CN"/>
        </w:rPr>
        <w:t>万元,公务用车运行维护费</w:t>
      </w:r>
      <w:r>
        <w:rPr>
          <w:rFonts w:hint="eastAsia"/>
          <w:b w:val="0"/>
          <w:bCs w:val="0"/>
          <w:sz w:val="28"/>
          <w:szCs w:val="28"/>
          <w:lang w:val="en-US" w:eastAsia="zh-CN"/>
        </w:rPr>
        <w:t>3.99</w:t>
      </w:r>
      <w:r>
        <w:rPr>
          <w:rFonts w:hint="eastAsia"/>
          <w:b w:val="0"/>
          <w:bCs w:val="0"/>
          <w:sz w:val="28"/>
          <w:szCs w:val="28"/>
          <w:lang w:eastAsia="zh-CN"/>
        </w:rPr>
        <w:t>万元）。</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lang w:eastAsia="zh-CN"/>
        </w:rPr>
        <w:t>（</w:t>
      </w:r>
      <w:r>
        <w:rPr>
          <w:rFonts w:hint="eastAsia"/>
          <w:b w:val="0"/>
          <w:bCs w:val="0"/>
          <w:sz w:val="28"/>
          <w:szCs w:val="28"/>
          <w:lang w:val="en-US" w:eastAsia="zh-CN"/>
        </w:rPr>
        <w:t>二</w:t>
      </w:r>
      <w:r>
        <w:rPr>
          <w:rFonts w:hint="eastAsia"/>
          <w:b w:val="0"/>
          <w:bCs w:val="0"/>
          <w:sz w:val="28"/>
          <w:szCs w:val="28"/>
          <w:lang w:eastAsia="zh-CN"/>
        </w:rPr>
        <w:t>）</w:t>
      </w:r>
      <w:r>
        <w:rPr>
          <w:sz w:val="28"/>
          <w:u w:color="auto"/>
        </w:rPr>
        <w:t>2024</w:t>
      </w:r>
      <w:r>
        <w:rPr>
          <w:rFonts w:hint="eastAsia"/>
          <w:b w:val="0"/>
          <w:bCs w:val="0"/>
          <w:sz w:val="28"/>
          <w:szCs w:val="28"/>
        </w:rPr>
        <w:t>年一般公共预算安排的“三公”经费支出预算</w:t>
      </w:r>
      <w:r>
        <w:rPr>
          <w:rFonts w:hint="eastAsia"/>
          <w:b w:val="0"/>
          <w:bCs w:val="0"/>
          <w:sz w:val="28"/>
          <w:szCs w:val="28"/>
          <w:lang w:val="en-US" w:eastAsia="zh-CN"/>
        </w:rPr>
        <w:t>3.99</w:t>
      </w:r>
      <w:r>
        <w:rPr>
          <w:rFonts w:hint="eastAsia"/>
          <w:b w:val="0"/>
          <w:bCs w:val="0"/>
          <w:sz w:val="28"/>
          <w:szCs w:val="28"/>
        </w:rPr>
        <w:t>万元，同口径较2023年度预算数</w:t>
      </w:r>
      <w:r>
        <w:rPr>
          <w:rFonts w:hint="eastAsia"/>
          <w:b w:val="0"/>
          <w:bCs w:val="0"/>
          <w:sz w:val="28"/>
          <w:szCs w:val="28"/>
          <w:lang w:val="en-US" w:eastAsia="zh-CN"/>
        </w:rPr>
        <w:t>4.99</w:t>
      </w:r>
      <w:r>
        <w:rPr>
          <w:rFonts w:hint="eastAsia"/>
          <w:b w:val="0"/>
          <w:bCs w:val="0"/>
          <w:sz w:val="28"/>
          <w:szCs w:val="28"/>
        </w:rPr>
        <w:t>万元，</w:t>
      </w:r>
      <w:r>
        <w:rPr>
          <w:rFonts w:hint="eastAsia"/>
          <w:b w:val="0"/>
          <w:bCs w:val="0"/>
          <w:sz w:val="28"/>
          <w:szCs w:val="28"/>
          <w:lang w:val="en-US" w:eastAsia="zh-CN"/>
        </w:rPr>
        <w:t>减少1.00</w:t>
      </w:r>
      <w:r>
        <w:rPr>
          <w:rFonts w:hint="eastAsia"/>
          <w:b w:val="0"/>
          <w:bCs w:val="0"/>
          <w:sz w:val="28"/>
          <w:szCs w:val="28"/>
        </w:rPr>
        <w:t>万元，</w:t>
      </w:r>
      <w:r>
        <w:rPr>
          <w:rFonts w:hint="eastAsia"/>
          <w:b w:val="0"/>
          <w:bCs w:val="0"/>
          <w:sz w:val="28"/>
          <w:szCs w:val="28"/>
          <w:lang w:val="en-US" w:eastAsia="zh-CN"/>
        </w:rPr>
        <w:t>减少20.04%</w:t>
      </w:r>
      <w:r>
        <w:rPr>
          <w:rFonts w:hint="eastAsia"/>
          <w:b w:val="0"/>
          <w:bCs w:val="0"/>
          <w:sz w:val="28"/>
          <w:szCs w:val="28"/>
        </w:rPr>
        <w:t>，具体如下：</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1.因公出国（境）费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我部门无因公出国（境）费</w:t>
      </w:r>
      <w:r>
        <w:rPr>
          <w:rFonts w:hint="eastAsia"/>
          <w:b w:val="0"/>
          <w:bCs w:val="0"/>
          <w:sz w:val="28"/>
          <w:szCs w:val="28"/>
        </w:rPr>
        <w:t>。</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2.公务接待费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1.00</w:t>
      </w:r>
      <w:r>
        <w:rPr>
          <w:rFonts w:hint="eastAsia"/>
          <w:b w:val="0"/>
          <w:bCs w:val="0"/>
          <w:sz w:val="28"/>
          <w:szCs w:val="28"/>
        </w:rPr>
        <w:t>万元，</w:t>
      </w:r>
      <w:r>
        <w:rPr>
          <w:sz w:val="28"/>
          <w:u w:color="auto"/>
        </w:rPr>
        <w:t>减少1.00</w:t>
      </w:r>
      <w:r>
        <w:rPr>
          <w:rFonts w:hint="eastAsia"/>
          <w:b w:val="0"/>
          <w:bCs w:val="0"/>
          <w:sz w:val="28"/>
          <w:szCs w:val="28"/>
        </w:rPr>
        <w:t>万元，</w:t>
      </w:r>
      <w:r>
        <w:rPr>
          <w:sz w:val="28"/>
          <w:u w:color="auto"/>
        </w:rPr>
        <w:t>减少100.00%</w:t>
      </w:r>
      <w:r>
        <w:rPr>
          <w:rFonts w:hint="eastAsia"/>
          <w:b w:val="0"/>
          <w:bCs w:val="0"/>
          <w:sz w:val="28"/>
          <w:szCs w:val="28"/>
        </w:rPr>
        <w:t>，主要原因是</w:t>
      </w:r>
      <w:r>
        <w:rPr>
          <w:rFonts w:hint="eastAsia"/>
          <w:highlight w:val="none"/>
          <w:lang w:val="en-US" w:eastAsia="zh-CN"/>
        </w:rPr>
        <w:t>我部门公务接待活动减少</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3.公务用车购置及运行费</w:t>
      </w:r>
      <w:r>
        <w:rPr>
          <w:rFonts w:hint="eastAsia"/>
          <w:b w:val="0"/>
          <w:bCs w:val="0"/>
          <w:sz w:val="28"/>
          <w:szCs w:val="28"/>
          <w:lang w:eastAsia="zh-CN"/>
        </w:rPr>
        <w:t>2024</w:t>
      </w:r>
      <w:r>
        <w:rPr>
          <w:rFonts w:hint="eastAsia"/>
          <w:b w:val="0"/>
          <w:bCs w:val="0"/>
          <w:sz w:val="28"/>
          <w:szCs w:val="28"/>
        </w:rPr>
        <w:t>年预算安排</w:t>
      </w:r>
      <w:r>
        <w:rPr>
          <w:sz w:val="28"/>
          <w:u w:color="auto"/>
        </w:rPr>
        <w:t>3.99</w:t>
      </w:r>
      <w:r>
        <w:rPr>
          <w:rFonts w:hint="eastAsia"/>
          <w:b w:val="0"/>
          <w:bCs w:val="0"/>
          <w:sz w:val="28"/>
          <w:szCs w:val="28"/>
        </w:rPr>
        <w:t>万元，较2023年度预算数</w:t>
      </w:r>
      <w:r>
        <w:rPr>
          <w:sz w:val="28"/>
          <w:u w:color="auto"/>
        </w:rPr>
        <w:t>3.99</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，其中：</w:t>
      </w:r>
    </w:p>
    <w:p>
      <w:pPr>
        <w:pStyle w:val="16"/>
        <w:tabs>
          <w:tab w:val="left" w:pos="1253"/>
        </w:tabs>
        <w:spacing w:after="0" w:line="629" w:lineRule="exact"/>
        <w:ind w:firstLine="600"/>
        <w:jc w:val="left"/>
        <w:rPr>
          <w:rFonts w:hint="eastAsia" w:eastAsia="宋体"/>
          <w:b w:val="0"/>
          <w:bCs w:val="0"/>
          <w:sz w:val="28"/>
          <w:szCs w:val="28"/>
          <w:lang w:eastAsia="zh-CN"/>
        </w:rPr>
      </w:pPr>
      <w:r>
        <w:rPr>
          <w:rFonts w:hint="eastAsia"/>
          <w:b w:val="0"/>
          <w:bCs w:val="0"/>
          <w:sz w:val="28"/>
          <w:szCs w:val="28"/>
        </w:rPr>
        <w:t>公务用车购置费</w:t>
      </w:r>
      <w:r>
        <w:rPr>
          <w:rFonts w:hint="eastAsia"/>
          <w:b w:val="0"/>
          <w:bCs w:val="0"/>
          <w:sz w:val="28"/>
          <w:szCs w:val="28"/>
          <w:lang w:eastAsia="zh-CN"/>
        </w:rPr>
        <w:t>2024</w:t>
      </w:r>
      <w:r>
        <w:rPr>
          <w:rFonts w:hint="eastAsia"/>
          <w:b w:val="0"/>
          <w:bCs w:val="0"/>
          <w:sz w:val="28"/>
          <w:szCs w:val="28"/>
        </w:rPr>
        <w:t>年预算安排</w:t>
      </w:r>
      <w:r>
        <w:rPr>
          <w:sz w:val="28"/>
          <w:u w:color="auto"/>
        </w:rPr>
        <w:t>0.00</w:t>
      </w:r>
      <w:r>
        <w:rPr>
          <w:rFonts w:hint="eastAsia"/>
          <w:b w:val="0"/>
          <w:bCs w:val="0"/>
          <w:sz w:val="28"/>
          <w:szCs w:val="28"/>
        </w:rPr>
        <w:t>万元，较2023年度预算数</w:t>
      </w:r>
      <w:r>
        <w:rPr>
          <w:sz w:val="28"/>
          <w:u w:color="auto"/>
        </w:rPr>
        <w:t>0.00</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w:t>
      </w:r>
      <w:r>
        <w:rPr>
          <w:rFonts w:hint="eastAsia"/>
          <w:b w:val="0"/>
          <w:bCs w:val="0"/>
          <w:sz w:val="28"/>
          <w:szCs w:val="28"/>
        </w:rPr>
        <w:t>，主要原因是</w:t>
      </w:r>
      <w:r>
        <w:rPr>
          <w:rFonts w:hint="eastAsia"/>
          <w:highlight w:val="none"/>
          <w:lang w:val="en-US" w:eastAsia="zh-CN"/>
        </w:rPr>
        <w:t>我部门没有新增公务车辆</w:t>
      </w:r>
      <w:r>
        <w:rPr>
          <w:rFonts w:hint="eastAsia"/>
          <w:b w:val="0"/>
          <w:bCs w:val="0"/>
          <w:sz w:val="28"/>
          <w:szCs w:val="28"/>
        </w:rPr>
        <w:t>。</w:t>
      </w:r>
    </w:p>
    <w:p>
      <w:pPr>
        <w:pStyle w:val="16"/>
        <w:tabs>
          <w:tab w:val="left" w:pos="1253"/>
        </w:tabs>
        <w:spacing w:after="0" w:line="629" w:lineRule="exact"/>
        <w:ind w:firstLine="600"/>
        <w:jc w:val="left"/>
        <w:rPr>
          <w:rFonts w:hint="eastAsia"/>
          <w:b w:val="0"/>
          <w:bCs w:val="0"/>
          <w:sz w:val="28"/>
          <w:szCs w:val="28"/>
        </w:rPr>
      </w:pPr>
      <w:r>
        <w:rPr>
          <w:rFonts w:hint="eastAsia"/>
          <w:b w:val="0"/>
          <w:bCs w:val="0"/>
          <w:sz w:val="28"/>
          <w:szCs w:val="28"/>
        </w:rPr>
        <w:t>公务用车运行维护费</w:t>
      </w:r>
      <w:r>
        <w:rPr>
          <w:rFonts w:hint="eastAsia"/>
          <w:b w:val="0"/>
          <w:bCs w:val="0"/>
          <w:sz w:val="28"/>
          <w:szCs w:val="28"/>
          <w:lang w:eastAsia="zh-CN"/>
        </w:rPr>
        <w:t>2024</w:t>
      </w:r>
      <w:r>
        <w:rPr>
          <w:rFonts w:hint="eastAsia"/>
          <w:b w:val="0"/>
          <w:bCs w:val="0"/>
          <w:sz w:val="28"/>
          <w:szCs w:val="28"/>
        </w:rPr>
        <w:t>年预算安排</w:t>
      </w:r>
      <w:r>
        <w:rPr>
          <w:sz w:val="28"/>
          <w:u w:color="auto"/>
        </w:rPr>
        <w:t>3.99</w:t>
      </w:r>
      <w:r>
        <w:rPr>
          <w:rFonts w:hint="eastAsia"/>
          <w:b w:val="0"/>
          <w:bCs w:val="0"/>
          <w:sz w:val="28"/>
          <w:szCs w:val="28"/>
        </w:rPr>
        <w:t>万元，较2023年度预算数</w:t>
      </w:r>
      <w:r>
        <w:rPr>
          <w:sz w:val="28"/>
          <w:u w:color="auto"/>
        </w:rPr>
        <w:t>3.99</w:t>
      </w:r>
      <w:r>
        <w:rPr>
          <w:rFonts w:hint="eastAsia"/>
          <w:b w:val="0"/>
          <w:bCs w:val="0"/>
          <w:sz w:val="28"/>
          <w:szCs w:val="28"/>
        </w:rPr>
        <w:t>万元，</w:t>
      </w:r>
      <w:r>
        <w:rPr>
          <w:sz w:val="28"/>
          <w:u w:color="auto"/>
        </w:rPr>
        <w:t>增长0.00</w:t>
      </w:r>
      <w:r>
        <w:rPr>
          <w:rFonts w:hint="eastAsia"/>
          <w:b w:val="0"/>
          <w:bCs w:val="0"/>
          <w:sz w:val="28"/>
          <w:szCs w:val="28"/>
        </w:rPr>
        <w:t>万元，</w:t>
      </w:r>
      <w:r>
        <w:rPr>
          <w:sz w:val="28"/>
          <w:u w:color="auto"/>
        </w:rPr>
        <w:t>增长0.00%</w:t>
      </w:r>
      <w:r>
        <w:rPr>
          <w:rFonts w:hint="eastAsia"/>
          <w:b w:val="0"/>
          <w:bCs w:val="0"/>
          <w:sz w:val="28"/>
          <w:szCs w:val="28"/>
        </w:rPr>
        <w:t>，主要原因是</w:t>
      </w:r>
      <w:r>
        <w:rPr>
          <w:rFonts w:hint="eastAsia"/>
          <w:highlight w:val="none"/>
          <w:lang w:val="en-US" w:eastAsia="zh-CN"/>
        </w:rPr>
        <w:t>我部门公务用车数量不变</w:t>
      </w:r>
      <w:r>
        <w:rPr>
          <w:rFonts w:hint="eastAsia"/>
          <w:b w:val="0"/>
          <w:bCs w:val="0"/>
          <w:sz w:val="28"/>
          <w:szCs w:val="28"/>
        </w:rPr>
        <w:t>。</w:t>
      </w:r>
    </w:p>
    <w:p>
      <w:pPr>
        <w:pStyle w:val="16"/>
        <w:tabs>
          <w:tab w:val="left" w:pos="1235"/>
        </w:tabs>
        <w:spacing w:after="0" w:line="624" w:lineRule="exact"/>
        <w:ind w:firstLine="580"/>
        <w:jc w:val="left"/>
        <w:rPr>
          <w:b/>
          <w:bCs/>
        </w:rPr>
      </w:pPr>
      <w:r>
        <w:rPr>
          <w:b/>
          <w:bCs/>
        </w:rPr>
        <w:t>八</w:t>
      </w:r>
      <w:bookmarkEnd w:id="14"/>
      <w:r>
        <w:rPr>
          <w:b/>
          <w:bCs/>
        </w:rPr>
        <w:t>、</w:t>
      </w:r>
      <w:r>
        <w:rPr>
          <w:b/>
          <w:bCs/>
        </w:rPr>
        <w:tab/>
      </w:r>
      <w:r>
        <w:rPr>
          <w:b/>
          <w:bCs/>
        </w:rPr>
        <w:t>政府性基金预算支出情况说明</w:t>
      </w:r>
    </w:p>
    <w:p>
      <w:pPr>
        <w:pStyle w:val="18"/>
        <w:spacing w:line="629" w:lineRule="exact"/>
        <w:ind w:firstLine="600"/>
        <w:jc w:val="left"/>
        <w:rPr>
          <w:rFonts w:hint="eastAsia" w:eastAsia="宋体"/>
          <w:lang w:eastAsia="zh-CN"/>
        </w:rPr>
      </w:pPr>
      <w:r>
        <w:rPr>
          <w:rFonts w:hint="eastAsia"/>
        </w:rPr>
        <w:t>我部门</w:t>
      </w:r>
      <w:r>
        <w:rPr>
          <w:rFonts w:hint="eastAsia"/>
          <w:b w:val="0"/>
          <w:bCs w:val="0"/>
          <w:sz w:val="28"/>
          <w:szCs w:val="28"/>
          <w:lang w:eastAsia="zh-CN"/>
        </w:rPr>
        <w:t>2024</w:t>
      </w:r>
      <w:r>
        <w:rPr>
          <w:rFonts w:hint="eastAsia"/>
        </w:rPr>
        <w:t>年政府性基金预算支出共</w:t>
      </w:r>
      <w:r>
        <w:rPr>
          <w:rFonts w:hint="eastAsia"/>
          <w:b w:val="0"/>
          <w:bCs w:val="0"/>
          <w:sz w:val="28"/>
          <w:szCs w:val="28"/>
          <w:lang w:eastAsia="zh-CN"/>
        </w:rPr>
        <w:t>30.00</w:t>
      </w:r>
      <w:r>
        <w:rPr>
          <w:rFonts w:hint="eastAsia"/>
        </w:rPr>
        <w:t>万元，较2023年度预算数</w:t>
      </w:r>
      <w:r>
        <w:rPr>
          <w:rFonts w:hint="eastAsia"/>
          <w:b w:val="0"/>
          <w:bCs w:val="0"/>
          <w:sz w:val="28"/>
          <w:szCs w:val="28"/>
          <w:lang w:eastAsia="zh-CN"/>
        </w:rPr>
        <w:t>0.00</w:t>
      </w:r>
      <w:r>
        <w:rPr>
          <w:rFonts w:hint="eastAsia"/>
        </w:rPr>
        <w:t>万元，</w:t>
      </w:r>
      <w:r>
        <w:rPr>
          <w:rFonts w:hint="eastAsia"/>
          <w:b w:val="0"/>
          <w:bCs w:val="0"/>
          <w:sz w:val="28"/>
          <w:szCs w:val="28"/>
          <w:lang w:eastAsia="zh-CN"/>
        </w:rPr>
        <w:t>增加30.00</w:t>
      </w:r>
      <w:r>
        <w:rPr>
          <w:rFonts w:hint="eastAsia"/>
        </w:rPr>
        <w:t>万元，</w:t>
      </w:r>
      <w:r>
        <w:rPr>
          <w:rFonts w:hint="eastAsia"/>
          <w:b w:val="0"/>
          <w:bCs w:val="0"/>
          <w:sz w:val="28"/>
          <w:szCs w:val="28"/>
          <w:lang w:eastAsia="zh-CN"/>
        </w:rPr>
        <w:t>增长100%</w:t>
      </w:r>
      <w:r>
        <w:rPr>
          <w:rFonts w:hint="eastAsia"/>
        </w:rPr>
        <w:t>，主要原因是</w:t>
      </w:r>
      <w:r>
        <w:rPr>
          <w:rFonts w:hint="eastAsia"/>
          <w:highlight w:val="none"/>
          <w:lang w:val="en-US" w:eastAsia="zh-CN"/>
        </w:rPr>
        <w:t>主要是用于传染病集中医学观察业务楼消防工程项目支出</w:t>
      </w:r>
      <w:r>
        <w:rPr>
          <w:rFonts w:hint="eastAsia"/>
        </w:rPr>
        <w:t>。</w:t>
      </w:r>
    </w:p>
    <w:p>
      <w:pPr>
        <w:pStyle w:val="16"/>
        <w:tabs>
          <w:tab w:val="left" w:pos="1235"/>
        </w:tabs>
        <w:spacing w:after="0" w:line="624" w:lineRule="exact"/>
        <w:ind w:firstLine="580"/>
        <w:jc w:val="left"/>
        <w:rPr>
          <w:b/>
          <w:bCs/>
        </w:rPr>
      </w:pPr>
      <w:bookmarkStart w:id="15" w:name="bookmark91"/>
      <w:r>
        <w:rPr>
          <w:b/>
          <w:bCs/>
        </w:rPr>
        <w:t>九</w:t>
      </w:r>
      <w:bookmarkEnd w:id="15"/>
      <w:r>
        <w:rPr>
          <w:b/>
          <w:bCs/>
        </w:rPr>
        <w:t>、</w:t>
      </w:r>
      <w:r>
        <w:rPr>
          <w:b/>
          <w:bCs/>
        </w:rPr>
        <w:tab/>
      </w:r>
      <w:r>
        <w:rPr>
          <w:b/>
          <w:bCs/>
        </w:rPr>
        <w:t>国有资本经营预算支出情况说明</w:t>
      </w:r>
    </w:p>
    <w:p>
      <w:pPr>
        <w:pStyle w:val="18"/>
        <w:spacing w:line="437" w:lineRule="auto"/>
        <w:ind w:firstLine="600"/>
        <w:jc w:val="left"/>
        <w:rPr>
          <w:rFonts w:hint="eastAsia" w:eastAsia="宋体"/>
          <w:lang w:eastAsia="zh-CN"/>
        </w:rPr>
      </w:pPr>
      <w:r>
        <w:rPr>
          <w:rFonts w:hint="eastAsia"/>
        </w:rPr>
        <w:t>我部门</w:t>
      </w:r>
      <w:r>
        <w:rPr>
          <w:rFonts w:hint="eastAsia"/>
          <w:lang w:eastAsia="zh-CN"/>
        </w:rPr>
        <w:t>2024</w:t>
      </w:r>
      <w:r>
        <w:rPr>
          <w:rFonts w:hint="eastAsia"/>
        </w:rPr>
        <w:t>年国有资本经营预算支出共</w:t>
      </w:r>
      <w:r>
        <w:rPr>
          <w:rFonts w:hint="eastAsia"/>
          <w:lang w:eastAsia="zh-CN"/>
        </w:rPr>
        <w:t>0.00</w:t>
      </w:r>
      <w:r>
        <w:rPr>
          <w:rFonts w:hint="eastAsia"/>
        </w:rPr>
        <w:t>万元，较2023年度预算数</w:t>
      </w:r>
      <w:r>
        <w:rPr>
          <w:rFonts w:hint="eastAsia"/>
          <w:lang w:eastAsia="zh-CN"/>
        </w:rPr>
        <w:t>0.00</w:t>
      </w:r>
      <w:r>
        <w:rPr>
          <w:rFonts w:hint="eastAsia"/>
        </w:rPr>
        <w:t>万元，</w:t>
      </w:r>
      <w:r>
        <w:rPr>
          <w:rFonts w:hint="eastAsia"/>
          <w:lang w:eastAsia="zh-CN"/>
        </w:rPr>
        <w:t>增加0.00</w:t>
      </w:r>
      <w:r>
        <w:rPr>
          <w:rFonts w:hint="eastAsia"/>
        </w:rPr>
        <w:t>万元，</w:t>
      </w:r>
      <w:r>
        <w:rPr>
          <w:rFonts w:hint="eastAsia"/>
          <w:lang w:eastAsia="zh-CN"/>
        </w:rPr>
        <w:t>增长0%</w:t>
      </w:r>
      <w:r>
        <w:rPr>
          <w:rFonts w:hint="eastAsia"/>
        </w:rPr>
        <w:t>，主要原因是</w:t>
      </w:r>
      <w:r>
        <w:rPr>
          <w:rFonts w:hint="eastAsia"/>
          <w:lang w:val="en-US" w:eastAsia="zh-CN"/>
        </w:rPr>
        <w:t>我部门2024年部门预算无国有资本经营预算</w:t>
      </w:r>
      <w:r>
        <w:rPr>
          <w:rFonts w:hint="eastAsia"/>
        </w:rPr>
        <w:t>。</w:t>
      </w:r>
    </w:p>
    <w:p>
      <w:pPr>
        <w:pStyle w:val="16"/>
        <w:tabs>
          <w:tab w:val="left" w:pos="1235"/>
        </w:tabs>
        <w:spacing w:after="0" w:line="624" w:lineRule="exact"/>
        <w:ind w:firstLine="580"/>
        <w:jc w:val="left"/>
        <w:rPr>
          <w:b/>
          <w:bCs/>
        </w:rPr>
      </w:pPr>
      <w:r>
        <w:rPr>
          <w:b/>
          <w:bCs/>
        </w:rPr>
        <w:t>十、其他重要事项</w:t>
      </w:r>
      <w:r>
        <w:rPr>
          <w:rFonts w:hint="eastAsia"/>
          <w:b/>
          <w:bCs/>
          <w:lang w:val="en-US" w:eastAsia="zh-CN"/>
        </w:rPr>
        <w:t>情况</w:t>
      </w:r>
      <w:r>
        <w:rPr>
          <w:b/>
          <w:bCs/>
        </w:rPr>
        <w:t>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（一）事业单位相关运行经费</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b w:val="0"/>
          <w:bCs w:val="0"/>
          <w:sz w:val="28"/>
          <w:szCs w:val="28"/>
          <w:lang w:eastAsia="zh-CN"/>
        </w:rPr>
        <w:t>2024</w:t>
      </w:r>
      <w:r>
        <w:rPr>
          <w:rFonts w:hint="eastAsia" w:ascii="宋体" w:hAnsi="宋体" w:eastAsia="宋体" w:cs="宋体"/>
          <w:sz w:val="28"/>
          <w:szCs w:val="28"/>
          <w:lang w:eastAsia="zh-CN"/>
        </w:rPr>
        <w:t>年本部门机关运行经费预算</w:t>
      </w:r>
      <w:r>
        <w:rPr>
          <w:rFonts w:hint="eastAsia" w:ascii="宋体" w:hAnsi="宋体" w:eastAsia="宋体" w:cs="宋体"/>
          <w:sz w:val="28"/>
          <w:szCs w:val="28"/>
          <w:lang w:val="en-US" w:eastAsia="zh-CN"/>
        </w:rPr>
        <w:t>23.39</w:t>
      </w:r>
      <w:r>
        <w:rPr>
          <w:rFonts w:hint="eastAsia" w:ascii="宋体" w:hAnsi="宋体" w:eastAsia="宋体" w:cs="宋体"/>
          <w:sz w:val="28"/>
          <w:szCs w:val="28"/>
          <w:lang w:eastAsia="zh-CN"/>
        </w:rPr>
        <w:t>万元，较2023年度预算数</w:t>
      </w:r>
      <w:r>
        <w:rPr>
          <w:rFonts w:hint="eastAsia" w:ascii="宋体" w:hAnsi="宋体" w:eastAsia="宋体" w:cs="宋体"/>
          <w:sz w:val="28"/>
          <w:szCs w:val="28"/>
          <w:lang w:val="en-US" w:eastAsia="zh-CN"/>
        </w:rPr>
        <w:t>26.48</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减少3.09</w:t>
      </w:r>
      <w:r>
        <w:rPr>
          <w:rFonts w:hint="eastAsia" w:ascii="宋体" w:hAnsi="宋体" w:eastAsia="宋体" w:cs="宋体"/>
          <w:sz w:val="28"/>
          <w:szCs w:val="28"/>
          <w:lang w:eastAsia="zh-CN"/>
        </w:rPr>
        <w:t>万元，</w:t>
      </w:r>
      <w:r>
        <w:rPr>
          <w:rFonts w:hint="eastAsia" w:ascii="宋体" w:hAnsi="宋体" w:eastAsia="宋体" w:cs="宋体"/>
          <w:sz w:val="28"/>
          <w:szCs w:val="28"/>
          <w:lang w:val="en-US" w:eastAsia="zh-CN"/>
        </w:rPr>
        <w:t>下降11.67%</w:t>
      </w:r>
      <w:r>
        <w:rPr>
          <w:rFonts w:hint="eastAsia" w:ascii="宋体" w:hAnsi="宋体" w:eastAsia="宋体" w:cs="宋体"/>
          <w:sz w:val="28"/>
          <w:szCs w:val="28"/>
          <w:lang w:eastAsia="zh-CN"/>
        </w:rPr>
        <w:t>，主要原因是：</w:t>
      </w:r>
      <w:r>
        <w:rPr>
          <w:rFonts w:hint="eastAsia"/>
          <w:highlight w:val="none"/>
          <w:lang w:val="en-US" w:eastAsia="zh-CN"/>
        </w:rPr>
        <w:t>主要用于为保证部门日常运转发生的基本支出。按自治区统一规定的开支标准安排的办公费、印刷费、水电费、培训费、差旅费、邮电费等日常公用经费支出</w:t>
      </w:r>
      <w:r>
        <w:rPr>
          <w:rFonts w:hint="eastAsia" w:ascii="宋体" w:hAnsi="宋体" w:eastAsia="宋体" w:cs="宋体"/>
          <w:sz w:val="28"/>
          <w:szCs w:val="28"/>
          <w:lang w:eastAsia="zh-CN"/>
        </w:rPr>
        <w:t>。</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（二）政府采购预算安排情况说明</w:t>
      </w:r>
    </w:p>
    <w:p>
      <w:pPr>
        <w:pStyle w:val="18"/>
        <w:spacing w:line="624" w:lineRule="exact"/>
        <w:ind w:firstLine="600"/>
        <w:jc w:val="left"/>
        <w:rPr>
          <w:rFonts w:hint="default" w:ascii="宋体" w:hAnsi="宋体" w:eastAsia="宋体" w:cs="宋体"/>
          <w:sz w:val="28"/>
          <w:szCs w:val="28"/>
          <w:lang w:val="en-US" w:eastAsia="zh-CN"/>
        </w:rPr>
      </w:pPr>
      <w:r>
        <w:rPr>
          <w:rFonts w:hint="eastAsia" w:ascii="宋体" w:hAnsi="宋体" w:eastAsia="宋体" w:cs="宋体"/>
          <w:sz w:val="28"/>
          <w:szCs w:val="28"/>
          <w:lang w:eastAsia="zh-CN"/>
        </w:rPr>
        <w:t>我部门2024年政府采购预算总金额</w:t>
      </w:r>
      <w:r>
        <w:rPr>
          <w:rFonts w:hint="eastAsia"/>
          <w:highlight w:val="none"/>
          <w:lang w:val="en-US" w:eastAsia="zh-CN"/>
        </w:rPr>
        <w:t>71.49</w:t>
      </w:r>
      <w:r>
        <w:rPr>
          <w:rFonts w:hint="eastAsia" w:ascii="宋体" w:hAnsi="宋体" w:eastAsia="宋体" w:cs="宋体"/>
          <w:sz w:val="28"/>
          <w:szCs w:val="28"/>
          <w:lang w:eastAsia="zh-CN"/>
        </w:rPr>
        <w:t>万元。其中：货物类采购</w:t>
      </w:r>
      <w:r>
        <w:rPr>
          <w:rFonts w:hint="eastAsia"/>
          <w:highlight w:val="none"/>
          <w:lang w:val="en-US" w:eastAsia="zh-CN"/>
        </w:rPr>
        <w:t>67.5</w:t>
      </w:r>
      <w:r>
        <w:rPr>
          <w:rFonts w:hint="eastAsia" w:ascii="宋体" w:hAnsi="宋体" w:eastAsia="宋体" w:cs="宋体"/>
          <w:sz w:val="28"/>
          <w:szCs w:val="28"/>
          <w:lang w:eastAsia="zh-CN"/>
        </w:rPr>
        <w:t>万元、工程类采购</w:t>
      </w:r>
      <w:r>
        <w:rPr>
          <w:rFonts w:hint="eastAsia"/>
          <w:highlight w:val="none"/>
          <w:lang w:val="en-US" w:eastAsia="zh-CN"/>
        </w:rPr>
        <w:t>0</w:t>
      </w:r>
      <w:r>
        <w:rPr>
          <w:rFonts w:hint="eastAsia" w:ascii="宋体" w:hAnsi="宋体" w:eastAsia="宋体" w:cs="宋体"/>
          <w:sz w:val="28"/>
          <w:szCs w:val="28"/>
          <w:lang w:eastAsia="zh-CN"/>
        </w:rPr>
        <w:t>万元、服务类采购</w:t>
      </w:r>
      <w:r>
        <w:rPr>
          <w:rFonts w:hint="eastAsia"/>
          <w:highlight w:val="none"/>
          <w:lang w:val="en-US" w:eastAsia="zh-CN"/>
        </w:rPr>
        <w:t>3.99</w:t>
      </w:r>
      <w:r>
        <w:rPr>
          <w:rFonts w:hint="eastAsia" w:ascii="宋体" w:hAnsi="宋体" w:eastAsia="宋体" w:cs="宋体"/>
          <w:sz w:val="28"/>
          <w:szCs w:val="28"/>
          <w:lang w:eastAsia="zh-CN"/>
        </w:rPr>
        <w:t>万元。</w:t>
      </w:r>
      <w:r>
        <w:rPr>
          <w:rFonts w:hint="eastAsia" w:cs="宋体"/>
          <w:sz w:val="28"/>
          <w:szCs w:val="28"/>
          <w:lang w:val="en-US" w:eastAsia="zh-CN"/>
        </w:rPr>
        <w:t>主要用于：</w:t>
      </w:r>
      <w:r>
        <w:rPr>
          <w:rFonts w:hint="eastAsia"/>
          <w:highlight w:val="none"/>
          <w:lang w:val="en-US" w:eastAsia="zh-CN"/>
        </w:rPr>
        <w:t>办公设备采购；公务车辆维修保养、燃油费</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（三）国有资产占用情况说明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截至2023年12月31日，本部门共有车辆</w:t>
      </w:r>
      <w:r>
        <w:rPr>
          <w:rFonts w:hint="eastAsia"/>
          <w:highlight w:val="none"/>
          <w:lang w:val="en-US" w:eastAsia="zh-CN"/>
        </w:rPr>
        <w:t>4</w:t>
      </w:r>
      <w:r>
        <w:rPr>
          <w:rFonts w:hint="eastAsia" w:ascii="宋体" w:hAnsi="宋体" w:eastAsia="宋体" w:cs="宋体"/>
          <w:sz w:val="28"/>
          <w:szCs w:val="28"/>
          <w:lang w:eastAsia="zh-CN"/>
        </w:rPr>
        <w:t>辆，其中，应急机要通信用车</w:t>
      </w:r>
      <w:r>
        <w:rPr>
          <w:rFonts w:hint="eastAsia"/>
          <w:highlight w:val="none"/>
          <w:lang w:val="en-US" w:eastAsia="zh-CN"/>
        </w:rPr>
        <w:t>0</w:t>
      </w:r>
      <w:r>
        <w:rPr>
          <w:rFonts w:hint="eastAsia" w:ascii="宋体" w:hAnsi="宋体" w:eastAsia="宋体" w:cs="宋体"/>
          <w:sz w:val="28"/>
          <w:szCs w:val="28"/>
          <w:lang w:eastAsia="zh-CN"/>
        </w:rPr>
        <w:t>辆、一般执法执勤用车</w:t>
      </w:r>
      <w:r>
        <w:rPr>
          <w:rFonts w:hint="eastAsia"/>
          <w:highlight w:val="none"/>
          <w:lang w:val="en-US" w:eastAsia="zh-CN"/>
        </w:rPr>
        <w:t>0</w:t>
      </w:r>
      <w:r>
        <w:rPr>
          <w:rFonts w:hint="eastAsia" w:ascii="宋体" w:hAnsi="宋体" w:eastAsia="宋体" w:cs="宋体"/>
          <w:sz w:val="28"/>
          <w:szCs w:val="28"/>
          <w:lang w:eastAsia="zh-CN"/>
        </w:rPr>
        <w:t>辆、特种专业技术用车</w:t>
      </w:r>
      <w:r>
        <w:rPr>
          <w:rFonts w:hint="eastAsia"/>
          <w:highlight w:val="none"/>
          <w:lang w:val="en-US" w:eastAsia="zh-CN"/>
        </w:rPr>
        <w:t>4</w:t>
      </w:r>
      <w:r>
        <w:rPr>
          <w:rFonts w:hint="eastAsia" w:ascii="宋体" w:hAnsi="宋体" w:eastAsia="宋体" w:cs="宋体"/>
          <w:sz w:val="28"/>
          <w:szCs w:val="28"/>
          <w:lang w:eastAsia="zh-CN"/>
        </w:rPr>
        <w:t>辆、其他用车</w:t>
      </w:r>
      <w:r>
        <w:rPr>
          <w:rFonts w:hint="eastAsia"/>
          <w:highlight w:val="none"/>
          <w:lang w:val="en-US" w:eastAsia="zh-CN"/>
        </w:rPr>
        <w:t>0</w:t>
      </w:r>
      <w:r>
        <w:rPr>
          <w:rFonts w:hint="eastAsia" w:ascii="宋体" w:hAnsi="宋体" w:eastAsia="宋体" w:cs="宋体"/>
          <w:sz w:val="28"/>
          <w:szCs w:val="28"/>
          <w:lang w:eastAsia="zh-CN"/>
        </w:rPr>
        <w:t>辆，单位价值200万元以上大型设备</w:t>
      </w:r>
      <w:r>
        <w:rPr>
          <w:rFonts w:hint="eastAsia"/>
          <w:highlight w:val="none"/>
          <w:lang w:val="en-US" w:eastAsia="zh-CN"/>
        </w:rPr>
        <w:t>0</w:t>
      </w:r>
      <w:r>
        <w:rPr>
          <w:rFonts w:hint="eastAsia" w:ascii="宋体" w:hAnsi="宋体" w:eastAsia="宋体" w:cs="宋体"/>
          <w:sz w:val="28"/>
          <w:szCs w:val="28"/>
          <w:lang w:eastAsia="zh-CN"/>
        </w:rPr>
        <w:t>台（套）。</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（四）预算绩效目标情况说明</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1.我部门2024年所有项目支出全面实施绩效目标管理，涉及项目</w:t>
      </w:r>
      <w:r>
        <w:rPr>
          <w:rFonts w:hint="eastAsia"/>
          <w:highlight w:val="none"/>
          <w:lang w:val="en-US" w:eastAsia="zh-CN"/>
        </w:rPr>
        <w:t>6</w:t>
      </w:r>
      <w:r>
        <w:rPr>
          <w:rFonts w:hint="eastAsia" w:ascii="宋体" w:hAnsi="宋体" w:eastAsia="宋体" w:cs="宋体"/>
          <w:sz w:val="28"/>
          <w:szCs w:val="28"/>
          <w:lang w:eastAsia="zh-CN"/>
        </w:rPr>
        <w:t>个，预算资金</w:t>
      </w:r>
      <w:r>
        <w:rPr>
          <w:rFonts w:hint="eastAsia"/>
          <w:highlight w:val="none"/>
          <w:lang w:val="en-US" w:eastAsia="zh-CN"/>
        </w:rPr>
        <w:t>126.18</w:t>
      </w:r>
      <w:r>
        <w:rPr>
          <w:rFonts w:hint="eastAsia" w:ascii="宋体" w:hAnsi="宋体" w:eastAsia="宋体" w:cs="宋体"/>
          <w:sz w:val="28"/>
          <w:szCs w:val="28"/>
          <w:lang w:eastAsia="zh-CN"/>
        </w:rPr>
        <w:t>万元。绩效目标情况详见报表（日常运转类项目、工资类人员经费项目和涉密项目等除外）。</w:t>
      </w:r>
    </w:p>
    <w:p>
      <w:pPr>
        <w:pStyle w:val="18"/>
        <w:spacing w:line="624" w:lineRule="exact"/>
        <w:ind w:firstLine="600"/>
        <w:jc w:val="left"/>
        <w:rPr>
          <w:rFonts w:hint="eastAsia" w:ascii="宋体" w:hAnsi="宋体" w:eastAsia="宋体" w:cs="宋体"/>
          <w:sz w:val="28"/>
          <w:szCs w:val="28"/>
          <w:lang w:eastAsia="zh-CN"/>
        </w:rPr>
      </w:pPr>
      <w:r>
        <w:rPr>
          <w:rFonts w:hint="eastAsia" w:ascii="宋体" w:hAnsi="宋体" w:eastAsia="宋体" w:cs="宋体"/>
          <w:sz w:val="28"/>
          <w:szCs w:val="28"/>
          <w:lang w:eastAsia="zh-CN"/>
        </w:rPr>
        <w:t>2.重点项目预算绩效目标说明。</w:t>
      </w:r>
    </w:p>
    <w:p>
      <w:pPr>
        <w:pStyle w:val="18"/>
        <w:spacing w:line="624" w:lineRule="exact"/>
        <w:ind w:firstLine="600"/>
        <w:jc w:val="left"/>
        <w:rPr>
          <w:rFonts w:hint="eastAsia"/>
          <w:highlight w:val="none"/>
          <w:lang w:val="en-US" w:eastAsia="zh-CN"/>
        </w:rPr>
      </w:pPr>
      <w:r>
        <w:rPr>
          <w:rFonts w:hint="eastAsia"/>
          <w:highlight w:val="none"/>
          <w:lang w:val="en-US" w:eastAsia="zh-CN"/>
        </w:rPr>
        <w:t>重点项目一：冷链设备管理和免疫规划工作经费，预算资金37万元，2024年度绩效目标为：保证我县冷链设备满足使用要求及疫苗储存和运输处于全程冷链监控范围，确保疫苗储存和运输管理安全规范，保障免疫规划工作顺利实施。适龄儿童免疫规划疫苗接种率达标。设1条数量指标：适龄儿童建证率≥95%；设1条质量指标：接种门诊规范化建设≥80%；设1条时效指标：2024年达到预期目标；设1条成本指标：项目补助经费=37万元；设1条社会效益指标：减少居民医疗负担效果明显；设1条可持续影响指标：提高居民健康水平效果明显；设1条满意度指标：预防接种儿童家长满意度≥90%。重点项目二：2023年医疗服务与保障能力提升补助资金，预算资金32万元，2024年度绩效目标为：全面提升疾控机构开展传染病监测预警与应急指挥能力、应急队伍建设、各类业务骨干培训等能力建设和人才培养工作。设2条数量指标：应急装备购置完成率≥90%、专业人员培训人数完成率≥90%；设2条质量指标：技术升级和业务保障能力逐步提升、县级基层传染病应急小分队全覆盖；设1条时效指标：项目完成时间2024年12月；设1条成本指标：项目所需资金≥32万元；设2条社会效益指标：完成升级传染病疫情报告网络安全防护条件、逐步增强国家卫生应急队伍应对突发事件能力；设2条可持续影响效益指标：有效提升智慧化监测预警和风险评估能力水平及疾控工作效率；设1条满意度指标：学员培训满意度≥90%。重点项目三：常态化防控及观察点工作经费，预算资金10万元，2024年度绩效目标为：进一步加强常态化防控及提升鑫江医学观察点工作运转能力。设3条数量指标：聘用人员工资发放人数=2人、聘用人员到位率=100%、备维护任务完成率≥85%；设3条质量指标：经费支出合规率、设备维护验收合格率、聘用人员聘用合规率都=100%；设2条时效指标：经费支出及时率、聘用人员工资发放及时率都=100%；设3条成本指标：用人员工资按标准支付、聘用人员月经费标准=3600元、设备维护成本超支率≤0%；设2条社会效益指标：对公共服务水平的改善或提高程度及保障业务工作正常开展的影响或改善程度都有所改善；设1条可持续影响指标：对保障机构持续稳定运转、持续发挥职能的改善或提升程度有所改善；设2条服务对象满意度指标：聘用人员满意度、日常维护后使用者满意度都≥85%。</w:t>
      </w: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eastAsia"/>
          <w:highlight w:val="none"/>
          <w:lang w:val="en-US" w:eastAsia="zh-CN"/>
        </w:rPr>
      </w:pPr>
    </w:p>
    <w:p>
      <w:pPr>
        <w:pStyle w:val="18"/>
        <w:spacing w:line="624" w:lineRule="exact"/>
        <w:ind w:firstLine="600"/>
        <w:jc w:val="left"/>
        <w:rPr>
          <w:rFonts w:hint="default"/>
          <w:highlight w:val="none"/>
          <w:lang w:val="en-US" w:eastAsia="zh-CN"/>
        </w:rPr>
        <w:sectPr>
          <w:headerReference r:id="rId4" w:type="default"/>
          <w:footerReference r:id="rId5" w:type="default"/>
          <w:pgSz w:w="11900" w:h="16840"/>
          <w:pgMar w:top="1440" w:right="1800" w:bottom="1440" w:left="1800" w:header="0" w:footer="3" w:gutter="0"/>
          <w:pgBorders>
            <w:top w:val="none" w:sz="0" w:space="0"/>
            <w:left w:val="none" w:sz="0" w:space="0"/>
            <w:bottom w:val="none" w:sz="0" w:space="0"/>
            <w:right w:val="none" w:sz="0" w:space="0"/>
          </w:pgBorders>
          <w:cols w:space="720" w:num="1"/>
          <w:docGrid w:linePitch="360" w:charSpace="0"/>
        </w:sectPr>
      </w:pPr>
    </w:p>
    <w:bookmarkEnd w:id="10"/>
    <w:bookmarkEnd w:id="11"/>
    <w:bookmarkEnd w:id="12"/>
    <w:p>
      <w:pPr>
        <w:pStyle w:val="12"/>
        <w:keepNext/>
        <w:keepLines/>
        <w:spacing w:after="980"/>
        <w:jc w:val="center"/>
      </w:pPr>
      <w:r>
        <w:t>第</w:t>
      </w:r>
      <w:r>
        <w:rPr>
          <w:rFonts w:hint="eastAsia"/>
          <w:lang w:val="en-US" w:eastAsia="zh-CN"/>
        </w:rPr>
        <w:t>三</w:t>
      </w:r>
      <w:r>
        <w:t>部分</w:t>
      </w:r>
      <w:r>
        <w:rPr>
          <w:rFonts w:hint="eastAsia"/>
          <w:lang w:eastAsia="zh-CN"/>
        </w:rPr>
        <w:t>环江毛南族自治县疾病预防控制中心</w:t>
      </w:r>
      <w:r>
        <w:rPr>
          <w:rFonts w:hint="eastAsia" w:ascii="Times New Roman" w:hAnsi="Times New Roman" w:cs="Times New Roman"/>
          <w:sz w:val="42"/>
          <w:szCs w:val="42"/>
          <w:lang w:eastAsia="zh-CN"/>
        </w:rPr>
        <w:t>2024</w:t>
      </w:r>
      <w:r>
        <w:rPr>
          <w:rFonts w:ascii="Times New Roman" w:hAnsi="Times New Roman" w:cs="Times New Roman"/>
          <w:sz w:val="42"/>
          <w:u w:color="auto"/>
        </w:rPr>
        <w:t>年</w:t>
      </w:r>
      <w:r>
        <w:t>部门预算表</w:t>
      </w:r>
    </w:p>
    <w:p>
      <w:pPr>
        <w:pStyle w:val="22"/>
        <w:keepNext/>
        <w:keepLines/>
        <w:spacing w:after="240"/>
        <w:jc w:val="center"/>
      </w:pPr>
      <w:bookmarkStart w:id="16" w:name="bookmark29"/>
      <w:bookmarkStart w:id="17" w:name="bookmark30"/>
      <w:bookmarkStart w:id="18" w:name="bookmark31"/>
      <w:r>
        <w:t>收支总体情况表</w:t>
      </w:r>
      <w:bookmarkEnd w:id="16"/>
      <w:bookmarkEnd w:id="17"/>
      <w:bookmarkEnd w:id="18"/>
    </w:p>
    <w:tbl>
      <w:tblPr>
        <w:tblStyle w:val="4"/>
        <w:tblW w:w="0" w:type="auto"/>
        <w:tblInd w:w="0" w:type="dxa"/>
        <w:tblLayout w:type="fixed"/>
        <w:tblCellMar>
          <w:top w:w="0" w:type="dxa"/>
          <w:left w:w="10" w:type="dxa"/>
          <w:bottom w:w="0" w:type="dxa"/>
          <w:right w:w="10" w:type="dxa"/>
        </w:tblCellMar>
      </w:tblPr>
      <w:tblGrid>
        <w:gridCol w:w="3339"/>
        <w:gridCol w:w="3760"/>
        <w:gridCol w:w="3542"/>
        <w:gridCol w:w="3571"/>
      </w:tblGrid>
      <w:tr>
        <w:tblPrEx>
          <w:tblCellMar>
            <w:top w:w="0" w:type="dxa"/>
            <w:left w:w="10" w:type="dxa"/>
            <w:bottom w:w="0" w:type="dxa"/>
            <w:right w:w="10" w:type="dxa"/>
          </w:tblCellMar>
        </w:tblPrEx>
        <w:trPr>
          <w:trHeight w:val="331" w:hRule="exact"/>
        </w:trPr>
        <w:tc>
          <w:tcPr>
            <w:tcW w:w="10641" w:type="dxa"/>
            <w:gridSpan w:val="3"/>
            <w:tcBorders>
              <w:bottom w:val="single" w:color="auto" w:sz="4" w:space="0"/>
            </w:tcBorders>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环江毛南族自治县疾病预防控制中心</w:t>
            </w:r>
          </w:p>
        </w:tc>
        <w:tc>
          <w:tcPr>
            <w:tcW w:w="3571" w:type="dxa"/>
            <w:tcBorders>
              <w:bottom w:val="single" w:color="auto" w:sz="4" w:space="0"/>
            </w:tcBorders>
            <w:shd w:val="clear" w:color="auto" w:fill="FFFFFF"/>
          </w:tcPr>
          <w:p>
            <w:pPr>
              <w:pStyle w:val="24"/>
              <w:spacing w:line="240" w:lineRule="auto"/>
              <w:ind w:firstLine="2380" w:firstLineChars="1400"/>
              <w:jc w:val="left"/>
              <w:rPr>
                <w:sz w:val="17"/>
                <w:szCs w:val="17"/>
              </w:rPr>
            </w:pPr>
            <w:r>
              <w:rPr>
                <w:sz w:val="17"/>
                <w:szCs w:val="17"/>
              </w:rPr>
              <w:t>单位：万元</w:t>
            </w:r>
          </w:p>
        </w:tc>
      </w:tr>
      <w:tr>
        <w:tblPrEx>
          <w:tblCellMar>
            <w:top w:w="0" w:type="dxa"/>
            <w:left w:w="10" w:type="dxa"/>
            <w:bottom w:w="0" w:type="dxa"/>
            <w:right w:w="10" w:type="dxa"/>
          </w:tblCellMar>
        </w:tblPrEx>
        <w:trPr>
          <w:trHeight w:val="456" w:hRule="exact"/>
        </w:trPr>
        <w:tc>
          <w:tcPr>
            <w:tcW w:w="709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2890" w:firstLineChars="1700"/>
              <w:jc w:val="both"/>
              <w:rPr>
                <w:sz w:val="17"/>
                <w:szCs w:val="17"/>
              </w:rPr>
            </w:pPr>
            <w:r>
              <w:rPr>
                <w:sz w:val="17"/>
                <w:szCs w:val="17"/>
              </w:rPr>
              <w:t>收入</w:t>
            </w:r>
          </w:p>
        </w:tc>
        <w:tc>
          <w:tcPr>
            <w:tcW w:w="7113"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right="340" w:firstLine="2890" w:firstLineChars="1700"/>
              <w:jc w:val="both"/>
              <w:rPr>
                <w:sz w:val="17"/>
                <w:szCs w:val="17"/>
              </w:rPr>
            </w:pPr>
            <w:r>
              <w:rPr>
                <w:sz w:val="17"/>
                <w:szCs w:val="17"/>
              </w:rPr>
              <w:t>支出</w:t>
            </w:r>
          </w:p>
        </w:tc>
      </w:tr>
      <w:tr>
        <w:tblPrEx>
          <w:tblCellMar>
            <w:top w:w="0" w:type="dxa"/>
            <w:left w:w="10" w:type="dxa"/>
            <w:bottom w:w="0" w:type="dxa"/>
            <w:right w:w="10" w:type="dxa"/>
          </w:tblCellMar>
        </w:tblPrEx>
        <w:trPr>
          <w:trHeight w:val="432"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项目</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tabs>
                <w:tab w:val="left" w:pos="894"/>
              </w:tabs>
              <w:spacing w:line="240" w:lineRule="auto"/>
              <w:jc w:val="left"/>
              <w:rPr>
                <w:sz w:val="17"/>
                <w:szCs w:val="17"/>
              </w:rPr>
            </w:pPr>
            <w:r>
              <w:rPr>
                <w:sz w:val="17"/>
                <w:szCs w:val="17"/>
              </w:rPr>
              <w:t>项</w:t>
            </w:r>
            <w:r>
              <w:rPr>
                <w:sz w:val="17"/>
                <w:szCs w:val="17"/>
              </w:rPr>
              <w:tab/>
            </w:r>
            <w:r>
              <w:rPr>
                <w:sz w:val="17"/>
                <w:szCs w:val="17"/>
              </w:rPr>
              <w:t>目（按支出功能科目分类）</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sz w:val="17"/>
                <w:szCs w:val="17"/>
              </w:rPr>
            </w:pPr>
            <w:r>
              <w:rPr>
                <w:sz w:val="17"/>
                <w:szCs w:val="17"/>
              </w:rPr>
              <w:t>预算数</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一、一般公共预算拨款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799.80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一、一般公共服务支出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7.40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32.00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二、外交支出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767.80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三、国防支出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二、政府性基金预算拨款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四、公共安全支出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五、教育支出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 xml:space="preserve">     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六、科学技术支出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三、国有资本经营预算拨款</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七、文化旅游体育与传媒支出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1、上级补助</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八、社会保障和就业支出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82.61</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2、本级</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九、卫生健康支出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656.56</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四、财政专户管理资金收入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十、节能环保支出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五、事业收入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17.00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十一、城乡社区支出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30.00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六、事业单位经营收入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十二、农林水支出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七、上级补助收入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十三、交通运输支出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八、附属单位上缴收入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十四、资源勘探工业信息等支出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九、其他收入</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十五、商业服务业等支出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十六、金融支出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十七、援助其他地区支出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十八、自然资源海洋气象等支出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十九、住房保障支出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70.23</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二十、粮油物资储备支出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二十一、国有资本经营预算支出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二十二、灾害防治及应急管理支出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二十三、其他支出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二十四、债务还本支出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二十五、债务付息支出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二十六、债务发行费用支出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本年收入合计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846.80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本年支出合计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846.80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上年结转结余</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结转下年支出</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trHeight w:val="451" w:hRule="exact"/>
        </w:trPr>
        <w:tc>
          <w:tcPr>
            <w:tcW w:w="33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收入总计</w:t>
            </w:r>
          </w:p>
        </w:tc>
        <w:tc>
          <w:tcPr>
            <w:tcW w:w="37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846.80</w:t>
            </w:r>
          </w:p>
        </w:tc>
        <w:tc>
          <w:tcPr>
            <w:tcW w:w="354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180"/>
              <w:jc w:val="left"/>
              <w:rPr>
                <w:rFonts w:hint="default" w:eastAsia="宋体"/>
                <w:sz w:val="17"/>
                <w:szCs w:val="17"/>
                <w:lang w:val="en-US" w:eastAsia="zh-CN"/>
              </w:rPr>
            </w:pPr>
            <w:r>
              <w:rPr>
                <w:rFonts w:hint="eastAsia"/>
                <w:sz w:val="17"/>
                <w:szCs w:val="17"/>
                <w:lang w:val="en-US" w:eastAsia="zh-CN"/>
              </w:rPr>
              <w:t>支出总计</w:t>
            </w:r>
          </w:p>
        </w:tc>
        <w:tc>
          <w:tcPr>
            <w:tcW w:w="3571" w:type="dxa"/>
            <w:tcBorders>
              <w:top w:val="single" w:color="auto" w:sz="4" w:space="0"/>
              <w:left w:val="single" w:color="auto" w:sz="4" w:space="0"/>
              <w:bottom w:val="single" w:color="auto" w:sz="4" w:space="0"/>
              <w:right w:val="single" w:color="auto" w:sz="4" w:space="0"/>
            </w:tcBorders>
            <w:shd w:val="clear" w:color="auto" w:fill="auto"/>
            <w:vAlign w:val="center"/>
          </w:tcPr>
          <w:p>
            <w:pPr>
              <w:pStyle w:val="24"/>
              <w:spacing w:line="240" w:lineRule="auto"/>
              <w:ind w:firstLine="0"/>
              <w:jc w:val="left"/>
              <w:rPr>
                <w:rFonts w:hint="default" w:eastAsia="宋体"/>
                <w:sz w:val="17"/>
                <w:szCs w:val="17"/>
                <w:lang w:val="en-US" w:eastAsia="zh-CN"/>
              </w:rPr>
            </w:pPr>
            <w:r>
              <w:rPr>
                <w:rFonts w:hint="eastAsia"/>
                <w:sz w:val="17"/>
                <w:szCs w:val="17"/>
                <w:lang w:val="en-US" w:eastAsia="zh-CN"/>
              </w:rPr>
              <w:t>846.80</w:t>
            </w:r>
          </w:p>
        </w:tc>
      </w:tr>
    </w:tbl>
    <w:p>
      <w:pPr>
        <w:pStyle w:val="26"/>
        <w:ind w:left="101"/>
        <w:jc w:val="left"/>
      </w:pPr>
      <w:r>
        <w:t>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r:id="rId6" w:type="default"/>
          <w:footerReference r:id="rId7" w:type="default"/>
          <w:pgSz w:w="16840" w:h="11900" w:orient="landscape"/>
          <w:pgMar w:top="2397" w:right="761" w:bottom="1966" w:left="739" w:header="0" w:footer="3" w:gutter="0"/>
          <w:pgBorders>
            <w:top w:val="none" w:sz="0" w:space="0"/>
            <w:left w:val="none" w:sz="0" w:space="0"/>
            <w:bottom w:val="none" w:sz="0" w:space="0"/>
            <w:right w:val="none" w:sz="0" w:space="0"/>
          </w:pgBorders>
          <w:cols w:space="720" w:num="1"/>
          <w:docGrid w:linePitch="360" w:charSpace="0"/>
        </w:sectPr>
      </w:pPr>
    </w:p>
    <w:p>
      <w:pPr>
        <w:tabs>
          <w:tab w:val="left" w:pos="859"/>
        </w:tabs>
        <w:jc w:val="left"/>
        <w:rPr>
          <w:rFonts w:eastAsia="宋体"/>
          <w:lang w:eastAsia="zh-CN"/>
        </w:rPr>
      </w:pPr>
    </w:p>
    <w:p>
      <w:pPr>
        <w:tabs>
          <w:tab w:val="left" w:pos="859"/>
        </w:tabs>
        <w:jc w:val="center"/>
        <w:rPr>
          <w:rFonts w:hint="eastAsia" w:eastAsia="宋体"/>
          <w:lang w:val="en-US" w:eastAsia="zh-CN"/>
        </w:rPr>
      </w:pPr>
    </w:p>
    <w:p>
      <w:pPr>
        <w:tabs>
          <w:tab w:val="left" w:pos="859"/>
        </w:tabs>
        <w:jc w:val="center"/>
        <w:rPr>
          <w:rFonts w:hint="eastAsia" w:eastAsia="宋体"/>
          <w:lang w:val="en-US" w:eastAsia="zh-CN"/>
        </w:rPr>
      </w:pPr>
      <w:r>
        <w:rPr>
          <w:rFonts w:hint="eastAsia" w:eastAsia="宋体"/>
          <w:lang w:val="en-US" w:eastAsia="zh-CN"/>
        </w:rPr>
        <w:t>收入总体情况表</w:t>
      </w:r>
    </w:p>
    <w:p>
      <w:pPr>
        <w:tabs>
          <w:tab w:val="left" w:pos="859"/>
        </w:tabs>
        <w:jc w:val="center"/>
        <w:rPr>
          <w:rFonts w:hint="eastAsia" w:eastAsia="宋体"/>
          <w:lang w:val="en-US"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3481" w:type="dxa"/>
            <w:gridSpan w:val="13"/>
            <w:tcBorders>
              <w:top w:val="nil"/>
              <w:left w:val="nil"/>
              <w:right w:val="nil"/>
            </w:tcBorders>
          </w:tcPr>
          <w:p>
            <w:pPr>
              <w:pStyle w:val="26"/>
              <w:jc w:val="both"/>
              <w:rPr>
                <w:rFonts w:hint="eastAsia"/>
                <w:lang w:val="en-US" w:eastAsia="zh-CN"/>
              </w:rPr>
            </w:pPr>
            <w:r>
              <w:rPr>
                <w:sz w:val="17"/>
                <w:szCs w:val="17"/>
              </w:rPr>
              <w:t>单位名称：</w:t>
            </w:r>
            <w:r>
              <w:rPr>
                <w:rFonts w:hint="eastAsia"/>
                <w:sz w:val="17"/>
                <w:szCs w:val="17"/>
                <w:lang w:eastAsia="zh-CN"/>
              </w:rPr>
              <w:t>环江毛南族自治县疾病预防控制中心</w:t>
            </w:r>
            <w:r>
              <w:rPr>
                <w:rFonts w:hint="eastAsia"/>
                <w:lang w:val="en-US" w:eastAsia="zh-CN"/>
              </w:rPr>
              <w:t xml:space="preserve">                                                                                  </w:t>
            </w:r>
          </w:p>
        </w:tc>
        <w:tc>
          <w:tcPr>
            <w:tcW w:w="2076" w:type="dxa"/>
            <w:gridSpan w:val="3"/>
            <w:tcBorders>
              <w:top w:val="nil"/>
              <w:left w:val="nil"/>
              <w:right w:val="nil"/>
            </w:tcBorders>
          </w:tcPr>
          <w:p>
            <w:pPr>
              <w:pStyle w:val="26"/>
              <w:ind w:firstLine="340" w:firstLineChars="200"/>
              <w:jc w:val="left"/>
              <w:rPr>
                <w:rFonts w:hint="eastAsia"/>
                <w:lang w:val="en-US" w:eastAsia="zh-CN"/>
              </w:rPr>
            </w:pPr>
            <w:r>
              <w:rPr>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Merge w:val="restart"/>
          </w:tcPr>
          <w:p>
            <w:pPr>
              <w:tabs>
                <w:tab w:val="left" w:pos="859"/>
              </w:tabs>
              <w:jc w:val="both"/>
              <w:rPr>
                <w:rFonts w:hint="eastAsia" w:eastAsia="宋体"/>
                <w:vertAlign w:val="baseline"/>
                <w:lang w:val="en-US" w:eastAsia="zh-CN"/>
              </w:rPr>
            </w:pPr>
            <w:r>
              <w:rPr>
                <w:sz w:val="17"/>
                <w:szCs w:val="17"/>
              </w:rPr>
              <w:t>部门（单位）代码</w:t>
            </w:r>
          </w:p>
        </w:tc>
        <w:tc>
          <w:tcPr>
            <w:tcW w:w="1279" w:type="dxa"/>
            <w:vMerge w:val="restart"/>
          </w:tcPr>
          <w:p>
            <w:pPr>
              <w:tabs>
                <w:tab w:val="left" w:pos="859"/>
              </w:tabs>
              <w:jc w:val="both"/>
              <w:rPr>
                <w:rFonts w:hint="eastAsia" w:eastAsia="宋体"/>
                <w:vertAlign w:val="baseline"/>
                <w:lang w:val="en-US" w:eastAsia="zh-CN"/>
              </w:rPr>
            </w:pPr>
            <w:r>
              <w:rPr>
                <w:sz w:val="17"/>
                <w:szCs w:val="17"/>
              </w:rPr>
              <w:t>部门（单位）名称</w:t>
            </w:r>
          </w:p>
        </w:tc>
        <w:tc>
          <w:tcPr>
            <w:tcW w:w="990" w:type="dxa"/>
            <w:vMerge w:val="restart"/>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合</w:t>
            </w:r>
            <w:r>
              <w:rPr>
                <w:sz w:val="17"/>
                <w:szCs w:val="17"/>
              </w:rPr>
              <w:t>计</w:t>
            </w:r>
          </w:p>
        </w:tc>
        <w:tc>
          <w:tcPr>
            <w:tcW w:w="4871" w:type="dxa"/>
            <w:gridSpan w:val="5"/>
          </w:tcPr>
          <w:p>
            <w:pPr>
              <w:tabs>
                <w:tab w:val="left" w:pos="859"/>
              </w:tabs>
              <w:jc w:val="both"/>
              <w:rPr>
                <w:rFonts w:hint="eastAsia" w:eastAsia="宋体"/>
                <w:vertAlign w:val="baseline"/>
                <w:lang w:val="en-US" w:eastAsia="zh-CN"/>
              </w:rPr>
            </w:pPr>
            <w:r>
              <w:rPr>
                <w:sz w:val="17"/>
                <w:szCs w:val="17"/>
              </w:rPr>
              <w:t>本年收入</w:t>
            </w:r>
          </w:p>
        </w:tc>
        <w:tc>
          <w:tcPr>
            <w:tcW w:w="6781" w:type="dxa"/>
            <w:gridSpan w:val="8"/>
          </w:tcPr>
          <w:p>
            <w:pPr>
              <w:tabs>
                <w:tab w:val="left" w:pos="859"/>
              </w:tabs>
              <w:jc w:val="both"/>
              <w:rPr>
                <w:rFonts w:hint="eastAsia" w:eastAsia="宋体"/>
                <w:vertAlign w:val="baseline"/>
                <w:lang w:val="en-US" w:eastAsia="zh-CN"/>
              </w:rPr>
            </w:pPr>
            <w:r>
              <w:rPr>
                <w:sz w:val="17"/>
                <w:szCs w:val="17"/>
              </w:rPr>
              <w:t>上年结转结余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trPr>
        <w:tc>
          <w:tcPr>
            <w:tcW w:w="1636" w:type="dxa"/>
            <w:vMerge w:val="continue"/>
          </w:tcPr>
          <w:p>
            <w:pPr>
              <w:tabs>
                <w:tab w:val="left" w:pos="859"/>
              </w:tabs>
              <w:jc w:val="both"/>
              <w:rPr>
                <w:rFonts w:hint="eastAsia" w:eastAsia="宋体"/>
                <w:vertAlign w:val="baseline"/>
                <w:lang w:val="en-US" w:eastAsia="zh-CN"/>
              </w:rPr>
            </w:pPr>
          </w:p>
        </w:tc>
        <w:tc>
          <w:tcPr>
            <w:tcW w:w="1279" w:type="dxa"/>
            <w:vMerge w:val="continue"/>
          </w:tcPr>
          <w:p>
            <w:pPr>
              <w:tabs>
                <w:tab w:val="left" w:pos="859"/>
              </w:tabs>
              <w:jc w:val="both"/>
              <w:rPr>
                <w:rFonts w:hint="eastAsia" w:eastAsia="宋体"/>
                <w:vertAlign w:val="baseline"/>
                <w:lang w:val="en-US" w:eastAsia="zh-CN"/>
              </w:rPr>
            </w:pPr>
          </w:p>
        </w:tc>
        <w:tc>
          <w:tcPr>
            <w:tcW w:w="990" w:type="dxa"/>
            <w:vMerge w:val="continue"/>
            <w:vAlign w:val="center"/>
          </w:tcPr>
          <w:p>
            <w:pPr>
              <w:pStyle w:val="24"/>
              <w:spacing w:line="240" w:lineRule="auto"/>
              <w:ind w:firstLine="300" w:firstLineChars="0"/>
              <w:jc w:val="left"/>
              <w:rPr>
                <w:rFonts w:hint="eastAsia" w:eastAsia="宋体"/>
                <w:vertAlign w:val="baseline"/>
                <w:lang w:val="en-US" w:eastAsia="zh-CN"/>
              </w:rPr>
            </w:pP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90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116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3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44" w:type="dxa"/>
          </w:tcPr>
          <w:p>
            <w:pPr>
              <w:pStyle w:val="24"/>
              <w:spacing w:line="312" w:lineRule="exact"/>
              <w:ind w:firstLine="0"/>
              <w:jc w:val="left"/>
              <w:rPr>
                <w:sz w:val="17"/>
                <w:szCs w:val="17"/>
              </w:rPr>
            </w:pPr>
            <w:r>
              <w:rPr>
                <w:sz w:val="17"/>
                <w:szCs w:val="17"/>
              </w:rPr>
              <w:t>财政专户管理资金</w:t>
            </w:r>
          </w:p>
          <w:p>
            <w:pPr>
              <w:pStyle w:val="24"/>
              <w:spacing w:line="312" w:lineRule="exact"/>
              <w:ind w:firstLine="0" w:firstLineChars="0"/>
              <w:jc w:val="left"/>
              <w:rPr>
                <w:rFonts w:hint="eastAsia" w:eastAsia="宋体"/>
                <w:vertAlign w:val="baseline"/>
                <w:lang w:val="en-US" w:eastAsia="zh-CN"/>
              </w:rPr>
            </w:pPr>
            <w:r>
              <w:rPr>
                <w:sz w:val="17"/>
                <w:szCs w:val="17"/>
              </w:rPr>
              <w:t>收入</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sz w:val="17"/>
                <w:szCs w:val="17"/>
              </w:rPr>
              <w:t>单位资金</w:t>
            </w:r>
          </w:p>
        </w:tc>
        <w:tc>
          <w:tcPr>
            <w:tcW w:w="1035" w:type="dxa"/>
            <w:vAlign w:val="center"/>
          </w:tcPr>
          <w:p>
            <w:pPr>
              <w:pStyle w:val="24"/>
              <w:spacing w:line="240" w:lineRule="auto"/>
              <w:ind w:firstLine="300" w:firstLineChars="0"/>
              <w:jc w:val="left"/>
              <w:rPr>
                <w:rFonts w:hint="eastAsia" w:eastAsia="宋体"/>
                <w:vertAlign w:val="baseline"/>
                <w:lang w:val="en-US" w:eastAsia="zh-CN"/>
              </w:rPr>
            </w:pPr>
            <w:r>
              <w:rPr>
                <w:sz w:val="17"/>
                <w:szCs w:val="17"/>
              </w:rPr>
              <w:t>小计</w:t>
            </w:r>
          </w:p>
        </w:tc>
        <w:tc>
          <w:tcPr>
            <w:tcW w:w="1011"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一般公共预算</w:t>
            </w:r>
          </w:p>
        </w:tc>
        <w:tc>
          <w:tcPr>
            <w:tcW w:w="859" w:type="dxa"/>
            <w:vAlign w:val="center"/>
          </w:tcPr>
          <w:p>
            <w:pPr>
              <w:pStyle w:val="24"/>
              <w:spacing w:line="317" w:lineRule="exact"/>
              <w:ind w:firstLine="0" w:firstLineChars="0"/>
              <w:jc w:val="left"/>
              <w:rPr>
                <w:rFonts w:hint="eastAsia" w:eastAsia="宋体"/>
                <w:vertAlign w:val="baseline"/>
                <w:lang w:val="en-US" w:eastAsia="zh-CN"/>
              </w:rPr>
            </w:pPr>
            <w:r>
              <w:rPr>
                <w:sz w:val="17"/>
                <w:szCs w:val="17"/>
              </w:rPr>
              <w:t>政府性基金预算</w:t>
            </w:r>
          </w:p>
        </w:tc>
        <w:tc>
          <w:tcPr>
            <w:tcW w:w="1094" w:type="dxa"/>
            <w:gridSpan w:val="2"/>
            <w:vAlign w:val="center"/>
          </w:tcPr>
          <w:p>
            <w:pPr>
              <w:pStyle w:val="24"/>
              <w:spacing w:line="317" w:lineRule="exact"/>
              <w:ind w:firstLine="0" w:firstLineChars="0"/>
              <w:jc w:val="left"/>
              <w:rPr>
                <w:rFonts w:hint="eastAsia" w:eastAsia="宋体"/>
                <w:vertAlign w:val="baseline"/>
                <w:lang w:val="en-US" w:eastAsia="zh-CN"/>
              </w:rPr>
            </w:pPr>
            <w:r>
              <w:rPr>
                <w:sz w:val="17"/>
                <w:szCs w:val="17"/>
              </w:rPr>
              <w:t>国有资本经营预算</w:t>
            </w:r>
          </w:p>
        </w:tc>
        <w:tc>
          <w:tcPr>
            <w:tcW w:w="872" w:type="dxa"/>
          </w:tcPr>
          <w:p>
            <w:pPr>
              <w:pStyle w:val="24"/>
              <w:spacing w:line="312" w:lineRule="exact"/>
              <w:ind w:firstLine="0"/>
              <w:jc w:val="left"/>
              <w:rPr>
                <w:sz w:val="17"/>
                <w:szCs w:val="17"/>
              </w:rPr>
            </w:pPr>
            <w:r>
              <w:rPr>
                <w:sz w:val="17"/>
                <w:szCs w:val="17"/>
              </w:rPr>
              <w:t>财政专户管理资金</w:t>
            </w:r>
          </w:p>
          <w:p>
            <w:pPr>
              <w:pStyle w:val="24"/>
              <w:spacing w:line="312" w:lineRule="exact"/>
              <w:ind w:right="280" w:rightChars="0" w:firstLine="0" w:firstLineChars="0"/>
              <w:jc w:val="left"/>
              <w:rPr>
                <w:rFonts w:hint="eastAsia" w:eastAsia="宋体"/>
                <w:vertAlign w:val="baseline"/>
                <w:lang w:val="en-US" w:eastAsia="zh-CN"/>
              </w:rPr>
            </w:pPr>
            <w:r>
              <w:rPr>
                <w:sz w:val="17"/>
                <w:szCs w:val="17"/>
              </w:rPr>
              <w:t>收入</w:t>
            </w:r>
          </w:p>
        </w:tc>
        <w:tc>
          <w:tcPr>
            <w:tcW w:w="1054" w:type="dxa"/>
            <w:vAlign w:val="center"/>
          </w:tcPr>
          <w:p>
            <w:pPr>
              <w:pStyle w:val="24"/>
              <w:spacing w:line="240" w:lineRule="auto"/>
              <w:ind w:firstLine="140" w:firstLineChars="0"/>
              <w:jc w:val="left"/>
              <w:rPr>
                <w:rFonts w:hint="eastAsia" w:eastAsia="宋体"/>
                <w:vertAlign w:val="baseline"/>
                <w:lang w:val="en-US" w:eastAsia="zh-CN"/>
              </w:rPr>
            </w:pPr>
            <w:r>
              <w:rPr>
                <w:sz w:val="17"/>
                <w:szCs w:val="17"/>
              </w:rPr>
              <w:t>单位资金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tcPr>
          <w:p>
            <w:pPr>
              <w:tabs>
                <w:tab w:val="left" w:pos="859"/>
              </w:tabs>
              <w:jc w:val="both"/>
              <w:rPr>
                <w:rFonts w:hint="eastAsia" w:eastAsia="宋体"/>
                <w:vertAlign w:val="baseline"/>
                <w:lang w:val="en-US" w:eastAsia="zh-CN"/>
              </w:rPr>
            </w:pPr>
          </w:p>
        </w:tc>
        <w:tc>
          <w:tcPr>
            <w:tcW w:w="1279" w:type="dxa"/>
          </w:tcPr>
          <w:p>
            <w:pPr>
              <w:tabs>
                <w:tab w:val="left" w:pos="859"/>
              </w:tabs>
              <w:jc w:val="both"/>
              <w:rPr>
                <w:rFonts w:hint="eastAsia" w:eastAsia="宋体"/>
                <w:vertAlign w:val="baseline"/>
                <w:lang w:val="en-US" w:eastAsia="zh-CN"/>
              </w:rPr>
            </w:pPr>
          </w:p>
        </w:tc>
        <w:tc>
          <w:tcPr>
            <w:tcW w:w="990"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w:t>
            </w:r>
          </w:p>
        </w:tc>
        <w:tc>
          <w:tcPr>
            <w:tcW w:w="926"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2</w:t>
            </w:r>
          </w:p>
        </w:tc>
        <w:tc>
          <w:tcPr>
            <w:tcW w:w="90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3</w:t>
            </w:r>
          </w:p>
        </w:tc>
        <w:tc>
          <w:tcPr>
            <w:tcW w:w="1161"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4</w:t>
            </w:r>
          </w:p>
        </w:tc>
        <w:tc>
          <w:tcPr>
            <w:tcW w:w="103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5</w:t>
            </w:r>
          </w:p>
        </w:tc>
        <w:tc>
          <w:tcPr>
            <w:tcW w:w="844"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6</w:t>
            </w:r>
          </w:p>
        </w:tc>
        <w:tc>
          <w:tcPr>
            <w:tcW w:w="856"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7</w:t>
            </w:r>
          </w:p>
        </w:tc>
        <w:tc>
          <w:tcPr>
            <w:tcW w:w="1035" w:type="dxa"/>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8</w:t>
            </w:r>
          </w:p>
        </w:tc>
        <w:tc>
          <w:tcPr>
            <w:tcW w:w="1011" w:type="dxa"/>
            <w:vAlign w:val="center"/>
          </w:tcPr>
          <w:p>
            <w:pPr>
              <w:pStyle w:val="24"/>
              <w:spacing w:line="240" w:lineRule="auto"/>
              <w:ind w:firstLine="42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9</w:t>
            </w:r>
          </w:p>
        </w:tc>
        <w:tc>
          <w:tcPr>
            <w:tcW w:w="859" w:type="dxa"/>
            <w:vAlign w:val="center"/>
          </w:tcPr>
          <w:p>
            <w:pPr>
              <w:pStyle w:val="24"/>
              <w:spacing w:line="240" w:lineRule="auto"/>
              <w:ind w:right="36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10</w:t>
            </w:r>
          </w:p>
        </w:tc>
        <w:tc>
          <w:tcPr>
            <w:tcW w:w="1094" w:type="dxa"/>
            <w:gridSpan w:val="2"/>
            <w:vAlign w:val="center"/>
          </w:tcPr>
          <w:p>
            <w:pPr>
              <w:pStyle w:val="24"/>
              <w:spacing w:line="240" w:lineRule="auto"/>
              <w:ind w:firstLine="44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11</w:t>
            </w:r>
          </w:p>
        </w:tc>
        <w:tc>
          <w:tcPr>
            <w:tcW w:w="872" w:type="dxa"/>
            <w:vAlign w:val="center"/>
          </w:tcPr>
          <w:p>
            <w:pPr>
              <w:pStyle w:val="24"/>
              <w:spacing w:line="240" w:lineRule="auto"/>
              <w:ind w:right="38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12</w:t>
            </w:r>
          </w:p>
        </w:tc>
        <w:tc>
          <w:tcPr>
            <w:tcW w:w="1054" w:type="dxa"/>
            <w:vAlign w:val="center"/>
          </w:tcPr>
          <w:p>
            <w:pPr>
              <w:pStyle w:val="24"/>
              <w:spacing w:line="240" w:lineRule="auto"/>
              <w:ind w:right="420" w:rightChars="0"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 xml:space="preserve"> </w:t>
            </w:r>
          </w:p>
        </w:tc>
        <w:tc>
          <w:tcPr>
            <w:tcW w:w="1279" w:type="dxa"/>
          </w:tcPr>
          <w:p>
            <w:pPr>
              <w:pStyle w:val="24"/>
              <w:spacing w:line="326" w:lineRule="exact"/>
              <w:ind w:firstLine="0" w:firstLineChars="0"/>
              <w:jc w:val="left"/>
              <w:rPr>
                <w:rFonts w:hint="eastAsia" w:eastAsia="宋体"/>
                <w:vertAlign w:val="baseline"/>
                <w:lang w:val="en-US" w:eastAsia="zh-CN"/>
              </w:rPr>
            </w:pPr>
            <w:r>
              <w:rPr>
                <w:rFonts w:hint="eastAsia"/>
                <w:sz w:val="17"/>
                <w:szCs w:val="17"/>
                <w:lang w:val="en-US" w:eastAsia="zh-CN"/>
              </w:rPr>
              <w:t>合计</w:t>
            </w: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846.80</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846.80</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799.80</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30.00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17.00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3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rPr>
              <w:t>402003</w:t>
            </w:r>
          </w:p>
        </w:tc>
        <w:tc>
          <w:tcPr>
            <w:tcW w:w="1279" w:type="dxa"/>
          </w:tcPr>
          <w:p>
            <w:pPr>
              <w:pStyle w:val="24"/>
              <w:spacing w:line="326" w:lineRule="exact"/>
              <w:ind w:firstLine="0" w:firstLineChars="0"/>
              <w:jc w:val="left"/>
              <w:rPr>
                <w:rFonts w:hint="eastAsia" w:eastAsia="宋体"/>
                <w:vertAlign w:val="baseline"/>
                <w:lang w:val="en-US" w:eastAsia="zh-CN"/>
              </w:rPr>
            </w:pPr>
          </w:p>
        </w:tc>
        <w:tc>
          <w:tcPr>
            <w:tcW w:w="990"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846.80</w:t>
            </w:r>
          </w:p>
        </w:tc>
        <w:tc>
          <w:tcPr>
            <w:tcW w:w="926" w:type="dxa"/>
            <w:vAlign w:val="center"/>
          </w:tcPr>
          <w:p>
            <w:pPr>
              <w:pStyle w:val="24"/>
              <w:spacing w:line="240" w:lineRule="auto"/>
              <w:ind w:firstLine="300" w:firstLineChars="0"/>
              <w:jc w:val="left"/>
              <w:rPr>
                <w:rFonts w:hint="eastAsia" w:eastAsia="宋体"/>
                <w:vertAlign w:val="baseline"/>
                <w:lang w:val="en-US" w:eastAsia="zh-CN"/>
              </w:rPr>
            </w:pPr>
            <w:r>
              <w:rPr>
                <w:rFonts w:hint="eastAsia"/>
                <w:sz w:val="17"/>
                <w:szCs w:val="17"/>
                <w:lang w:val="en-US" w:eastAsia="zh-CN"/>
              </w:rPr>
              <w:t>846.80</w:t>
            </w:r>
          </w:p>
        </w:tc>
        <w:tc>
          <w:tcPr>
            <w:tcW w:w="909" w:type="dxa"/>
            <w:vAlign w:val="center"/>
          </w:tcPr>
          <w:p>
            <w:pPr>
              <w:pStyle w:val="24"/>
              <w:spacing w:line="240" w:lineRule="auto"/>
              <w:ind w:firstLine="2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799.80</w:t>
            </w:r>
          </w:p>
        </w:tc>
        <w:tc>
          <w:tcPr>
            <w:tcW w:w="1161" w:type="dxa"/>
            <w:vAlign w:val="center"/>
          </w:tcPr>
          <w:p>
            <w:pPr>
              <w:pStyle w:val="24"/>
              <w:spacing w:line="240" w:lineRule="auto"/>
              <w:ind w:firstLine="520" w:firstLineChars="0"/>
              <w:jc w:val="left"/>
              <w:rPr>
                <w:rFonts w:hint="eastAsia" w:eastAsia="宋体"/>
                <w:vertAlign w:val="baseline"/>
                <w:lang w:val="en-US" w:eastAsia="zh-CN"/>
              </w:rPr>
            </w:pPr>
            <w:r>
              <w:rPr>
                <w:rFonts w:hint="eastAsia"/>
                <w:sz w:val="17"/>
                <w:szCs w:val="17"/>
                <w:lang w:val="en-US" w:eastAsia="zh-CN"/>
              </w:rPr>
              <w:t>30.00</w:t>
            </w:r>
          </w:p>
        </w:tc>
        <w:tc>
          <w:tcPr>
            <w:tcW w:w="1031" w:type="dxa"/>
            <w:vAlign w:val="center"/>
          </w:tcPr>
          <w:p>
            <w:pPr>
              <w:pStyle w:val="24"/>
              <w:spacing w:line="240" w:lineRule="auto"/>
              <w:ind w:firstLine="48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44"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0.00</w:t>
            </w:r>
          </w:p>
        </w:tc>
        <w:tc>
          <w:tcPr>
            <w:tcW w:w="856" w:type="dxa"/>
            <w:vAlign w:val="center"/>
          </w:tcPr>
          <w:p>
            <w:pPr>
              <w:pStyle w:val="24"/>
              <w:spacing w:line="240" w:lineRule="auto"/>
              <w:ind w:firstLine="0" w:firstLineChars="0"/>
              <w:jc w:val="left"/>
              <w:rPr>
                <w:rFonts w:hint="eastAsia" w:eastAsia="宋体"/>
                <w:vertAlign w:val="baseline"/>
                <w:lang w:val="en-US" w:eastAsia="zh-CN"/>
              </w:rPr>
            </w:pPr>
            <w:r>
              <w:rPr>
                <w:rFonts w:hint="eastAsia" w:ascii="Times New Roman" w:hAnsi="Times New Roman" w:cs="Times New Roman"/>
                <w:b/>
                <w:bCs/>
                <w:sz w:val="17"/>
                <w:szCs w:val="17"/>
                <w:lang w:val="en-US" w:eastAsia="zh-CN" w:bidi="en-US"/>
              </w:rPr>
              <w:t>17.00</w:t>
            </w:r>
          </w:p>
        </w:tc>
        <w:tc>
          <w:tcPr>
            <w:tcW w:w="1035" w:type="dxa"/>
            <w:vAlign w:val="center"/>
          </w:tcPr>
          <w:p>
            <w:pPr>
              <w:pStyle w:val="24"/>
              <w:spacing w:line="240" w:lineRule="auto"/>
              <w:ind w:firstLine="52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11" w:type="dxa"/>
            <w:vAlign w:val="center"/>
          </w:tcPr>
          <w:p>
            <w:pPr>
              <w:pStyle w:val="24"/>
              <w:spacing w:line="240" w:lineRule="auto"/>
              <w:ind w:firstLine="4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59"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94" w:type="dxa"/>
            <w:gridSpan w:val="2"/>
            <w:vAlign w:val="center"/>
          </w:tcPr>
          <w:p>
            <w:pPr>
              <w:pStyle w:val="24"/>
              <w:spacing w:line="240" w:lineRule="auto"/>
              <w:ind w:firstLine="58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872" w:type="dxa"/>
            <w:vAlign w:val="center"/>
          </w:tcPr>
          <w:p>
            <w:pPr>
              <w:pStyle w:val="24"/>
              <w:spacing w:line="240" w:lineRule="auto"/>
              <w:ind w:firstLine="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1054" w:type="dxa"/>
            <w:vAlign w:val="center"/>
          </w:tcPr>
          <w:p>
            <w:pPr>
              <w:pStyle w:val="24"/>
              <w:spacing w:line="240" w:lineRule="auto"/>
              <w:ind w:firstLine="540" w:firstLineChars="0"/>
              <w:jc w:val="left"/>
              <w:rPr>
                <w:rFonts w:hint="eastAsia" w:eastAsia="宋体"/>
                <w:vertAlign w:val="baseline"/>
                <w:lang w:val="en-US" w:eastAsia="zh-CN"/>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6"/>
            <w:tcBorders>
              <w:left w:val="nil"/>
              <w:bottom w:val="nil"/>
              <w:right w:val="nil"/>
            </w:tcBorders>
          </w:tcPr>
          <w:p>
            <w:pPr>
              <w:pStyle w:val="26"/>
              <w:jc w:val="left"/>
              <w:rPr>
                <w:rFonts w:hint="eastAsia" w:eastAsia="宋体"/>
                <w:vertAlign w:val="baseline"/>
                <w:lang w:val="en-US" w:eastAsia="zh-CN"/>
              </w:rPr>
            </w:pPr>
            <w:r>
              <w:t>注：本报表金额单位转换时可能存在四舍五入尾数误差。</w:t>
            </w:r>
          </w:p>
        </w:tc>
      </w:tr>
    </w:tbl>
    <w:p>
      <w:pPr>
        <w:tabs>
          <w:tab w:val="left" w:pos="859"/>
        </w:tabs>
        <w:jc w:val="both"/>
        <w:rPr>
          <w:rFonts w:hint="eastAsia" w:eastAsia="宋体"/>
          <w:lang w:val="en-US" w:eastAsia="zh-CN"/>
        </w:rPr>
      </w:pPr>
    </w:p>
    <w:p>
      <w:pPr>
        <w:tabs>
          <w:tab w:val="left" w:pos="859"/>
        </w:tabs>
        <w:jc w:val="center"/>
        <w:rPr>
          <w:rFonts w:hint="eastAsia" w:eastAsia="宋体"/>
          <w:lang w:val="en-US" w:eastAsia="zh-CN"/>
        </w:rPr>
      </w:pPr>
    </w:p>
    <w:p>
      <w:pPr>
        <w:tabs>
          <w:tab w:val="left" w:pos="859"/>
        </w:tabs>
        <w:jc w:val="both"/>
        <w:rPr>
          <w:rFonts w:hint="eastAsia" w:eastAsia="宋体"/>
          <w:lang w:val="en-US" w:eastAsia="zh-CN"/>
        </w:rPr>
      </w:pPr>
    </w:p>
    <w:p>
      <w:pPr>
        <w:spacing w:line="1" w:lineRule="exact"/>
        <w:jc w:val="left"/>
        <w:rPr>
          <w:lang w:eastAsia="zh-CN"/>
        </w:rPr>
        <w:sectPr>
          <w:headerReference r:id="rId8" w:type="default"/>
          <w:footerReference r:id="rId9" w:type="default"/>
          <w:pgSz w:w="16840" w:h="11900" w:orient="landscape"/>
          <w:pgMar w:top="2709" w:right="764" w:bottom="2709" w:left="735" w:header="2281" w:footer="3" w:gutter="0"/>
          <w:pgBorders>
            <w:top w:val="none" w:sz="0" w:space="0"/>
            <w:left w:val="none" w:sz="0" w:space="0"/>
            <w:bottom w:val="none" w:sz="0" w:space="0"/>
            <w:right w:val="none" w:sz="0" w:space="0"/>
          </w:pgBorders>
          <w:cols w:space="720" w:num="1"/>
          <w:docGrid w:linePitch="360" w:charSpace="0"/>
        </w:sectPr>
      </w:pPr>
    </w:p>
    <w:p>
      <w:pPr>
        <w:pStyle w:val="22"/>
        <w:keepNext/>
        <w:keepLines/>
        <w:spacing w:after="240"/>
        <w:jc w:val="center"/>
      </w:pPr>
      <w:bookmarkStart w:id="19" w:name="bookmark41"/>
      <w:bookmarkStart w:id="20" w:name="bookmark42"/>
      <w:bookmarkStart w:id="21" w:name="bookmark43"/>
      <w:r>
        <w:t>支出总体情况表</w:t>
      </w:r>
      <w:bookmarkEnd w:id="19"/>
      <w:bookmarkEnd w:id="20"/>
      <w:bookmarkEnd w:id="21"/>
    </w:p>
    <w:tbl>
      <w:tblPr>
        <w:tblStyle w:val="4"/>
        <w:tblW w:w="0" w:type="auto"/>
        <w:tblInd w:w="0" w:type="dxa"/>
        <w:tblLayout w:type="fixed"/>
        <w:tblCellMar>
          <w:top w:w="0" w:type="dxa"/>
          <w:left w:w="10" w:type="dxa"/>
          <w:bottom w:w="0" w:type="dxa"/>
          <w:right w:w="10" w:type="dxa"/>
        </w:tblCellMar>
      </w:tblPr>
      <w:tblGrid>
        <w:gridCol w:w="1843"/>
        <w:gridCol w:w="1934"/>
        <w:gridCol w:w="2390"/>
        <w:gridCol w:w="2280"/>
        <w:gridCol w:w="2299"/>
        <w:gridCol w:w="2222"/>
        <w:gridCol w:w="2371"/>
      </w:tblGrid>
      <w:tr>
        <w:tblPrEx>
          <w:tblCellMar>
            <w:top w:w="0" w:type="dxa"/>
            <w:left w:w="10" w:type="dxa"/>
            <w:bottom w:w="0" w:type="dxa"/>
            <w:right w:w="10" w:type="dxa"/>
          </w:tblCellMar>
        </w:tblPrEx>
        <w:trPr>
          <w:trHeight w:val="346" w:hRule="exact"/>
        </w:trPr>
        <w:tc>
          <w:tcPr>
            <w:tcW w:w="12968" w:type="dxa"/>
            <w:gridSpan w:val="6"/>
            <w:shd w:val="clear" w:color="auto" w:fill="FFFFFF"/>
          </w:tcPr>
          <w:p>
            <w:pPr>
              <w:pStyle w:val="24"/>
              <w:spacing w:line="240" w:lineRule="auto"/>
              <w:ind w:firstLine="0"/>
              <w:jc w:val="left"/>
              <w:rPr>
                <w:sz w:val="17"/>
                <w:szCs w:val="17"/>
              </w:rPr>
            </w:pPr>
            <w:r>
              <w:rPr>
                <w:sz w:val="17"/>
                <w:szCs w:val="17"/>
              </w:rPr>
              <w:t>单位名称：</w:t>
            </w:r>
            <w:r>
              <w:rPr>
                <w:rFonts w:hint="eastAsia"/>
                <w:sz w:val="17"/>
                <w:szCs w:val="17"/>
                <w:lang w:eastAsia="zh-CN"/>
              </w:rPr>
              <w:t>环江毛南族自治县疾病预防控制中心</w:t>
            </w:r>
          </w:p>
        </w:tc>
        <w:tc>
          <w:tcPr>
            <w:tcW w:w="2371" w:type="dxa"/>
            <w:shd w:val="clear" w:color="auto" w:fill="FFFFFF"/>
          </w:tcPr>
          <w:p>
            <w:pPr>
              <w:pStyle w:val="24"/>
              <w:spacing w:line="240" w:lineRule="auto"/>
              <w:ind w:firstLine="1190" w:firstLineChars="700"/>
              <w:jc w:val="left"/>
              <w:rPr>
                <w:sz w:val="17"/>
                <w:szCs w:val="17"/>
              </w:rPr>
            </w:pPr>
            <w:r>
              <w:rPr>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科目编码</w:t>
            </w:r>
          </w:p>
        </w:tc>
        <w:tc>
          <w:tcPr>
            <w:tcW w:w="1934"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left"/>
              <w:rPr>
                <w:sz w:val="17"/>
                <w:szCs w:val="17"/>
              </w:rPr>
            </w:pPr>
            <w:r>
              <w:rPr>
                <w:sz w:val="17"/>
                <w:szCs w:val="17"/>
              </w:rPr>
              <w:t>部门（单位）代码</w:t>
            </w:r>
          </w:p>
        </w:tc>
        <w:tc>
          <w:tcPr>
            <w:tcW w:w="2390" w:type="dxa"/>
            <w:tcBorders>
              <w:top w:val="single" w:color="auto" w:sz="4" w:space="0"/>
              <w:left w:val="single" w:color="auto" w:sz="4" w:space="0"/>
              <w:bottom w:val="single" w:color="auto" w:sz="4" w:space="0"/>
            </w:tcBorders>
            <w:shd w:val="clear" w:color="auto" w:fill="FFFFFF"/>
            <w:vAlign w:val="center"/>
          </w:tcPr>
          <w:p>
            <w:pPr>
              <w:pStyle w:val="24"/>
              <w:spacing w:after="120" w:line="240" w:lineRule="auto"/>
              <w:ind w:firstLine="0"/>
              <w:jc w:val="left"/>
              <w:rPr>
                <w:sz w:val="17"/>
                <w:szCs w:val="17"/>
              </w:rPr>
            </w:pPr>
            <w:r>
              <w:rPr>
                <w:sz w:val="17"/>
                <w:szCs w:val="17"/>
              </w:rPr>
              <w:t>部门（单位）名称</w:t>
            </w:r>
          </w:p>
          <w:p>
            <w:pPr>
              <w:pStyle w:val="24"/>
              <w:spacing w:line="240" w:lineRule="auto"/>
              <w:ind w:firstLine="0"/>
              <w:jc w:val="left"/>
              <w:rPr>
                <w:sz w:val="17"/>
                <w:szCs w:val="17"/>
              </w:rPr>
            </w:pPr>
            <w:r>
              <w:rPr>
                <w:sz w:val="17"/>
                <w:szCs w:val="17"/>
              </w:rPr>
              <w:t>（功能分类科目名称）</w:t>
            </w:r>
          </w:p>
        </w:tc>
        <w:tc>
          <w:tcPr>
            <w:tcW w:w="228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合计</w:t>
            </w:r>
          </w:p>
        </w:tc>
        <w:tc>
          <w:tcPr>
            <w:tcW w:w="229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基本支出</w:t>
            </w:r>
          </w:p>
        </w:tc>
        <w:tc>
          <w:tcPr>
            <w:tcW w:w="2222"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left"/>
              <w:rPr>
                <w:sz w:val="17"/>
                <w:szCs w:val="17"/>
              </w:rPr>
            </w:pPr>
            <w:r>
              <w:rPr>
                <w:sz w:val="17"/>
                <w:szCs w:val="17"/>
              </w:rPr>
              <w:t>项目支出</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sz w:val="17"/>
                <w:szCs w:val="17"/>
              </w:rPr>
            </w:pPr>
            <w:r>
              <w:rPr>
                <w:sz w:val="17"/>
                <w:szCs w:val="17"/>
              </w:rPr>
              <w:t>结转下年支出</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 xml:space="preserve"> </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合计</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846.80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720.62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126.18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402003</w:t>
            </w: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846.80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720.62</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126.18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2012999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其他群众团体事务支出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7.40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7.40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2080505</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机关事业单位基本养老保险缴费支出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82.61</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82.61</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2100401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疾病预防控制机构</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624.56</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560.38</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64.18</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2109999</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其他卫生健康支出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32.00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32.00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2121903</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城市建设支出</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30.00</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30.00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2210201</w:t>
            </w:r>
          </w:p>
        </w:tc>
        <w:tc>
          <w:tcPr>
            <w:tcW w:w="1934"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default" w:ascii="Times New Roman" w:hAnsi="Times New Roman" w:eastAsia="Times New Roman" w:cs="Times New Roman"/>
                <w:b/>
                <w:bCs/>
                <w:sz w:val="17"/>
                <w:szCs w:val="17"/>
                <w:lang w:val="en-US" w:eastAsia="zh-CN"/>
              </w:rPr>
            </w:pPr>
          </w:p>
        </w:tc>
        <w:tc>
          <w:tcPr>
            <w:tcW w:w="239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住房公积金</w:t>
            </w:r>
          </w:p>
        </w:tc>
        <w:tc>
          <w:tcPr>
            <w:tcW w:w="228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70.23</w:t>
            </w:r>
          </w:p>
        </w:tc>
        <w:tc>
          <w:tcPr>
            <w:tcW w:w="2299"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70.23</w:t>
            </w:r>
          </w:p>
        </w:tc>
        <w:tc>
          <w:tcPr>
            <w:tcW w:w="2222"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0.00</w:t>
            </w:r>
          </w:p>
        </w:tc>
        <w:tc>
          <w:tcPr>
            <w:tcW w:w="237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default" w:ascii="Times New Roman" w:hAnsi="Times New Roman" w:eastAsia="Times New Roman" w:cs="Times New Roman"/>
                <w:b/>
                <w:bCs/>
                <w:sz w:val="17"/>
                <w:szCs w:val="17"/>
                <w:lang w:val="en-US" w:eastAsia="zh-CN"/>
              </w:rPr>
            </w:pPr>
            <w:r>
              <w:rPr>
                <w:rFonts w:hint="eastAsia" w:ascii="Times New Roman" w:hAnsi="Times New Roman" w:eastAsia="Times New Roman" w:cs="Times New Roman"/>
                <w:b/>
                <w:bCs/>
                <w:sz w:val="17"/>
                <w:szCs w:val="17"/>
                <w:lang w:val="en-US" w:eastAsia="zh-CN"/>
              </w:rPr>
              <w:t>0</w:t>
            </w:r>
          </w:p>
        </w:tc>
      </w:tr>
    </w:tbl>
    <w:p>
      <w:pPr>
        <w:pStyle w:val="26"/>
        <w:ind w:left="672"/>
        <w:jc w:val="left"/>
      </w:pPr>
      <w:r>
        <w:t>注：本报表金额单位转换时可能存在四舍五入尾数误差。</w:t>
      </w:r>
      <w:r>
        <w:br w:type="page"/>
      </w:r>
    </w:p>
    <w:p>
      <w:pPr>
        <w:pStyle w:val="22"/>
        <w:keepNext/>
        <w:keepLines/>
        <w:spacing w:after="240"/>
        <w:jc w:val="center"/>
      </w:pPr>
      <w:bookmarkStart w:id="22" w:name="bookmark46"/>
      <w:bookmarkStart w:id="23" w:name="bookmark45"/>
      <w:bookmarkStart w:id="24" w:name="bookmark44"/>
      <w:r>
        <w:t>财政拨款收支总体情况表</w:t>
      </w:r>
      <w:bookmarkEnd w:id="22"/>
      <w:bookmarkEnd w:id="23"/>
      <w:bookmarkEnd w:id="24"/>
    </w:p>
    <w:tbl>
      <w:tblPr>
        <w:tblStyle w:val="4"/>
        <w:tblW w:w="0" w:type="auto"/>
        <w:tblInd w:w="0" w:type="dxa"/>
        <w:tblLayout w:type="fixed"/>
        <w:tblCellMar>
          <w:top w:w="0" w:type="dxa"/>
          <w:left w:w="10" w:type="dxa"/>
          <w:bottom w:w="0" w:type="dxa"/>
          <w:right w:w="10" w:type="dxa"/>
        </w:tblCellMar>
      </w:tblPr>
      <w:tblGrid>
        <w:gridCol w:w="2885"/>
        <w:gridCol w:w="955"/>
        <w:gridCol w:w="3830"/>
        <w:gridCol w:w="3826"/>
        <w:gridCol w:w="3845"/>
        <w:gridCol w:w="1"/>
      </w:tblGrid>
      <w:tr>
        <w:tblPrEx>
          <w:tblCellMar>
            <w:top w:w="0" w:type="dxa"/>
            <w:left w:w="10" w:type="dxa"/>
            <w:bottom w:w="0" w:type="dxa"/>
            <w:right w:w="10" w:type="dxa"/>
          </w:tblCellMar>
        </w:tblPrEx>
        <w:trPr>
          <w:gridAfter w:val="1"/>
          <w:wAfter w:w="1" w:type="dxa"/>
          <w:trHeight w:val="346" w:hRule="exact"/>
        </w:trPr>
        <w:tc>
          <w:tcPr>
            <w:tcW w:w="11496" w:type="dxa"/>
            <w:gridSpan w:val="4"/>
            <w:shd w:val="clear" w:color="auto" w:fill="FFFFFF"/>
          </w:tcPr>
          <w:p>
            <w:pPr>
              <w:pStyle w:val="24"/>
              <w:spacing w:line="240" w:lineRule="auto"/>
              <w:ind w:firstLine="0"/>
              <w:jc w:val="left"/>
              <w:rPr>
                <w:rFonts w:hint="default"/>
                <w:sz w:val="17"/>
                <w:szCs w:val="17"/>
                <w:lang w:val="en-US"/>
              </w:rPr>
            </w:pPr>
            <w:r>
              <w:rPr>
                <w:sz w:val="17"/>
                <w:szCs w:val="17"/>
              </w:rPr>
              <w:t>单位名称：</w:t>
            </w:r>
            <w:r>
              <w:rPr>
                <w:rFonts w:hint="eastAsia"/>
                <w:sz w:val="17"/>
                <w:szCs w:val="17"/>
                <w:lang w:eastAsia="zh-CN"/>
              </w:rPr>
              <w:t>环江毛南族自治县疾病预防控制中心</w:t>
            </w:r>
            <w:r>
              <w:rPr>
                <w:rFonts w:hint="eastAsia"/>
                <w:sz w:val="17"/>
                <w:szCs w:val="17"/>
                <w:lang w:val="en-US" w:eastAsia="zh-CN"/>
              </w:rPr>
              <w:t xml:space="preserve">                         </w:t>
            </w:r>
          </w:p>
        </w:tc>
        <w:tc>
          <w:tcPr>
            <w:tcW w:w="3845" w:type="dxa"/>
            <w:shd w:val="clear" w:color="auto" w:fill="FFFFFF"/>
          </w:tcPr>
          <w:p>
            <w:pPr>
              <w:pStyle w:val="24"/>
              <w:spacing w:line="240" w:lineRule="auto"/>
              <w:jc w:val="left"/>
              <w:rPr>
                <w:sz w:val="17"/>
                <w:szCs w:val="17"/>
              </w:rPr>
            </w:pPr>
            <w:r>
              <w:rPr>
                <w:sz w:val="17"/>
                <w:szCs w:val="17"/>
              </w:rPr>
              <w:t>单位：万元</w:t>
            </w:r>
          </w:p>
        </w:tc>
      </w:tr>
      <w:tr>
        <w:tblPrEx>
          <w:tblCellMar>
            <w:top w:w="0" w:type="dxa"/>
            <w:left w:w="10" w:type="dxa"/>
            <w:bottom w:w="0" w:type="dxa"/>
            <w:right w:w="10" w:type="dxa"/>
          </w:tblCellMar>
        </w:tblPrEx>
        <w:trPr>
          <w:gridAfter w:val="1"/>
          <w:wAfter w:w="1" w:type="dxa"/>
          <w:trHeight w:val="437" w:hRule="exact"/>
        </w:trPr>
        <w:tc>
          <w:tcPr>
            <w:tcW w:w="2885" w:type="dxa"/>
            <w:tcBorders>
              <w:top w:val="single" w:color="auto" w:sz="4" w:space="0"/>
              <w:left w:val="single" w:color="auto" w:sz="4" w:space="0"/>
            </w:tcBorders>
            <w:shd w:val="clear" w:color="auto" w:fill="FFFFFF"/>
          </w:tcPr>
          <w:p>
            <w:pPr>
              <w:jc w:val="left"/>
              <w:rPr>
                <w:sz w:val="10"/>
                <w:szCs w:val="10"/>
              </w:rPr>
            </w:pPr>
          </w:p>
        </w:tc>
        <w:tc>
          <w:tcPr>
            <w:tcW w:w="955" w:type="dxa"/>
            <w:tcBorders>
              <w:top w:val="single" w:color="auto" w:sz="4" w:space="0"/>
            </w:tcBorders>
            <w:shd w:val="clear" w:color="auto" w:fill="FFFFFF"/>
            <w:vAlign w:val="center"/>
          </w:tcPr>
          <w:p>
            <w:pPr>
              <w:pStyle w:val="24"/>
              <w:spacing w:line="240" w:lineRule="auto"/>
              <w:ind w:firstLine="0"/>
              <w:jc w:val="left"/>
              <w:rPr>
                <w:sz w:val="17"/>
                <w:szCs w:val="17"/>
              </w:rPr>
            </w:pPr>
            <w:r>
              <w:rPr>
                <w:sz w:val="17"/>
                <w:szCs w:val="17"/>
              </w:rPr>
              <w:t>收</w:t>
            </w:r>
          </w:p>
        </w:tc>
        <w:tc>
          <w:tcPr>
            <w:tcW w:w="3830" w:type="dxa"/>
            <w:tcBorders>
              <w:top w:val="single" w:color="auto" w:sz="4" w:space="0"/>
            </w:tcBorders>
            <w:shd w:val="clear" w:color="auto" w:fill="FFFFFF"/>
            <w:vAlign w:val="center"/>
          </w:tcPr>
          <w:p>
            <w:pPr>
              <w:pStyle w:val="24"/>
              <w:spacing w:line="240" w:lineRule="auto"/>
              <w:ind w:firstLine="340"/>
              <w:jc w:val="left"/>
              <w:rPr>
                <w:sz w:val="17"/>
                <w:szCs w:val="17"/>
              </w:rPr>
            </w:pPr>
            <w:r>
              <w:rPr>
                <w:sz w:val="17"/>
                <w:szCs w:val="17"/>
              </w:rPr>
              <w:t>入</w:t>
            </w:r>
          </w:p>
        </w:tc>
        <w:tc>
          <w:tcPr>
            <w:tcW w:w="3826" w:type="dxa"/>
            <w:tcBorders>
              <w:top w:val="single" w:color="auto" w:sz="4" w:space="0"/>
              <w:left w:val="single" w:color="auto" w:sz="4" w:space="0"/>
            </w:tcBorders>
            <w:shd w:val="clear" w:color="auto" w:fill="FFFFFF"/>
            <w:vAlign w:val="center"/>
          </w:tcPr>
          <w:p>
            <w:pPr>
              <w:pStyle w:val="24"/>
              <w:spacing w:line="240" w:lineRule="auto"/>
              <w:ind w:right="340" w:firstLine="2720" w:firstLineChars="1600"/>
              <w:jc w:val="left"/>
              <w:rPr>
                <w:sz w:val="17"/>
                <w:szCs w:val="17"/>
              </w:rPr>
            </w:pPr>
            <w:r>
              <w:rPr>
                <w:sz w:val="17"/>
                <w:szCs w:val="17"/>
              </w:rPr>
              <w:t>支</w:t>
            </w:r>
          </w:p>
        </w:tc>
        <w:tc>
          <w:tcPr>
            <w:tcW w:w="3845" w:type="dxa"/>
            <w:tcBorders>
              <w:top w:val="single" w:color="auto" w:sz="4" w:space="0"/>
              <w:right w:val="single" w:color="auto" w:sz="4" w:space="0"/>
            </w:tcBorders>
            <w:shd w:val="clear" w:color="auto" w:fill="FFFFFF"/>
            <w:vAlign w:val="center"/>
          </w:tcPr>
          <w:p>
            <w:pPr>
              <w:pStyle w:val="24"/>
              <w:spacing w:line="240" w:lineRule="auto"/>
              <w:ind w:firstLine="935" w:firstLineChars="550"/>
              <w:jc w:val="left"/>
              <w:rPr>
                <w:sz w:val="17"/>
                <w:szCs w:val="17"/>
              </w:rPr>
            </w:pPr>
            <w:r>
              <w:rPr>
                <w:sz w:val="17"/>
                <w:szCs w:val="17"/>
              </w:rPr>
              <w:t>出</w:t>
            </w:r>
          </w:p>
        </w:tc>
      </w:tr>
      <w:tr>
        <w:tblPrEx>
          <w:tblCellMar>
            <w:top w:w="0" w:type="dxa"/>
            <w:left w:w="10" w:type="dxa"/>
            <w:bottom w:w="0" w:type="dxa"/>
            <w:right w:w="10" w:type="dxa"/>
          </w:tblCellMar>
        </w:tblPrEx>
        <w:trPr>
          <w:gridAfter w:val="1"/>
          <w:wAfter w:w="1" w:type="dxa"/>
          <w:trHeight w:val="451" w:hRule="exact"/>
        </w:trPr>
        <w:tc>
          <w:tcPr>
            <w:tcW w:w="3840" w:type="dxa"/>
            <w:gridSpan w:val="2"/>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项目</w:t>
            </w:r>
          </w:p>
        </w:tc>
        <w:tc>
          <w:tcPr>
            <w:tcW w:w="3830" w:type="dxa"/>
            <w:tcBorders>
              <w:top w:val="single" w:color="auto" w:sz="4" w:space="0"/>
              <w:lef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c>
          <w:tcPr>
            <w:tcW w:w="3826" w:type="dxa"/>
            <w:tcBorders>
              <w:top w:val="single" w:color="auto" w:sz="4" w:space="0"/>
              <w:left w:val="single" w:color="auto" w:sz="4" w:space="0"/>
            </w:tcBorders>
            <w:shd w:val="clear" w:color="auto" w:fill="FFFFFF"/>
            <w:vAlign w:val="center"/>
          </w:tcPr>
          <w:p>
            <w:pPr>
              <w:pStyle w:val="24"/>
              <w:tabs>
                <w:tab w:val="left" w:pos="1034"/>
              </w:tabs>
              <w:spacing w:line="240" w:lineRule="auto"/>
              <w:ind w:firstLine="540"/>
              <w:jc w:val="center"/>
              <w:rPr>
                <w:sz w:val="17"/>
                <w:szCs w:val="17"/>
              </w:rPr>
            </w:pPr>
            <w:r>
              <w:rPr>
                <w:sz w:val="17"/>
                <w:szCs w:val="17"/>
              </w:rPr>
              <w:t>项</w:t>
            </w:r>
            <w:r>
              <w:rPr>
                <w:sz w:val="17"/>
                <w:szCs w:val="17"/>
              </w:rPr>
              <w:tab/>
            </w:r>
            <w:r>
              <w:rPr>
                <w:sz w:val="17"/>
                <w:szCs w:val="17"/>
              </w:rPr>
              <w:t>目（按支出功能科目分类）</w:t>
            </w:r>
          </w:p>
        </w:tc>
        <w:tc>
          <w:tcPr>
            <w:tcW w:w="3845" w:type="dxa"/>
            <w:tcBorders>
              <w:top w:val="single" w:color="auto" w:sz="4" w:space="0"/>
              <w:left w:val="single" w:color="auto" w:sz="4" w:space="0"/>
              <w:right w:val="single" w:color="auto" w:sz="4" w:space="0"/>
            </w:tcBorders>
            <w:shd w:val="clear" w:color="auto" w:fill="FFFFFF"/>
            <w:vAlign w:val="center"/>
          </w:tcPr>
          <w:p>
            <w:pPr>
              <w:pStyle w:val="24"/>
              <w:spacing w:line="240" w:lineRule="auto"/>
              <w:ind w:firstLine="0"/>
              <w:jc w:val="center"/>
              <w:rPr>
                <w:sz w:val="17"/>
                <w:szCs w:val="17"/>
              </w:rPr>
            </w:pPr>
            <w:r>
              <w:rPr>
                <w:sz w:val="17"/>
                <w:szCs w:val="17"/>
              </w:rPr>
              <w:t>预算数</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799.80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一、一般公共服务支出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7.40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32.00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二、外交支出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767.80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二、政府性基金预算拨款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四、公共安全支出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五、教育支出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 xml:space="preserve">     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六、科学技术支出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三、国有资本经营预算拨款</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七、文化旅游体育与传媒支出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1、上级补助</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八、社会保障和就业支出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82.61</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2、本级</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九、卫生健康支出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639.56</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十、节能环保支出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十一、城乡社区支出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30.00</w:t>
            </w:r>
          </w:p>
        </w:tc>
      </w:tr>
      <w:tr>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十二、农林水支出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十三、交通运输支出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十四、资源勘探工业信息等支出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十五、商业服务业等支出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十六、金融支出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十七、援助其他地区支出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十八、自然资源海洋气象等支出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十九、住房保障支出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70.23</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二十、粮油物资储备支出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二十一、国有资本经营预算支出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二十二、灾害防治及应急管理支出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二十三、其他支出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二十四、债务还本支出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二十五、债务付息支出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二十六、债务发行费用支出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本年收入合计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829.80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本年支出合计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829.80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上年结转结余</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结转下年支出</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0.00</w:t>
            </w:r>
          </w:p>
        </w:tc>
      </w:tr>
      <w:tr>
        <w:tblPrEx>
          <w:tblCellMar>
            <w:top w:w="0" w:type="dxa"/>
            <w:left w:w="10" w:type="dxa"/>
            <w:bottom w:w="0" w:type="dxa"/>
            <w:right w:w="10" w:type="dxa"/>
          </w:tblCellMar>
        </w:tblPrEx>
        <w:trPr>
          <w:gridAfter w:val="1"/>
          <w:wAfter w:w="1" w:type="dxa"/>
          <w:trHeight w:val="437" w:hRule="exact"/>
        </w:trPr>
        <w:tc>
          <w:tcPr>
            <w:tcW w:w="3840" w:type="dxa"/>
            <w:gridSpan w:val="2"/>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收入总计</w:t>
            </w:r>
          </w:p>
        </w:tc>
        <w:tc>
          <w:tcPr>
            <w:tcW w:w="383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829.80</w:t>
            </w:r>
          </w:p>
        </w:tc>
        <w:tc>
          <w:tcPr>
            <w:tcW w:w="3826"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00"/>
              <w:jc w:val="left"/>
              <w:rPr>
                <w:rFonts w:hint="default"/>
                <w:sz w:val="17"/>
                <w:szCs w:val="17"/>
                <w:lang w:val="en-US" w:eastAsia="zh-CN"/>
              </w:rPr>
            </w:pPr>
            <w:r>
              <w:rPr>
                <w:rFonts w:hint="eastAsia"/>
                <w:sz w:val="17"/>
                <w:szCs w:val="17"/>
                <w:lang w:val="en-US" w:eastAsia="zh-CN"/>
              </w:rPr>
              <w:t>支出总计</w:t>
            </w:r>
          </w:p>
        </w:tc>
        <w:tc>
          <w:tcPr>
            <w:tcW w:w="3845"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200"/>
              <w:jc w:val="right"/>
              <w:rPr>
                <w:rFonts w:hint="default"/>
                <w:sz w:val="17"/>
                <w:szCs w:val="17"/>
                <w:lang w:val="en-US" w:eastAsia="zh-CN"/>
              </w:rPr>
            </w:pPr>
            <w:r>
              <w:rPr>
                <w:rFonts w:hint="eastAsia"/>
                <w:sz w:val="17"/>
                <w:szCs w:val="17"/>
                <w:lang w:val="en-US" w:eastAsia="zh-CN"/>
              </w:rPr>
              <w:t>829.80</w:t>
            </w:r>
          </w:p>
        </w:tc>
      </w:tr>
      <w:tr>
        <w:tblPrEx>
          <w:tblCellMar>
            <w:top w:w="0" w:type="dxa"/>
            <w:left w:w="10" w:type="dxa"/>
            <w:bottom w:w="0" w:type="dxa"/>
            <w:right w:w="10" w:type="dxa"/>
          </w:tblCellMar>
        </w:tblPrEx>
        <w:trPr>
          <w:trHeight w:val="352" w:hRule="exact"/>
        </w:trPr>
        <w:tc>
          <w:tcPr>
            <w:tcW w:w="15342" w:type="dxa"/>
            <w:gridSpan w:val="6"/>
            <w:tcBorders>
              <w:top w:val="single" w:color="auto" w:sz="4" w:space="0"/>
            </w:tcBorders>
            <w:shd w:val="clear" w:color="auto" w:fill="FFFFFF"/>
          </w:tcPr>
          <w:p>
            <w:pPr>
              <w:jc w:val="left"/>
              <w:rPr>
                <w:sz w:val="10"/>
                <w:szCs w:val="10"/>
                <w:lang w:eastAsia="zh-CN"/>
              </w:rPr>
            </w:pPr>
            <w:r>
              <w:rPr>
                <w:sz w:val="17"/>
                <w:szCs w:val="17"/>
              </w:rPr>
              <w:t>注：表中功能分类科目，根据各部门实际预算编制情况编列。</w:t>
            </w:r>
          </w:p>
        </w:tc>
      </w:tr>
      <w:tr>
        <w:tblPrEx>
          <w:tblCellMar>
            <w:top w:w="0" w:type="dxa"/>
            <w:left w:w="10" w:type="dxa"/>
            <w:bottom w:w="0" w:type="dxa"/>
            <w:right w:w="10" w:type="dxa"/>
          </w:tblCellMar>
        </w:tblPrEx>
        <w:trPr>
          <w:trHeight w:val="274" w:hRule="exact"/>
        </w:trPr>
        <w:tc>
          <w:tcPr>
            <w:tcW w:w="15342" w:type="dxa"/>
            <w:gridSpan w:val="6"/>
            <w:shd w:val="clear" w:color="auto" w:fill="FFFFFF"/>
            <w:vAlign w:val="bottom"/>
          </w:tcPr>
          <w:p>
            <w:pPr>
              <w:jc w:val="left"/>
              <w:rPr>
                <w:sz w:val="10"/>
                <w:szCs w:val="10"/>
                <w:lang w:eastAsia="zh-CN"/>
              </w:rPr>
            </w:pPr>
            <w:r>
              <w:rPr>
                <w:sz w:val="17"/>
                <w:szCs w:val="17"/>
              </w:rPr>
              <w:t>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一般公共预算支出情况表</w:t>
      </w:r>
    </w:p>
    <w:p>
      <w:pPr>
        <w:jc w:val="center"/>
        <w:rPr>
          <w:rFonts w:hint="eastAsia"/>
          <w:lang w:eastAsia="zh-CN"/>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3"/>
        <w:gridCol w:w="1600"/>
        <w:gridCol w:w="1574"/>
        <w:gridCol w:w="1744"/>
        <w:gridCol w:w="2050"/>
        <w:gridCol w:w="1804"/>
        <w:gridCol w:w="1712"/>
        <w:gridCol w:w="71"/>
        <w:gridCol w:w="1679"/>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96" w:type="dxa"/>
            <w:gridSpan w:val="7"/>
            <w:tcBorders>
              <w:top w:val="nil"/>
              <w:left w:val="nil"/>
              <w:right w:val="nil"/>
            </w:tcBorders>
          </w:tcPr>
          <w:p>
            <w:pPr>
              <w:jc w:val="left"/>
              <w:rPr>
                <w:rFonts w:hint="eastAsia"/>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环江毛南族自治县疾病预防控制中心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hint="eastAsia" w:ascii="宋体" w:hAnsi="宋体" w:eastAsia="宋体" w:cs="宋体"/>
                <w:sz w:val="16"/>
                <w:szCs w:val="16"/>
                <w:vertAlign w:val="baseline"/>
                <w:lang w:eastAsia="zh-CN"/>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restart"/>
          </w:tcPr>
          <w:p>
            <w:pPr>
              <w:jc w:val="center"/>
              <w:rPr>
                <w:rFonts w:hint="eastAsia"/>
                <w:vertAlign w:val="baseline"/>
                <w:lang w:eastAsia="zh-CN"/>
              </w:rPr>
            </w:pPr>
            <w:r>
              <w:rPr>
                <w:sz w:val="17"/>
                <w:szCs w:val="17"/>
              </w:rPr>
              <w:t>科目编码</w:t>
            </w:r>
          </w:p>
        </w:tc>
        <w:tc>
          <w:tcPr>
            <w:tcW w:w="1676" w:type="dxa"/>
            <w:vMerge w:val="restart"/>
          </w:tcPr>
          <w:p>
            <w:pPr>
              <w:jc w:val="center"/>
              <w:rPr>
                <w:rFonts w:hint="eastAsia"/>
                <w:vertAlign w:val="baseline"/>
                <w:lang w:eastAsia="zh-CN"/>
              </w:rPr>
            </w:pPr>
            <w:r>
              <w:rPr>
                <w:sz w:val="17"/>
                <w:szCs w:val="17"/>
              </w:rPr>
              <w:t>部门（单位）代码</w:t>
            </w:r>
          </w:p>
        </w:tc>
        <w:tc>
          <w:tcPr>
            <w:tcW w:w="1662" w:type="dxa"/>
            <w:vMerge w:val="restart"/>
          </w:tcPr>
          <w:p>
            <w:pPr>
              <w:pStyle w:val="24"/>
              <w:spacing w:after="120" w:line="240" w:lineRule="auto"/>
              <w:ind w:firstLine="0"/>
              <w:jc w:val="center"/>
              <w:rPr>
                <w:sz w:val="17"/>
                <w:szCs w:val="17"/>
              </w:rPr>
            </w:pPr>
            <w:r>
              <w:rPr>
                <w:sz w:val="17"/>
                <w:szCs w:val="17"/>
              </w:rPr>
              <w:t>部门（单位）名称</w:t>
            </w:r>
          </w:p>
          <w:p>
            <w:pPr>
              <w:jc w:val="center"/>
              <w:rPr>
                <w:rFonts w:hint="eastAsia"/>
                <w:vertAlign w:val="baseline"/>
                <w:lang w:eastAsia="zh-CN"/>
              </w:rPr>
            </w:pPr>
            <w:r>
              <w:rPr>
                <w:sz w:val="17"/>
                <w:szCs w:val="17"/>
              </w:rPr>
              <w:t>（功能分类科目名称）</w:t>
            </w:r>
          </w:p>
        </w:tc>
        <w:tc>
          <w:tcPr>
            <w:tcW w:w="1717" w:type="dxa"/>
            <w:vMerge w:val="restart"/>
          </w:tcPr>
          <w:p>
            <w:pPr>
              <w:jc w:val="center"/>
              <w:rPr>
                <w:rFonts w:hint="eastAsia"/>
                <w:vertAlign w:val="baseline"/>
                <w:lang w:eastAsia="zh-CN"/>
              </w:rPr>
            </w:pPr>
            <w:r>
              <w:rPr>
                <w:sz w:val="17"/>
                <w:szCs w:val="17"/>
              </w:rPr>
              <w:t>合计</w:t>
            </w:r>
          </w:p>
        </w:tc>
        <w:tc>
          <w:tcPr>
            <w:tcW w:w="5398" w:type="dxa"/>
            <w:gridSpan w:val="4"/>
          </w:tcPr>
          <w:p>
            <w:pPr>
              <w:jc w:val="center"/>
              <w:rPr>
                <w:rFonts w:hint="eastAsia"/>
                <w:vertAlign w:val="baseline"/>
                <w:lang w:eastAsia="zh-CN"/>
              </w:rPr>
            </w:pPr>
            <w:r>
              <w:rPr>
                <w:sz w:val="17"/>
                <w:szCs w:val="17"/>
              </w:rPr>
              <w:t>基本支出</w:t>
            </w:r>
          </w:p>
        </w:tc>
        <w:tc>
          <w:tcPr>
            <w:tcW w:w="1694" w:type="dxa"/>
            <w:vMerge w:val="restart"/>
          </w:tcPr>
          <w:p>
            <w:pPr>
              <w:jc w:val="center"/>
              <w:rPr>
                <w:rFonts w:hint="eastAsia"/>
                <w:vertAlign w:val="baseline"/>
                <w:lang w:eastAsia="zh-CN"/>
              </w:rPr>
            </w:pPr>
            <w:r>
              <w:rPr>
                <w:sz w:val="17"/>
                <w:szCs w:val="17"/>
              </w:rPr>
              <w:t>项目支出</w:t>
            </w:r>
          </w:p>
        </w:tc>
        <w:tc>
          <w:tcPr>
            <w:tcW w:w="1695" w:type="dxa"/>
            <w:vMerge w:val="restart"/>
          </w:tcPr>
          <w:p>
            <w:pPr>
              <w:jc w:val="center"/>
              <w:rPr>
                <w:rFonts w:hint="eastAsia"/>
                <w:vertAlign w:val="baseline"/>
                <w:lang w:eastAsia="zh-CN"/>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Merge w:val="continue"/>
          </w:tcPr>
          <w:p>
            <w:pPr>
              <w:jc w:val="center"/>
              <w:rPr>
                <w:rFonts w:hint="eastAsia"/>
                <w:vertAlign w:val="baseline"/>
                <w:lang w:eastAsia="zh-CN"/>
              </w:rPr>
            </w:pPr>
          </w:p>
        </w:tc>
        <w:tc>
          <w:tcPr>
            <w:tcW w:w="1676" w:type="dxa"/>
            <w:vMerge w:val="continue"/>
          </w:tcPr>
          <w:p>
            <w:pPr>
              <w:jc w:val="center"/>
              <w:rPr>
                <w:rFonts w:hint="eastAsia"/>
                <w:vertAlign w:val="baseline"/>
                <w:lang w:eastAsia="zh-CN"/>
              </w:rPr>
            </w:pPr>
          </w:p>
        </w:tc>
        <w:tc>
          <w:tcPr>
            <w:tcW w:w="1662" w:type="dxa"/>
            <w:vMerge w:val="continue"/>
          </w:tcPr>
          <w:p>
            <w:pPr>
              <w:jc w:val="center"/>
              <w:rPr>
                <w:rFonts w:hint="eastAsia"/>
                <w:vertAlign w:val="baseline"/>
                <w:lang w:eastAsia="zh-CN"/>
              </w:rPr>
            </w:pPr>
          </w:p>
        </w:tc>
        <w:tc>
          <w:tcPr>
            <w:tcW w:w="1717" w:type="dxa"/>
            <w:vMerge w:val="continue"/>
          </w:tcPr>
          <w:p>
            <w:pPr>
              <w:jc w:val="center"/>
              <w:rPr>
                <w:rFonts w:hint="eastAsia"/>
                <w:vertAlign w:val="baseline"/>
                <w:lang w:eastAsia="zh-CN"/>
              </w:rPr>
            </w:pPr>
          </w:p>
        </w:tc>
        <w:tc>
          <w:tcPr>
            <w:tcW w:w="1879" w:type="dxa"/>
            <w:vAlign w:val="center"/>
          </w:tcPr>
          <w:p>
            <w:pPr>
              <w:pStyle w:val="24"/>
              <w:spacing w:line="240" w:lineRule="auto"/>
              <w:ind w:firstLine="0" w:firstLineChars="0"/>
              <w:jc w:val="center"/>
              <w:rPr>
                <w:rFonts w:hint="eastAsia"/>
                <w:vertAlign w:val="baseline"/>
                <w:lang w:eastAsia="zh-CN"/>
              </w:rPr>
            </w:pPr>
            <w:r>
              <w:rPr>
                <w:sz w:val="17"/>
                <w:szCs w:val="17"/>
              </w:rPr>
              <w:t>小计</w:t>
            </w:r>
          </w:p>
        </w:tc>
        <w:tc>
          <w:tcPr>
            <w:tcW w:w="1729" w:type="dxa"/>
            <w:vAlign w:val="center"/>
          </w:tcPr>
          <w:p>
            <w:pPr>
              <w:pStyle w:val="24"/>
              <w:spacing w:line="240" w:lineRule="auto"/>
              <w:ind w:firstLine="0" w:firstLineChars="0"/>
              <w:jc w:val="center"/>
              <w:rPr>
                <w:rFonts w:hint="eastAsia"/>
                <w:vertAlign w:val="baseline"/>
                <w:lang w:eastAsia="zh-CN"/>
              </w:rPr>
            </w:pPr>
            <w:r>
              <w:rPr>
                <w:sz w:val="17"/>
                <w:szCs w:val="17"/>
              </w:rPr>
              <w:t>人员经费</w:t>
            </w:r>
          </w:p>
        </w:tc>
        <w:tc>
          <w:tcPr>
            <w:tcW w:w="1790" w:type="dxa"/>
            <w:gridSpan w:val="2"/>
            <w:vAlign w:val="center"/>
          </w:tcPr>
          <w:p>
            <w:pPr>
              <w:pStyle w:val="24"/>
              <w:spacing w:line="240" w:lineRule="auto"/>
              <w:ind w:firstLine="440" w:firstLineChars="0"/>
              <w:jc w:val="center"/>
              <w:rPr>
                <w:rFonts w:hint="eastAsia"/>
                <w:vertAlign w:val="baseline"/>
                <w:lang w:eastAsia="zh-CN"/>
              </w:rPr>
            </w:pPr>
            <w:r>
              <w:rPr>
                <w:sz w:val="17"/>
                <w:szCs w:val="17"/>
              </w:rPr>
              <w:t>公用经费</w:t>
            </w:r>
          </w:p>
        </w:tc>
        <w:tc>
          <w:tcPr>
            <w:tcW w:w="1694" w:type="dxa"/>
            <w:vMerge w:val="continue"/>
          </w:tcPr>
          <w:p>
            <w:pPr>
              <w:jc w:val="center"/>
              <w:rPr>
                <w:rFonts w:hint="eastAsia"/>
                <w:vertAlign w:val="baseline"/>
                <w:lang w:eastAsia="zh-CN"/>
              </w:rPr>
            </w:pPr>
          </w:p>
        </w:tc>
        <w:tc>
          <w:tcPr>
            <w:tcW w:w="1695" w:type="dxa"/>
            <w:vMerge w:val="continue"/>
          </w:tcPr>
          <w:p>
            <w:pPr>
              <w:jc w:val="center"/>
              <w:rPr>
                <w:rFonts w:hint="eastAsia"/>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1</w:t>
            </w:r>
          </w:p>
        </w:tc>
        <w:tc>
          <w:tcPr>
            <w:tcW w:w="187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2</w:t>
            </w:r>
          </w:p>
        </w:tc>
        <w:tc>
          <w:tcPr>
            <w:tcW w:w="1729" w:type="dxa"/>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3</w:t>
            </w:r>
          </w:p>
        </w:tc>
        <w:tc>
          <w:tcPr>
            <w:tcW w:w="1790" w:type="dxa"/>
            <w:gridSpan w:val="2"/>
            <w:vAlign w:val="center"/>
          </w:tcPr>
          <w:p>
            <w:pPr>
              <w:pStyle w:val="24"/>
              <w:spacing w:line="240" w:lineRule="auto"/>
              <w:ind w:firstLine="0" w:firstLineChars="0"/>
              <w:jc w:val="center"/>
              <w:rPr>
                <w:rFonts w:hint="eastAsia"/>
                <w:vertAlign w:val="baseline"/>
                <w:lang w:eastAsia="zh-CN"/>
              </w:rPr>
            </w:pPr>
            <w:r>
              <w:rPr>
                <w:rFonts w:ascii="Times New Roman" w:hAnsi="Times New Roman" w:eastAsia="Times New Roman" w:cs="Times New Roman"/>
                <w:b/>
                <w:bCs/>
                <w:sz w:val="17"/>
                <w:szCs w:val="17"/>
              </w:rPr>
              <w:t>4</w:t>
            </w:r>
          </w:p>
        </w:tc>
        <w:tc>
          <w:tcPr>
            <w:tcW w:w="1694" w:type="dxa"/>
            <w:vAlign w:val="center"/>
          </w:tcPr>
          <w:p>
            <w:pPr>
              <w:pStyle w:val="24"/>
              <w:spacing w:line="240" w:lineRule="auto"/>
              <w:ind w:firstLine="660" w:firstLineChars="0"/>
              <w:jc w:val="center"/>
              <w:rPr>
                <w:rFonts w:hint="eastAsia"/>
                <w:vertAlign w:val="baseline"/>
                <w:lang w:eastAsia="zh-CN"/>
              </w:rPr>
            </w:pPr>
            <w:r>
              <w:rPr>
                <w:rFonts w:ascii="Times New Roman" w:hAnsi="Times New Roman" w:eastAsia="Times New Roman" w:cs="Times New Roman"/>
                <w:b/>
                <w:bCs/>
                <w:sz w:val="17"/>
                <w:szCs w:val="17"/>
              </w:rPr>
              <w:t>5</w:t>
            </w:r>
          </w:p>
        </w:tc>
        <w:tc>
          <w:tcPr>
            <w:tcW w:w="1695" w:type="dxa"/>
            <w:vAlign w:val="center"/>
          </w:tcPr>
          <w:p>
            <w:pPr>
              <w:pStyle w:val="24"/>
              <w:spacing w:line="240" w:lineRule="auto"/>
              <w:ind w:right="700" w:rightChars="0" w:firstLine="0" w:firstLineChars="0"/>
              <w:jc w:val="center"/>
              <w:rPr>
                <w:rFonts w:hint="eastAsia"/>
                <w:vertAlign w:val="baseline"/>
                <w:lang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p>
        </w:tc>
        <w:tc>
          <w:tcPr>
            <w:tcW w:w="1676"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402003</w:t>
            </w:r>
          </w:p>
        </w:tc>
        <w:tc>
          <w:tcPr>
            <w:tcW w:w="1662" w:type="dxa"/>
            <w:vAlign w:val="center"/>
          </w:tcPr>
          <w:p>
            <w:pPr>
              <w:pStyle w:val="24"/>
              <w:spacing w:line="240" w:lineRule="auto"/>
              <w:ind w:firstLine="0" w:firstLineChars="0"/>
              <w:jc w:val="center"/>
              <w:rPr>
                <w:rFonts w:hint="eastAsia"/>
                <w:vertAlign w:val="baseline"/>
                <w:lang w:eastAsia="zh-CN"/>
              </w:rPr>
            </w:pP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799.80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720.62</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697.23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23.39</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79.18</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2012999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其他群众团体事务支出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7.40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7.40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7.40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2080505</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机关事业单位基本养老保险缴费支出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82.61</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82.61</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82.61</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2100401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疾病预防控制机构</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607.56</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560.38</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544.39</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15.99</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47.18</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2109999</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其他卫生健康支出</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32.00</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0.00</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32.00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5" w:type="dxa"/>
            <w:vAlign w:val="center"/>
          </w:tcPr>
          <w:p>
            <w:pPr>
              <w:pStyle w:val="24"/>
              <w:spacing w:line="240" w:lineRule="auto"/>
              <w:ind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rPr>
              <w:t>2210201</w:t>
            </w:r>
          </w:p>
        </w:tc>
        <w:tc>
          <w:tcPr>
            <w:tcW w:w="1676" w:type="dxa"/>
            <w:vAlign w:val="center"/>
          </w:tcPr>
          <w:p>
            <w:pPr>
              <w:pStyle w:val="24"/>
              <w:spacing w:line="240" w:lineRule="auto"/>
              <w:ind w:firstLine="0" w:firstLineChars="0"/>
              <w:jc w:val="center"/>
              <w:rPr>
                <w:rFonts w:hint="eastAsia"/>
                <w:vertAlign w:val="baseline"/>
                <w:lang w:eastAsia="zh-CN"/>
              </w:rPr>
            </w:pPr>
          </w:p>
        </w:tc>
        <w:tc>
          <w:tcPr>
            <w:tcW w:w="1662" w:type="dxa"/>
            <w:vAlign w:val="center"/>
          </w:tcPr>
          <w:p>
            <w:pPr>
              <w:pStyle w:val="24"/>
              <w:spacing w:line="240" w:lineRule="auto"/>
              <w:ind w:firstLine="0" w:firstLineChars="0"/>
              <w:jc w:val="center"/>
              <w:rPr>
                <w:rFonts w:hint="eastAsia"/>
                <w:vertAlign w:val="baseline"/>
                <w:lang w:eastAsia="zh-CN"/>
              </w:rPr>
            </w:pPr>
            <w:r>
              <w:rPr>
                <w:rFonts w:hint="eastAsia"/>
                <w:sz w:val="17"/>
                <w:szCs w:val="17"/>
                <w:lang w:val="en-US" w:eastAsia="zh-CN"/>
              </w:rPr>
              <w:t>住房公积金</w:t>
            </w:r>
          </w:p>
        </w:tc>
        <w:tc>
          <w:tcPr>
            <w:tcW w:w="1717" w:type="dxa"/>
            <w:vAlign w:val="center"/>
          </w:tcPr>
          <w:p>
            <w:pPr>
              <w:pStyle w:val="24"/>
              <w:spacing w:line="240" w:lineRule="auto"/>
              <w:ind w:left="106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70.23</w:t>
            </w:r>
          </w:p>
        </w:tc>
        <w:tc>
          <w:tcPr>
            <w:tcW w:w="1879" w:type="dxa"/>
            <w:vAlign w:val="center"/>
          </w:tcPr>
          <w:p>
            <w:pPr>
              <w:pStyle w:val="24"/>
              <w:spacing w:line="240" w:lineRule="auto"/>
              <w:ind w:left="1320" w:leftChars="0" w:firstLine="0" w:firstLineChars="0"/>
              <w:jc w:val="center"/>
              <w:rPr>
                <w:rFonts w:hint="eastAsia"/>
                <w:vertAlign w:val="baseline"/>
                <w:lang w:eastAsia="zh-CN"/>
              </w:rPr>
            </w:pPr>
            <w:r>
              <w:rPr>
                <w:rFonts w:hint="eastAsia"/>
                <w:b/>
                <w:bCs/>
                <w:sz w:val="17"/>
                <w:szCs w:val="17"/>
                <w:lang w:val="en-US" w:eastAsia="zh-CN"/>
              </w:rPr>
              <w:t>70.23</w:t>
            </w:r>
          </w:p>
        </w:tc>
        <w:tc>
          <w:tcPr>
            <w:tcW w:w="1729" w:type="dxa"/>
            <w:vAlign w:val="center"/>
          </w:tcPr>
          <w:p>
            <w:pPr>
              <w:pStyle w:val="24"/>
              <w:spacing w:line="240" w:lineRule="auto"/>
              <w:ind w:left="1120" w:leftChars="0" w:firstLine="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70.23</w:t>
            </w:r>
          </w:p>
        </w:tc>
        <w:tc>
          <w:tcPr>
            <w:tcW w:w="1790" w:type="dxa"/>
            <w:gridSpan w:val="2"/>
            <w:vAlign w:val="center"/>
          </w:tcPr>
          <w:p>
            <w:pPr>
              <w:pStyle w:val="24"/>
              <w:spacing w:line="240" w:lineRule="auto"/>
              <w:ind w:left="1060" w:leftChars="0" w:firstLine="0" w:firstLineChars="0"/>
              <w:jc w:val="center"/>
              <w:rPr>
                <w:rFonts w:hint="eastAsia"/>
                <w:vertAlign w:val="baseline"/>
                <w:lang w:eastAsia="zh-CN"/>
              </w:rPr>
            </w:pPr>
            <w:r>
              <w:rPr>
                <w:rFonts w:hint="eastAsia"/>
                <w:b/>
                <w:bCs/>
                <w:sz w:val="17"/>
                <w:szCs w:val="17"/>
                <w:lang w:val="en-US" w:eastAsia="zh-CN"/>
              </w:rPr>
              <w:t>0.00</w:t>
            </w:r>
          </w:p>
        </w:tc>
        <w:tc>
          <w:tcPr>
            <w:tcW w:w="1694" w:type="dxa"/>
            <w:vAlign w:val="center"/>
          </w:tcPr>
          <w:p>
            <w:pPr>
              <w:pStyle w:val="24"/>
              <w:spacing w:line="240" w:lineRule="auto"/>
              <w:ind w:firstLine="400" w:firstLineChars="0"/>
              <w:jc w:val="center"/>
              <w:rPr>
                <w:rFonts w:hint="eastAsia"/>
                <w:vertAlign w:val="baseline"/>
                <w:lang w:eastAsia="zh-CN"/>
              </w:rPr>
            </w:pPr>
            <w:r>
              <w:rPr>
                <w:rFonts w:hint="eastAsia" w:ascii="Times New Roman" w:hAnsi="Times New Roman" w:cs="Times New Roman"/>
                <w:b/>
                <w:bCs/>
                <w:sz w:val="17"/>
                <w:szCs w:val="17"/>
                <w:lang w:val="en-US" w:eastAsia="zh-CN" w:bidi="en-US"/>
              </w:rPr>
              <w:t>0.00</w:t>
            </w:r>
          </w:p>
        </w:tc>
        <w:tc>
          <w:tcPr>
            <w:tcW w:w="1695" w:type="dxa"/>
            <w:vAlign w:val="center"/>
          </w:tcPr>
          <w:p>
            <w:pPr>
              <w:pStyle w:val="24"/>
              <w:spacing w:line="240" w:lineRule="auto"/>
              <w:ind w:firstLine="400" w:firstLineChars="0"/>
              <w:jc w:val="center"/>
              <w:rPr>
                <w:rFonts w:hint="eastAsia"/>
                <w:vertAlign w:val="baseline"/>
                <w:lang w:eastAsia="zh-CN"/>
              </w:rPr>
            </w:pPr>
            <w:r>
              <w:rPr>
                <w:rFonts w:hint="eastAsia"/>
                <w:b/>
                <w:bCs/>
                <w:sz w:val="17"/>
                <w:szCs w:val="17"/>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10"/>
            <w:tcBorders>
              <w:left w:val="nil"/>
              <w:bottom w:val="nil"/>
              <w:right w:val="nil"/>
            </w:tcBorders>
          </w:tcPr>
          <w:p>
            <w:pPr>
              <w:jc w:val="left"/>
              <w:rPr>
                <w:rFonts w:hint="eastAsia"/>
                <w:vertAlign w:val="baseline"/>
                <w:lang w:eastAsia="zh-CN"/>
              </w:rPr>
            </w:pPr>
            <w:r>
              <w:rPr>
                <w:sz w:val="16"/>
                <w:szCs w:val="16"/>
              </w:rPr>
              <w:t>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pPr>
      <w:bookmarkStart w:id="25" w:name="bookmark56"/>
      <w:bookmarkStart w:id="26" w:name="bookmark58"/>
      <w:bookmarkStart w:id="27" w:name="bookmark57"/>
      <w:r>
        <w:t>一般公共预算基本支出情况表</w:t>
      </w:r>
      <w:bookmarkEnd w:id="25"/>
      <w:bookmarkEnd w:id="26"/>
      <w:bookmarkEnd w:id="27"/>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0"/>
        <w:gridCol w:w="3111"/>
        <w:gridCol w:w="3111"/>
        <w:gridCol w:w="3112"/>
        <w:gridCol w:w="31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4" w:type="dxa"/>
            <w:gridSpan w:val="4"/>
            <w:tcBorders>
              <w:top w:val="nil"/>
              <w:left w:val="nil"/>
              <w:right w:val="nil"/>
            </w:tcBorders>
          </w:tcPr>
          <w:p>
            <w:pPr>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环江毛南族自治县疾病预防控制中心                                                          </w:t>
            </w:r>
            <w:r>
              <w:rPr>
                <w:rFonts w:hint="eastAsia" w:ascii="宋体" w:hAnsi="宋体" w:eastAsia="宋体"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3113" w:type="dxa"/>
            <w:tcBorders>
              <w:top w:val="nil"/>
              <w:left w:val="nil"/>
              <w:right w:val="nil"/>
            </w:tcBorders>
          </w:tcPr>
          <w:p>
            <w:pPr>
              <w:ind w:firstLine="1760" w:firstLineChars="1100"/>
              <w:jc w:val="left"/>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6221" w:type="dxa"/>
            <w:gridSpan w:val="2"/>
          </w:tcPr>
          <w:p>
            <w:pPr>
              <w:jc w:val="left"/>
              <w:rPr>
                <w:vertAlign w:val="baseline"/>
                <w:lang w:eastAsia="zh-CN"/>
              </w:rPr>
            </w:pPr>
            <w:r>
              <w:rPr>
                <w:sz w:val="17"/>
                <w:szCs w:val="17"/>
              </w:rPr>
              <w:t>部门预算支出经济分类科目</w:t>
            </w:r>
          </w:p>
        </w:tc>
        <w:tc>
          <w:tcPr>
            <w:tcW w:w="9336" w:type="dxa"/>
            <w:gridSpan w:val="3"/>
          </w:tcPr>
          <w:p>
            <w:pPr>
              <w:jc w:val="left"/>
              <w:rPr>
                <w:vertAlign w:val="baseline"/>
                <w:lang w:eastAsia="zh-CN"/>
              </w:rPr>
            </w:pPr>
            <w:r>
              <w:rPr>
                <w:sz w:val="17"/>
                <w:szCs w:val="17"/>
              </w:rPr>
              <w:t>本年一般公共预算基本支出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3110" w:type="dxa"/>
            <w:vAlign w:val="center"/>
          </w:tcPr>
          <w:p>
            <w:pPr>
              <w:pStyle w:val="24"/>
              <w:spacing w:line="240" w:lineRule="auto"/>
              <w:ind w:firstLine="0" w:firstLineChars="0"/>
              <w:jc w:val="center"/>
              <w:rPr>
                <w:vertAlign w:val="baseline"/>
                <w:lang w:eastAsia="zh-CN"/>
              </w:rPr>
            </w:pPr>
            <w:r>
              <w:rPr>
                <w:sz w:val="17"/>
                <w:szCs w:val="17"/>
              </w:rPr>
              <w:t>科目编码</w:t>
            </w:r>
          </w:p>
        </w:tc>
        <w:tc>
          <w:tcPr>
            <w:tcW w:w="3111" w:type="dxa"/>
            <w:vAlign w:val="center"/>
          </w:tcPr>
          <w:p>
            <w:pPr>
              <w:pStyle w:val="24"/>
              <w:spacing w:line="240" w:lineRule="auto"/>
              <w:ind w:firstLine="0" w:firstLineChars="0"/>
              <w:jc w:val="center"/>
              <w:rPr>
                <w:vertAlign w:val="baseline"/>
                <w:lang w:eastAsia="zh-CN"/>
              </w:rPr>
            </w:pPr>
            <w:r>
              <w:rPr>
                <w:sz w:val="17"/>
                <w:szCs w:val="17"/>
              </w:rPr>
              <w:t>科目名称</w:t>
            </w:r>
          </w:p>
        </w:tc>
        <w:tc>
          <w:tcPr>
            <w:tcW w:w="3111" w:type="dxa"/>
            <w:vAlign w:val="center"/>
          </w:tcPr>
          <w:p>
            <w:pPr>
              <w:pStyle w:val="24"/>
              <w:spacing w:line="240" w:lineRule="auto"/>
              <w:ind w:firstLine="0" w:firstLineChars="0"/>
              <w:jc w:val="center"/>
              <w:rPr>
                <w:vertAlign w:val="baseline"/>
                <w:lang w:eastAsia="zh-CN"/>
              </w:rPr>
            </w:pPr>
            <w:r>
              <w:rPr>
                <w:sz w:val="17"/>
                <w:szCs w:val="17"/>
              </w:rPr>
              <w:t>合计</w:t>
            </w:r>
          </w:p>
        </w:tc>
        <w:tc>
          <w:tcPr>
            <w:tcW w:w="3112" w:type="dxa"/>
            <w:vAlign w:val="center"/>
          </w:tcPr>
          <w:p>
            <w:pPr>
              <w:pStyle w:val="24"/>
              <w:spacing w:line="240" w:lineRule="auto"/>
              <w:ind w:firstLine="0" w:firstLineChars="0"/>
              <w:jc w:val="center"/>
              <w:rPr>
                <w:vertAlign w:val="baseline"/>
                <w:lang w:eastAsia="zh-CN"/>
              </w:rPr>
            </w:pPr>
            <w:r>
              <w:rPr>
                <w:sz w:val="17"/>
                <w:szCs w:val="17"/>
              </w:rPr>
              <w:t>人员经费</w:t>
            </w:r>
          </w:p>
        </w:tc>
        <w:tc>
          <w:tcPr>
            <w:tcW w:w="3113" w:type="dxa"/>
            <w:vAlign w:val="center"/>
          </w:tcPr>
          <w:p>
            <w:pPr>
              <w:pStyle w:val="24"/>
              <w:spacing w:line="240" w:lineRule="auto"/>
              <w:ind w:firstLine="0" w:firstLineChars="0"/>
              <w:jc w:val="center"/>
              <w:rPr>
                <w:vertAlign w:val="baseline"/>
                <w:lang w:eastAsia="zh-CN"/>
              </w:rPr>
            </w:pPr>
            <w:r>
              <w:rPr>
                <w:sz w:val="17"/>
                <w:szCs w:val="17"/>
              </w:rPr>
              <w:t>公用经费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 xml:space="preserve"> </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合计</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720.62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697.23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工资福利支出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669.53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669.53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基本工资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225.01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225.01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津贴补贴</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41.35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41.35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奖金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109.95</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109.95</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绩效工资</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103.72</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103.72</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30108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机关事业单位基本养老保险缴费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82.61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82.61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30110</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职工基本医疗保险缴费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33.04</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33.04</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其他社会保障缴费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3.61</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3.61</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30113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住房公积金</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70.23</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70.23</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23.39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办公费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30205</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水费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30206</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30207</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邮电费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30211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差旅费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30228</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工会经费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7.40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7.40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30231</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公务用车运行维护费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3.99</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3.99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30299</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其他商品和服务支出</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对个人和家庭的补助</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27.70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27.70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3110" w:type="dxa"/>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30302</w:t>
            </w:r>
          </w:p>
        </w:tc>
        <w:tc>
          <w:tcPr>
            <w:tcW w:w="3111" w:type="dxa"/>
            <w:vAlign w:val="center"/>
          </w:tcPr>
          <w:p>
            <w:pPr>
              <w:pStyle w:val="24"/>
              <w:spacing w:line="240" w:lineRule="auto"/>
              <w:ind w:firstLine="0" w:firstLineChars="0"/>
              <w:jc w:val="left"/>
              <w:rPr>
                <w:vertAlign w:val="baseline"/>
                <w:lang w:eastAsia="zh-CN"/>
              </w:rPr>
            </w:pPr>
            <w:r>
              <w:rPr>
                <w:rFonts w:hint="eastAsia" w:ascii="Times New Roman" w:hAnsi="Times New Roman" w:eastAsia="Times New Roman" w:cs="Times New Roman"/>
                <w:b/>
                <w:bCs/>
                <w:sz w:val="17"/>
                <w:szCs w:val="17"/>
                <w:lang w:val="en-US" w:eastAsia="zh-CN"/>
              </w:rPr>
              <w:t>退休费</w:t>
            </w:r>
          </w:p>
        </w:tc>
        <w:tc>
          <w:tcPr>
            <w:tcW w:w="3111"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27.70</w:t>
            </w:r>
          </w:p>
        </w:tc>
        <w:tc>
          <w:tcPr>
            <w:tcW w:w="3112"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27.70</w:t>
            </w:r>
          </w:p>
        </w:tc>
        <w:tc>
          <w:tcPr>
            <w:tcW w:w="3113" w:type="dxa"/>
            <w:vAlign w:val="center"/>
          </w:tcPr>
          <w:p>
            <w:pPr>
              <w:pStyle w:val="24"/>
              <w:spacing w:line="240" w:lineRule="auto"/>
              <w:ind w:firstLine="0" w:firstLineChars="0"/>
              <w:jc w:val="right"/>
              <w:rPr>
                <w:vertAlign w:val="baseline"/>
                <w:lang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22"/>
        <w:keepNext/>
        <w:keepLines/>
        <w:spacing w:after="240"/>
        <w:jc w:val="center"/>
        <w:rPr>
          <w:rFonts w:hint="default"/>
          <w:sz w:val="28"/>
          <w:szCs w:val="28"/>
          <w:lang w:val="en-US" w:eastAsia="zh-CN"/>
        </w:rPr>
      </w:pPr>
      <w:bookmarkStart w:id="28" w:name="bookmark65"/>
      <w:bookmarkStart w:id="29" w:name="bookmark67"/>
      <w:bookmarkStart w:id="30" w:name="bookmark66"/>
      <w:r>
        <w:rPr>
          <w:rFonts w:hint="default"/>
          <w:sz w:val="28"/>
          <w:szCs w:val="28"/>
          <w:lang w:val="en-US" w:eastAsia="zh-CN"/>
        </w:rPr>
        <w:t>一般公共预算“三公”经费预算表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6"/>
        <w:gridCol w:w="1918"/>
        <w:gridCol w:w="1884"/>
        <w:gridCol w:w="1895"/>
        <w:gridCol w:w="1888"/>
        <w:gridCol w:w="1890"/>
        <w:gridCol w:w="1895"/>
        <w:gridCol w:w="2"/>
        <w:gridCol w:w="18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6" w:type="dxa"/>
            <w:gridSpan w:val="7"/>
            <w:tcBorders>
              <w:top w:val="nil"/>
              <w:left w:val="nil"/>
              <w:right w:val="nil"/>
            </w:tcBorders>
          </w:tcPr>
          <w:p>
            <w:pPr>
              <w:pStyle w:val="26"/>
              <w:bidi w:val="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单位名称：</w:t>
            </w:r>
            <w:r>
              <w:rPr>
                <w:rFonts w:ascii="宋体" w:hAnsi="宋体" w:eastAsia="宋体" w:cs="宋体"/>
                <w:sz w:val="16"/>
                <w:u w:color="auto"/>
              </w:rPr>
              <w:t xml:space="preserve">环江毛南族自治县疾病预防控制中心                                           </w:t>
            </w:r>
            <w:r>
              <w:rPr>
                <w:rFonts w:hint="eastAsia" w:cs="宋体"/>
                <w:sz w:val="16"/>
                <w:szCs w:val="16"/>
                <w:vertAlign w:val="baseline"/>
                <w:lang w:val="en-US" w:eastAsia="zh-CN"/>
              </w:rPr>
              <w:t xml:space="preserve">                    </w:t>
            </w:r>
            <w:r>
              <w:rPr>
                <w:rFonts w:hint="eastAsia" w:ascii="宋体" w:hAnsi="宋体" w:eastAsia="宋体" w:cs="宋体"/>
                <w:sz w:val="16"/>
                <w:szCs w:val="16"/>
                <w:vertAlign w:val="baseline"/>
                <w:lang w:eastAsia="zh-CN"/>
              </w:rPr>
              <w:t xml:space="preserve">                                                                                   </w:t>
            </w:r>
          </w:p>
        </w:tc>
        <w:tc>
          <w:tcPr>
            <w:tcW w:w="1891" w:type="dxa"/>
            <w:gridSpan w:val="2"/>
            <w:tcBorders>
              <w:top w:val="nil"/>
              <w:left w:val="nil"/>
              <w:right w:val="nil"/>
            </w:tcBorders>
          </w:tcPr>
          <w:p>
            <w:pPr>
              <w:pStyle w:val="26"/>
              <w:bidi w:val="0"/>
              <w:ind w:firstLine="480" w:firstLineChars="300"/>
              <w:jc w:val="both"/>
              <w:rPr>
                <w:rFonts w:hint="eastAsia" w:ascii="宋体" w:hAnsi="宋体" w:eastAsia="宋体" w:cs="宋体"/>
                <w:sz w:val="16"/>
                <w:szCs w:val="16"/>
                <w:vertAlign w:val="baseline"/>
                <w:lang w:eastAsia="zh-CN"/>
              </w:rPr>
            </w:pPr>
            <w:r>
              <w:rPr>
                <w:rFonts w:hint="eastAsia" w:ascii="宋体" w:hAnsi="宋体" w:eastAsia="宋体" w:cs="宋体"/>
                <w:sz w:val="16"/>
                <w:szCs w:val="16"/>
                <w:vertAlign w:val="baseline"/>
                <w:lang w:eastAsia="zh-CN"/>
              </w:rPr>
              <w:t xml:space="preserve">单位：万元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restart"/>
          </w:tcPr>
          <w:p>
            <w:pPr>
              <w:pStyle w:val="26"/>
              <w:bidi w:val="0"/>
              <w:jc w:val="center"/>
              <w:rPr>
                <w:rFonts w:hint="eastAsia"/>
                <w:vertAlign w:val="baseline"/>
                <w:lang w:val="en-US" w:eastAsia="zh-CN"/>
              </w:rPr>
            </w:pPr>
            <w:r>
              <w:rPr>
                <w:sz w:val="17"/>
                <w:szCs w:val="17"/>
              </w:rPr>
              <w:t>门（单位）代码</w:t>
            </w:r>
          </w:p>
        </w:tc>
        <w:tc>
          <w:tcPr>
            <w:tcW w:w="1918" w:type="dxa"/>
            <w:vMerge w:val="restart"/>
          </w:tcPr>
          <w:p>
            <w:pPr>
              <w:pStyle w:val="26"/>
              <w:bidi w:val="0"/>
              <w:jc w:val="center"/>
              <w:rPr>
                <w:rFonts w:hint="eastAsia"/>
                <w:vertAlign w:val="baseline"/>
                <w:lang w:val="en-US" w:eastAsia="zh-CN"/>
              </w:rPr>
            </w:pPr>
            <w:r>
              <w:rPr>
                <w:sz w:val="17"/>
                <w:szCs w:val="17"/>
              </w:rPr>
              <w:t>部门（单位）名称</w:t>
            </w:r>
          </w:p>
        </w:tc>
        <w:tc>
          <w:tcPr>
            <w:tcW w:w="11343" w:type="dxa"/>
            <w:gridSpan w:val="7"/>
          </w:tcPr>
          <w:p>
            <w:pPr>
              <w:pStyle w:val="26"/>
              <w:bidi w:val="0"/>
              <w:jc w:val="center"/>
              <w:rPr>
                <w:rFonts w:hint="eastAsia"/>
                <w:vertAlign w:val="baseline"/>
                <w:lang w:val="en-US" w:eastAsia="zh-CN"/>
              </w:rPr>
            </w:pPr>
            <w:r>
              <w:rPr>
                <w:sz w:val="17"/>
                <w:szCs w:val="17"/>
                <w:lang w:val="zh-CN" w:eastAsia="zh-CN" w:bidi="zh-CN"/>
              </w:rPr>
              <w:t>“三</w:t>
            </w:r>
            <w:r>
              <w:rPr>
                <w:sz w:val="17"/>
                <w:szCs w:val="17"/>
              </w:rPr>
              <w:t>公”经费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restart"/>
          </w:tcPr>
          <w:p>
            <w:pPr>
              <w:pStyle w:val="26"/>
              <w:bidi w:val="0"/>
              <w:jc w:val="center"/>
              <w:rPr>
                <w:rFonts w:hint="eastAsia"/>
                <w:vertAlign w:val="baseline"/>
                <w:lang w:val="en-US" w:eastAsia="zh-CN"/>
              </w:rPr>
            </w:pPr>
            <w:r>
              <w:rPr>
                <w:sz w:val="17"/>
                <w:szCs w:val="17"/>
              </w:rPr>
              <w:t>合计</w:t>
            </w:r>
          </w:p>
        </w:tc>
        <w:tc>
          <w:tcPr>
            <w:tcW w:w="1895" w:type="dxa"/>
            <w:vMerge w:val="restart"/>
          </w:tcPr>
          <w:p>
            <w:pPr>
              <w:pStyle w:val="26"/>
              <w:bidi w:val="0"/>
              <w:jc w:val="center"/>
              <w:rPr>
                <w:rFonts w:hint="eastAsia"/>
                <w:vertAlign w:val="baseline"/>
                <w:lang w:val="en-US" w:eastAsia="zh-CN"/>
              </w:rPr>
            </w:pPr>
            <w:r>
              <w:rPr>
                <w:sz w:val="17"/>
                <w:szCs w:val="17"/>
              </w:rPr>
              <w:t>因公出国（境）费</w:t>
            </w:r>
          </w:p>
        </w:tc>
        <w:tc>
          <w:tcPr>
            <w:tcW w:w="5675" w:type="dxa"/>
            <w:gridSpan w:val="4"/>
          </w:tcPr>
          <w:p>
            <w:pPr>
              <w:pStyle w:val="26"/>
              <w:bidi w:val="0"/>
              <w:jc w:val="center"/>
              <w:rPr>
                <w:rFonts w:hint="eastAsia"/>
                <w:vertAlign w:val="baseline"/>
                <w:lang w:val="en-US" w:eastAsia="zh-CN"/>
              </w:rPr>
            </w:pPr>
            <w:r>
              <w:rPr>
                <w:sz w:val="17"/>
                <w:szCs w:val="17"/>
              </w:rPr>
              <w:t>公务用车购置及运行维护费</w:t>
            </w:r>
          </w:p>
        </w:tc>
        <w:tc>
          <w:tcPr>
            <w:tcW w:w="1889" w:type="dxa"/>
            <w:vMerge w:val="restart"/>
          </w:tcPr>
          <w:p>
            <w:pPr>
              <w:pStyle w:val="26"/>
              <w:bidi w:val="0"/>
              <w:jc w:val="center"/>
              <w:rPr>
                <w:rFonts w:hint="eastAsia"/>
                <w:vertAlign w:val="baseline"/>
                <w:lang w:val="en-US" w:eastAsia="zh-CN"/>
              </w:rPr>
            </w:pPr>
            <w:r>
              <w:rPr>
                <w:sz w:val="17"/>
                <w:szCs w:val="17"/>
              </w:rPr>
              <w:t>公务接待费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Merge w:val="continue"/>
          </w:tcPr>
          <w:p>
            <w:pPr>
              <w:pStyle w:val="26"/>
              <w:bidi w:val="0"/>
              <w:jc w:val="center"/>
              <w:rPr>
                <w:rFonts w:hint="eastAsia"/>
                <w:vertAlign w:val="baseline"/>
                <w:lang w:val="en-US" w:eastAsia="zh-CN"/>
              </w:rPr>
            </w:pPr>
          </w:p>
        </w:tc>
        <w:tc>
          <w:tcPr>
            <w:tcW w:w="1918" w:type="dxa"/>
            <w:vMerge w:val="continue"/>
          </w:tcPr>
          <w:p>
            <w:pPr>
              <w:pStyle w:val="26"/>
              <w:bidi w:val="0"/>
              <w:jc w:val="center"/>
              <w:rPr>
                <w:rFonts w:hint="eastAsia"/>
                <w:vertAlign w:val="baseline"/>
                <w:lang w:val="en-US" w:eastAsia="zh-CN"/>
              </w:rPr>
            </w:pPr>
          </w:p>
        </w:tc>
        <w:tc>
          <w:tcPr>
            <w:tcW w:w="1884" w:type="dxa"/>
            <w:vMerge w:val="continue"/>
          </w:tcPr>
          <w:p>
            <w:pPr>
              <w:pStyle w:val="26"/>
              <w:bidi w:val="0"/>
              <w:jc w:val="center"/>
              <w:rPr>
                <w:rFonts w:hint="eastAsia"/>
                <w:vertAlign w:val="baseline"/>
                <w:lang w:val="en-US" w:eastAsia="zh-CN"/>
              </w:rPr>
            </w:pPr>
          </w:p>
        </w:tc>
        <w:tc>
          <w:tcPr>
            <w:tcW w:w="1895" w:type="dxa"/>
            <w:vMerge w:val="continue"/>
          </w:tcPr>
          <w:p>
            <w:pPr>
              <w:pStyle w:val="26"/>
              <w:bidi w:val="0"/>
              <w:jc w:val="center"/>
              <w:rPr>
                <w:rFonts w:hint="eastAsia"/>
                <w:vertAlign w:val="baseline"/>
                <w:lang w:val="en-US" w:eastAsia="zh-CN"/>
              </w:rPr>
            </w:pPr>
          </w:p>
        </w:tc>
        <w:tc>
          <w:tcPr>
            <w:tcW w:w="1888" w:type="dxa"/>
            <w:vAlign w:val="center"/>
          </w:tcPr>
          <w:p>
            <w:pPr>
              <w:pStyle w:val="24"/>
              <w:spacing w:line="240" w:lineRule="auto"/>
              <w:ind w:firstLine="0" w:firstLineChars="0"/>
              <w:jc w:val="center"/>
              <w:rPr>
                <w:rFonts w:hint="eastAsia"/>
                <w:vertAlign w:val="baseline"/>
                <w:lang w:val="en-US" w:eastAsia="zh-CN"/>
              </w:rPr>
            </w:pPr>
            <w:r>
              <w:rPr>
                <w:sz w:val="17"/>
                <w:szCs w:val="17"/>
              </w:rPr>
              <w:t>小计</w:t>
            </w:r>
          </w:p>
        </w:tc>
        <w:tc>
          <w:tcPr>
            <w:tcW w:w="1890" w:type="dxa"/>
            <w:vAlign w:val="center"/>
          </w:tcPr>
          <w:p>
            <w:pPr>
              <w:pStyle w:val="24"/>
              <w:spacing w:line="240" w:lineRule="auto"/>
              <w:ind w:firstLine="220" w:firstLineChars="0"/>
              <w:jc w:val="center"/>
              <w:rPr>
                <w:rFonts w:hint="eastAsia"/>
                <w:vertAlign w:val="baseline"/>
                <w:lang w:val="en-US" w:eastAsia="zh-CN"/>
              </w:rPr>
            </w:pPr>
            <w:r>
              <w:rPr>
                <w:sz w:val="17"/>
                <w:szCs w:val="17"/>
              </w:rPr>
              <w:t>公务用车运行维护费</w:t>
            </w:r>
          </w:p>
        </w:tc>
        <w:tc>
          <w:tcPr>
            <w:tcW w:w="1897" w:type="dxa"/>
            <w:gridSpan w:val="2"/>
            <w:vAlign w:val="center"/>
          </w:tcPr>
          <w:p>
            <w:pPr>
              <w:pStyle w:val="24"/>
              <w:spacing w:line="240" w:lineRule="auto"/>
              <w:ind w:firstLine="400" w:firstLineChars="0"/>
              <w:jc w:val="center"/>
              <w:rPr>
                <w:rFonts w:hint="eastAsia"/>
                <w:vertAlign w:val="baseline"/>
                <w:lang w:val="en-US" w:eastAsia="zh-CN"/>
              </w:rPr>
            </w:pPr>
            <w:r>
              <w:rPr>
                <w:sz w:val="17"/>
                <w:szCs w:val="17"/>
              </w:rPr>
              <w:t>公务用车购置费</w:t>
            </w:r>
          </w:p>
        </w:tc>
        <w:tc>
          <w:tcPr>
            <w:tcW w:w="1889" w:type="dxa"/>
            <w:vMerge w:val="continue"/>
          </w:tcPr>
          <w:p>
            <w:pPr>
              <w:pStyle w:val="26"/>
              <w:bidi w:val="0"/>
              <w:jc w:val="center"/>
              <w:rPr>
                <w:rFonts w:hint="eastAsia"/>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1</w:t>
            </w:r>
          </w:p>
        </w:tc>
        <w:tc>
          <w:tcPr>
            <w:tcW w:w="1895"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2</w:t>
            </w:r>
          </w:p>
        </w:tc>
        <w:tc>
          <w:tcPr>
            <w:tcW w:w="1888"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3</w:t>
            </w:r>
          </w:p>
        </w:tc>
        <w:tc>
          <w:tcPr>
            <w:tcW w:w="1890"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4</w:t>
            </w:r>
          </w:p>
        </w:tc>
        <w:tc>
          <w:tcPr>
            <w:tcW w:w="1897" w:type="dxa"/>
            <w:gridSpan w:val="2"/>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5</w:t>
            </w:r>
          </w:p>
        </w:tc>
        <w:tc>
          <w:tcPr>
            <w:tcW w:w="1889" w:type="dxa"/>
            <w:vAlign w:val="center"/>
          </w:tcPr>
          <w:p>
            <w:pPr>
              <w:pStyle w:val="24"/>
              <w:spacing w:line="240" w:lineRule="auto"/>
              <w:ind w:firstLine="0" w:firstLineChars="0"/>
              <w:jc w:val="center"/>
              <w:rPr>
                <w:rFonts w:hint="eastAsia"/>
                <w:vertAlign w:val="baseline"/>
                <w:lang w:val="en-US" w:eastAsia="zh-CN"/>
              </w:rPr>
            </w:pPr>
            <w:r>
              <w:rPr>
                <w:rFonts w:ascii="Times New Roman" w:hAnsi="Times New Roman" w:eastAsia="Times New Roman" w:cs="Times New Roman"/>
                <w:b/>
                <w:bCs/>
                <w:sz w:val="17"/>
                <w:szCs w:val="17"/>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96" w:type="dxa"/>
            <w:vAlign w:val="center"/>
          </w:tcPr>
          <w:p>
            <w:pPr>
              <w:pStyle w:val="24"/>
              <w:spacing w:line="240" w:lineRule="auto"/>
              <w:ind w:firstLine="0" w:firstLineChars="0"/>
              <w:jc w:val="left"/>
              <w:rPr>
                <w:rFonts w:hint="eastAsia"/>
                <w:vertAlign w:val="baseline"/>
                <w:lang w:val="en-US" w:eastAsia="zh-CN"/>
              </w:rPr>
            </w:pPr>
            <w:r>
              <w:rPr>
                <w:rFonts w:hint="eastAsia" w:ascii="Times New Roman" w:hAnsi="Times New Roman" w:eastAsia="Times New Roman" w:cs="Times New Roman"/>
                <w:b/>
                <w:bCs/>
                <w:sz w:val="17"/>
                <w:szCs w:val="17"/>
                <w:lang w:val="en-US" w:eastAsia="zh-CN"/>
              </w:rPr>
              <w:t>402003</w:t>
            </w:r>
          </w:p>
        </w:tc>
        <w:tc>
          <w:tcPr>
            <w:tcW w:w="1918" w:type="dxa"/>
            <w:vAlign w:val="center"/>
          </w:tcPr>
          <w:p>
            <w:pPr>
              <w:pStyle w:val="24"/>
              <w:spacing w:line="240" w:lineRule="auto"/>
              <w:ind w:firstLine="0" w:firstLineChars="0"/>
              <w:jc w:val="left"/>
              <w:rPr>
                <w:rFonts w:hint="eastAsia"/>
                <w:vertAlign w:val="baseline"/>
                <w:lang w:val="en-US" w:eastAsia="zh-CN"/>
              </w:rPr>
            </w:pPr>
          </w:p>
        </w:tc>
        <w:tc>
          <w:tcPr>
            <w:tcW w:w="1884"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3.99</w:t>
            </w:r>
          </w:p>
        </w:tc>
        <w:tc>
          <w:tcPr>
            <w:tcW w:w="1895"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8"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3.99</w:t>
            </w:r>
          </w:p>
        </w:tc>
        <w:tc>
          <w:tcPr>
            <w:tcW w:w="1890"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3.99</w:t>
            </w:r>
          </w:p>
        </w:tc>
        <w:tc>
          <w:tcPr>
            <w:tcW w:w="1897" w:type="dxa"/>
            <w:gridSpan w:val="2"/>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c>
          <w:tcPr>
            <w:tcW w:w="1889" w:type="dxa"/>
            <w:vAlign w:val="center"/>
          </w:tcPr>
          <w:p>
            <w:pPr>
              <w:pStyle w:val="24"/>
              <w:spacing w:line="240" w:lineRule="auto"/>
              <w:ind w:firstLine="0" w:firstLineChars="0"/>
              <w:jc w:val="right"/>
              <w:rPr>
                <w:rFonts w:hint="eastAsia"/>
                <w:vertAlign w:val="baseline"/>
                <w:lang w:val="en-US" w:eastAsia="zh-CN"/>
              </w:rPr>
            </w:pPr>
            <w:r>
              <w:rPr>
                <w:rFonts w:hint="eastAsia" w:ascii="Times New Roman" w:hAnsi="Times New Roman" w:eastAsia="Times New Roman" w:cs="Times New Roman"/>
                <w:b/>
                <w:bCs/>
                <w:sz w:val="17"/>
                <w:szCs w:val="17"/>
                <w:lang w:val="en-US" w:eastAsia="zh-CN"/>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5557" w:type="dxa"/>
            <w:gridSpan w:val="9"/>
            <w:tcBorders>
              <w:left w:val="nil"/>
              <w:bottom w:val="nil"/>
              <w:right w:val="nil"/>
            </w:tcBorders>
          </w:tcPr>
          <w:p>
            <w:pPr>
              <w:pStyle w:val="26"/>
              <w:bidi w:val="0"/>
              <w:jc w:val="both"/>
              <w:rPr>
                <w:rFonts w:hint="eastAsia"/>
                <w:vertAlign w:val="baseline"/>
                <w:lang w:val="en-US" w:eastAsia="zh-CN"/>
              </w:rPr>
            </w:pPr>
            <w:r>
              <w:rPr>
                <w:rFonts w:hint="eastAsia" w:ascii="宋体" w:hAnsi="宋体" w:eastAsia="宋体" w:cs="宋体"/>
                <w:sz w:val="16"/>
                <w:szCs w:val="16"/>
              </w:rPr>
              <w:t>注：本报表金额单位转换时可能存在四舍五入尾数误差</w:t>
            </w:r>
          </w:p>
        </w:tc>
      </w:tr>
    </w:tbl>
    <w:p>
      <w:pPr>
        <w:pStyle w:val="26"/>
        <w:bidi w:val="0"/>
        <w:rPr>
          <w:rFonts w:hint="eastAsia"/>
          <w:lang w:val="en-US" w:eastAsia="zh-CN"/>
        </w:rP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2"/>
        <w:keepNext/>
        <w:keepLines/>
        <w:spacing w:after="240"/>
        <w:jc w:val="center"/>
      </w:pPr>
    </w:p>
    <w:p>
      <w:pPr>
        <w:pStyle w:val="26"/>
        <w:bidi w:val="0"/>
      </w:pPr>
    </w:p>
    <w:p>
      <w:pPr>
        <w:pStyle w:val="22"/>
        <w:keepNext/>
        <w:keepLines/>
        <w:spacing w:after="240"/>
        <w:jc w:val="center"/>
      </w:pPr>
      <w:r>
        <w:t>政府性基金预算支出情况表</w:t>
      </w:r>
      <w:bookmarkEnd w:id="28"/>
      <w:bookmarkEnd w:id="29"/>
      <w:bookmarkEnd w:id="30"/>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环江毛南族自治县疾病预防控制中心</w:t>
            </w:r>
            <w:r>
              <w:tab/>
            </w:r>
            <w:r>
              <w:t>单位：万元</w:t>
            </w:r>
          </w:p>
        </w:tc>
        <w:tc>
          <w:tcPr>
            <w:tcW w:w="2163" w:type="dxa"/>
            <w:tcBorders>
              <w:top w:val="nil"/>
              <w:left w:val="nil"/>
              <w:right w:val="nil"/>
            </w:tcBorders>
          </w:tcPr>
          <w:p>
            <w:pPr>
              <w:pStyle w:val="26"/>
              <w:tabs>
                <w:tab w:val="left" w:pos="14213"/>
              </w:tabs>
              <w:ind w:left="101" w:firstLine="680" w:firstLineChars="400"/>
              <w:jc w:val="left"/>
            </w:pPr>
            <w:r>
              <w:rPr>
                <w:rFonts w:hint="eastAsia"/>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pStyle w:val="26"/>
              <w:bidi w:val="0"/>
              <w:jc w:val="center"/>
              <w:rPr>
                <w:vertAlign w:val="baseline"/>
              </w:rPr>
            </w:pPr>
            <w:r>
              <w:rPr>
                <w:sz w:val="17"/>
                <w:szCs w:val="17"/>
              </w:rPr>
              <w:t>科目编码</w:t>
            </w:r>
          </w:p>
        </w:tc>
        <w:tc>
          <w:tcPr>
            <w:tcW w:w="2161" w:type="dxa"/>
          </w:tcPr>
          <w:p>
            <w:pPr>
              <w:pStyle w:val="26"/>
              <w:bidi w:val="0"/>
              <w:jc w:val="center"/>
              <w:rPr>
                <w:vertAlign w:val="baseline"/>
              </w:rPr>
            </w:pPr>
            <w:r>
              <w:rPr>
                <w:sz w:val="17"/>
                <w:szCs w:val="17"/>
              </w:rPr>
              <w:t>部门（单位）代码</w:t>
            </w:r>
          </w:p>
        </w:tc>
        <w:tc>
          <w:tcPr>
            <w:tcW w:w="2162" w:type="dxa"/>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p>
        </w:tc>
        <w:tc>
          <w:tcPr>
            <w:tcW w:w="2161"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402003</w:t>
            </w:r>
          </w:p>
        </w:tc>
        <w:tc>
          <w:tcPr>
            <w:tcW w:w="2162" w:type="dxa"/>
            <w:vAlign w:val="center"/>
          </w:tcPr>
          <w:p>
            <w:pPr>
              <w:pStyle w:val="24"/>
              <w:spacing w:line="240" w:lineRule="auto"/>
              <w:ind w:firstLine="0" w:firstLineChars="0"/>
              <w:jc w:val="left"/>
              <w:rPr>
                <w:b w:val="0"/>
                <w:bCs w:val="0"/>
                <w:vertAlign w:val="baseline"/>
              </w:rPr>
            </w:pP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30.00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30.00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trPr>
        <w:tc>
          <w:tcPr>
            <w:tcW w:w="2527" w:type="dxa"/>
            <w:vAlign w:val="center"/>
          </w:tcPr>
          <w:p>
            <w:pPr>
              <w:pStyle w:val="24"/>
              <w:spacing w:line="240" w:lineRule="auto"/>
              <w:ind w:firstLine="0" w:firstLineChars="0"/>
              <w:jc w:val="left"/>
              <w:rPr>
                <w:b w:val="0"/>
                <w:bCs w:val="0"/>
                <w:vertAlign w:val="baseline"/>
              </w:rPr>
            </w:pPr>
            <w:r>
              <w:rPr>
                <w:rFonts w:hint="eastAsia" w:ascii="Times New Roman" w:hAnsi="Times New Roman" w:cs="Times New Roman"/>
                <w:b w:val="0"/>
                <w:bCs w:val="0"/>
                <w:sz w:val="17"/>
                <w:szCs w:val="17"/>
                <w:lang w:val="en-US" w:eastAsia="zh-CN"/>
              </w:rPr>
              <w:t>2121903</w:t>
            </w:r>
          </w:p>
        </w:tc>
        <w:tc>
          <w:tcPr>
            <w:tcW w:w="2161" w:type="dxa"/>
            <w:vAlign w:val="center"/>
          </w:tcPr>
          <w:p>
            <w:pPr>
              <w:pStyle w:val="24"/>
              <w:spacing w:line="240" w:lineRule="auto"/>
              <w:ind w:firstLine="0" w:firstLineChars="0"/>
              <w:jc w:val="left"/>
              <w:rPr>
                <w:b w:val="0"/>
                <w:bCs w:val="0"/>
                <w:vertAlign w:val="baseline"/>
              </w:rPr>
            </w:pPr>
          </w:p>
        </w:tc>
        <w:tc>
          <w:tcPr>
            <w:tcW w:w="2162" w:type="dxa"/>
            <w:vAlign w:val="center"/>
          </w:tcPr>
          <w:p>
            <w:pPr>
              <w:pStyle w:val="24"/>
              <w:spacing w:line="240" w:lineRule="auto"/>
              <w:ind w:firstLine="0" w:firstLineChars="0"/>
              <w:jc w:val="left"/>
              <w:rPr>
                <w:b w:val="0"/>
                <w:bCs w:val="0"/>
                <w:vertAlign w:val="baseline"/>
              </w:rPr>
            </w:pPr>
            <w:r>
              <w:rPr>
                <w:rFonts w:hint="eastAsia"/>
                <w:b w:val="0"/>
                <w:bCs w:val="0"/>
                <w:sz w:val="17"/>
                <w:szCs w:val="17"/>
                <w:lang w:val="en-US" w:eastAsia="zh-CN"/>
              </w:rPr>
              <w:t>城市建设支出</w:t>
            </w:r>
          </w:p>
        </w:tc>
        <w:tc>
          <w:tcPr>
            <w:tcW w:w="2222" w:type="dxa"/>
            <w:vAlign w:val="center"/>
          </w:tcPr>
          <w:p>
            <w:pPr>
              <w:pStyle w:val="24"/>
              <w:spacing w:line="240" w:lineRule="auto"/>
              <w:ind w:left="1060" w:leftChars="0"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30.00</w:t>
            </w:r>
          </w:p>
        </w:tc>
        <w:tc>
          <w:tcPr>
            <w:tcW w:w="2161" w:type="dxa"/>
            <w:vAlign w:val="center"/>
          </w:tcPr>
          <w:p>
            <w:pPr>
              <w:pStyle w:val="24"/>
              <w:spacing w:line="240" w:lineRule="auto"/>
              <w:ind w:firstLine="0" w:firstLineChars="0"/>
              <w:jc w:val="right"/>
              <w:rPr>
                <w:b w:val="0"/>
                <w:bCs w:val="0"/>
                <w:vertAlign w:val="baseline"/>
              </w:rPr>
            </w:pPr>
            <w:r>
              <w:rPr>
                <w:rFonts w:hint="eastAsia"/>
                <w:b w:val="0"/>
                <w:bCs w:val="0"/>
                <w:sz w:val="17"/>
                <w:szCs w:val="17"/>
                <w:lang w:val="en-US" w:eastAsia="zh-CN"/>
              </w:rPr>
              <w:t>0.00</w:t>
            </w:r>
          </w:p>
        </w:tc>
        <w:tc>
          <w:tcPr>
            <w:tcW w:w="2161"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30.00</w:t>
            </w:r>
          </w:p>
        </w:tc>
        <w:tc>
          <w:tcPr>
            <w:tcW w:w="2163" w:type="dxa"/>
            <w:vAlign w:val="center"/>
          </w:tcPr>
          <w:p>
            <w:pPr>
              <w:pStyle w:val="24"/>
              <w:spacing w:line="240" w:lineRule="auto"/>
              <w:ind w:firstLine="0" w:firstLineChars="0"/>
              <w:jc w:val="right"/>
              <w:rPr>
                <w:b w:val="0"/>
                <w:bCs w:val="0"/>
                <w:vertAlign w:val="baseline"/>
              </w:rPr>
            </w:pPr>
            <w:r>
              <w:rPr>
                <w:rFonts w:hint="eastAsia" w:ascii="Times New Roman" w:hAnsi="Times New Roman" w:cs="Times New Roman"/>
                <w:b w:val="0"/>
                <w:bCs w:val="0"/>
                <w:sz w:val="17"/>
                <w:szCs w:val="17"/>
                <w:lang w:val="en-US" w:eastAsia="zh-CN" w:bidi="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bidi w:val="0"/>
              <w:jc w:val="both"/>
              <w:rPr>
                <w:vertAlign w:val="baseline"/>
              </w:rPr>
            </w:pPr>
            <w:r>
              <w:t>注：本报表金额单位转换时可能存在四舍五入尾数误差</w:t>
            </w:r>
          </w:p>
        </w:tc>
      </w:tr>
    </w:tbl>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pPr>
    </w:p>
    <w:p>
      <w:pPr>
        <w:pStyle w:val="26"/>
        <w:bidi w:val="0"/>
        <w:jc w:val="center"/>
        <w:rPr>
          <w:sz w:val="28"/>
          <w:szCs w:val="28"/>
        </w:rPr>
      </w:pPr>
      <w:r>
        <w:rPr>
          <w:sz w:val="28"/>
          <w:szCs w:val="28"/>
        </w:rPr>
        <w:t>国有资本经营预算支出情况表</w:t>
      </w:r>
    </w:p>
    <w:p>
      <w:pPr>
        <w:pStyle w:val="26"/>
        <w:bidi w:val="0"/>
        <w:jc w:val="center"/>
        <w:rPr>
          <w:sz w:val="28"/>
          <w:szCs w:val="2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7"/>
        <w:gridCol w:w="2161"/>
        <w:gridCol w:w="2162"/>
        <w:gridCol w:w="2222"/>
        <w:gridCol w:w="2161"/>
        <w:gridCol w:w="2161"/>
        <w:gridCol w:w="21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394" w:type="dxa"/>
            <w:gridSpan w:val="6"/>
            <w:tcBorders>
              <w:top w:val="nil"/>
              <w:left w:val="nil"/>
              <w:right w:val="nil"/>
            </w:tcBorders>
          </w:tcPr>
          <w:p>
            <w:pPr>
              <w:pStyle w:val="26"/>
              <w:tabs>
                <w:tab w:val="left" w:pos="14213"/>
              </w:tabs>
              <w:ind w:left="101"/>
              <w:jc w:val="left"/>
            </w:pPr>
            <w:r>
              <w:t>单位名称：</w:t>
            </w:r>
            <w:r>
              <w:rPr>
                <w:rFonts w:hint="eastAsia"/>
                <w:lang w:eastAsia="zh-CN"/>
              </w:rPr>
              <w:t>环江毛南族自治县疾病预防控制中心</w:t>
            </w:r>
            <w:r>
              <w:tab/>
            </w:r>
            <w:r>
              <w:t>单位：万元</w:t>
            </w:r>
          </w:p>
        </w:tc>
        <w:tc>
          <w:tcPr>
            <w:tcW w:w="2163" w:type="dxa"/>
            <w:tcBorders>
              <w:top w:val="nil"/>
              <w:left w:val="nil"/>
              <w:right w:val="nil"/>
            </w:tcBorders>
          </w:tcPr>
          <w:p>
            <w:pPr>
              <w:pStyle w:val="26"/>
              <w:tabs>
                <w:tab w:val="left" w:pos="14213"/>
              </w:tabs>
              <w:ind w:left="101"/>
              <w:jc w:val="left"/>
            </w:pPr>
            <w:r>
              <w:rPr>
                <w:rFonts w:hint="eastAsia" w:ascii="宋体" w:hAnsi="宋体" w:eastAsia="宋体" w:cs="宋体"/>
                <w:sz w:val="17"/>
                <w:szCs w:val="17"/>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restart"/>
          </w:tcPr>
          <w:p>
            <w:pPr>
              <w:pStyle w:val="26"/>
              <w:bidi w:val="0"/>
              <w:jc w:val="center"/>
              <w:rPr>
                <w:vertAlign w:val="baseline"/>
              </w:rPr>
            </w:pPr>
            <w:r>
              <w:rPr>
                <w:sz w:val="17"/>
                <w:szCs w:val="17"/>
              </w:rPr>
              <w:t>科目编码</w:t>
            </w:r>
          </w:p>
        </w:tc>
        <w:tc>
          <w:tcPr>
            <w:tcW w:w="2161" w:type="dxa"/>
            <w:vMerge w:val="restart"/>
          </w:tcPr>
          <w:p>
            <w:pPr>
              <w:pStyle w:val="26"/>
              <w:bidi w:val="0"/>
              <w:jc w:val="center"/>
              <w:rPr>
                <w:vertAlign w:val="baseline"/>
              </w:rPr>
            </w:pPr>
            <w:r>
              <w:rPr>
                <w:sz w:val="17"/>
                <w:szCs w:val="17"/>
              </w:rPr>
              <w:t>部门（单位）代码</w:t>
            </w:r>
          </w:p>
        </w:tc>
        <w:tc>
          <w:tcPr>
            <w:tcW w:w="2162" w:type="dxa"/>
            <w:vMerge w:val="restart"/>
          </w:tcPr>
          <w:p>
            <w:pPr>
              <w:pStyle w:val="26"/>
              <w:bidi w:val="0"/>
              <w:jc w:val="center"/>
              <w:rPr>
                <w:vertAlign w:val="baseline"/>
              </w:rPr>
            </w:pPr>
            <w:r>
              <w:rPr>
                <w:sz w:val="17"/>
                <w:szCs w:val="17"/>
              </w:rPr>
              <w:t>部门（单位）名称（功能分类科目名称）</w:t>
            </w:r>
          </w:p>
        </w:tc>
        <w:tc>
          <w:tcPr>
            <w:tcW w:w="2222" w:type="dxa"/>
            <w:vAlign w:val="center"/>
          </w:tcPr>
          <w:p>
            <w:pPr>
              <w:pStyle w:val="24"/>
              <w:spacing w:line="240" w:lineRule="auto"/>
              <w:ind w:firstLine="0" w:firstLineChars="0"/>
              <w:jc w:val="center"/>
              <w:rPr>
                <w:vertAlign w:val="baseline"/>
              </w:rPr>
            </w:pPr>
            <w:r>
              <w:rPr>
                <w:sz w:val="17"/>
                <w:szCs w:val="17"/>
              </w:rPr>
              <w:t>合计</w:t>
            </w:r>
          </w:p>
        </w:tc>
        <w:tc>
          <w:tcPr>
            <w:tcW w:w="2161" w:type="dxa"/>
            <w:vAlign w:val="center"/>
          </w:tcPr>
          <w:p>
            <w:pPr>
              <w:pStyle w:val="24"/>
              <w:spacing w:line="240" w:lineRule="auto"/>
              <w:ind w:firstLine="0" w:firstLineChars="0"/>
              <w:jc w:val="center"/>
              <w:rPr>
                <w:vertAlign w:val="baseline"/>
              </w:rPr>
            </w:pPr>
            <w:r>
              <w:rPr>
                <w:sz w:val="17"/>
                <w:szCs w:val="17"/>
              </w:rPr>
              <w:t>基本支出</w:t>
            </w:r>
          </w:p>
        </w:tc>
        <w:tc>
          <w:tcPr>
            <w:tcW w:w="2161" w:type="dxa"/>
            <w:vAlign w:val="center"/>
          </w:tcPr>
          <w:p>
            <w:pPr>
              <w:pStyle w:val="24"/>
              <w:spacing w:line="240" w:lineRule="auto"/>
              <w:ind w:firstLine="0" w:firstLineChars="0"/>
              <w:jc w:val="center"/>
              <w:rPr>
                <w:vertAlign w:val="baseline"/>
              </w:rPr>
            </w:pPr>
            <w:r>
              <w:rPr>
                <w:sz w:val="17"/>
                <w:szCs w:val="17"/>
              </w:rPr>
              <w:t>项目支出</w:t>
            </w:r>
          </w:p>
        </w:tc>
        <w:tc>
          <w:tcPr>
            <w:tcW w:w="2163" w:type="dxa"/>
            <w:vAlign w:val="center"/>
          </w:tcPr>
          <w:p>
            <w:pPr>
              <w:pStyle w:val="24"/>
              <w:spacing w:line="240" w:lineRule="auto"/>
              <w:ind w:firstLine="0" w:firstLineChars="0"/>
              <w:jc w:val="center"/>
              <w:rPr>
                <w:vertAlign w:val="baseline"/>
              </w:rPr>
            </w:pPr>
            <w:r>
              <w:rPr>
                <w:sz w:val="17"/>
                <w:szCs w:val="17"/>
              </w:rPr>
              <w:t>结转下年支出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vMerge w:val="continue"/>
          </w:tcPr>
          <w:p>
            <w:pPr>
              <w:pStyle w:val="26"/>
              <w:bidi w:val="0"/>
              <w:jc w:val="both"/>
              <w:rPr>
                <w:vertAlign w:val="baseline"/>
              </w:rPr>
            </w:pPr>
          </w:p>
        </w:tc>
        <w:tc>
          <w:tcPr>
            <w:tcW w:w="2161" w:type="dxa"/>
            <w:vMerge w:val="continue"/>
          </w:tcPr>
          <w:p>
            <w:pPr>
              <w:pStyle w:val="26"/>
              <w:bidi w:val="0"/>
              <w:jc w:val="both"/>
              <w:rPr>
                <w:vertAlign w:val="baseline"/>
              </w:rPr>
            </w:pPr>
          </w:p>
        </w:tc>
        <w:tc>
          <w:tcPr>
            <w:tcW w:w="2162" w:type="dxa"/>
            <w:vMerge w:val="continue"/>
          </w:tcPr>
          <w:p>
            <w:pPr>
              <w:pStyle w:val="26"/>
              <w:bidi w:val="0"/>
              <w:jc w:val="both"/>
              <w:rPr>
                <w:vertAlign w:val="baseline"/>
              </w:rPr>
            </w:pPr>
          </w:p>
        </w:tc>
        <w:tc>
          <w:tcPr>
            <w:tcW w:w="2222"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1</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2</w:t>
            </w:r>
          </w:p>
        </w:tc>
        <w:tc>
          <w:tcPr>
            <w:tcW w:w="2161"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3</w:t>
            </w:r>
          </w:p>
        </w:tc>
        <w:tc>
          <w:tcPr>
            <w:tcW w:w="2163" w:type="dxa"/>
            <w:vAlign w:val="center"/>
          </w:tcPr>
          <w:p>
            <w:pPr>
              <w:pStyle w:val="24"/>
              <w:spacing w:line="240" w:lineRule="auto"/>
              <w:ind w:firstLine="0" w:firstLineChars="0"/>
              <w:jc w:val="center"/>
              <w:rPr>
                <w:vertAlign w:val="baseline"/>
              </w:rPr>
            </w:pPr>
            <w:r>
              <w:rPr>
                <w:rFonts w:ascii="Times New Roman" w:hAnsi="Times New Roman" w:eastAsia="Times New Roman" w:cs="Times New Roman"/>
                <w:b/>
                <w:bCs/>
                <w:sz w:val="17"/>
                <w:szCs w:val="17"/>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24"/>
              <w:spacing w:line="240" w:lineRule="auto"/>
              <w:ind w:firstLine="0" w:firstLineChars="0"/>
              <w:jc w:val="left"/>
              <w:rPr>
                <w:vertAlign w:val="baseline"/>
              </w:rPr>
            </w:pPr>
            <w:r>
              <w:rPr>
                <w:sz w:val="17"/>
                <w:szCs w:val="17"/>
              </w:rPr>
              <w:t>合计</w:t>
            </w:r>
          </w:p>
        </w:tc>
        <w:tc>
          <w:tcPr>
            <w:tcW w:w="2222" w:type="dxa"/>
            <w:vAlign w:val="center"/>
          </w:tcPr>
          <w:p>
            <w:pPr>
              <w:pStyle w:val="24"/>
              <w:spacing w:line="240" w:lineRule="auto"/>
              <w:ind w:left="1700" w:leftChars="0"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1"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c>
          <w:tcPr>
            <w:tcW w:w="2163" w:type="dxa"/>
            <w:vAlign w:val="center"/>
          </w:tcPr>
          <w:p>
            <w:pPr>
              <w:pStyle w:val="24"/>
              <w:spacing w:line="240" w:lineRule="auto"/>
              <w:ind w:firstLine="0" w:firstLineChars="0"/>
              <w:jc w:val="right"/>
              <w:rPr>
                <w:vertAlign w:val="baseline"/>
              </w:rPr>
            </w:pPr>
            <w:r>
              <w:rPr>
                <w:rFonts w:ascii="Times New Roman" w:hAnsi="Times New Roman" w:eastAsia="Times New Roman" w:cs="Times New Roman"/>
                <w:b/>
                <w:bCs/>
                <w:sz w:val="17"/>
                <w:szCs w:val="17"/>
                <w:lang w:val="en-US" w:eastAsia="en-US" w:bidi="en-US"/>
              </w:rPr>
              <w:t>0.</w:t>
            </w:r>
            <w:r>
              <w:rPr>
                <w:rFonts w:ascii="Times New Roman" w:hAnsi="Times New Roman" w:eastAsia="Times New Roman" w:cs="Times New Roman"/>
                <w:b/>
                <w:bCs/>
                <w:sz w:val="17"/>
                <w:szCs w:val="17"/>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557" w:type="dxa"/>
            <w:gridSpan w:val="7"/>
            <w:tcBorders>
              <w:left w:val="nil"/>
              <w:bottom w:val="nil"/>
              <w:right w:val="nil"/>
            </w:tcBorders>
          </w:tcPr>
          <w:p>
            <w:pPr>
              <w:pStyle w:val="26"/>
              <w:spacing w:line="302" w:lineRule="exact"/>
              <w:ind w:left="672"/>
              <w:jc w:val="left"/>
            </w:pPr>
            <w:r>
              <w:t>注：本报表金额单位转换时可能存在四舍五入尾数误差。本部门</w:t>
            </w:r>
            <w:r>
              <w:rPr>
                <w:rFonts w:hint="eastAsia" w:ascii="Times New Roman" w:hAnsi="Times New Roman" w:cs="Times New Roman"/>
                <w:b/>
                <w:bCs/>
                <w:lang w:eastAsia="zh-CN"/>
              </w:rPr>
              <w:t>2024</w:t>
            </w:r>
            <w:r>
              <w:rPr>
                <w:rFonts w:ascii="Times New Roman" w:hAnsi="Times New Roman" w:cs="Times New Roman"/>
                <w:b/>
                <w:u w:color="auto"/>
              </w:rPr>
              <w:t>年</w:t>
            </w:r>
            <w:r>
              <w:t>度没有国有资本经营预算支出，故本表无数据</w:t>
            </w:r>
          </w:p>
          <w:p>
            <w:pPr>
              <w:pStyle w:val="26"/>
              <w:bidi w:val="0"/>
              <w:jc w:val="both"/>
              <w:rPr>
                <w:vertAlign w:val="baseline"/>
              </w:rPr>
            </w:pPr>
          </w:p>
        </w:tc>
      </w:tr>
    </w:tbl>
    <w:p>
      <w:pPr>
        <w:pStyle w:val="26"/>
        <w:bidi w:val="0"/>
      </w:pPr>
    </w:p>
    <w:p>
      <w:r>
        <w:br w:type="page"/>
      </w:r>
    </w:p>
    <w:p>
      <w:pPr>
        <w:pStyle w:val="22"/>
        <w:keepNext/>
        <w:keepLines/>
        <w:spacing w:after="240"/>
        <w:jc w:val="center"/>
        <w:rPr>
          <w:rFonts w:hint="default" w:eastAsia="宋体"/>
          <w:lang w:val="en-US" w:eastAsia="zh-CN"/>
        </w:rPr>
      </w:pPr>
      <w:r>
        <w:rPr>
          <w:rFonts w:hint="eastAsia"/>
          <w:lang w:val="en-US" w:eastAsia="zh-CN"/>
        </w:rPr>
        <w:t>2024年度预算项目绩效目标公开表</w:t>
      </w:r>
    </w:p>
    <w:tbl>
      <w:tblPr>
        <w:tblStyle w:val="4"/>
        <w:tblW w:w="0" w:type="auto"/>
        <w:tblInd w:w="0" w:type="dxa"/>
        <w:tblLayout w:type="fixed"/>
        <w:tblCellMar>
          <w:top w:w="0" w:type="dxa"/>
          <w:left w:w="10" w:type="dxa"/>
          <w:bottom w:w="0" w:type="dxa"/>
          <w:right w:w="10" w:type="dxa"/>
        </w:tblCellMar>
      </w:tblPr>
      <w:tblGrid>
        <w:gridCol w:w="1843"/>
        <w:gridCol w:w="2559"/>
        <w:gridCol w:w="3350"/>
        <w:gridCol w:w="1511"/>
        <w:gridCol w:w="6076"/>
      </w:tblGrid>
      <w:tr>
        <w:tblPrEx>
          <w:tblCellMar>
            <w:top w:w="0" w:type="dxa"/>
            <w:left w:w="10" w:type="dxa"/>
            <w:bottom w:w="0" w:type="dxa"/>
            <w:right w:w="10" w:type="dxa"/>
          </w:tblCellMar>
        </w:tblPrEx>
        <w:trPr>
          <w:trHeight w:val="346" w:hRule="exact"/>
        </w:trPr>
        <w:tc>
          <w:tcPr>
            <w:tcW w:w="9263" w:type="dxa"/>
            <w:gridSpan w:val="4"/>
            <w:shd w:val="clear" w:color="auto" w:fill="FFFFFF"/>
          </w:tcPr>
          <w:p>
            <w:pPr>
              <w:pStyle w:val="24"/>
              <w:spacing w:line="240" w:lineRule="auto"/>
              <w:ind w:firstLine="0"/>
              <w:jc w:val="left"/>
              <w:rPr>
                <w:rFonts w:hint="default" w:ascii="宋体" w:hAnsi="宋体" w:eastAsia="宋体" w:cs="宋体"/>
                <w:sz w:val="17"/>
                <w:szCs w:val="17"/>
                <w:lang w:val="en-US"/>
              </w:rPr>
            </w:pPr>
            <w:r>
              <w:rPr>
                <w:rFonts w:hint="eastAsia" w:ascii="宋体" w:hAnsi="宋体" w:eastAsia="宋体" w:cs="宋体"/>
                <w:sz w:val="17"/>
                <w:szCs w:val="17"/>
              </w:rPr>
              <w:t>单位名称：</w:t>
            </w:r>
            <w:r>
              <w:rPr>
                <w:rFonts w:hint="eastAsia" w:ascii="宋体" w:hAnsi="宋体" w:eastAsia="宋体" w:cs="宋体"/>
                <w:sz w:val="17"/>
                <w:szCs w:val="17"/>
                <w:lang w:eastAsia="zh-CN"/>
              </w:rPr>
              <w:t>环江毛南族自治县疾病预防控制中心</w:t>
            </w:r>
            <w:r>
              <w:rPr>
                <w:rFonts w:hint="eastAsia" w:cs="宋体"/>
                <w:sz w:val="17"/>
                <w:szCs w:val="17"/>
                <w:lang w:val="en-US" w:eastAsia="zh-CN"/>
              </w:rPr>
              <w:t xml:space="preserve">            </w:t>
            </w:r>
          </w:p>
        </w:tc>
        <w:tc>
          <w:tcPr>
            <w:tcW w:w="6076" w:type="dxa"/>
            <w:shd w:val="clear" w:color="auto" w:fill="FFFFFF"/>
          </w:tcPr>
          <w:p>
            <w:pPr>
              <w:pStyle w:val="24"/>
              <w:spacing w:line="240" w:lineRule="auto"/>
              <w:ind w:firstLine="4760" w:firstLineChars="2800"/>
              <w:jc w:val="left"/>
              <w:rPr>
                <w:rFonts w:hint="eastAsia" w:ascii="宋体" w:hAnsi="宋体" w:eastAsia="宋体" w:cs="宋体"/>
                <w:sz w:val="17"/>
                <w:szCs w:val="17"/>
              </w:rPr>
            </w:pPr>
            <w:r>
              <w:rPr>
                <w:rFonts w:hint="eastAsia" w:ascii="宋体" w:hAnsi="宋体" w:eastAsia="宋体" w:cs="宋体"/>
                <w:sz w:val="17"/>
                <w:szCs w:val="17"/>
              </w:rPr>
              <w:t>单位：万元</w:t>
            </w:r>
          </w:p>
        </w:tc>
      </w:tr>
      <w:tr>
        <w:tblPrEx>
          <w:tblCellMar>
            <w:top w:w="0" w:type="dxa"/>
            <w:left w:w="10" w:type="dxa"/>
            <w:bottom w:w="0" w:type="dxa"/>
            <w:right w:w="10" w:type="dxa"/>
          </w:tblCellMar>
        </w:tblPrEx>
        <w:trPr>
          <w:trHeight w:val="854" w:hRule="exact"/>
        </w:trPr>
        <w:tc>
          <w:tcPr>
            <w:tcW w:w="1843"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ascii="宋体" w:hAnsi="宋体" w:eastAsia="宋体" w:cs="宋体"/>
                <w:sz w:val="17"/>
                <w:u w:color="auto"/>
              </w:rPr>
              <w:t>单位代码</w:t>
            </w:r>
          </w:p>
        </w:tc>
        <w:tc>
          <w:tcPr>
            <w:tcW w:w="2559"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24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单位名称</w:t>
            </w:r>
          </w:p>
        </w:tc>
        <w:tc>
          <w:tcPr>
            <w:tcW w:w="3350"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项目名称</w:t>
            </w:r>
          </w:p>
        </w:tc>
        <w:tc>
          <w:tcPr>
            <w:tcW w:w="1511" w:type="dxa"/>
            <w:tcBorders>
              <w:top w:val="single" w:color="auto" w:sz="4" w:space="0"/>
              <w:left w:val="single" w:color="auto" w:sz="4" w:space="0"/>
              <w:bottom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预算金额</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center"/>
              <w:rPr>
                <w:rFonts w:hint="eastAsia" w:ascii="宋体" w:hAnsi="宋体" w:eastAsia="宋体" w:cs="宋体"/>
                <w:sz w:val="17"/>
                <w:szCs w:val="17"/>
                <w:lang w:val="en-US" w:eastAsia="zh-CN"/>
              </w:rPr>
            </w:pPr>
            <w:r>
              <w:rPr>
                <w:rFonts w:hint="eastAsia" w:ascii="宋体" w:hAnsi="宋体" w:eastAsia="宋体" w:cs="宋体"/>
                <w:sz w:val="17"/>
                <w:szCs w:val="17"/>
                <w:lang w:val="en-US" w:eastAsia="zh-CN"/>
              </w:rPr>
              <w:t>年度绩效目标</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402003</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环江毛南族自治县疾病预防控制中心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冷链设备管理和免疫规划工作经费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37.00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保证我县冷链设备满足使用要求及疫苗储存和运输处于全程冷链监控范围，确保疫苗储存和运输管理安全规范，保障免疫规划工作顺利实施。</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402003</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环江毛南族自治县疾病预防控制中心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党支部组织生活经费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0.18</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 xml:space="preserve"> 提升本单位党员思想意识水平，巩固党的执政理。更广泛地吸收党员的正确意见和建议，更全面加强自身的建设，提高单位党组织的创造力、凝聚力和战斗力。</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402003</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环江毛南族自治县疾病预防控制中心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传染病集中医学观察业务楼工程</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进一步完善传染病集中医学观察业务楼基础设施建设项目，提升传染病防控能力。</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402003</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环江毛南族自治县疾病预防控制中心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2023年医疗服务与保障能力提升补助资金</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32.00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全面提升疾控机构开展传染病监测预警与应急指挥能力、应急队伍建设、各类业务骨干培训等能力建设和人才培养工作。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402003</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环江毛南族自治县疾病预防控制中心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疾控机构运转工作经费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17.00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维持机构运行，开展疾病预防控制工作。</w:t>
            </w:r>
          </w:p>
        </w:tc>
      </w:tr>
      <w:tr>
        <w:tblPrEx>
          <w:tblCellMar>
            <w:top w:w="0" w:type="dxa"/>
            <w:left w:w="10" w:type="dxa"/>
            <w:bottom w:w="0" w:type="dxa"/>
            <w:right w:w="10" w:type="dxa"/>
          </w:tblCellMar>
        </w:tblPrEx>
        <w:trPr>
          <w:trHeight w:val="437" w:hRule="exact"/>
        </w:trPr>
        <w:tc>
          <w:tcPr>
            <w:tcW w:w="1843"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402003</w:t>
            </w:r>
          </w:p>
        </w:tc>
        <w:tc>
          <w:tcPr>
            <w:tcW w:w="2559" w:type="dxa"/>
            <w:tcBorders>
              <w:top w:val="single" w:color="auto" w:sz="4" w:space="0"/>
              <w:left w:val="single" w:color="auto" w:sz="4" w:space="0"/>
              <w:bottom w:val="single" w:color="auto" w:sz="4" w:space="0"/>
              <w:right w:val="single" w:color="auto" w:sz="4" w:space="0"/>
            </w:tcBorders>
            <w:shd w:val="clear" w:color="auto" w:fill="FFFFFF"/>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环江毛南族自治县疾病预防控制中心</w:t>
            </w:r>
          </w:p>
        </w:tc>
        <w:tc>
          <w:tcPr>
            <w:tcW w:w="3350"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常态化防控及观察点工作经费</w:t>
            </w:r>
          </w:p>
        </w:tc>
        <w:tc>
          <w:tcPr>
            <w:tcW w:w="1511"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lef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10.00</w:t>
            </w:r>
          </w:p>
        </w:tc>
        <w:tc>
          <w:tcPr>
            <w:tcW w:w="6076"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24"/>
              <w:spacing w:line="240" w:lineRule="auto"/>
              <w:ind w:firstLine="0"/>
              <w:jc w:val="right"/>
              <w:rPr>
                <w:rFonts w:hint="eastAsia" w:ascii="宋体" w:hAnsi="宋体" w:eastAsia="宋体" w:cs="宋体"/>
                <w:b/>
                <w:bCs/>
                <w:sz w:val="17"/>
                <w:szCs w:val="17"/>
                <w:lang w:val="en-US" w:eastAsia="zh-CN"/>
              </w:rPr>
            </w:pPr>
            <w:r>
              <w:rPr>
                <w:rFonts w:hint="eastAsia" w:ascii="宋体" w:hAnsi="宋体" w:eastAsia="宋体" w:cs="宋体"/>
                <w:b/>
                <w:bCs/>
                <w:sz w:val="17"/>
                <w:szCs w:val="17"/>
                <w:lang w:val="en-US" w:eastAsia="zh-CN"/>
              </w:rPr>
              <w:t>进一步加强常态化防控及提升鑫江医学观察点工作运转能力。</w:t>
            </w:r>
          </w:p>
        </w:tc>
      </w:tr>
    </w:tbl>
    <w:p>
      <w:pPr>
        <w:jc w:val="left"/>
        <w:rPr>
          <w:rFonts w:hint="eastAsia"/>
        </w:rPr>
      </w:pPr>
      <w:r>
        <w:t>注：本报表金额单位转换时可能存在四舍五入尾数误差。</w:t>
      </w:r>
    </w:p>
    <w:p>
      <w:pPr>
        <w:jc w:val="left"/>
        <w:rPr>
          <w:rFonts w:hint="eastAsia"/>
          <w:lang w:eastAsia="zh-CN"/>
        </w:rPr>
        <w:sectPr>
          <w:headerReference r:id="rId10" w:type="default"/>
          <w:footerReference r:id="rId11" w:type="default"/>
          <w:pgSz w:w="16840" w:h="11900" w:orient="landscape"/>
          <w:pgMar w:top="2714" w:right="764" w:bottom="2714" w:left="735" w:header="2286" w:footer="3" w:gutter="0"/>
          <w:pgBorders>
            <w:top w:val="none" w:sz="0" w:space="0"/>
            <w:left w:val="none" w:sz="0" w:space="0"/>
            <w:bottom w:val="none" w:sz="0" w:space="0"/>
            <w:right w:val="none" w:sz="0" w:space="0"/>
          </w:pgBorders>
          <w:cols w:space="720" w:num="1"/>
          <w:docGrid w:linePitch="360" w:charSpace="0"/>
        </w:sectPr>
      </w:pPr>
    </w:p>
    <w:p>
      <w:pPr>
        <w:pStyle w:val="12"/>
        <w:keepNext/>
        <w:keepLines/>
        <w:spacing w:before="200" w:after="0"/>
        <w:jc w:val="center"/>
      </w:pPr>
      <w:bookmarkStart w:id="31" w:name="bookmark96"/>
      <w:bookmarkStart w:id="32" w:name="bookmark95"/>
      <w:bookmarkStart w:id="33" w:name="bookmark94"/>
      <w:r>
        <w:t>第四部分名词解释</w:t>
      </w:r>
      <w:bookmarkEnd w:id="31"/>
      <w:bookmarkEnd w:id="32"/>
      <w:bookmarkEnd w:id="33"/>
    </w:p>
    <w:p>
      <w:pPr>
        <w:pStyle w:val="18"/>
        <w:tabs>
          <w:tab w:val="left" w:pos="1270"/>
        </w:tabs>
        <w:spacing w:line="626" w:lineRule="exact"/>
        <w:ind w:firstLine="640"/>
        <w:jc w:val="left"/>
      </w:pPr>
      <w:bookmarkStart w:id="34" w:name="bookmark97"/>
      <w:r>
        <w:t>一</w:t>
      </w:r>
      <w:bookmarkEnd w:id="34"/>
      <w:r>
        <w:t>、</w:t>
      </w:r>
      <w:r>
        <w:tab/>
      </w:r>
      <w:r>
        <w:t>财政拨款收入：指预算单位从本级财政部门取得的财政预算资金收入。</w:t>
      </w:r>
    </w:p>
    <w:p>
      <w:pPr>
        <w:pStyle w:val="18"/>
        <w:tabs>
          <w:tab w:val="left" w:pos="1280"/>
        </w:tabs>
        <w:spacing w:line="626" w:lineRule="exact"/>
        <w:ind w:firstLine="640"/>
        <w:jc w:val="left"/>
      </w:pPr>
      <w:bookmarkStart w:id="35" w:name="bookmark98"/>
      <w:r>
        <w:t>二</w:t>
      </w:r>
      <w:bookmarkEnd w:id="35"/>
      <w:r>
        <w:t>、</w:t>
      </w:r>
      <w:r>
        <w:tab/>
      </w:r>
      <w:r>
        <w:t>事业收入：指事业单位开展专业业务活动及辅助活动所取得的收入。</w:t>
      </w:r>
    </w:p>
    <w:p>
      <w:pPr>
        <w:pStyle w:val="18"/>
        <w:tabs>
          <w:tab w:val="left" w:pos="1275"/>
        </w:tabs>
        <w:spacing w:line="626" w:lineRule="exact"/>
        <w:ind w:firstLine="640"/>
        <w:jc w:val="left"/>
      </w:pPr>
      <w:bookmarkStart w:id="36" w:name="bookmark99"/>
      <w:r>
        <w:t>三</w:t>
      </w:r>
      <w:bookmarkEnd w:id="36"/>
      <w:r>
        <w:t>、</w:t>
      </w:r>
      <w:r>
        <w:tab/>
      </w:r>
      <w:r>
        <w:t>经营收入：指事业单位在专业业务活动及其辅助活动之外开展非独立核算经营活动取得的收入。</w:t>
      </w:r>
    </w:p>
    <w:p>
      <w:pPr>
        <w:pStyle w:val="18"/>
        <w:tabs>
          <w:tab w:val="left" w:pos="1309"/>
        </w:tabs>
        <w:spacing w:line="626" w:lineRule="exact"/>
        <w:ind w:firstLine="640"/>
        <w:jc w:val="left"/>
      </w:pPr>
      <w:bookmarkStart w:id="37" w:name="bookmark100"/>
      <w:r>
        <w:t>四</w:t>
      </w:r>
      <w:bookmarkEnd w:id="37"/>
      <w:r>
        <w:t>、</w:t>
      </w:r>
      <w:r>
        <w:tab/>
      </w:r>
      <w:r>
        <w:t>其他收入：指除上述</w:t>
      </w:r>
      <w:r>
        <w:rPr>
          <w:lang w:val="zh-CN" w:eastAsia="zh-CN" w:bidi="zh-CN"/>
        </w:rPr>
        <w:t>“财</w:t>
      </w:r>
      <w:r>
        <w:t>政拨款收入”、</w:t>
      </w:r>
      <w:r>
        <w:rPr>
          <w:lang w:val="zh-CN" w:eastAsia="zh-CN" w:bidi="zh-CN"/>
        </w:rPr>
        <w:t>“事</w:t>
      </w:r>
      <w:r>
        <w:t>业收入"、</w:t>
      </w:r>
      <w:r>
        <w:rPr>
          <w:lang w:val="zh-CN" w:eastAsia="zh-CN" w:bidi="zh-CN"/>
        </w:rPr>
        <w:t>“经营</w:t>
      </w:r>
      <w:r>
        <w:t>收入"等以外的收入。主要是非本级财政拨款、存款利息收入、事业单位固定资产出租收入等。</w:t>
      </w:r>
    </w:p>
    <w:p>
      <w:pPr>
        <w:pStyle w:val="18"/>
        <w:tabs>
          <w:tab w:val="left" w:pos="1275"/>
        </w:tabs>
        <w:spacing w:line="626" w:lineRule="exact"/>
        <w:ind w:firstLine="640"/>
        <w:jc w:val="left"/>
      </w:pPr>
      <w:bookmarkStart w:id="38" w:name="bookmark101"/>
      <w:r>
        <w:t>五</w:t>
      </w:r>
      <w:bookmarkEnd w:id="38"/>
      <w:r>
        <w:t>、</w:t>
      </w:r>
      <w:r>
        <w:tab/>
      </w:r>
      <w:r>
        <w:t>用事业基金弥补收支差额：指事业单位在用当年的</w:t>
      </w:r>
      <w:r>
        <w:rPr>
          <w:lang w:val="zh-CN" w:eastAsia="zh-CN" w:bidi="zh-CN"/>
        </w:rPr>
        <w:t>“财</w:t>
      </w:r>
      <w:r>
        <w:t>政拨款收入"、</w:t>
      </w:r>
      <w:r>
        <w:rPr>
          <w:lang w:val="zh-CN" w:eastAsia="zh-CN" w:bidi="zh-CN"/>
        </w:rPr>
        <w:t>“事业</w:t>
      </w:r>
      <w:r>
        <w:t>收入"、</w:t>
      </w:r>
      <w:r>
        <w:rPr>
          <w:lang w:val="zh-CN" w:eastAsia="zh-CN" w:bidi="zh-CN"/>
        </w:rPr>
        <w:t>“经营</w:t>
      </w:r>
      <w:r>
        <w:t>收入"、</w:t>
      </w:r>
      <w:r>
        <w:rPr>
          <w:lang w:val="zh-CN" w:eastAsia="zh-CN" w:bidi="zh-CN"/>
        </w:rPr>
        <w:t>“其他</w:t>
      </w:r>
      <w:r>
        <w:t>收入"不足以安排当年支出的情况下，使用以前年度积累的事业基金（事业单位当年收支相抵后按国家规定提取、用于弥补以后年度收支差额的基金）弥补本年度收支缺口的资金。</w:t>
      </w:r>
    </w:p>
    <w:p>
      <w:pPr>
        <w:pStyle w:val="18"/>
        <w:tabs>
          <w:tab w:val="left" w:pos="1270"/>
        </w:tabs>
        <w:spacing w:line="626" w:lineRule="exact"/>
        <w:ind w:firstLine="640"/>
        <w:jc w:val="left"/>
      </w:pPr>
      <w:bookmarkStart w:id="39" w:name="bookmark102"/>
      <w:r>
        <w:t>六</w:t>
      </w:r>
      <w:bookmarkEnd w:id="39"/>
      <w:r>
        <w:t>、</w:t>
      </w:r>
      <w:r>
        <w:tab/>
      </w:r>
      <w:r>
        <w:t>年初结转和结余：指以前年度尚未完成、结转到本年按有关规定继续使用的资金。</w:t>
      </w:r>
    </w:p>
    <w:p>
      <w:pPr>
        <w:pStyle w:val="18"/>
        <w:tabs>
          <w:tab w:val="left" w:pos="1275"/>
        </w:tabs>
        <w:spacing w:line="626" w:lineRule="exact"/>
        <w:ind w:firstLine="640"/>
        <w:jc w:val="left"/>
      </w:pPr>
      <w:bookmarkStart w:id="40" w:name="bookmark103"/>
      <w:r>
        <w:t>七</w:t>
      </w:r>
      <w:bookmarkEnd w:id="40"/>
      <w:r>
        <w:t>、</w:t>
      </w:r>
      <w:r>
        <w:tab/>
      </w:r>
      <w:r>
        <w:t>结余分配：指事业单位按规定提取的职工福利基金、事业基金和缴纳的所得税，以及建设单位按规定应交回的基本建设竣工项目结余资金。</w:t>
      </w:r>
    </w:p>
    <w:p>
      <w:pPr>
        <w:pStyle w:val="18"/>
        <w:tabs>
          <w:tab w:val="left" w:pos="632"/>
        </w:tabs>
        <w:spacing w:line="626" w:lineRule="exact"/>
        <w:ind w:firstLine="640"/>
        <w:jc w:val="left"/>
      </w:pPr>
      <w:bookmarkStart w:id="41" w:name="bookmark104"/>
      <w:r>
        <w:t>八</w:t>
      </w:r>
      <w:bookmarkEnd w:id="41"/>
      <w:r>
        <w:t>、</w:t>
      </w:r>
      <w:r>
        <w:tab/>
      </w:r>
      <w:r>
        <w:t>年末结转和结余：指本年度或以前年度预算安排、因客观条件发生变化无法按原计划实施，需要延迟到以后年度按有关规定继续使用的资金。</w:t>
      </w:r>
    </w:p>
    <w:p>
      <w:pPr>
        <w:pStyle w:val="18"/>
        <w:spacing w:line="628" w:lineRule="exact"/>
        <w:ind w:firstLine="640"/>
        <w:jc w:val="left"/>
      </w:pPr>
      <w:bookmarkStart w:id="42" w:name="bookmark105"/>
      <w:r>
        <w:t>九</w:t>
      </w:r>
      <w:bookmarkEnd w:id="42"/>
      <w:r>
        <w:t>、基本支出：指为保障机构正常运转、完成日常工作任务而发生的人员支出和公用支出。</w:t>
      </w:r>
    </w:p>
    <w:p>
      <w:pPr>
        <w:pStyle w:val="18"/>
        <w:spacing w:line="628" w:lineRule="exact"/>
        <w:ind w:firstLine="640"/>
        <w:jc w:val="left"/>
      </w:pPr>
      <w:r>
        <w:t>十、项目支出：指在基本支出之外为完成特定行政任务和事业发展目标所发生的支出。</w:t>
      </w:r>
    </w:p>
    <w:p>
      <w:pPr>
        <w:pStyle w:val="18"/>
        <w:spacing w:line="628" w:lineRule="exact"/>
        <w:ind w:firstLine="640"/>
        <w:jc w:val="left"/>
      </w:pPr>
      <w:r>
        <w:t>十一、经营支出：指事业单位在专业业务活动及其辅助活动之外开展非独立核算经营活动所发生的支出。</w:t>
      </w:r>
    </w:p>
    <w:p>
      <w:pPr>
        <w:pStyle w:val="18"/>
        <w:spacing w:line="628" w:lineRule="exact"/>
        <w:ind w:firstLine="640"/>
        <w:jc w:val="left"/>
      </w:pPr>
      <w:r>
        <w:t>十二、</w:t>
      </w:r>
      <w:r>
        <w:rPr>
          <w:lang w:val="zh-CN" w:eastAsia="zh-CN" w:bidi="zh-CN"/>
        </w:rPr>
        <w:t>“三</w:t>
      </w:r>
      <w:r>
        <w:t>公”经费：纳入财政预决算管理的</w:t>
      </w:r>
      <w:r>
        <w:rPr>
          <w:lang w:val="zh-CN" w:eastAsia="zh-CN" w:bidi="zh-CN"/>
        </w:rPr>
        <w:t>“三公</w:t>
      </w:r>
      <w:r>
        <w:t>”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18"/>
        <w:spacing w:line="628" w:lineRule="exact"/>
        <w:ind w:firstLine="640"/>
        <w:jc w:val="left"/>
      </w:pPr>
      <w:r>
        <w:t>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r:id="rId12" w:type="default"/>
      <w:footerReference r:id="rId13" w:type="default"/>
      <w:type w:val="continuous"/>
      <w:pgSz w:w="11900" w:h="16840"/>
      <w:pgMar w:top="1302" w:right="1735" w:bottom="1568" w:left="1793" w:header="874" w:footer="3"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026"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7216;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BxCp63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exact"/>
    </w:pPr>
    <w:r>
      <mc:AlternateContent>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4027" name="Shape 5"/>
              <wp:cNvGraphicFramePr/>
              <a:graphic xmlns:a="http://schemas.openxmlformats.org/drawingml/2006/main">
                <a:graphicData uri="http://schemas.microsoft.com/office/word/2010/wordprocessingShape">
                  <wps:wsp>
                    <wps:cNvSpPr/>
                    <wps:spPr>
                      <a:xfrm>
                        <a:off x="0" y="0"/>
                        <a:ext cx="581025" cy="109855"/>
                      </a:xfrm>
                      <a:prstGeom prst="rect">
                        <a:avLst/>
                      </a:prstGeom>
                      <a:noFill/>
                    </wps:spPr>
                    <wps:txbx>
                      <w:txbxContent>
                        <w:p>
                          <w:pPr>
                            <w:pStyle w:val="20"/>
                          </w:pPr>
                        </w:p>
                      </w:txbxContent>
                    </wps:txbx>
                    <wps:bodyPr rot="0" spcFirstLastPara="0" vertOverflow="overflow" horzOverflow="overflow" vert="horz" wrap="square" lIns="0" tIns="0" rIns="0" bIns="0" numCol="1" anchor="t" upright="0">
                      <a:spAutoFit/>
                    </wps:bodyPr>
                  </wps:wsp>
                </a:graphicData>
              </a:graphic>
            </wp:anchor>
          </w:drawing>
        </mc:Choice>
        <mc:Fallback>
          <w:pict>
            <v:rect id="Shape 5" o:spid="_x0000_s1026" o:spt="1" style="position:absolute;left:0pt;margin-left:717.9pt;margin-top:95.85pt;height:8.65pt;width:45.75pt;mso-position-horizontal-relative:page;mso-position-vertical-relative:page;z-index:-251656192;mso-width-relative:page;mso-height-relative:page;" filled="f" stroked="f" coordsize="21600,21600" o:gfxdata="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jAixHbAAAADQEAAA8AAAAAAAAAAQAgAAAAIgAAAGRycy9kb3ducmV2LnhtbFBLAQIUABQAAAAI&#10;AIdO4kCa/0Wx6gEAAOUDAAAOAAAAAAAAAAEAIAAAACoBAABkcnMvZTJvRG9jLnhtbFBLBQYAAAAA&#10;BgAGAFkBAACGBQAAAAA=&#10;">
              <v:fill on="f" focussize="0,0"/>
              <v:stroke on="f"/>
              <v:imagedata o:title=""/>
              <o:lock v:ext="edit" aspectratio="f"/>
              <v:textbox inset="0mm,0mm,0mm,0mm" style="mso-fit-shape-to-text:t;">
                <w:txbxContent>
                  <w:p>
                    <w:pPr>
                      <w:pStyle w:val="20"/>
                    </w:pPr>
                  </w:p>
                </w:txbxContent>
              </v:textbox>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singleLevel"/>
    <w:tmpl w:val="0053208E"/>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dit="readOnly" w:enforcement="1" w:cryptProviderType="rsaAES" w:cryptAlgorithmClass="hash" w:cryptAlgorithmType="typeAny" w:cryptAlgorithmSid="14" w:cryptSpinCount="100000" w:hash="l4naRByW+fZ3OzG0UeAg80qZBhSUQp6QRdZ/urQuHnvYOoXzqTGEWezy2tT3XTIB28TGKZklSqLfG8CwJ2q7YQ==" w:salt="wBANXt//BPnzuWYa+AdNrg=="/>
  <w:defaultTabStop w:val="420"/>
  <w:drawingGridHorizontalSpacing w:val="181"/>
  <w:drawingGridVerticalSpacing w:val="181"/>
  <w:noPunctuationKerning w:val="1"/>
  <w:characterSpacingControl w:val="compressPunctuation"/>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wZTIwMjA5OTI4N2MwODc2NzEzYWVkMzg3YjQ5NmMifQ=="/>
  </w:docVars>
  <w:rsids>
    <w:rsidRoot w:val="00000000"/>
    <w:rsid w:val="17F254A1"/>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Comment Text"/>
    <w:basedOn w:val="1"/>
    <w:autoRedefine/>
    <w:qFormat/>
    <w:uiPriority w:val="0"/>
  </w:style>
  <w:style w:type="character" w:customStyle="1" w:styleId="8">
    <w:name w:val="Comment Reference"/>
    <w:basedOn w:val="6"/>
    <w:autoRedefine/>
    <w:qFormat/>
    <w:uiPriority w:val="0"/>
    <w:rPr>
      <w:sz w:val="21"/>
      <w:szCs w:val="21"/>
    </w:rPr>
  </w:style>
  <w:style w:type="character" w:customStyle="1" w:styleId="9">
    <w:name w:val="Body text|5_"/>
    <w:basedOn w:val="6"/>
    <w:link w:val="10"/>
    <w:autoRedefine/>
    <w:qFormat/>
    <w:uiPriority w:val="0"/>
    <w:rPr>
      <w:rFonts w:ascii="宋体" w:hAnsi="宋体" w:eastAsia="宋体" w:cs="宋体"/>
      <w:sz w:val="54"/>
      <w:szCs w:val="54"/>
      <w:u w:val="none"/>
      <w:shd w:val="clear" w:color="auto" w:fill="auto"/>
      <w:lang w:val="zh-TW" w:eastAsia="zh-TW" w:bidi="zh-TW"/>
    </w:rPr>
  </w:style>
  <w:style w:type="paragraph" w:customStyle="1" w:styleId="10">
    <w:name w:val="Body text|5"/>
    <w:basedOn w:val="1"/>
    <w:link w:val="9"/>
    <w:autoRedefine/>
    <w:qFormat/>
    <w:uiPriority w:val="0"/>
    <w:pPr>
      <w:jc w:val="center"/>
    </w:pPr>
    <w:rPr>
      <w:rFonts w:ascii="宋体" w:hAnsi="宋体" w:eastAsia="宋体" w:cs="宋体"/>
      <w:sz w:val="54"/>
      <w:szCs w:val="54"/>
      <w:lang w:val="zh-TW" w:eastAsia="zh-TW" w:bidi="zh-TW"/>
    </w:rPr>
  </w:style>
  <w:style w:type="character" w:customStyle="1" w:styleId="11">
    <w:name w:val="Heading #1|1_"/>
    <w:basedOn w:val="6"/>
    <w:link w:val="12"/>
    <w:autoRedefine/>
    <w:qFormat/>
    <w:uiPriority w:val="0"/>
    <w:rPr>
      <w:rFonts w:ascii="宋体" w:hAnsi="宋体" w:eastAsia="宋体" w:cs="宋体"/>
      <w:sz w:val="44"/>
      <w:szCs w:val="44"/>
      <w:u w:val="none"/>
      <w:shd w:val="clear" w:color="auto" w:fill="auto"/>
      <w:lang w:val="zh-TW" w:eastAsia="zh-TW" w:bidi="zh-TW"/>
    </w:rPr>
  </w:style>
  <w:style w:type="paragraph" w:customStyle="1" w:styleId="12">
    <w:name w:val="Heading #1|1"/>
    <w:basedOn w:val="1"/>
    <w:link w:val="11"/>
    <w:autoRedefine/>
    <w:qFormat/>
    <w:uiPriority w:val="0"/>
    <w:pPr>
      <w:spacing w:after="400"/>
      <w:jc w:val="center"/>
      <w:outlineLvl w:val="0"/>
    </w:pPr>
    <w:rPr>
      <w:rFonts w:ascii="宋体" w:hAnsi="宋体" w:eastAsia="宋体" w:cs="宋体"/>
      <w:sz w:val="44"/>
      <w:szCs w:val="44"/>
      <w:lang w:val="zh-TW" w:eastAsia="zh-TW" w:bidi="zh-TW"/>
    </w:rPr>
  </w:style>
  <w:style w:type="character" w:customStyle="1" w:styleId="13">
    <w:name w:val="Header or footer|2_"/>
    <w:basedOn w:val="6"/>
    <w:link w:val="14"/>
    <w:autoRedefine/>
    <w:qFormat/>
    <w:uiPriority w:val="0"/>
    <w:rPr>
      <w:sz w:val="20"/>
      <w:szCs w:val="20"/>
      <w:u w:val="none"/>
      <w:shd w:val="clear" w:color="auto" w:fill="auto"/>
      <w:lang w:val="zh-TW" w:eastAsia="zh-TW" w:bidi="zh-TW"/>
    </w:rPr>
  </w:style>
  <w:style w:type="paragraph" w:customStyle="1" w:styleId="14">
    <w:name w:val="Header or footer|2"/>
    <w:basedOn w:val="1"/>
    <w:link w:val="13"/>
    <w:autoRedefine/>
    <w:qFormat/>
    <w:uiPriority w:val="0"/>
    <w:rPr>
      <w:sz w:val="20"/>
      <w:szCs w:val="20"/>
      <w:lang w:val="zh-TW" w:eastAsia="zh-TW" w:bidi="zh-TW"/>
    </w:rPr>
  </w:style>
  <w:style w:type="character" w:customStyle="1" w:styleId="15">
    <w:name w:val="Body text|2_"/>
    <w:basedOn w:val="6"/>
    <w:link w:val="16"/>
    <w:autoRedefine/>
    <w:qFormat/>
    <w:uiPriority w:val="0"/>
    <w:rPr>
      <w:rFonts w:ascii="宋体" w:hAnsi="宋体" w:eastAsia="宋体" w:cs="宋体"/>
      <w:sz w:val="32"/>
      <w:szCs w:val="32"/>
      <w:u w:val="none"/>
      <w:shd w:val="clear" w:color="auto" w:fill="auto"/>
      <w:lang w:val="zh-TW" w:eastAsia="zh-TW" w:bidi="zh-TW"/>
    </w:rPr>
  </w:style>
  <w:style w:type="paragraph" w:customStyle="1" w:styleId="16">
    <w:name w:val="Body text|2"/>
    <w:basedOn w:val="1"/>
    <w:link w:val="15"/>
    <w:autoRedefine/>
    <w:qFormat/>
    <w:uiPriority w:val="0"/>
    <w:pPr>
      <w:spacing w:after="240"/>
      <w:ind w:firstLine="560"/>
    </w:pPr>
    <w:rPr>
      <w:rFonts w:ascii="宋体" w:hAnsi="宋体" w:eastAsia="宋体" w:cs="宋体"/>
      <w:sz w:val="32"/>
      <w:szCs w:val="32"/>
      <w:lang w:val="zh-TW" w:eastAsia="zh-TW" w:bidi="zh-TW"/>
    </w:rPr>
  </w:style>
  <w:style w:type="character" w:customStyle="1" w:styleId="17">
    <w:name w:val="Body text|1_"/>
    <w:basedOn w:val="6"/>
    <w:link w:val="18"/>
    <w:autoRedefine/>
    <w:qFormat/>
    <w:uiPriority w:val="0"/>
    <w:rPr>
      <w:rFonts w:ascii="宋体" w:hAnsi="宋体" w:eastAsia="宋体" w:cs="宋体"/>
      <w:sz w:val="28"/>
      <w:szCs w:val="28"/>
      <w:u w:val="none"/>
      <w:shd w:val="clear" w:color="auto" w:fill="auto"/>
      <w:lang w:val="zh-TW" w:eastAsia="zh-TW" w:bidi="zh-TW"/>
    </w:rPr>
  </w:style>
  <w:style w:type="paragraph" w:customStyle="1" w:styleId="18">
    <w:name w:val="Body text|1"/>
    <w:basedOn w:val="1"/>
    <w:link w:val="17"/>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19">
    <w:name w:val="Header or footer|1_"/>
    <w:basedOn w:val="6"/>
    <w:link w:val="20"/>
    <w:autoRedefine/>
    <w:qFormat/>
    <w:uiPriority w:val="0"/>
    <w:rPr>
      <w:b/>
      <w:bCs/>
      <w:sz w:val="17"/>
      <w:szCs w:val="17"/>
      <w:u w:val="none"/>
      <w:shd w:val="clear" w:color="auto" w:fill="auto"/>
      <w:lang w:val="zh-TW" w:eastAsia="zh-TW" w:bidi="zh-TW"/>
    </w:rPr>
  </w:style>
  <w:style w:type="paragraph" w:customStyle="1" w:styleId="20">
    <w:name w:val="Header or footer|1"/>
    <w:basedOn w:val="1"/>
    <w:link w:val="19"/>
    <w:autoRedefine/>
    <w:qFormat/>
    <w:uiPriority w:val="0"/>
    <w:rPr>
      <w:b/>
      <w:bCs/>
      <w:sz w:val="17"/>
      <w:szCs w:val="17"/>
      <w:lang w:val="zh-TW" w:eastAsia="zh-TW" w:bidi="zh-TW"/>
    </w:rPr>
  </w:style>
  <w:style w:type="character" w:customStyle="1" w:styleId="21">
    <w:name w:val="Heading #2|1_"/>
    <w:basedOn w:val="6"/>
    <w:link w:val="22"/>
    <w:autoRedefine/>
    <w:qFormat/>
    <w:uiPriority w:val="0"/>
    <w:rPr>
      <w:rFonts w:ascii="宋体" w:hAnsi="宋体" w:eastAsia="宋体" w:cs="宋体"/>
      <w:sz w:val="26"/>
      <w:szCs w:val="26"/>
      <w:u w:val="none"/>
      <w:shd w:val="clear" w:color="auto" w:fill="auto"/>
      <w:lang w:val="zh-TW" w:eastAsia="zh-TW" w:bidi="zh-TW"/>
    </w:rPr>
  </w:style>
  <w:style w:type="paragraph" w:customStyle="1" w:styleId="22">
    <w:name w:val="Heading #2|1"/>
    <w:basedOn w:val="1"/>
    <w:link w:val="21"/>
    <w:autoRedefine/>
    <w:qFormat/>
    <w:uiPriority w:val="0"/>
    <w:pPr>
      <w:spacing w:after="230"/>
      <w:jc w:val="center"/>
      <w:outlineLvl w:val="1"/>
    </w:pPr>
    <w:rPr>
      <w:rFonts w:ascii="宋体" w:hAnsi="宋体" w:eastAsia="宋体" w:cs="宋体"/>
      <w:sz w:val="26"/>
      <w:szCs w:val="26"/>
      <w:lang w:val="zh-TW" w:eastAsia="zh-TW" w:bidi="zh-TW"/>
    </w:rPr>
  </w:style>
  <w:style w:type="character" w:customStyle="1" w:styleId="23">
    <w:name w:val="Other|1_"/>
    <w:basedOn w:val="6"/>
    <w:link w:val="24"/>
    <w:autoRedefine/>
    <w:qFormat/>
    <w:uiPriority w:val="0"/>
    <w:rPr>
      <w:rFonts w:ascii="宋体" w:hAnsi="宋体" w:eastAsia="宋体" w:cs="宋体"/>
      <w:sz w:val="28"/>
      <w:szCs w:val="28"/>
      <w:u w:val="none"/>
      <w:shd w:val="clear" w:color="auto" w:fill="auto"/>
      <w:lang w:val="zh-TW" w:eastAsia="zh-TW" w:bidi="zh-TW"/>
    </w:rPr>
  </w:style>
  <w:style w:type="paragraph" w:customStyle="1" w:styleId="24">
    <w:name w:val="Other|1"/>
    <w:basedOn w:val="1"/>
    <w:link w:val="23"/>
    <w:autoRedefine/>
    <w:qFormat/>
    <w:uiPriority w:val="0"/>
    <w:pPr>
      <w:spacing w:line="468" w:lineRule="auto"/>
      <w:ind w:firstLine="400"/>
    </w:pPr>
    <w:rPr>
      <w:rFonts w:ascii="宋体" w:hAnsi="宋体" w:eastAsia="宋体" w:cs="宋体"/>
      <w:sz w:val="28"/>
      <w:szCs w:val="28"/>
      <w:lang w:val="zh-TW" w:eastAsia="zh-TW" w:bidi="zh-TW"/>
    </w:rPr>
  </w:style>
  <w:style w:type="character" w:customStyle="1" w:styleId="25">
    <w:name w:val="Table caption|1_"/>
    <w:basedOn w:val="6"/>
    <w:link w:val="26"/>
    <w:autoRedefine/>
    <w:qFormat/>
    <w:uiPriority w:val="0"/>
    <w:rPr>
      <w:rFonts w:ascii="宋体" w:hAnsi="宋体" w:eastAsia="宋体" w:cs="宋体"/>
      <w:sz w:val="17"/>
      <w:szCs w:val="17"/>
      <w:u w:val="none"/>
      <w:shd w:val="clear" w:color="auto" w:fill="auto"/>
      <w:lang w:val="zh-TW" w:eastAsia="zh-TW" w:bidi="zh-TW"/>
    </w:rPr>
  </w:style>
  <w:style w:type="paragraph" w:customStyle="1" w:styleId="26">
    <w:name w:val="Table caption|1"/>
    <w:basedOn w:val="1"/>
    <w:link w:val="25"/>
    <w:autoRedefine/>
    <w:qFormat/>
    <w:uiPriority w:val="0"/>
    <w:rPr>
      <w:rFonts w:ascii="宋体" w:hAnsi="宋体" w:eastAsia="宋体" w:cs="宋体"/>
      <w:sz w:val="17"/>
      <w:szCs w:val="17"/>
      <w:lang w:val="zh-TW" w:eastAsia="zh-TW" w:bidi="zh-TW"/>
    </w:rPr>
  </w:style>
  <w:style w:type="character" w:customStyle="1" w:styleId="27">
    <w:name w:val="Body text|4_"/>
    <w:basedOn w:val="6"/>
    <w:link w:val="28"/>
    <w:autoRedefine/>
    <w:qFormat/>
    <w:uiPriority w:val="0"/>
    <w:rPr>
      <w:rFonts w:ascii="宋体" w:hAnsi="宋体" w:eastAsia="宋体" w:cs="宋体"/>
      <w:sz w:val="17"/>
      <w:szCs w:val="17"/>
      <w:u w:val="none"/>
      <w:shd w:val="clear" w:color="auto" w:fill="auto"/>
      <w:lang w:val="zh-TW" w:eastAsia="zh-TW" w:bidi="zh-TW"/>
    </w:rPr>
  </w:style>
  <w:style w:type="paragraph" w:customStyle="1" w:styleId="28">
    <w:name w:val="Body text|4"/>
    <w:basedOn w:val="1"/>
    <w:link w:val="27"/>
    <w:autoRedefine/>
    <w:qFormat/>
    <w:uiPriority w:val="0"/>
    <w:pPr>
      <w:ind w:firstLine="680"/>
    </w:pPr>
    <w:rPr>
      <w:rFonts w:ascii="宋体" w:hAnsi="宋体" w:eastAsia="宋体" w:cs="宋体"/>
      <w:sz w:val="17"/>
      <w:szCs w:val="17"/>
      <w:lang w:val="zh-TW" w:eastAsia="zh-TW" w:bidi="zh-TW"/>
    </w:rPr>
  </w:style>
  <w:style w:type="character" w:customStyle="1" w:styleId="29">
    <w:name w:val="Body text|3_"/>
    <w:basedOn w:val="6"/>
    <w:link w:val="30"/>
    <w:autoRedefine/>
    <w:qFormat/>
    <w:uiPriority w:val="0"/>
    <w:rPr>
      <w:sz w:val="30"/>
      <w:szCs w:val="30"/>
      <w:u w:val="none"/>
      <w:shd w:val="clear" w:color="auto" w:fill="auto"/>
      <w:lang w:val="zh-TW" w:eastAsia="zh-TW" w:bidi="zh-TW"/>
    </w:rPr>
  </w:style>
  <w:style w:type="paragraph" w:customStyle="1" w:styleId="30">
    <w:name w:val="Body text|3"/>
    <w:basedOn w:val="1"/>
    <w:link w:val="29"/>
    <w:autoRedefine/>
    <w:qFormat/>
    <w:uiPriority w:val="0"/>
    <w:pPr>
      <w:spacing w:after="140" w:line="336" w:lineRule="auto"/>
      <w:ind w:firstLine="370"/>
    </w:pPr>
    <w:rPr>
      <w:sz w:val="30"/>
      <w:szCs w:val="30"/>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customXml" Target="../customXml/item4.xml"/><Relationship Id="rId24" Type="http://schemas.openxmlformats.org/officeDocument/2006/relationships/customXml" Target="../customXml/item3.xml"/><Relationship Id="rId23" Type="http://schemas.openxmlformats.org/officeDocument/2006/relationships/customXml" Target="../customXml/item2.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chart" Target="charts/chart6.xml"/><Relationship Id="rId2" Type="http://schemas.openxmlformats.org/officeDocument/2006/relationships/settings" Target="settings.xml"/><Relationship Id="rId19" Type="http://schemas.openxmlformats.org/officeDocument/2006/relationships/chart" Target="charts/chart5.xml"/><Relationship Id="rId18" Type="http://schemas.openxmlformats.org/officeDocument/2006/relationships/chart" Target="charts/chart4.xml"/><Relationship Id="rId17" Type="http://schemas.openxmlformats.org/officeDocument/2006/relationships/chart" Target="charts/chart3.xml"/><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一般公共预算拨款</c:v>
                </c:pt>
                <c:pt idx="1">
                  <c:v>政府性基金预算拨款</c:v>
                </c:pt>
                <c:pt idx="2">
                  <c:v>事业收入</c:v>
                </c:pt>
              </c:strCache>
            </c:strRef>
          </c:cat>
          <c:val>
            <c:numRef>
              <c:f>Sheet1!$B$2:$B$4</c:f>
              <c:numCache>
                <c:formatCode>General</c:formatCode>
                <c:ptCount val="3"/>
                <c:pt idx="0">
                  <c:v>799.8</c:v>
                </c:pt>
                <c:pt idx="1">
                  <c:v>30</c:v>
                </c:pt>
                <c:pt idx="2">
                  <c:v>17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Pt>
            <c:idx val="3"/>
            <c:bubble3D val="0"/>
          </c:dPt>
          <c:dLbls>
            <c:delete val="1"/>
          </c:dLbls>
          <c:cat>
            <c:strRef>
              <c:f>Sheet1!$A$2:$A$5</c:f>
              <c:strCache>
                <c:ptCount val="4"/>
                <c:pt idx="0">
                  <c:v>一般公共服务支出</c:v>
                </c:pt>
                <c:pt idx="1">
                  <c:v>社会保障和就业支出</c:v>
                </c:pt>
                <c:pt idx="2">
                  <c:v>卫生健康支出</c:v>
                </c:pt>
                <c:pt idx="3">
                  <c:v>住房保障支出</c:v>
                </c:pt>
              </c:strCache>
            </c:strRef>
          </c:cat>
          <c:val>
            <c:numRef>
              <c:f>Sheet1!$B$2:$B$5</c:f>
              <c:numCache>
                <c:formatCode>General</c:formatCode>
                <c:ptCount val="4"/>
                <c:pt idx="0">
                  <c:v>7.4</c:v>
                </c:pt>
                <c:pt idx="1">
                  <c:v>82.61</c:v>
                </c:pt>
                <c:pt idx="2">
                  <c:v>624.56</c:v>
                </c:pt>
                <c:pt idx="3">
                  <c:v>70.23</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支出</c:v>
                </c:pt>
                <c:pt idx="1">
                  <c:v>收入</c:v>
                </c:pt>
              </c:strCache>
            </c:strRef>
          </c:cat>
          <c:val>
            <c:numRef>
              <c:f>Sheet1!$B$2:$B$3</c:f>
              <c:numCache>
                <c:formatCode>General</c:formatCode>
                <c:ptCount val="2"/>
                <c:pt idx="0">
                  <c:v>732.66</c:v>
                </c:pt>
                <c:pt idx="1">
                  <c:v>732.66</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支出</c:v>
                </c:pt>
                <c:pt idx="1">
                  <c:v>收入</c:v>
                </c:pt>
              </c:strCache>
            </c:strRef>
          </c:cat>
          <c:val>
            <c:numRef>
              <c:f>Sheet1!$C$2:$C$3</c:f>
              <c:numCache>
                <c:formatCode>General</c:formatCode>
                <c:ptCount val="2"/>
                <c:pt idx="0">
                  <c:v>784.8</c:v>
                </c:pt>
                <c:pt idx="1">
                  <c:v>784.8</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一般公共预算支出情况</a:t>
            </a:r>
            <a:endParaRPr lang="en-US" sz="1100"/>
          </a:p>
        </c:rich>
      </c:tx>
      <c:layout/>
      <c:overlay val="0"/>
      <c:spPr>
        <a:noFill/>
        <a:ln>
          <a:noFill/>
        </a:ln>
        <a:effectLst/>
      </c:sp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720.62</c:v>
                </c:pt>
              </c:numCache>
            </c:numRef>
          </c:val>
        </c:ser>
        <c:ser>
          <c:idx val="1"/>
          <c:order val="1"/>
          <c:tx>
            <c:strRef>
              <c:f>Sheet1!$C$1</c:f>
              <c:strCache>
                <c:ptCount val="1"/>
                <c:pt idx="0">
                  <c:v>结转下年支出</c:v>
                </c:pt>
              </c:strCache>
            </c:strRef>
          </c:tx>
          <c:invertIfNegative val="0"/>
          <c:dLbls>
            <c:delete val="1"/>
          </c:dLbls>
          <c:cat>
            <c:strRef>
              <c:f>Sheet1!$A$2</c:f>
              <c:strCache>
                <c:ptCount val="1"/>
                <c:pt idx="0">
                  <c:v>上年</c:v>
                </c:pt>
              </c:strCache>
            </c:strRef>
          </c:cat>
          <c:val>
            <c:numRef>
              <c:f>Sheet1!$C$2</c:f>
              <c:numCache>
                <c:formatCode>General</c:formatCode>
                <c:ptCount val="1"/>
                <c:pt idx="0">
                  <c:v>0</c:v>
                </c:pt>
              </c:numCache>
            </c:numRef>
          </c:val>
        </c:ser>
        <c:ser>
          <c:idx val="2"/>
          <c:order val="2"/>
          <c:tx>
            <c:strRef>
              <c:f>Sheet1!$D$1</c:f>
              <c:strCache>
                <c:ptCount val="1"/>
                <c:pt idx="0">
                  <c:v>项目支出</c:v>
                </c:pt>
              </c:strCache>
            </c:strRef>
          </c:tx>
          <c:invertIfNegative val="0"/>
          <c:dLbls>
            <c:delete val="1"/>
          </c:dLbls>
          <c:cat>
            <c:strRef>
              <c:f>Sheet1!$A$2</c:f>
              <c:strCache>
                <c:ptCount val="1"/>
                <c:pt idx="0">
                  <c:v>上年</c:v>
                </c:pt>
              </c:strCache>
            </c:strRef>
          </c:cat>
          <c:val>
            <c:numRef>
              <c:f>Sheet1!$D$2</c:f>
              <c:numCache>
                <c:formatCode>General</c:formatCode>
                <c:ptCount val="1"/>
                <c:pt idx="0">
                  <c:v>47.18</c:v>
                </c:pt>
              </c:numCache>
            </c:numRef>
          </c:val>
        </c:ser>
        <c:ser>
          <c:idx val="3"/>
          <c:order val="3"/>
          <c:tx>
            <c:strRef>
              <c:f>Sheet1!$E$1</c:f>
              <c:strCache>
                <c:ptCount val="1"/>
                <c:pt idx="0">
                  <c:v>公用经费</c:v>
                </c:pt>
              </c:strCache>
            </c:strRef>
          </c:tx>
          <c:invertIfNegative val="0"/>
          <c:dLbls>
            <c:delete val="1"/>
          </c:dLbls>
          <c:cat>
            <c:strRef>
              <c:f>Sheet1!$A$2</c:f>
              <c:strCache>
                <c:ptCount val="1"/>
                <c:pt idx="0">
                  <c:v>上年</c:v>
                </c:pt>
              </c:strCache>
            </c:strRef>
          </c:cat>
          <c:val>
            <c:numRef>
              <c:f>Sheet1!$E$2</c:f>
              <c:numCache>
                <c:formatCode>General</c:formatCode>
                <c:ptCount val="1"/>
                <c:pt idx="0">
                  <c:v>23.39</c:v>
                </c:pt>
              </c:numCache>
            </c:numRef>
          </c:val>
        </c:ser>
        <c:ser>
          <c:idx val="4"/>
          <c:order val="4"/>
          <c:tx>
            <c:strRef>
              <c:f>Sheet1!$F$1</c:f>
              <c:strCache>
                <c:ptCount val="1"/>
                <c:pt idx="0">
                  <c:v>人员经费</c:v>
                </c:pt>
              </c:strCache>
            </c:strRef>
          </c:tx>
          <c:invertIfNegative val="0"/>
          <c:dLbls>
            <c:delete val="1"/>
          </c:dLbls>
          <c:cat>
            <c:strRef>
              <c:f>Sheet1!$A$2</c:f>
              <c:strCache>
                <c:ptCount val="1"/>
                <c:pt idx="0">
                  <c:v>上年</c:v>
                </c:pt>
              </c:strCache>
            </c:strRef>
          </c:cat>
          <c:val>
            <c:numRef>
              <c:f>Sheet1!$F$2</c:f>
              <c:numCache>
                <c:formatCode>General</c:formatCode>
                <c:ptCount val="1"/>
                <c:pt idx="0">
                  <c:v>697.23</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一般公共预算基本支出情况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Pt>
            <c:idx val="1"/>
            <c:bubble3D val="0"/>
          </c:dPt>
          <c:dPt>
            <c:idx val="2"/>
            <c:bubble3D val="0"/>
          </c:dPt>
          <c:dLbls>
            <c:delete val="1"/>
          </c:dLbls>
          <c:cat>
            <c:strRef>
              <c:f>Sheet1!$A$2:$A$4</c:f>
              <c:strCache>
                <c:ptCount val="3"/>
                <c:pt idx="0">
                  <c:v>AGENCY_CODE</c:v>
                </c:pt>
                <c:pt idx="1">
                  <c:v>人员经费</c:v>
                </c:pt>
                <c:pt idx="2">
                  <c:v>公用经费</c:v>
                </c:pt>
              </c:strCache>
            </c:strRef>
          </c:cat>
          <c:val>
            <c:numRef>
              <c:f>Sheet1!$B$2:$B$4</c:f>
              <c:numCache>
                <c:formatCode>General</c:formatCode>
                <c:ptCount val="3"/>
                <c:pt idx="0">
                  <c:v>402003</c:v>
                </c:pt>
                <c:pt idx="1">
                  <c:v>697.23</c:v>
                </c:pt>
                <c:pt idx="2">
                  <c:v>23.39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c:v>
                </c:pt>
                <c:pt idx="1">
                  <c:v>1</c:v>
                </c:pt>
                <c:pt idx="2">
                  <c:v>3.99</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c:v>
                </c:pt>
                <c:pt idx="1">
                  <c:v>0</c:v>
                </c:pt>
                <c:pt idx="2">
                  <c:v>3.99</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FE193AB58C2A4C168D34CB3A6F7CE640_13</vt:lpwstr>
  </property>
</Properties>
</file>

<file path=customXml/item3.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10</TotalTime>
  <ScaleCrop>false</ScaleCrop>
  <LinksUpToDate>false</LinksUpToDate>
  <CharactersWithSpaces>11333</CharactersWithSpaces>
  <Application>WPS Office_12.1.0.16388_F1E327BC-269C-435d-A152-05C5408002CA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向左走</cp:lastModifiedBy>
  <dcterms:modified xsi:type="dcterms:W3CDTF">2024-02-26T10:01:48Z</dcterms:modified>
  <cp:revision>3</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27fc410-7c06-4843-81ea-599b53fc5e8a}">
  <ds:schemaRefs/>
</ds:datastoreItem>
</file>

<file path=customXml/itemProps3.xml><?xml version="1.0" encoding="utf-8"?>
<ds:datastoreItem xmlns:ds="http://schemas.openxmlformats.org/officeDocument/2006/customXml" ds:itemID="{f61548ed-0400-4e10-b2a3-68bb4703932a}">
  <ds:schemaRefs/>
</ds:datastoreItem>
</file>

<file path=customXml/itemProps4.xml><?xml version="1.0" encoding="utf-8"?>
<ds:datastoreItem xmlns:ds="http://schemas.openxmlformats.org/officeDocument/2006/customXml" ds:itemID="{5d34dcce-c07d-4b7c-97de-54d5b3bae2e7}">
  <ds:schemaRefs/>
</ds:datastoreItem>
</file>

<file path=docProps/app.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12</TotalTime>
  <ScaleCrop>false</ScaleCrop>
  <LinksUpToDate>false</LinksUpToDate>
  <CharactersWithSpaces>11333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2023-02-07T06:11:00Z</dcterms:created>
  <dc:creator>蔡冬冬</dc:creator>
  <cp:lastModifiedBy>花殇、紫吟调</cp:lastModifiedBy>
  <dcterms:modified xsi:type="dcterms:W3CDTF">2024-02-28T08:11:00Z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E1B563E253654692A547175882FCDF38_13</vt:lpwstr>
  </property>
</Properties>
</file>