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环江毛南族自治县卫生健康局</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环江毛南族自治县卫生健康局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环江毛南族自治县卫生健康局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环江毛南族自治县卫生健康局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3"/>
      <w:bookmarkStart w:id="5" w:name="bookmark14"/>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环江毛南族自治县卫生健康局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根据自治县委员办公室自治县人民政府办公室关于印发《环江毛南族自治县卫生他康局职能配置、内设机构和人员编制规定》的通知，（环办发[2019]30号）文件规定，本部门主要职责是：</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第一条根据《环江毛南族自治县机构改革方案》和自治县机构改革实施意见精神，制定本规定。</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第二条自治县卫生健康局是自治县人民政府工作部门，为正科级。加挂自治县中医药管理局牌子。</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第三条自治县卫生健康局贯彻落实党中央、自治区、河池市和自治县党委关于卫生健康工作的方针政策和决策部署，在履行职责过程中坚持和加强党对卫生健康工作的集中统一领导。主要职责是：</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落实上级关于卫生健康事业发展法律、法规和规章，组织拟订全县全民健康、卫生健康政策和规划，配合上级主管部门制定卫生健康地方标准并组织实施。统筹规划全县卫生健康资源配置，指导区域卫生健康规划的编制和实施。制定并组织实施推进卫生健康基本公共服务均等化、普惠化、便捷化和公共资源向基层延伸等政策措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协调推进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（三）制定并组织实施疾病预防控制规划、免疫规划以及严重危害人民健康公共卫生问题的于预措施。负责卫生应急工作，组织指导突发公共卫生事件的预防控制和各类突发公共事件的医疗卫生救援。</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（四）组织实施应对人口老龄化政策措施，负责推进老年健康服务体系建设和医养结合工作。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（五）贯彻落实国家药物政策和国家基本药物制度，开展药品使用监测、临床综合评价和短缺药品预警，提出基本药物价格政策的建议。组织开展食品安全风险监测评估。</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职责范围内的职业卫生、放射卫生、环境卫生、学校卫生、公共场所卫生、饮用水卫生等公共卫生的监督管理，负责传染病防治监督，健全卫生健康综合监督体系。依法负责职业卫生和放射卫生安全监督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监督实施医疗机构、医疗服务行业管理办法，建立医疗服务评价和监督管理体系。会同有关部门组织实施卫生健康专业技术人员资格准入。组织实施医疗服务规范、标准和卫生健康专业技术人员执业规则、服务规范。</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（八）负责计划生育管理和服务工作，开展人口监测预警，研究提出人口与家庭发展相关政策建议，完善和组织实施计划生育政策。</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（九）指导乡镇卫生健康工作，指导全县医疗卫生机构开展医疗卫生、妇幼健康服务体系和全科医生队伍建设。推进卫生健康科技创新发展。配合上级开展卫生健康领域对外交流合作与援外工作。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（十）负责自治县重要会议与重大活动的医疗卫生保障工作。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（十一）协调有关部门对全县艾滋病实施防控和于预，控制艾滋病的发生和蔓延。</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（十二）负责自治县中医药管理局日常业务，指导自治县计划生育协会的业务工作。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（十三）承担自治县爱国卫生运动委员会、自治县防治艾滋病工作委员会、自治县初级卫生保健委员会、自治县老龄工作委员会的日常工作。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（十四）完成自治县党委、自治县人民政府交办的其他任务。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五）职能转变。自治县卫生健康局应当牢固树立大卫生、大健康理念，推动实施健康环江建设，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（十六）有关职责分工。</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与自治县发展和改革局的有关职责分工。自治县卫生健康局负责开展人口监测预警工作，贯彻落实生育政策，研兖提出与生育相关的人口数量、素质、结构、分布方面的政策建议，促进生育政策和相关经济社会政策配套衔接，参与制定人口发展规划和政策，落实全县人口发展规划中的有关任务。自治县发展和改革局负责组织监测和评估人口变动情况及趋势影响，建立人口预测预报制度，开展重大决策人口影响评估，完善重大人口政策咨询机制，研究提出全县人口发展战略，拟订人口发展规划和人口政策，研究提出人口与经济、社会、资源、环境协调可持续发展，以及统筹促进人口长期均衡发展的政策建议。</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与自治县民政局的有关职责分工。自治县卫生健康局负责拟订应对人口老龄化、医养结合政策措施，综合协调、督促指导、组织推进老龄事业发展，承担老年疾病防治、老年人医疗照护、老年人心理健康与关怀服务等老年健康工作。自治县民政局负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统筹推进、督促指导、监督管理养老服务工作，拟订养老服务体系建设规划、政策等并组织实施，承担老年人福利和特殊困难老年人救助工作。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与自治县市场监督管理局的有关职责分工。自治县卫生健康局会同自治县市场监督管理局等部门制定、实施食品安全风险监测计划。自治县卫生健康局对通过食品安全风险监测或者接到举报发现食品可能存在安全隐患的，应当立即组织进行检验和食品安全风险评估，并及时向自治县市场监督管理局部门通报食品安全风险评估结果，对于得出不安全结论的食品，自治县市场监督管理局应当立即采取措施。自治县市场监督管理局在监督管理工作中发现需要进行食品安全风险评估的，应当及时向自治县卫生健康局提出建议。自治县市场监督管理局会同自治县卫生健康局建立重大药品不良反应和医疗器械不良事件相互通报机制和联合处置机制。</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4.与自治县医疗保障局的有关职责分工。自治县卫生健康局、自治县医疗保障局等部门在医疗、医保、医药等方面加强制度、政策衔接，建立沟通协商机制，协同推进改革，提高医疗资源使用效率和医疗保障水平。</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办公室（卫生应急办公室）。负责机关日常运转工作，承担重大问题调研、重要文稿起草、安全、保密、信访、政务公开等工作。负责自治县卫生健康党工委日常事务和机关党群、党风廉政建设工作。指导直属事业单位党建和党风廉政建设工作。承担卫生应急和紧急医学救援工作，组织编制专项预案，承担预案演练的组织实施和指导监督工作。指导卫生应急体系和能力建设。负责自治县重要会议与重大活动的医疗卫生保障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人事股。拟订全县卫生健康人才发展政策，承担机关和直属单位的人事管理、机构编制和队伍建设等工作，负责卫生健康专业技术人员资格管理。组织开展助理全科医师、住院医师、专科医师培训等毕业后医学教育和继续教育工作。协助上级开展卫生健康工作领域的对外交流与合作、对外宣传、援外工作。承担机关和直属单位外事管理工作。负责机关离退休人员工作，指导直属单位的离退休人员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（三）财务股。承担机关和预算管理单位预决算、财务、资产管理和内部审计工作。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法制监督和职业健康股（行政审批办公室）。协助上级部门起草卫生健康规章草案和制定卫生健康地方标准并组织实施，承担规范性文件的合法性审查工作，承担普法宣传、行政复议、行政应诉等工作。组织推进依法行政工作，负责行政审批制度改革，承担行政审批工作。组织开展医疗卫生、学校卫生、公共场所卫生、饮用水卫生、传染病防治监督工作，查处医疗服务市场违法行为。完善综合监督体系，加强队伍和能力建设，指导规范执法行为。组织实施职业卫生、放射卫生相关政策、标准。开展重点职业病监测、专项调查、职业健康风险评估和职业人群健康管理工作。协调开展职业病防治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疾病预防控制股（老龄健康保健股）。拟订重大疾病防治规划、免疫规划、严重危害人民健康公共卫生问题的于预措施并组织实施，完善疾病预防控制体系。开展食品安全风险监测、评估和交流，配合做好新食品原料、食品添加剂新品种、食品相关产品新品种的安全性审查。协调、组织全县开展艾滋病防治工作。组织实施艾滋病防治政策、技术规范，组织开展艾滋病防治宣传教育、综合防控和救治工作，完善艾滋病防治体系建设，动员和指导社会组织及志愿者参与防治工作，组织开展艾滋病防治督查指导、考核评估工作。组织拟订并协调落实应对老龄化的政</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策措施。组织实施医养结合的政策、标准和规范，建立和完善老年健康服务体系。承担自治县老龄工作委员会的具体工作。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医政医管股（中医药管理股）。组织实施医疗机构及医务人员、医疗技术应用、医疗质量和安全、医疗服务、采供血机构管理以及行风建设等行业管理政策规范、标准并进行监督，承担推进护理、康复事业发展工作。拟订公立医院运行监管、绩效评价和考核制度。监督大型医用设备配置和使用。组织实施国家基本药物制度。开展药品使用监测、临床综合评价和短缺药品预警。提出药品价格政策和基本药物目录内药品生产鼓励扶持政策的建议。配合有关部门拟订医疗服务价格政策。贯彻落实国冢、自治区和河池市有关中医药事业发展的法律、法规、规章和政策，拟订和实施全县中医药事业发展的规划。承担中医医疗、预防、保健、康复及临床用药等的监督管理责任，监督中医医疗、保健等机构管理规范和技术标准的执行。负责中医医疗质量监测与管理。继承和发展中医药民族医药文化，推动中医药防病治病知识普及，承担保护濒临消亡的中医诊疗技术和中药生产加工技术的责任，组织开展对中医古籍的整理研究，负责指导民族医药的理论。配合上级开展中药资源普查，促进中药资源的保护、开发和合理利用。组织实施中医药科学研究、技术开发规划，指导中医药科研条件和能力建设。组织实施中医药人才发展规划，组织开展中医药师传承教育、毕业后教育、继续教育和相关人才培训工作。指导并组织实施基层医疗机构开展中医药服务工作。配合上级开展中医药对外交流与合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基层卫生和妇幼健康股。组织实施基层卫生健康政策、标准和规范，指导基层卫生健康服务体系建设和乡村医生相关管理工作。负责基本公共卫生服务、全县健康扶贫管理工作。组织实施初级卫生保健工作。组织实施妇幼卫生健康政策、标准和规范，推进妇幼健康服务体系建设，指导妇幼卫生、出生缺陷防治、婴幼儿早期发展、人类辅助生殖技术管理和生育技术服务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体改宣教信息股（生育服务股）。承担深化医药卫生体制改革具体工作，研究提出深化医药卫生体制改革方针、政策、措施的建议，承担组织推进公立医院综合改革工作。承担人口监测预警工作并提出人口与家庭发展相关政策建议，执行上级生育政策。负责计划生育管理和服务工作。建立和完善计划生育特殊家庭扶助制度。组织开展卫生健康宣传、健康教育、健康促进活动，承担卫生健康科学普及、新闻、信息报道和报送工作。负责卫生健康绩效考核工作，负责组织实施各类综合性督查督导工作。承担健康环江建设协调推进工作，组织拟订我县卫生健康事业发展中长期规划，指导卫生健康服务体系、信息化建设，组织开展爱国卫生运动和卫生健康统计工作。报订卫生健康科技发展规划及相关政策并组织实施。负责本局网站维护和信息发布工作。组织实施相关科研项目，重点学科建设，指导全县医疗卫生适宜技术推广工作。承担实验室生物安全监督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第五条自治县卫生健康局机关行政编制12名。设局长（自治县中医药管理局局长）1名，副局长3名。</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暂保留机关后勤服务聘用人员控制数2名，待现有人员退出后自然消失。</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第六条自治县卫生健康局所属事业单位的设置、职责和编制事项另行规定。</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第七条本规定由自治县党委机构编制委员会办公室负责解释，其调整由自治县党委机构编制委员会办公室按规定程序办理。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第八条本规定自2019年3月25日起施行。</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环江毛南族自治县卫生健康局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1792.51</w:t>
      </w:r>
      <w:r>
        <w:rPr>
          <w:rFonts w:hint="eastAsia"/>
          <w:b w:val="0"/>
          <w:bCs w:val="0"/>
          <w:sz w:val="28"/>
          <w:szCs w:val="28"/>
        </w:rPr>
        <w:t xml:space="preserve">万元，总支出</w:t>
      </w:r>
      <w:r>
        <w:rPr>
          <w:rFonts w:hint="eastAsia"/>
          <w:sz w:val="28"/>
          <w:szCs w:val="28"/>
          <w:lang w:val="en-US" w:eastAsia="zh-CN"/>
        </w:rPr>
        <w:t xml:space="preserve">1792.51</w:t>
      </w:r>
      <w:r>
        <w:rPr>
          <w:rFonts w:hint="eastAsia"/>
          <w:b w:val="0"/>
          <w:bCs w:val="0"/>
          <w:sz w:val="28"/>
          <w:szCs w:val="28"/>
        </w:rPr>
        <w:t xml:space="preserve">万元。总收入较2023年度预算数</w:t>
      </w:r>
      <w:r>
        <w:rPr>
          <w:rFonts w:hint="eastAsia"/>
          <w:sz w:val="28"/>
          <w:szCs w:val="28"/>
          <w:lang w:val="en-US" w:eastAsia="zh-CN"/>
        </w:rPr>
        <w:t xml:space="preserve">1841.13</w:t>
      </w:r>
      <w:r>
        <w:rPr>
          <w:rFonts w:hint="eastAsia"/>
          <w:b w:val="0"/>
          <w:bCs w:val="0"/>
          <w:sz w:val="28"/>
          <w:szCs w:val="28"/>
        </w:rPr>
        <w:t xml:space="preserve">万元，</w:t>
      </w:r>
      <w:r>
        <w:rPr>
          <w:rFonts w:hint="eastAsia"/>
          <w:sz w:val="28"/>
          <w:szCs w:val="28"/>
        </w:rPr>
        <w:t xml:space="preserve">减少48.62</w:t>
      </w:r>
      <w:r>
        <w:rPr>
          <w:rFonts w:hint="eastAsia"/>
          <w:b w:val="0"/>
          <w:bCs w:val="0"/>
          <w:sz w:val="28"/>
          <w:szCs w:val="28"/>
        </w:rPr>
        <w:t xml:space="preserve">万元，</w:t>
      </w:r>
      <w:r>
        <w:rPr>
          <w:rFonts w:hint="eastAsia"/>
          <w:sz w:val="28"/>
          <w:szCs w:val="28"/>
        </w:rPr>
        <w:t xml:space="preserve">下降2.64%</w:t>
      </w:r>
      <w:r>
        <w:rPr>
          <w:rFonts w:hint="eastAsia"/>
          <w:b w:val="0"/>
          <w:bCs w:val="0"/>
          <w:sz w:val="28"/>
          <w:szCs w:val="28"/>
        </w:rPr>
        <w:t xml:space="preserve">，主要原因是</w:t>
      </w:r>
      <w:r>
        <w:rPr>
          <w:rFonts w:hint="eastAsia"/>
          <w:highlight w:val="none"/>
          <w:lang w:val="en-US" w:eastAsia="zh-CN"/>
        </w:rPr>
        <w:t xml:space="preserve">项目减少</w:t>
      </w:r>
      <w:r>
        <w:rPr>
          <w:rFonts w:hint="eastAsia"/>
          <w:b w:val="0"/>
          <w:bCs w:val="0"/>
          <w:sz w:val="28"/>
          <w:szCs w:val="28"/>
        </w:rPr>
        <w:t xml:space="preserve">。总支出较2023年度预算数</w:t>
      </w:r>
      <w:r>
        <w:rPr>
          <w:rFonts w:hint="eastAsia"/>
          <w:sz w:val="28"/>
          <w:szCs w:val="28"/>
          <w:lang w:val="en-US" w:eastAsia="zh-CN"/>
        </w:rPr>
        <w:t xml:space="preserve">1841.13</w:t>
      </w:r>
      <w:r>
        <w:rPr>
          <w:rFonts w:hint="eastAsia"/>
          <w:b w:val="0"/>
          <w:bCs w:val="0"/>
          <w:sz w:val="28"/>
          <w:szCs w:val="28"/>
        </w:rPr>
        <w:t xml:space="preserve">万元，</w:t>
      </w:r>
      <w:r>
        <w:rPr>
          <w:rFonts w:hint="eastAsia"/>
          <w:sz w:val="28"/>
          <w:szCs w:val="28"/>
        </w:rPr>
        <w:t xml:space="preserve">减少48.62</w:t>
      </w:r>
      <w:r>
        <w:rPr>
          <w:rFonts w:hint="eastAsia"/>
          <w:b w:val="0"/>
          <w:bCs w:val="0"/>
          <w:sz w:val="28"/>
          <w:szCs w:val="28"/>
        </w:rPr>
        <w:t xml:space="preserve">万元，</w:t>
      </w:r>
      <w:r>
        <w:rPr>
          <w:rFonts w:hint="eastAsia"/>
          <w:sz w:val="28"/>
          <w:szCs w:val="28"/>
        </w:rPr>
        <w:t xml:space="preserve">下降2.64%</w:t>
      </w:r>
      <w:r>
        <w:rPr>
          <w:rFonts w:hint="eastAsia"/>
          <w:b w:val="0"/>
          <w:bCs w:val="0"/>
          <w:sz w:val="28"/>
          <w:szCs w:val="28"/>
        </w:rPr>
        <w:t xml:space="preserve">，主要原因是</w:t>
      </w:r>
      <w:r>
        <w:rPr>
          <w:rFonts w:hint="eastAsia"/>
          <w:highlight w:val="none"/>
          <w:lang w:val="en-US" w:eastAsia="zh-CN"/>
        </w:rPr>
        <w:t xml:space="preserve">项目减少</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bookmarkStart w:id="14" w:name="_GoBack"/>
      <w:bookmarkEnd w:id="14"/>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4193"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1792.51</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1841.13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减少48.62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下降2.64%</w:t>
      </w:r>
      <w:r>
        <w:rPr>
          <w:rFonts w:ascii="宋体" w:eastAsia="宋体" w:hAnsi="宋体" w:cs="宋体" w:hint="eastAsia"/>
          <w:sz w:val="28"/>
          <w:szCs w:val="28"/>
          <w:u w:color="auto"/>
        </w:rPr>
        <w:t xml:space="preserve">，主要原因是</w:t>
      </w:r>
      <w:r>
        <w:rPr>
          <w:rFonts w:hint="eastAsia"/>
          <w:highlight w:val="none"/>
          <w:lang w:val="en-US" w:eastAsia="zh-CN"/>
        </w:rPr>
        <w:t xml:space="preserve">2024年项目较2023年减少2个</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4194"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1792.51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1841.13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减少48.62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下降2.64%</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2024年项目较2023年减少2个</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2023年年初预算结转251.3万元，2024年上年结转93.52万元，且2024年项目减少2个，故预算较上年下降</w:t>
      </w:r>
      <w:r>
        <w:rPr>
          <w:rFonts w:ascii="Times New Roman" w:hAnsi="Times New Roman" w:cs="Times New Roman" w:hint="eastAsia"/>
          <w:sz w:val="30"/>
          <w:szCs w:val="30"/>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 xml:space="preserve">（一）按支出功能分类科目划分，共分为</w:t>
      </w:r>
      <w:r>
        <w:rPr>
          <w:rFonts w:hint="eastAsia"/>
          <w:lang w:val="en-US" w:eastAsia="zh-CN"/>
        </w:rPr>
        <w:t xml:space="preserve">4</w:t>
      </w:r>
      <w: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1</w:t>
      </w:r>
      <w:r>
        <w:rPr>
          <w:u w:color="auto"/>
        </w:rPr>
        <w:t xml:space="preserve">)</w:t>
      </w:r>
      <w:r>
        <w:rPr>
          <w:u w:color="auto"/>
        </w:rPr>
        <w:t xml:space="preserve">卫生健康支出</w:t>
      </w:r>
      <w:r>
        <w:rPr>
          <w:rFonts w:hint="eastAsia"/>
          <w:lang w:val="en-US" w:eastAsia="zh-CN"/>
        </w:rPr>
        <w:t xml:space="preserve">1648.74</w:t>
      </w:r>
      <w:r>
        <w:rPr>
          <w:rFonts w:hint="eastAsia"/>
        </w:rPr>
        <w:t xml:space="preserve">万元，占支出总预算</w:t>
      </w:r>
      <w:r>
        <w:rPr>
          <w:rFonts w:hint="eastAsia"/>
          <w:lang w:val="en-US" w:eastAsia="zh-CN"/>
        </w:rPr>
        <w:t xml:space="preserve">91.98%</w:t>
      </w:r>
      <w:r>
        <w:rPr>
          <w:rFonts w:hint="eastAsia"/>
        </w:rPr>
        <w:t xml:space="preserve">,比上年</w:t>
      </w:r>
      <w:r>
        <w:rPr>
          <w:rFonts w:hint="eastAsia"/>
          <w:lang w:val="en-US" w:eastAsia="zh-CN"/>
        </w:rPr>
        <w:t xml:space="preserve">减少56.34</w:t>
      </w:r>
      <w:r>
        <w:rPr>
          <w:rFonts w:hint="eastAsia"/>
        </w:rPr>
        <w:t xml:space="preserve">万元，</w:t>
      </w:r>
      <w:r>
        <w:rPr>
          <w:rFonts w:hint="eastAsia"/>
          <w:lang w:val="en-US" w:eastAsia="zh-CN"/>
        </w:rPr>
        <w:t xml:space="preserve">减少3.30%</w:t>
      </w:r>
      <w:r>
        <w:rPr>
          <w:rFonts w:hint="eastAsia"/>
        </w:rPr>
        <w:t xml:space="preserve">,</w:t>
      </w:r>
      <w:r>
        <w:rPr>
          <w:rFonts w:hint="eastAsia"/>
          <w:highlight w:val="none"/>
        </w:rPr>
        <w:t xml:space="preserve">主要原因是：</w:t>
      </w:r>
      <w:r>
        <w:rPr>
          <w:rFonts w:hint="eastAsia"/>
          <w:highlight w:val="none"/>
          <w:lang w:val="en-US" w:eastAsia="zh-CN"/>
        </w:rPr>
        <w:t xml:space="preserve">2024年项目减少</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2</w:t>
      </w:r>
      <w:r>
        <w:rPr>
          <w:u w:color="auto"/>
        </w:rPr>
        <w:t xml:space="preserve">)</w:t>
      </w:r>
      <w:r>
        <w:rPr>
          <w:u w:color="auto"/>
        </w:rPr>
        <w:t xml:space="preserve">社会保障和就业支出</w:t>
      </w:r>
      <w:r>
        <w:rPr>
          <w:rFonts w:hint="eastAsia"/>
          <w:lang w:val="en-US" w:eastAsia="zh-CN"/>
        </w:rPr>
        <w:t xml:space="preserve">74.88</w:t>
      </w:r>
      <w:r>
        <w:rPr>
          <w:rFonts w:hint="eastAsia"/>
        </w:rPr>
        <w:t xml:space="preserve">万元，占支出总预算</w:t>
      </w:r>
      <w:r>
        <w:rPr>
          <w:rFonts w:hint="eastAsia"/>
          <w:lang w:val="en-US" w:eastAsia="zh-CN"/>
        </w:rPr>
        <w:t xml:space="preserve">4.18%</w:t>
      </w:r>
      <w:r>
        <w:rPr>
          <w:rFonts w:hint="eastAsia"/>
        </w:rPr>
        <w:t xml:space="preserve">,比上年</w:t>
      </w:r>
      <w:r>
        <w:rPr>
          <w:rFonts w:hint="eastAsia"/>
          <w:lang w:val="en-US" w:eastAsia="zh-CN"/>
        </w:rPr>
        <w:t xml:space="preserve">增长1.39</w:t>
      </w:r>
      <w:r>
        <w:rPr>
          <w:rFonts w:hint="eastAsia"/>
        </w:rPr>
        <w:t xml:space="preserve">万元，</w:t>
      </w:r>
      <w:r>
        <w:rPr>
          <w:rFonts w:hint="eastAsia"/>
          <w:lang w:val="en-US" w:eastAsia="zh-CN"/>
        </w:rPr>
        <w:t xml:space="preserve">增长1.89%</w:t>
      </w:r>
      <w:r>
        <w:rPr>
          <w:rFonts w:hint="eastAsia"/>
        </w:rPr>
        <w:t xml:space="preserve">,</w:t>
      </w:r>
      <w:r>
        <w:rPr>
          <w:rFonts w:hint="eastAsia"/>
          <w:highlight w:val="none"/>
        </w:rPr>
        <w:t xml:space="preserve">主要原因是：</w:t>
      </w:r>
      <w:r>
        <w:rPr>
          <w:rFonts w:hint="eastAsia"/>
          <w:highlight w:val="none"/>
          <w:lang w:val="en-US" w:eastAsia="zh-CN"/>
        </w:rPr>
        <w:t xml:space="preserve">人员各项保险基数调整增加</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3</w:t>
      </w:r>
      <w:r>
        <w:rPr>
          <w:u w:color="auto"/>
        </w:rPr>
        <w:t xml:space="preserve">)</w:t>
      </w:r>
      <w:r>
        <w:rPr>
          <w:u w:color="auto"/>
        </w:rPr>
        <w:t xml:space="preserve">住房保障支出</w:t>
      </w:r>
      <w:r>
        <w:rPr>
          <w:rFonts w:hint="eastAsia"/>
          <w:lang w:val="en-US" w:eastAsia="zh-CN"/>
        </w:rPr>
        <w:t xml:space="preserve">62.59</w:t>
      </w:r>
      <w:r>
        <w:rPr>
          <w:rFonts w:hint="eastAsia"/>
        </w:rPr>
        <w:t xml:space="preserve">万元，占支出总预算</w:t>
      </w:r>
      <w:r>
        <w:rPr>
          <w:rFonts w:hint="eastAsia"/>
          <w:lang w:val="en-US" w:eastAsia="zh-CN"/>
        </w:rPr>
        <w:t xml:space="preserve">3.49%</w:t>
      </w:r>
      <w:r>
        <w:rPr>
          <w:rFonts w:hint="eastAsia"/>
        </w:rPr>
        <w:t xml:space="preserve">,比上年</w:t>
      </w:r>
      <w:r>
        <w:rPr>
          <w:rFonts w:hint="eastAsia"/>
          <w:lang w:val="en-US" w:eastAsia="zh-CN"/>
        </w:rPr>
        <w:t xml:space="preserve">增长8.97</w:t>
      </w:r>
      <w:r>
        <w:rPr>
          <w:rFonts w:hint="eastAsia"/>
        </w:rPr>
        <w:t xml:space="preserve">万元，</w:t>
      </w:r>
      <w:r>
        <w:rPr>
          <w:rFonts w:hint="eastAsia"/>
          <w:lang w:val="en-US" w:eastAsia="zh-CN"/>
        </w:rPr>
        <w:t xml:space="preserve">增长16.73%</w:t>
      </w:r>
      <w:r>
        <w:rPr>
          <w:rFonts w:hint="eastAsia"/>
        </w:rPr>
        <w:t xml:space="preserve">,</w:t>
      </w:r>
      <w:r>
        <w:rPr>
          <w:rFonts w:hint="eastAsia"/>
          <w:highlight w:val="none"/>
        </w:rPr>
        <w:t xml:space="preserve">主要原因是：</w:t>
      </w:r>
      <w:r>
        <w:rPr>
          <w:rFonts w:hint="eastAsia"/>
          <w:highlight w:val="none"/>
          <w:lang w:val="en-US" w:eastAsia="zh-CN"/>
        </w:rPr>
        <w:t xml:space="preserve">人员调入，支出增加</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4</w:t>
      </w:r>
      <w:r>
        <w:rPr>
          <w:u w:color="auto"/>
        </w:rPr>
        <w:t xml:space="preserve">)</w:t>
      </w:r>
      <w:r>
        <w:rPr>
          <w:u w:color="auto"/>
        </w:rPr>
        <w:t xml:space="preserve">一般公共服务支出</w:t>
      </w:r>
      <w:r>
        <w:rPr>
          <w:rFonts w:hint="eastAsia"/>
          <w:lang w:val="en-US" w:eastAsia="zh-CN"/>
        </w:rPr>
        <w:t xml:space="preserve">6.31</w:t>
      </w:r>
      <w:r>
        <w:rPr>
          <w:rFonts w:hint="eastAsia"/>
        </w:rPr>
        <w:t xml:space="preserve">万元，占支出总预算</w:t>
      </w:r>
      <w:r>
        <w:rPr>
          <w:rFonts w:hint="eastAsia"/>
          <w:lang w:val="en-US" w:eastAsia="zh-CN"/>
        </w:rPr>
        <w:t xml:space="preserve">0.35%</w:t>
      </w:r>
      <w:r>
        <w:rPr>
          <w:rFonts w:hint="eastAsia"/>
        </w:rPr>
        <w:t xml:space="preserve">,比上年</w:t>
      </w:r>
      <w:r>
        <w:rPr>
          <w:rFonts w:hint="eastAsia"/>
          <w:lang w:val="en-US" w:eastAsia="zh-CN"/>
        </w:rPr>
        <w:t xml:space="preserve">减少2.63</w:t>
      </w:r>
      <w:r>
        <w:rPr>
          <w:rFonts w:hint="eastAsia"/>
        </w:rPr>
        <w:t xml:space="preserve">万元，</w:t>
      </w:r>
      <w:r>
        <w:rPr>
          <w:rFonts w:hint="eastAsia"/>
          <w:lang w:val="en-US" w:eastAsia="zh-CN"/>
        </w:rPr>
        <w:t xml:space="preserve">减少29.42%</w:t>
      </w:r>
      <w:r>
        <w:rPr>
          <w:rFonts w:hint="eastAsia"/>
        </w:rPr>
        <w:t xml:space="preserve">,</w:t>
      </w:r>
      <w:r>
        <w:rPr>
          <w:rFonts w:hint="eastAsia"/>
          <w:highlight w:val="none"/>
        </w:rPr>
        <w:t xml:space="preserve">主要原因是：</w:t>
      </w:r>
      <w:r>
        <w:rPr>
          <w:rFonts w:hint="eastAsia"/>
          <w:highlight w:val="none"/>
          <w:lang w:val="en-US" w:eastAsia="zh-CN"/>
        </w:rPr>
        <w:t xml:space="preserve">工会经费预算基数减少</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pPr>
      <w: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基本支出预算</w:t>
      </w:r>
      <w:r>
        <w:rPr>
          <w:rFonts w:hint="eastAsia"/>
          <w:lang w:val="en-US" w:eastAsia="zh-CN"/>
        </w:rPr>
        <w:t xml:space="preserve">680.20</w:t>
      </w:r>
      <w:r>
        <w:rPr>
          <w:rFonts w:hint="eastAsia"/>
        </w:rPr>
        <w:t xml:space="preserve">万元，占支出预算</w:t>
      </w:r>
      <w:r>
        <w:rPr>
          <w:u w:color="auto"/>
        </w:rPr>
        <w:t xml:space="preserve">37.95%</w:t>
      </w:r>
      <w:r>
        <w:rPr>
          <w:u w:color="auto"/>
        </w:rPr>
        <w:t xml:space="preserve">,比上年</w:t>
      </w:r>
      <w:r>
        <w:rPr>
          <w:u w:color="auto"/>
        </w:rPr>
        <w:t xml:space="preserve">增长90.42</w:t>
      </w:r>
      <w:r>
        <w:rPr>
          <w:u w:color="auto"/>
        </w:rPr>
        <w:t xml:space="preserve">万元，</w:t>
      </w:r>
      <w:r>
        <w:rPr>
          <w:u w:color="auto"/>
        </w:rPr>
        <w:t xml:space="preserve">增长15.33%</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584.41</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85.92%</w:t>
      </w:r>
      <w:r>
        <w:rPr>
          <w:rFonts w:ascii="宋体" w:eastAsia="宋体" w:hAnsi="宋体" w:cs="宋体" w:hint="eastAsia"/>
          <w:sz w:val="28"/>
          <w:szCs w:val="28"/>
        </w:rPr>
        <w:t xml:space="preserve">,比上年</w:t>
      </w:r>
      <w:r>
        <w:rPr>
          <w:rFonts w:ascii="宋体" w:eastAsia="宋体" w:hAnsi="宋体" w:cs="宋体"/>
          <w:sz w:val="28"/>
          <w:u w:color="auto"/>
        </w:rPr>
        <w:t xml:space="preserve">增长71.77</w:t>
      </w:r>
      <w:r>
        <w:rPr>
          <w:rFonts w:ascii="宋体" w:eastAsia="宋体" w:hAnsi="宋体" w:cs="宋体"/>
          <w:sz w:val="28"/>
          <w:u w:color="auto"/>
        </w:rPr>
        <w:t xml:space="preserve">万元，</w:t>
      </w:r>
      <w:r>
        <w:rPr>
          <w:rFonts w:ascii="宋体" w:eastAsia="宋体" w:hAnsi="宋体" w:cs="宋体"/>
          <w:sz w:val="28"/>
          <w:u w:color="auto"/>
        </w:rPr>
        <w:t xml:space="preserve">增长14.00%</w:t>
      </w:r>
      <w:r>
        <w:rPr>
          <w:rFonts w:ascii="宋体" w:eastAsia="宋体" w:hAnsi="宋体" w:cs="宋体"/>
          <w:sz w:val="28"/>
          <w:u w:color="auto"/>
        </w:rPr>
        <w:t xml:space="preserve">,主要原因是：人员增加，工资福利相应增加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50.28</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7.39%</w:t>
      </w:r>
      <w:r>
        <w:rPr>
          <w:rFonts w:ascii="宋体" w:eastAsia="宋体" w:hAnsi="宋体" w:cs="宋体" w:hint="eastAsia"/>
          <w:sz w:val="28"/>
          <w:szCs w:val="28"/>
        </w:rPr>
        <w:t xml:space="preserve">,比上年</w:t>
      </w:r>
      <w:r>
        <w:rPr>
          <w:rFonts w:ascii="宋体" w:eastAsia="宋体" w:hAnsi="宋体" w:cs="宋体"/>
          <w:sz w:val="28"/>
          <w:u w:color="auto"/>
        </w:rPr>
        <w:t xml:space="preserve">增长0.96</w:t>
      </w:r>
      <w:r>
        <w:rPr>
          <w:rFonts w:ascii="宋体" w:eastAsia="宋体" w:hAnsi="宋体" w:cs="宋体"/>
          <w:sz w:val="28"/>
          <w:u w:color="auto"/>
        </w:rPr>
        <w:t xml:space="preserve">万元，</w:t>
      </w:r>
      <w:r>
        <w:rPr>
          <w:rFonts w:ascii="宋体" w:eastAsia="宋体" w:hAnsi="宋体" w:cs="宋体"/>
          <w:sz w:val="28"/>
          <w:u w:color="auto"/>
        </w:rPr>
        <w:t xml:space="preserve">增长1.95%</w:t>
      </w:r>
      <w:r>
        <w:rPr>
          <w:rFonts w:ascii="宋体" w:eastAsia="宋体" w:hAnsi="宋体" w:cs="宋体"/>
          <w:sz w:val="28"/>
          <w:u w:color="auto"/>
        </w:rPr>
        <w:t xml:space="preserve">,主要原因是：公用经费支出正常增加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45.51</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6.69%</w:t>
      </w:r>
      <w:r>
        <w:rPr>
          <w:rFonts w:ascii="宋体" w:eastAsia="宋体" w:hAnsi="宋体" w:cs="宋体" w:hint="eastAsia"/>
          <w:sz w:val="28"/>
          <w:szCs w:val="28"/>
        </w:rPr>
        <w:t xml:space="preserve">,比上年</w:t>
      </w:r>
      <w:r>
        <w:rPr>
          <w:rFonts w:ascii="宋体" w:eastAsia="宋体" w:hAnsi="宋体" w:cs="宋体"/>
          <w:sz w:val="28"/>
          <w:u w:color="auto"/>
        </w:rPr>
        <w:t xml:space="preserve">增长17.69</w:t>
      </w:r>
      <w:r>
        <w:rPr>
          <w:rFonts w:ascii="宋体" w:eastAsia="宋体" w:hAnsi="宋体" w:cs="宋体"/>
          <w:sz w:val="28"/>
          <w:u w:color="auto"/>
        </w:rPr>
        <w:t xml:space="preserve">万元，</w:t>
      </w:r>
      <w:r>
        <w:rPr>
          <w:rFonts w:ascii="宋体" w:eastAsia="宋体" w:hAnsi="宋体" w:cs="宋体"/>
          <w:sz w:val="28"/>
          <w:u w:color="auto"/>
        </w:rPr>
        <w:t xml:space="preserve">增长63.59%</w:t>
      </w:r>
      <w:r>
        <w:rPr>
          <w:rFonts w:ascii="宋体" w:eastAsia="宋体" w:hAnsi="宋体" w:cs="宋体"/>
          <w:sz w:val="28"/>
          <w:u w:color="auto"/>
        </w:rPr>
        <w:t xml:space="preserve">,主要原因是：退休人员待遇由原来的月500元增加到833元，2024年新增遗属人员1人</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项目支出预算</w:t>
      </w:r>
      <w:r>
        <w:rPr>
          <w:rFonts w:hint="eastAsia"/>
          <w:lang w:val="en-US" w:eastAsia="zh-CN"/>
        </w:rPr>
        <w:t xml:space="preserve">1112.31</w:t>
      </w:r>
      <w:r>
        <w:rPr>
          <w:rFonts w:hint="eastAsia"/>
        </w:rPr>
        <w:t xml:space="preserve">万元，占支出预算</w:t>
      </w:r>
      <w:r>
        <w:rPr>
          <w:u w:color="auto"/>
        </w:rPr>
        <w:t xml:space="preserve">62.05%</w:t>
      </w:r>
      <w:r>
        <w:rPr>
          <w:rFonts w:hint="eastAsia"/>
        </w:rPr>
        <w:t xml:space="preserve">,比上年</w:t>
      </w:r>
      <w:r>
        <w:rPr>
          <w:u w:color="auto"/>
        </w:rPr>
        <w:t xml:space="preserve">减少139.04</w:t>
      </w:r>
      <w:r>
        <w:rPr>
          <w:rFonts w:hint="eastAsia"/>
        </w:rPr>
        <w:t xml:space="preserve">万元，</w:t>
      </w:r>
      <w:r>
        <w:rPr>
          <w:u w:color="auto"/>
        </w:rPr>
        <w:t xml:space="preserve">减少11.11%</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10.00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0.90%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减少38.28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减少79.29%</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2024年减少2个项目预算，其余项目较上年预算有减少</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291.70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26.22%</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减少101.98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减少25.90%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2024年较2023年项目减少2个</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810.61</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72.88%</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增长1.22</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增长0.15%</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2024年对个人和家庭的补助增加</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4195"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1792.51</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1792.51</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1841.13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减少48.62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下降2.64%</w:t>
      </w:r>
      <w:r>
        <w:rPr>
          <w:rFonts w:ascii="宋体" w:eastAsia="宋体" w:hAnsi="宋体" w:cs="宋体" w:hint="eastAsia"/>
          <w:sz w:val="28"/>
          <w:szCs w:val="28"/>
        </w:rPr>
        <w:t xml:space="preserve">，主要原因是</w:t>
      </w:r>
      <w:r>
        <w:rPr>
          <w:rFonts w:hint="eastAsia"/>
          <w:highlight w:val="none"/>
          <w:lang w:val="en-US" w:eastAsia="zh-CN"/>
        </w:rPr>
        <w:t xml:space="preserve">项目减少</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1841.13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减少48.62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下降2.64%</w:t>
      </w:r>
      <w:r>
        <w:rPr>
          <w:rFonts w:ascii="宋体" w:eastAsia="宋体" w:hAnsi="宋体" w:cs="宋体" w:hint="eastAsia"/>
          <w:sz w:val="28"/>
          <w:szCs w:val="28"/>
        </w:rPr>
        <w:t xml:space="preserve">，主要原因是</w:t>
      </w:r>
      <w:r>
        <w:rPr>
          <w:rFonts w:hint="eastAsia"/>
          <w:highlight w:val="none"/>
          <w:lang w:val="en-US" w:eastAsia="zh-CN"/>
        </w:rPr>
        <w:t xml:space="preserve">项目减少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4196"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1792.51</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1841.13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减少48.62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下降2.64%</w:t>
      </w:r>
      <w:r>
        <w:rPr>
          <w:rFonts w:ascii="宋体" w:eastAsia="宋体" w:hAnsi="宋体" w:cs="宋体" w:hint="eastAsia"/>
          <w:sz w:val="28"/>
          <w:szCs w:val="28"/>
        </w:rPr>
        <w:t xml:space="preserve">，主要原因是</w:t>
      </w:r>
      <w:r>
        <w:rPr>
          <w:rFonts w:hint="eastAsia"/>
          <w:highlight w:val="none"/>
          <w:lang w:val="en-US" w:eastAsia="zh-CN"/>
        </w:rPr>
        <w:t xml:space="preserve">项目减少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6.31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0.35%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8.94</w:t>
      </w:r>
      <w:r>
        <w:rPr>
          <w:rFonts w:ascii="宋体" w:eastAsia="宋体" w:hAnsi="宋体" w:cs="宋体" w:hint="eastAsia"/>
          <w:sz w:val="28"/>
          <w:szCs w:val="28"/>
        </w:rPr>
        <w:t xml:space="preserve">万元，</w:t>
      </w:r>
      <w:r>
        <w:rPr>
          <w:rFonts w:ascii="宋体" w:eastAsia="宋体" w:hAnsi="宋体" w:cs="宋体"/>
          <w:sz w:val="28"/>
          <w:u w:color="auto"/>
        </w:rPr>
        <w:t xml:space="preserve">减少2.63</w:t>
      </w:r>
      <w:r>
        <w:rPr>
          <w:rFonts w:ascii="宋体" w:eastAsia="宋体" w:hAnsi="宋体" w:cs="宋体" w:hint="eastAsia"/>
          <w:sz w:val="28"/>
          <w:szCs w:val="28"/>
        </w:rPr>
        <w:t xml:space="preserve">万元，</w:t>
      </w:r>
      <w:r>
        <w:rPr>
          <w:rFonts w:ascii="宋体" w:eastAsia="宋体" w:hAnsi="宋体" w:cs="宋体"/>
          <w:sz w:val="28"/>
          <w:u w:color="auto"/>
        </w:rPr>
        <w:t xml:space="preserve">减少29.42%</w:t>
      </w:r>
      <w:r>
        <w:rPr>
          <w:rFonts w:ascii="宋体" w:eastAsia="宋体" w:hAnsi="宋体" w:cs="宋体" w:hint="eastAsia"/>
          <w:sz w:val="28"/>
          <w:szCs w:val="28"/>
        </w:rPr>
        <w:t xml:space="preserve">，主要原因是：</w:t>
      </w:r>
      <w:r>
        <w:rPr>
          <w:rFonts w:hint="eastAsia"/>
          <w:highlight w:val="none"/>
        </w:rPr>
        <w:t xml:space="preserve">项目减少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62.59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3.49%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53.62</w:t>
      </w:r>
      <w:r>
        <w:rPr>
          <w:rFonts w:ascii="宋体" w:eastAsia="宋体" w:hAnsi="宋体" w:cs="宋体" w:hint="eastAsia"/>
          <w:sz w:val="28"/>
          <w:szCs w:val="28"/>
        </w:rPr>
        <w:t xml:space="preserve">万元，</w:t>
      </w:r>
      <w:r>
        <w:rPr>
          <w:rFonts w:ascii="宋体" w:eastAsia="宋体" w:hAnsi="宋体" w:cs="宋体"/>
          <w:sz w:val="28"/>
          <w:u w:color="auto"/>
        </w:rPr>
        <w:t xml:space="preserve">增长8.97</w:t>
      </w:r>
      <w:r>
        <w:rPr>
          <w:rFonts w:ascii="宋体" w:eastAsia="宋体" w:hAnsi="宋体" w:cs="宋体" w:hint="eastAsia"/>
          <w:sz w:val="28"/>
          <w:szCs w:val="28"/>
        </w:rPr>
        <w:t xml:space="preserve">万元，</w:t>
      </w:r>
      <w:r>
        <w:rPr>
          <w:rFonts w:ascii="宋体" w:eastAsia="宋体" w:hAnsi="宋体" w:cs="宋体"/>
          <w:sz w:val="28"/>
          <w:u w:color="auto"/>
        </w:rPr>
        <w:t xml:space="preserve">增长16.73%</w:t>
      </w:r>
      <w:r>
        <w:rPr>
          <w:rFonts w:ascii="宋体" w:eastAsia="宋体" w:hAnsi="宋体" w:cs="宋体" w:hint="eastAsia"/>
          <w:sz w:val="28"/>
          <w:szCs w:val="28"/>
        </w:rPr>
        <w:t xml:space="preserve">，主要原因是：</w:t>
      </w:r>
      <w:r>
        <w:rPr>
          <w:rFonts w:hint="eastAsia"/>
          <w:highlight w:val="none"/>
        </w:rPr>
        <w:t xml:space="preserve">人员增加，公积金基数调整增加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卫生健康支出</w:t>
      </w:r>
      <w:r>
        <w:rPr>
          <w:rFonts w:ascii="宋体" w:eastAsia="宋体" w:hAnsi="宋体" w:cs="宋体" w:hint="eastAsia"/>
          <w:sz w:val="28"/>
          <w:szCs w:val="28"/>
        </w:rPr>
        <w:t xml:space="preserve">（类）支出</w:t>
      </w:r>
      <w:r>
        <w:rPr>
          <w:rFonts w:ascii="宋体" w:eastAsia="宋体" w:hAnsi="宋体" w:cs="宋体"/>
          <w:sz w:val="28"/>
          <w:u w:color="auto"/>
        </w:rPr>
        <w:t xml:space="preserve">1648.74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91.98%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1705.08</w:t>
      </w:r>
      <w:r>
        <w:rPr>
          <w:rFonts w:ascii="宋体" w:eastAsia="宋体" w:hAnsi="宋体" w:cs="宋体" w:hint="eastAsia"/>
          <w:sz w:val="28"/>
          <w:szCs w:val="28"/>
        </w:rPr>
        <w:t xml:space="preserve">万元，</w:t>
      </w:r>
      <w:r>
        <w:rPr>
          <w:rFonts w:ascii="宋体" w:eastAsia="宋体" w:hAnsi="宋体" w:cs="宋体"/>
          <w:sz w:val="28"/>
          <w:u w:color="auto"/>
        </w:rPr>
        <w:t xml:space="preserve">减少56.34</w:t>
      </w:r>
      <w:r>
        <w:rPr>
          <w:rFonts w:ascii="宋体" w:eastAsia="宋体" w:hAnsi="宋体" w:cs="宋体" w:hint="eastAsia"/>
          <w:sz w:val="28"/>
          <w:szCs w:val="28"/>
        </w:rPr>
        <w:t xml:space="preserve">万元，</w:t>
      </w:r>
      <w:r>
        <w:rPr>
          <w:rFonts w:ascii="宋体" w:eastAsia="宋体" w:hAnsi="宋体" w:cs="宋体"/>
          <w:sz w:val="28"/>
          <w:u w:color="auto"/>
        </w:rPr>
        <w:t xml:space="preserve">减少3.30%</w:t>
      </w:r>
      <w:r>
        <w:rPr>
          <w:rFonts w:ascii="宋体" w:eastAsia="宋体" w:hAnsi="宋体" w:cs="宋体" w:hint="eastAsia"/>
          <w:sz w:val="28"/>
          <w:szCs w:val="28"/>
        </w:rPr>
        <w:t xml:space="preserve">，主要原因是：</w:t>
      </w:r>
      <w:r>
        <w:rPr>
          <w:rFonts w:hint="eastAsia"/>
          <w:highlight w:val="none"/>
        </w:rPr>
        <w:t xml:space="preserve">项目减少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74.88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4.18%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73.49</w:t>
      </w:r>
      <w:r>
        <w:rPr>
          <w:rFonts w:ascii="宋体" w:eastAsia="宋体" w:hAnsi="宋体" w:cs="宋体" w:hint="eastAsia"/>
          <w:sz w:val="28"/>
          <w:szCs w:val="28"/>
        </w:rPr>
        <w:t xml:space="preserve">万元，</w:t>
      </w:r>
      <w:r>
        <w:rPr>
          <w:rFonts w:ascii="宋体" w:eastAsia="宋体" w:hAnsi="宋体" w:cs="宋体"/>
          <w:sz w:val="28"/>
          <w:u w:color="auto"/>
        </w:rPr>
        <w:t xml:space="preserve">增长1.39</w:t>
      </w:r>
      <w:r>
        <w:rPr>
          <w:rFonts w:ascii="宋体" w:eastAsia="宋体" w:hAnsi="宋体" w:cs="宋体" w:hint="eastAsia"/>
          <w:sz w:val="28"/>
          <w:szCs w:val="28"/>
        </w:rPr>
        <w:t xml:space="preserve">万元，</w:t>
      </w:r>
      <w:r>
        <w:rPr>
          <w:rFonts w:ascii="宋体" w:eastAsia="宋体" w:hAnsi="宋体" w:cs="宋体"/>
          <w:sz w:val="28"/>
          <w:u w:color="auto"/>
        </w:rPr>
        <w:t xml:space="preserve">增长1.89%</w:t>
      </w:r>
      <w:r>
        <w:rPr>
          <w:rFonts w:ascii="宋体" w:eastAsia="宋体" w:hAnsi="宋体" w:cs="宋体" w:hint="eastAsia"/>
          <w:sz w:val="28"/>
          <w:szCs w:val="28"/>
        </w:rPr>
        <w:t xml:space="preserve">，主要原因是：</w:t>
      </w:r>
      <w:r>
        <w:rPr>
          <w:rFonts w:hint="eastAsia"/>
          <w:highlight w:val="none"/>
        </w:rPr>
        <w:t xml:space="preserve">各项保险基数调整</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4197"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680.20</w:t>
      </w:r>
      <w:r>
        <w:rPr>
          <w:rFonts w:hint="eastAsia"/>
        </w:rPr>
        <w:t xml:space="preserve">万元，较2023年度预算数</w:t>
      </w:r>
      <w:r>
        <w:rPr>
          <w:rFonts w:hint="eastAsia"/>
          <w:lang w:val="en-US" w:eastAsia="zh-CN"/>
        </w:rPr>
        <w:t xml:space="preserve">589.78</w:t>
      </w:r>
      <w:r>
        <w:rPr>
          <w:rFonts w:hint="eastAsia"/>
        </w:rPr>
        <w:t xml:space="preserve">万元</w:t>
      </w:r>
      <w:r>
        <w:rPr>
          <w:rFonts w:hint="eastAsia"/>
          <w:lang w:val="en-US" w:eastAsia="zh-CN"/>
        </w:rPr>
        <w:t xml:space="preserve">,</w:t>
      </w:r>
      <w:r>
        <w:rPr>
          <w:u w:color="auto"/>
        </w:rPr>
        <w:t xml:space="preserve">增加90.42</w:t>
      </w:r>
      <w:r>
        <w:rPr>
          <w:rFonts w:hint="eastAsia"/>
        </w:rPr>
        <w:t xml:space="preserve">万元，</w:t>
      </w:r>
      <w:r>
        <w:rPr>
          <w:rFonts w:hint="eastAsia"/>
          <w:lang w:val="en-US" w:eastAsia="zh-CN"/>
        </w:rPr>
        <w:t xml:space="preserve">增长15.33%</w:t>
      </w:r>
      <w:r>
        <w:rPr>
          <w:rFonts w:hint="eastAsia"/>
        </w:rPr>
        <w:t xml:space="preserve">，主要原因是</w:t>
      </w:r>
      <w:r>
        <w:rPr>
          <w:rFonts w:hint="eastAsia"/>
          <w:highlight w:val="none"/>
          <w:lang w:val="en-US" w:eastAsia="zh-CN"/>
        </w:rPr>
        <w:t xml:space="preserve">基本支出增加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584.41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85.92%</w:t>
      </w:r>
      <w:r>
        <w:rPr>
          <w:rFonts w:hint="eastAsia"/>
        </w:rPr>
        <w:t xml:space="preserve">，较2023年度预算数</w:t>
      </w:r>
      <w:r>
        <w:rPr>
          <w:rFonts w:hint="eastAsia"/>
          <w:lang w:val="en-US" w:eastAsia="zh-CN"/>
        </w:rPr>
        <w:t xml:space="preserve">512.64</w:t>
      </w:r>
      <w:r>
        <w:rPr>
          <w:rFonts w:hint="eastAsia"/>
        </w:rPr>
        <w:t xml:space="preserve">万元，</w:t>
      </w:r>
      <w:r>
        <w:rPr>
          <w:rFonts w:hint="eastAsia"/>
          <w:lang w:val="en-US" w:eastAsia="zh-CN"/>
        </w:rPr>
        <w:t xml:space="preserve">增长71.77</w:t>
      </w:r>
      <w:r>
        <w:rPr>
          <w:rFonts w:hint="eastAsia"/>
        </w:rPr>
        <w:t xml:space="preserve">万元，</w:t>
      </w:r>
      <w:r>
        <w:rPr>
          <w:rFonts w:hint="eastAsia"/>
          <w:lang w:val="en-US" w:eastAsia="zh-CN"/>
        </w:rPr>
        <w:t xml:space="preserve">增长14.00%</w:t>
      </w:r>
      <w:r>
        <w:rPr>
          <w:rFonts w:hint="eastAsia"/>
        </w:rPr>
        <w:t xml:space="preserve">，主要原因是：</w:t>
      </w:r>
      <w:r>
        <w:rPr>
          <w:rFonts w:hint="eastAsia"/>
          <w:highlight w:val="none"/>
        </w:rPr>
        <w:t xml:space="preserve">人员增加，工资结构调整</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50.28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7.39%</w:t>
      </w:r>
      <w:r>
        <w:rPr>
          <w:rFonts w:hint="eastAsia"/>
        </w:rPr>
        <w:t xml:space="preserve">，较2023年度预算数</w:t>
      </w:r>
      <w:r>
        <w:rPr>
          <w:rFonts w:hint="eastAsia"/>
          <w:lang w:val="en-US" w:eastAsia="zh-CN"/>
        </w:rPr>
        <w:t xml:space="preserve">49.32</w:t>
      </w:r>
      <w:r>
        <w:rPr>
          <w:rFonts w:hint="eastAsia"/>
        </w:rPr>
        <w:t xml:space="preserve">万元，</w:t>
      </w:r>
      <w:r>
        <w:rPr>
          <w:rFonts w:hint="eastAsia"/>
          <w:lang w:val="en-US" w:eastAsia="zh-CN"/>
        </w:rPr>
        <w:t xml:space="preserve">增长0.96</w:t>
      </w:r>
      <w:r>
        <w:rPr>
          <w:rFonts w:hint="eastAsia"/>
        </w:rPr>
        <w:t xml:space="preserve">万元，</w:t>
      </w:r>
      <w:r>
        <w:rPr>
          <w:rFonts w:hint="eastAsia"/>
          <w:lang w:val="en-US" w:eastAsia="zh-CN"/>
        </w:rPr>
        <w:t xml:space="preserve">增长1.95%</w:t>
      </w:r>
      <w:r>
        <w:rPr>
          <w:rFonts w:hint="eastAsia"/>
        </w:rPr>
        <w:t xml:space="preserve">，主要原因是：</w:t>
      </w:r>
      <w:r>
        <w:rPr>
          <w:rFonts w:hint="eastAsia"/>
          <w:highlight w:val="none"/>
        </w:rPr>
        <w:t xml:space="preserve">正常增长</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45.51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6.69%</w:t>
      </w:r>
      <w:r>
        <w:rPr>
          <w:rFonts w:hint="eastAsia"/>
        </w:rPr>
        <w:t xml:space="preserve">，较2023年度预算数</w:t>
      </w:r>
      <w:r>
        <w:rPr>
          <w:rFonts w:hint="eastAsia"/>
          <w:lang w:val="en-US" w:eastAsia="zh-CN"/>
        </w:rPr>
        <w:t xml:space="preserve">27.82</w:t>
      </w:r>
      <w:r>
        <w:rPr>
          <w:rFonts w:hint="eastAsia"/>
        </w:rPr>
        <w:t xml:space="preserve">万元，</w:t>
      </w:r>
      <w:r>
        <w:rPr>
          <w:rFonts w:hint="eastAsia"/>
          <w:lang w:val="en-US" w:eastAsia="zh-CN"/>
        </w:rPr>
        <w:t xml:space="preserve">增长17.69</w:t>
      </w:r>
      <w:r>
        <w:rPr>
          <w:rFonts w:hint="eastAsia"/>
        </w:rPr>
        <w:t xml:space="preserve">万元，</w:t>
      </w:r>
      <w:r>
        <w:rPr>
          <w:rFonts w:hint="eastAsia"/>
          <w:lang w:val="en-US" w:eastAsia="zh-CN"/>
        </w:rPr>
        <w:t xml:space="preserve">增长63.59%</w:t>
      </w:r>
      <w:r>
        <w:rPr>
          <w:rFonts w:hint="eastAsia"/>
        </w:rPr>
        <w:t xml:space="preserve">，主要原因是：</w:t>
      </w:r>
      <w:r>
        <w:rPr>
          <w:rFonts w:hint="eastAsia"/>
          <w:highlight w:val="none"/>
        </w:rPr>
        <w:t xml:space="preserve">对个人和家庭的补助支出增加</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4198"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15.71</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2.31</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13.40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13.40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15.71</w:t>
      </w:r>
      <w:r>
        <w:rPr>
          <w:rFonts w:hint="eastAsia"/>
          <w:b w:val="0"/>
          <w:bCs w:val="0"/>
          <w:sz w:val="28"/>
          <w:szCs w:val="28"/>
        </w:rPr>
        <w:t xml:space="preserve">万元，同口径较2023年度预算数</w:t>
      </w:r>
      <w:r>
        <w:rPr>
          <w:rFonts w:hint="eastAsia"/>
          <w:b w:val="0"/>
          <w:bCs w:val="0"/>
          <w:sz w:val="28"/>
          <w:szCs w:val="28"/>
          <w:lang w:val="en-US" w:eastAsia="zh-CN"/>
        </w:rPr>
        <w:t xml:space="preserve">14.00</w:t>
      </w:r>
      <w:r>
        <w:rPr>
          <w:rFonts w:hint="eastAsia"/>
          <w:b w:val="0"/>
          <w:bCs w:val="0"/>
          <w:sz w:val="28"/>
          <w:szCs w:val="28"/>
        </w:rPr>
        <w:t xml:space="preserve">万元，</w:t>
      </w:r>
      <w:r>
        <w:rPr>
          <w:rFonts w:hint="eastAsia"/>
          <w:b w:val="0"/>
          <w:bCs w:val="0"/>
          <w:sz w:val="28"/>
          <w:szCs w:val="28"/>
          <w:lang w:val="en-US" w:eastAsia="zh-CN"/>
        </w:rPr>
        <w:t xml:space="preserve">增长1.71</w:t>
      </w:r>
      <w:r>
        <w:rPr>
          <w:rFonts w:hint="eastAsia"/>
          <w:b w:val="0"/>
          <w:bCs w:val="0"/>
          <w:sz w:val="28"/>
          <w:szCs w:val="28"/>
        </w:rPr>
        <w:t xml:space="preserve">万元，</w:t>
      </w:r>
      <w:r>
        <w:rPr>
          <w:rFonts w:hint="eastAsia"/>
          <w:b w:val="0"/>
          <w:bCs w:val="0"/>
          <w:sz w:val="28"/>
          <w:szCs w:val="28"/>
          <w:lang w:val="en-US" w:eastAsia="zh-CN"/>
        </w:rPr>
        <w:t xml:space="preserve">增长12.21%</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我部门无因公出国（境）情况</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2.31</w:t>
      </w:r>
      <w:r>
        <w:rPr>
          <w:rFonts w:hint="eastAsia"/>
          <w:b w:val="0"/>
          <w:bCs w:val="0"/>
          <w:sz w:val="28"/>
          <w:szCs w:val="28"/>
        </w:rPr>
        <w:t xml:space="preserve">万元，较2023年度预算数</w:t>
      </w:r>
      <w:r>
        <w:rPr>
          <w:sz w:val="28"/>
          <w:u w:color="auto"/>
        </w:rPr>
        <w:t xml:space="preserve">2.00</w:t>
      </w:r>
      <w:r>
        <w:rPr>
          <w:rFonts w:hint="eastAsia"/>
          <w:b w:val="0"/>
          <w:bCs w:val="0"/>
          <w:sz w:val="28"/>
          <w:szCs w:val="28"/>
        </w:rPr>
        <w:t xml:space="preserve">万元，</w:t>
      </w:r>
      <w:r>
        <w:rPr>
          <w:sz w:val="28"/>
          <w:u w:color="auto"/>
        </w:rPr>
        <w:t xml:space="preserve">增长0.31</w:t>
      </w:r>
      <w:r>
        <w:rPr>
          <w:rFonts w:hint="eastAsia"/>
          <w:b w:val="0"/>
          <w:bCs w:val="0"/>
          <w:sz w:val="28"/>
          <w:szCs w:val="28"/>
        </w:rPr>
        <w:t xml:space="preserve">万元，</w:t>
      </w:r>
      <w:r>
        <w:rPr>
          <w:sz w:val="28"/>
          <w:u w:color="auto"/>
        </w:rPr>
        <w:t xml:space="preserve">增长15.50%</w:t>
      </w:r>
      <w:r>
        <w:rPr>
          <w:rFonts w:hint="eastAsia"/>
          <w:b w:val="0"/>
          <w:bCs w:val="0"/>
          <w:sz w:val="28"/>
          <w:szCs w:val="28"/>
        </w:rPr>
        <w:t xml:space="preserve">，主要原因是</w:t>
      </w:r>
      <w:r>
        <w:rPr>
          <w:rFonts w:hint="eastAsia"/>
          <w:highlight w:val="none"/>
          <w:lang w:val="en-US" w:eastAsia="zh-CN"/>
        </w:rPr>
        <w:t xml:space="preserve">预算增加</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13.40</w:t>
      </w:r>
      <w:r>
        <w:rPr>
          <w:rFonts w:hint="eastAsia"/>
          <w:b w:val="0"/>
          <w:bCs w:val="0"/>
          <w:sz w:val="28"/>
          <w:szCs w:val="28"/>
        </w:rPr>
        <w:t xml:space="preserve">万元，较2023年度预算数</w:t>
      </w:r>
      <w:r>
        <w:rPr>
          <w:sz w:val="28"/>
          <w:u w:color="auto"/>
        </w:rPr>
        <w:t xml:space="preserve">12.00</w:t>
      </w:r>
      <w:r>
        <w:rPr>
          <w:rFonts w:hint="eastAsia"/>
          <w:b w:val="0"/>
          <w:bCs w:val="0"/>
          <w:sz w:val="28"/>
          <w:szCs w:val="28"/>
        </w:rPr>
        <w:t xml:space="preserve">万元，</w:t>
      </w:r>
      <w:r>
        <w:rPr>
          <w:sz w:val="28"/>
          <w:u w:color="auto"/>
        </w:rPr>
        <w:t xml:space="preserve">增长1.40</w:t>
      </w:r>
      <w:r>
        <w:rPr>
          <w:rFonts w:hint="eastAsia"/>
          <w:b w:val="0"/>
          <w:bCs w:val="0"/>
          <w:sz w:val="28"/>
          <w:szCs w:val="28"/>
        </w:rPr>
        <w:t xml:space="preserve">万元，</w:t>
      </w:r>
      <w:r>
        <w:rPr>
          <w:sz w:val="28"/>
          <w:u w:color="auto"/>
        </w:rPr>
        <w:t xml:space="preserve">增长11.67%</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我单位2024年无公务用车购置</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13.40</w:t>
      </w:r>
      <w:r>
        <w:rPr>
          <w:rFonts w:hint="eastAsia"/>
          <w:b w:val="0"/>
          <w:bCs w:val="0"/>
          <w:sz w:val="28"/>
          <w:szCs w:val="28"/>
        </w:rPr>
        <w:t xml:space="preserve">万元，较2023年度预算数</w:t>
      </w:r>
      <w:r>
        <w:rPr>
          <w:sz w:val="28"/>
          <w:u w:color="auto"/>
        </w:rPr>
        <w:t xml:space="preserve">12.00</w:t>
      </w:r>
      <w:r>
        <w:rPr>
          <w:rFonts w:hint="eastAsia"/>
          <w:b w:val="0"/>
          <w:bCs w:val="0"/>
          <w:sz w:val="28"/>
          <w:szCs w:val="28"/>
        </w:rPr>
        <w:t xml:space="preserve">万元，</w:t>
      </w:r>
      <w:r>
        <w:rPr>
          <w:sz w:val="28"/>
          <w:u w:color="auto"/>
        </w:rPr>
        <w:t xml:space="preserve">增长1.40</w:t>
      </w:r>
      <w:r>
        <w:rPr>
          <w:rFonts w:hint="eastAsia"/>
          <w:b w:val="0"/>
          <w:bCs w:val="0"/>
          <w:sz w:val="28"/>
          <w:szCs w:val="28"/>
        </w:rPr>
        <w:t xml:space="preserve">万元，</w:t>
      </w:r>
      <w:r>
        <w:rPr>
          <w:sz w:val="28"/>
          <w:u w:color="auto"/>
        </w:rPr>
        <w:t xml:space="preserve">增长11.67%</w:t>
      </w:r>
      <w:r>
        <w:rPr>
          <w:rFonts w:hint="eastAsia"/>
          <w:b w:val="0"/>
          <w:bCs w:val="0"/>
          <w:sz w:val="28"/>
          <w:szCs w:val="28"/>
        </w:rPr>
        <w:t xml:space="preserve">，主要原因是</w:t>
      </w:r>
      <w:r>
        <w:rPr>
          <w:rFonts w:hint="eastAsia"/>
          <w:highlight w:val="none"/>
          <w:lang w:val="en-US" w:eastAsia="zh-CN"/>
        </w:rPr>
        <w:t xml:space="preserve">公务用车运行维护费预算合理增长</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我部门2024年无政府性基金预算</w:t>
      </w:r>
      <w:r>
        <w:rPr>
          <w:rFonts w:hint="eastAsia"/>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我部门2024年无国有资本经营预算</w:t>
      </w:r>
      <w:r>
        <w:rPr>
          <w:rFonts w:hint="eastAsia"/>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50.28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49.32</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增加0.96</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增长1.95%</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2024年本部门机关运行经费预算正常增长</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29</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14</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15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主要用于：除四害药品消杀服务</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5</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2</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3</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38</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1112.31</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项目名称：非财政拨款企业退休人员独生子女待遇，预算资金128万元，2024年度绩效目标为：全面完成全区优化营商环境大行动实施确定的目标任务，进一步推进政府采购建设。设1条数量指标：以年度实际核定人数为准＝以年人社核定为准；设1条质量指标：系非财政拨款企业退休人员独生子女待遇标准＝按标准提高；设1条时效指标：项目时间=2024年12月31日前；设1条成本指标：按标准发放≤以实际结算金额为准；设1条社会效益指标：有效改善非财政拨款企业退休人员生活定性逐步提高；设1条满意度指标：服务对象满意度≥85%</w:t>
      </w:r>
    </w:p>
    <w:p>
      <w:pPr>
        <w:pStyle w:val="Bodytext|1"/>
        <w:spacing w:line="624" w:lineRule="exact"/>
        <w:ind w:firstLine="600"/>
        <w:jc w:val="left"/>
        <w:rPr>
          <w:rFonts w:hint="eastAsia"/>
          <w:highlight w:val="none"/>
          <w:lang w:val="en-US" w:eastAsia="zh-CN"/>
        </w:rPr>
      </w:pPr>
    </w:p>
    <w:p>
      <w:pPr>
        <w:pStyle w:val="Bodytext|1"/>
        <w:spacing w:line="624" w:lineRule="exact"/>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环江毛南族自治县卫生健康局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环江毛南族自治县卫生健康局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1698.99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6.31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1698.99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74.88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1648.74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62.59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1698.99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1792.51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93.52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1792.51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1792.51</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环江毛南族自治县卫生健康局</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1792.51</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1792.51</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1792.51</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402001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1792.51</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1792.51</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1792.51</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环江毛南族自治县卫生健康局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1792.51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680.20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1112.31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402001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1792.51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680.20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1112.31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6.31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72.88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72.88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2081699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其他红十字事业支出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2100101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595.91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538.43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57.48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其他卫生健康管理事务支出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2100399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其他基层医疗卫生机构支出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56.54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56.54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2100402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卫生监督机构</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11.30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11.30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2100408</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基本公共卫生服务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148.98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148.98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2100409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重大公共卫生服务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86.11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86.11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2100717</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计划生育服务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73.21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73.21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2100799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其他计划生育事务支出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655.69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655.69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62.59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62.59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环江毛南族自治县卫生健康局</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1698.99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6.31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1698.99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74.88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1648.74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62.59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1698.99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1792.51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93.52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1792.51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1792.51</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环江毛南族自治县卫生健康局</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402001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1792.51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680.20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629.92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50.28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1112.31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6.31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6.31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6.31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72.88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72.88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72.88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2081699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其他红十字事业支出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2100101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595.91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538.43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494.45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43.98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57.48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2100199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其他卫生健康管理事务支出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21.00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21.00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2100399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其他基层医疗卫生机构支出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56.54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56.54</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2100402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卫生监督机构</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11.30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11.30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2100408</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基本公共卫生服务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148.98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148.98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2100409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重大公共卫生服务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86.11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86.11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2100717</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计划生育服务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73.21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73.21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2100799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其他计划生育事务支出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655.69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655.69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62.59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62.59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62.59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8"/>
      <w:bookmarkStart w:id="27" w:name="bookmark56"/>
      <w:bookmarkStart w:id="28" w:name="bookmark57"/>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环江毛南族自治县卫生健康局</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680.20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629.92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50.28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584.41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584.41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184.57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184.57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52.36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52.36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125.23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47.84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47.84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72.88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72.88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29.15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29.15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62.59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62.59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7.90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7.90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50.28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50.28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6.31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6.31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10.40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20.26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20.26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30240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税金及附加费用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45.51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45.51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44.75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44.75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5"/>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环江毛南族自治县卫生健康局</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402001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15.71</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13.40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13.40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2.31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环江毛南族自治县卫生健康局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2081699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其他红十字事业支出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2100101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2100199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其他卫生健康管理事务支出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2100399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其他基层医疗卫生机构支出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2100402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卫生监督机构</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2100408</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基本公共卫生服务</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2100409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重大公共卫生服务</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2100717</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计划生育服务</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2100799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其他计划生育事务支出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环江毛南族自治县卫生健康局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环江毛南族自治县卫生健康局</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0.48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卫生健康业务一般工作经费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卫生健康业务一般工作经费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卫生应急工作经费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卫生应急工作经费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村卫生室基本药物制度补助资金县级配套</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12.97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村卫生室基本药物制度补助资金县级配套</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乡村医生养老生活补助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12.42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乡村医生养老生活补助</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基本公共卫生服务项目县级配套资金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122.82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开展全县基本公共卫生服务项目</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计划生育特殊家庭扶助金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11.86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计划生育特殊家庭扶助金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广西城镇居民独生子女父母年老奖励金县级配套</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广西城镇居民独生子女父母年老奖励金县级配套</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工人编制所长享受副科工资待遇补助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工人编制所长享受副科工资待遇补助</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计生家庭关爱保险补助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计生家庭关爱保险补助</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非财政拨款企业退休人员独生子女待遇</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非财政拨款企业退休人员独生子女待遇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严重精神障碍患者以奖代补工作经费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57.36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严重精神障碍患者以奖代补工作经费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广西农村计划生育家庭奖励扶(救)助项目县级配套资金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15.40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广西农村计划生育家庭奖励扶（救）助项目县级配套资金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创建自治区卫生县项目工作经费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开展创建自治区卫生县项目</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志愿者服务工作经费及应急救护培训经费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志愿者服务工作经费及应急救护培训经费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桂财社〔2020〕185号2021年中央和自治区财政基本公共卫生服务项目补助资金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4.55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2021年中央和自治区财政基本公共卫生服务项目补助资金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重大公共卫生项目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14.06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目标1：继续为0-6岁适龄儿童常规接种；</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目标2：进一步减少结核感染、患病和死亡，切实降低结核病疾病负担，提高人民群众健康水平。</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开展重大慢性病早期筛查干预项目，落实慢性病及其相关危险因素监测。加强严重精神障碍患者筛查、登记报告和随访服务，开展社会心理服务体系建设试点，开展农村地区癫痫患者筛查登记和随访管理。</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目标4：分别完成以新冠肺炎为主的病毒性传染病监测、基于国家致病菌识别网的细菌性传染病监测、重点区域病媒生物监测。</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目标5：持续推进艾滋病防治工作，落实各项防治措施，全区艾滋病疫情继续控制在低流行水平。</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重大传染病防控补助资金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0.55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重大传染病防控补助资金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自治区补助市县基本公共卫生服务项目经费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0.78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免费向居民提供基本公共卫生服务</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中央财政基本公共卫生服务项目补助资金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免费向居民提供基本公共卫生服务2.开展对重点疾病及危害因素监测，有效控制疾病流行，为制定相关政策提供科学依据。保持重点地方病防治措施全面落实。开展职业病监测，最大限度的保护放射工作人员、患者和公众的健康权益。同时推进妇幼卫生、健康素养促进、医养结合和老年健康服务、卫生应急、计划生育等方面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补助市县国家、自治区计划生育家庭“三项制度”配套和提标经费项目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15.98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补助市县国家、自治区计划生育家庭“三项制度”配套和提标经费项目</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中央财政计划生育转移支付资金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中央财政计划生育转移支付资金.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乡饮用水监测项目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乡饮用水监测项目</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补助市县国家自治区计划生育家庭三项制度配套和提标经费项目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补助市县国家自治区计划生育家庭三项制度配套和提标经费项目</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村级妇幼保健员家庭接生员养老生活补助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足额发放村级妇幼保健员家庭接生员养老生活补助</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中央财政重大传染病防控项目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13.56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中央财政重大传染病防控项目</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全国农村部分计划生育家庭奖励</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0.29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全国农村部分计划生育家庭奖励</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广西农村扩扶奖励补助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5.35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广西农村扩扶奖励补助</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县乡村卫生人才能力提升培训</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2.94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县乡村卫生人才能力提升培训</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中央财政基本公共卫生服务项目资金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12.83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中央财政基本公共卫生服务项目补助资金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基本公共卫生服务项目补助资金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基本公共卫生服务项目补助资金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自治县红十字会工作经费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红十字会工作经费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人口计生协会工作经费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人口计生协会工作经费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原一次性乡村医生养老生活补助经费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8.52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按时发放补助</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业务工作经费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卫生健康业务一般工作经费（保运转）</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农村独生子女户、双女结扎户新农合补助项目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486.40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农村独生子女户、双女结扎户新农合补助项目</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农村、破产企业、城镇无业人员独生子女保健费项目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农村、破产企业、城镇无业人员独生子女保健费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环江毛南族自治县卫生健康局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除“四害”项目经费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除“四害”项目经费</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92"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765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4200"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7659"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4202"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7661"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03"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766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04"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766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05"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766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19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65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201"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66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NNInaAW8CExs9+pcAl2+dw==" w:hash="/dIhcf+rqwRm1RQogvYcEyXlm9tACWDNojs9nijhoGH3yTeu+kgcaJ+pFyOsG7m2xjoANqdkbtNKQTjC/B53b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GI3MmYwZTNiZDI5Y2Q4YzI1NGE3NmVlMWM4ODU1Y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1792.51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ptCount val="4"/>
                <c:pt idx="0">
                  <c:v>6.31</c:v>
                </c:pt>
                <c:pt idx="1">
                  <c:v>74.88</c:v>
                </c:pt>
                <c:pt idx="2">
                  <c:v>1559.77</c:v>
                </c:pt>
                <c:pt idx="3">
                  <c:v>62.59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1589.82</c:v>
                </c:pt>
                <c:pt idx="1">
                  <c:v>1589.82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1698.99</c:v>
                </c:pt>
                <c:pt idx="1">
                  <c:v>1698.99</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680.2</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1018.79</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50.28</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629.92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629.92</c:v>
                </c:pt>
                <c:pt idx="1">
                  <c:v>50.28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Sheet1!$B$2:$B$4</c:f>
              <c:numCache>
                <c:formatCode>General</c:formatCode>
                <c:ptCount val="3"/>
                <c:pt idx="0">
                  <c:v>2.0</c:v>
                </c:pt>
                <c:pt idx="1">
                  <c:v>0.0</c:v>
                </c:pt>
                <c:pt idx="2">
                  <c:v>12.0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Sheet1!$C$2:$C$4</c:f>
              <c:numCache>
                <c:formatCode>General</c:formatCode>
                <c:ptCount val="3"/>
                <c:pt idx="0">
                  <c:v>2.31</c:v>
                </c:pt>
                <c:pt idx="1">
                  <c:v>0.0</c:v>
                </c:pt>
                <c:pt idx="2">
                  <c:v>13.4</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2024-02-28T09:06:10Z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19</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DC93C90D53BE4108B92996B0242E3918_13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19</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2024-03-01T08:11:17Z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DC93C90D53BE4108B92996B0242E3918_13</vt:lpstr>
  </property>
</Properties>
</file>