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环江毛南族自治县住房和城乡建设局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环江毛南族自治县住房和城乡建设局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环江毛南族自治县住房和城乡建设局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环江毛南族自治县住房和城乡建设局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环江毛南族自治县住房和城乡建设局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（一）负责全县城镇低收入家庭住房保障责任；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（二）负责推进全县住房制度改革责任；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（三）负责全县房地产市场及房地场交易监督管理责任；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（四）负责全县城市专项规划、城市设计、建筑设计、城市地下空间开发利用、建设工程档案的监督管理；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（五）负责指导乡镇、村生活垃圾处理和公厕建设、农村危房改造工作；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（六）负责全县建筑市场及其各方主体监管职责；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（七）负责推进城镇建筑减排和建筑科技推广责任；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（八）负责全县依法取得施工许可手续市政和房屋建筑工程质量安全监管责任；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（九）负责全县住房城乡系统优化营商环境监督管理责任；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（十）负责全县建设工程相关安防设施设计审核和验收监督管理责任；</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（十一）按权限负责相关城市建设资金使用管理职责；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（十二）负责县城区的城市基础设施项目专项规划、项目计划编制及规划建设管理职责；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（十三）承担管理全县市政建设、风景园林绿化、环境卫生、城市供水排水及燃气工作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（十四）开展住房和城乡建设方面的对外交流合作；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（十五）完成自治县党委、自治县人民政府交办的其他任务。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因本级财政预算编制覆盖包括主管单位和下属单位在内的所有预算单位，即本单位下属单位自治县房地产管理所独立编制预算、经本级财政单独批复、独立公开预算，故预算为局本级预算。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环江毛南族自治县住房和城乡建设局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737.85</w:t>
      </w:r>
      <w:r>
        <w:rPr>
          <w:rFonts w:hint="eastAsia"/>
          <w:b w:val="0"/>
          <w:bCs w:val="0"/>
          <w:sz w:val="28"/>
          <w:szCs w:val="28"/>
        </w:rPr>
        <w:t xml:space="preserve">万元，总支出</w:t>
      </w:r>
      <w:r>
        <w:rPr>
          <w:rFonts w:hint="eastAsia"/>
          <w:sz w:val="28"/>
          <w:szCs w:val="28"/>
          <w:lang w:val="en-US" w:eastAsia="zh-CN"/>
        </w:rPr>
        <w:t xml:space="preserve">737.85</w:t>
      </w:r>
      <w:r>
        <w:rPr>
          <w:rFonts w:hint="eastAsia"/>
          <w:b w:val="0"/>
          <w:bCs w:val="0"/>
          <w:sz w:val="28"/>
          <w:szCs w:val="28"/>
        </w:rPr>
        <w:t xml:space="preserve">万元。总收入较2023年度预算数</w:t>
      </w:r>
      <w:r>
        <w:rPr>
          <w:rFonts w:hint="eastAsia"/>
          <w:sz w:val="28"/>
          <w:szCs w:val="28"/>
          <w:lang w:val="en-US" w:eastAsia="zh-CN"/>
        </w:rPr>
        <w:t xml:space="preserve">494.21</w:t>
      </w:r>
      <w:r>
        <w:rPr>
          <w:rFonts w:hint="eastAsia"/>
          <w:b w:val="0"/>
          <w:bCs w:val="0"/>
          <w:sz w:val="28"/>
          <w:szCs w:val="28"/>
        </w:rPr>
        <w:t xml:space="preserve">万元，</w:t>
      </w:r>
      <w:r>
        <w:rPr>
          <w:rFonts w:hint="eastAsia"/>
          <w:sz w:val="28"/>
          <w:szCs w:val="28"/>
        </w:rPr>
        <w:t xml:space="preserve">增加243.64</w:t>
      </w:r>
      <w:r>
        <w:rPr>
          <w:rFonts w:hint="eastAsia"/>
          <w:b w:val="0"/>
          <w:bCs w:val="0"/>
          <w:sz w:val="28"/>
          <w:szCs w:val="28"/>
        </w:rPr>
        <w:t xml:space="preserve">万元，</w:t>
      </w:r>
      <w:r>
        <w:rPr>
          <w:rFonts w:hint="eastAsia"/>
          <w:sz w:val="28"/>
          <w:szCs w:val="28"/>
        </w:rPr>
        <w:t xml:space="preserve">增长49.30%</w:t>
      </w:r>
      <w:r>
        <w:rPr>
          <w:rFonts w:hint="eastAsia"/>
          <w:b w:val="0"/>
          <w:bCs w:val="0"/>
          <w:sz w:val="28"/>
          <w:szCs w:val="28"/>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hint="eastAsia"/>
          <w:b w:val="0"/>
          <w:bCs w:val="0"/>
          <w:sz w:val="28"/>
          <w:szCs w:val="28"/>
        </w:rPr>
        <w:t xml:space="preserve">。总支出较2023年度预算数</w:t>
      </w:r>
      <w:r>
        <w:rPr>
          <w:rFonts w:hint="eastAsia"/>
          <w:sz w:val="28"/>
          <w:szCs w:val="28"/>
          <w:lang w:val="en-US" w:eastAsia="zh-CN"/>
        </w:rPr>
        <w:t xml:space="preserve">494.21</w:t>
      </w:r>
      <w:r>
        <w:rPr>
          <w:rFonts w:hint="eastAsia"/>
          <w:b w:val="0"/>
          <w:bCs w:val="0"/>
          <w:sz w:val="28"/>
          <w:szCs w:val="28"/>
        </w:rPr>
        <w:t xml:space="preserve">万元，</w:t>
      </w:r>
      <w:r>
        <w:rPr>
          <w:rFonts w:hint="eastAsia"/>
          <w:sz w:val="28"/>
          <w:szCs w:val="28"/>
        </w:rPr>
        <w:t xml:space="preserve">增加243.64</w:t>
      </w:r>
      <w:r>
        <w:rPr>
          <w:rFonts w:hint="eastAsia"/>
          <w:b w:val="0"/>
          <w:bCs w:val="0"/>
          <w:sz w:val="28"/>
          <w:szCs w:val="28"/>
        </w:rPr>
        <w:t xml:space="preserve">万元，</w:t>
      </w:r>
      <w:r>
        <w:rPr>
          <w:rFonts w:hint="eastAsia"/>
          <w:sz w:val="28"/>
          <w:szCs w:val="28"/>
        </w:rPr>
        <w:t xml:space="preserve">增长49.30%</w:t>
      </w:r>
      <w:r>
        <w:rPr>
          <w:rFonts w:hint="eastAsia"/>
          <w:b w:val="0"/>
          <w:bCs w:val="0"/>
          <w:sz w:val="28"/>
          <w:szCs w:val="28"/>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54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737.85</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494.21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增加243.64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增长49.30%</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54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737.85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494.21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增加243.64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增长49.30%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一是本单位职能变更，人防职能转移到发改部门，减少国防支出；二是2024年度上年结转结余数较2023年上年结转结余增加258.67万元</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是人防职能转移到发改部门，减少国防支出15.6万元；二是2024年上年结转结余金额338.05万元，2023年上年结转结余金额79.38万元，2024年上年结转结余金额比2023年增加258.67万元，因此2024年部门总支出较2023年增加243.07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7</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431.70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58.51%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增长111.31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增长34.74%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2023年未支付结转的其他城乡社区公共设施支出为102.98万元在2024年列支，因此较2023年其他城乡社区公共设施支出数增加102.98万元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35.88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4.86%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减少14.67%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一是2024社保缴费核算基数较2023年度降低，二是2024年社保缴费人数比2023年缴费人数少3人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161.29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21.86%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增长125.38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增长349.15%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2023年未支付结转的保障性租赁住房为128.42万元在2024年列支，因此较2023年保障性租赁住房支出数增加128.42万元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节能环保支出</w:t>
      </w:r>
      <w:r>
        <w:rPr>
          <w:rFonts w:ascii="宋体" w:eastAsia="宋体" w:hAnsi="宋体" w:cs="宋体" w:hint="eastAsia"/>
          <w:sz w:val="28"/>
          <w:szCs w:val="28"/>
          <w:lang w:val="en-US" w:eastAsia="zh-CN"/>
        </w:rPr>
        <w:t xml:space="preserve">105.90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14.35%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增长55.90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增长111.80%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2023年未支付结转的水体30.69万元在2024年列支，2023年未支付结转的可再生能源75.2万元在2024年列支，较2023年水体支出数增加30.69万元，较2023年可再生能源支出数增加25.2万元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国防支出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减少15.60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一是本单位职能变更，人防职能转移到发改部门，减少国防支出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3.08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0.42%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减少41.44%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工会缴费核算基数较2023年降低，实有人数较2023年少3人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7</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2023年上级补助的村容村貌项目支出25万元，2024年未有上级补助安排</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354.80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48.09%</w:t>
      </w:r>
      <w:r>
        <w:rPr>
          <w:rFonts w:ascii="宋体" w:eastAsia="宋体" w:hAnsi="宋体" w:cs="宋体"/>
          <w:sz w:val="28"/>
          <w:u w:color="auto"/>
        </w:rPr>
        <w:t xml:space="preserve">,比上年</w:t>
      </w:r>
      <w:r>
        <w:rPr>
          <w:rFonts w:ascii="宋体" w:eastAsia="宋体" w:hAnsi="宋体" w:cs="宋体"/>
          <w:sz w:val="28"/>
          <w:u w:color="auto"/>
        </w:rPr>
        <w:t xml:space="preserve">减少5.03</w:t>
      </w:r>
      <w:r>
        <w:rPr>
          <w:rFonts w:ascii="宋体" w:eastAsia="宋体" w:hAnsi="宋体" w:cs="宋体"/>
          <w:sz w:val="28"/>
          <w:u w:color="auto"/>
        </w:rPr>
        <w:t xml:space="preserve">万元，</w:t>
      </w:r>
      <w:r>
        <w:rPr>
          <w:rFonts w:ascii="宋体" w:eastAsia="宋体" w:hAnsi="宋体" w:cs="宋体"/>
          <w:sz w:val="28"/>
          <w:u w:color="auto"/>
        </w:rPr>
        <w:t xml:space="preserve">减少1.40%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17.80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5.02%</w:t>
      </w:r>
      <w:r>
        <w:rPr>
          <w:rFonts w:ascii="宋体" w:eastAsia="宋体" w:hAnsi="宋体" w:cs="宋体" w:hint="eastAsia"/>
          <w:sz w:val="28"/>
          <w:szCs w:val="28"/>
        </w:rPr>
        <w:t xml:space="preserve">,比上年</w:t>
      </w:r>
      <w:r>
        <w:rPr>
          <w:rFonts w:ascii="宋体" w:eastAsia="宋体" w:hAnsi="宋体" w:cs="宋体"/>
          <w:sz w:val="28"/>
          <w:u w:color="auto"/>
        </w:rPr>
        <w:t xml:space="preserve">增长6.30</w:t>
      </w:r>
      <w:r>
        <w:rPr>
          <w:rFonts w:ascii="宋体" w:eastAsia="宋体" w:hAnsi="宋体" w:cs="宋体"/>
          <w:sz w:val="28"/>
          <w:u w:color="auto"/>
        </w:rPr>
        <w:t xml:space="preserve">万元，</w:t>
      </w:r>
      <w:r>
        <w:rPr>
          <w:rFonts w:ascii="宋体" w:eastAsia="宋体" w:hAnsi="宋体" w:cs="宋体"/>
          <w:sz w:val="28"/>
          <w:u w:color="auto"/>
        </w:rPr>
        <w:t xml:space="preserve">增长54.78%</w:t>
      </w:r>
      <w:r>
        <w:rPr>
          <w:rFonts w:ascii="宋体" w:eastAsia="宋体" w:hAnsi="宋体" w:cs="宋体"/>
          <w:sz w:val="28"/>
          <w:u w:color="auto"/>
        </w:rPr>
        <w:t xml:space="preserve">,主要原因是：2024年退休人员生活补贴标准较2023年提高，2024年每位退休人员年生活补贴比2023年增加4000元</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318.92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89.89%</w:t>
      </w:r>
      <w:r>
        <w:rPr>
          <w:rFonts w:ascii="宋体" w:eastAsia="宋体" w:hAnsi="宋体" w:cs="宋体" w:hint="eastAsia"/>
          <w:sz w:val="28"/>
          <w:szCs w:val="28"/>
        </w:rPr>
        <w:t xml:space="preserve">,比上年</w:t>
      </w:r>
      <w:r>
        <w:rPr>
          <w:rFonts w:ascii="宋体" w:eastAsia="宋体" w:hAnsi="宋体" w:cs="宋体"/>
          <w:sz w:val="28"/>
          <w:u w:color="auto"/>
        </w:rPr>
        <w:t xml:space="preserve">减少5.30</w:t>
      </w:r>
      <w:r>
        <w:rPr>
          <w:rFonts w:ascii="宋体" w:eastAsia="宋体" w:hAnsi="宋体" w:cs="宋体"/>
          <w:sz w:val="28"/>
          <w:u w:color="auto"/>
        </w:rPr>
        <w:t xml:space="preserve">万元，</w:t>
      </w:r>
      <w:r>
        <w:rPr>
          <w:rFonts w:ascii="宋体" w:eastAsia="宋体" w:hAnsi="宋体" w:cs="宋体"/>
          <w:sz w:val="28"/>
          <w:u w:color="auto"/>
        </w:rPr>
        <w:t xml:space="preserve">减少1.63%</w:t>
      </w:r>
      <w:r>
        <w:rPr>
          <w:rFonts w:ascii="宋体" w:eastAsia="宋体" w:hAnsi="宋体" w:cs="宋体"/>
          <w:sz w:val="28"/>
          <w:u w:color="auto"/>
        </w:rPr>
        <w:t xml:space="preserve">,主要原因是：由于机构职能变更减少行政人员2人，退休减少参公人员1人，2024年实有人数比2023年少3人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18.08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5.10%</w:t>
      </w:r>
      <w:r>
        <w:rPr>
          <w:rFonts w:ascii="宋体" w:eastAsia="宋体" w:hAnsi="宋体" w:cs="宋体" w:hint="eastAsia"/>
          <w:sz w:val="28"/>
          <w:szCs w:val="28"/>
        </w:rPr>
        <w:t xml:space="preserve">,比上年</w:t>
      </w:r>
      <w:r>
        <w:rPr>
          <w:rFonts w:ascii="宋体" w:eastAsia="宋体" w:hAnsi="宋体" w:cs="宋体"/>
          <w:sz w:val="28"/>
          <w:u w:color="auto"/>
        </w:rPr>
        <w:t xml:space="preserve">减少6.03</w:t>
      </w:r>
      <w:r>
        <w:rPr>
          <w:rFonts w:ascii="宋体" w:eastAsia="宋体" w:hAnsi="宋体" w:cs="宋体"/>
          <w:sz w:val="28"/>
          <w:u w:color="auto"/>
        </w:rPr>
        <w:t xml:space="preserve">万元，</w:t>
      </w:r>
      <w:r>
        <w:rPr>
          <w:rFonts w:ascii="宋体" w:eastAsia="宋体" w:hAnsi="宋体" w:cs="宋体"/>
          <w:sz w:val="28"/>
          <w:u w:color="auto"/>
        </w:rPr>
        <w:t xml:space="preserve">减少25.01%</w:t>
      </w:r>
      <w:r>
        <w:rPr>
          <w:rFonts w:ascii="宋体" w:eastAsia="宋体" w:hAnsi="宋体" w:cs="宋体"/>
          <w:sz w:val="28"/>
          <w:u w:color="auto"/>
        </w:rPr>
        <w:t xml:space="preserve">,主要原因是：由于机构职能变更减少2人，退休减少1人，2024年实有人数比2023年少3人</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383.05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51.91%</w:t>
      </w:r>
      <w:r>
        <w:rPr>
          <w:rFonts w:ascii="宋体" w:eastAsia="宋体" w:hAnsi="宋体" w:cs="宋体" w:hint="eastAsia"/>
          <w:sz w:val="28"/>
          <w:szCs w:val="28"/>
        </w:rPr>
        <w:t xml:space="preserve">,比上年</w:t>
      </w:r>
      <w:r>
        <w:rPr>
          <w:rFonts w:ascii="宋体" w:eastAsia="宋体" w:hAnsi="宋体" w:cs="宋体"/>
          <w:sz w:val="28"/>
          <w:u w:color="auto"/>
        </w:rPr>
        <w:t xml:space="preserve">增长248.67</w:t>
      </w:r>
      <w:r>
        <w:rPr>
          <w:rFonts w:ascii="宋体" w:eastAsia="宋体" w:hAnsi="宋体" w:cs="宋体" w:hint="eastAsia"/>
          <w:sz w:val="28"/>
          <w:szCs w:val="28"/>
        </w:rPr>
        <w:t xml:space="preserve">万元，</w:t>
      </w:r>
      <w:r>
        <w:rPr>
          <w:rFonts w:ascii="宋体" w:eastAsia="宋体" w:hAnsi="宋体" w:cs="宋体"/>
          <w:sz w:val="28"/>
          <w:u w:color="auto"/>
        </w:rPr>
        <w:t xml:space="preserve">增长185.05%</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113.92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29.74%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增长20.57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增长22.04%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2024年节能照明灯列支75万元，2023年节能照明灯列支50万元，节能照明项目2024年较2023年增加25万元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105.51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27.54%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增长96.73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增长1101.71%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2024年上年结转结余安排的城市背街小巷整治改造列支101.66万元，2023年无该项目支出，该项目较2023年支出增加101.66万元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对企业补助</w:t>
      </w:r>
      <w:r>
        <w:rPr>
          <w:rFonts w:ascii="宋体" w:eastAsia="宋体" w:hAnsi="宋体" w:cs="宋体" w:hint="eastAsia"/>
          <w:sz w:val="28"/>
          <w:szCs w:val="28"/>
          <w:lang w:val="en-US" w:eastAsia="zh-CN"/>
        </w:rPr>
        <w:t xml:space="preserve">159.12</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41.54%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增长134.12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增长536.48%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2024年上年结转结余安排的保障性租赁补助项目列支124.42万元，2024年上年结转结余安排的污水处理厂运营费用列支30.7万元，2023年无该两项目支出，此两项目较2023年支出增加159.12万元</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1.17%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减少2.75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减少37.93%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2023预算列支的聘用人员住房公积金2.09万元记入其他工资和福利支出，2024年预算列支的聘用人员住房公积金记入劳务费支出2.02万元，此项导致2024年工资福利支出较2023年减少2.09万元，2024年城乡规划人员有1人退休，因此2024年职业年金单位缴费较2023年减少0.66万元</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54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737.85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737.85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494.21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增加243.64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增长49.30%</w:t>
      </w:r>
      <w:r>
        <w:rPr>
          <w:rFonts w:ascii="宋体" w:eastAsia="宋体" w:hAnsi="宋体" w:cs="宋体" w:hint="eastAsia"/>
          <w:sz w:val="28"/>
          <w:szCs w:val="28"/>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494.21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增加243.64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增长49.30%</w:t>
      </w:r>
      <w:r>
        <w:rPr>
          <w:rFonts w:ascii="宋体" w:eastAsia="宋体" w:hAnsi="宋体" w:cs="宋体" w:hint="eastAsia"/>
          <w:sz w:val="28"/>
          <w:szCs w:val="28"/>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54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737.10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469.21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增加267.89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增长57.09%</w:t>
      </w:r>
      <w:r>
        <w:rPr>
          <w:rFonts w:ascii="宋体" w:eastAsia="宋体" w:hAnsi="宋体" w:cs="宋体" w:hint="eastAsia"/>
          <w:sz w:val="28"/>
          <w:szCs w:val="28"/>
        </w:rPr>
        <w:t xml:space="preserve">，主要原因是</w:t>
      </w:r>
      <w:r>
        <w:rPr>
          <w:rFonts w:hint="eastAsia"/>
          <w:highlight w:val="none"/>
          <w:lang w:val="en-US" w:eastAsia="zh-CN"/>
        </w:rPr>
        <w:t xml:space="preserve">一是本单位职能变更，人防职能转移到发改部门，减少国防支出；二是2024年度上年结转结余数较2023年上年结转结余增加258.67万元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3.08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0.42%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5.26</w:t>
      </w:r>
      <w:r>
        <w:rPr>
          <w:rFonts w:ascii="宋体" w:eastAsia="宋体" w:hAnsi="宋体" w:cs="宋体" w:hint="eastAsia"/>
          <w:sz w:val="28"/>
          <w:szCs w:val="28"/>
        </w:rPr>
        <w:t xml:space="preserve">万元，</w:t>
      </w:r>
      <w:r>
        <w:rPr>
          <w:rFonts w:ascii="宋体" w:eastAsia="宋体" w:hAnsi="宋体" w:cs="宋体"/>
          <w:sz w:val="28"/>
          <w:u w:color="auto"/>
        </w:rPr>
        <w:t xml:space="preserve">减少2.18</w:t>
      </w:r>
      <w:r>
        <w:rPr>
          <w:rFonts w:ascii="宋体" w:eastAsia="宋体" w:hAnsi="宋体" w:cs="宋体" w:hint="eastAsia"/>
          <w:sz w:val="28"/>
          <w:szCs w:val="28"/>
        </w:rPr>
        <w:t xml:space="preserve">万元，</w:t>
      </w:r>
      <w:r>
        <w:rPr>
          <w:rFonts w:ascii="宋体" w:eastAsia="宋体" w:hAnsi="宋体" w:cs="宋体"/>
          <w:sz w:val="28"/>
          <w:u w:color="auto"/>
        </w:rPr>
        <w:t xml:space="preserve">减少41.44%</w:t>
      </w:r>
      <w:r>
        <w:rPr>
          <w:rFonts w:ascii="宋体" w:eastAsia="宋体" w:hAnsi="宋体" w:cs="宋体" w:hint="eastAsia"/>
          <w:sz w:val="28"/>
          <w:szCs w:val="28"/>
        </w:rPr>
        <w:t xml:space="preserve">，主要原因是：</w:t>
      </w:r>
      <w:r>
        <w:rPr>
          <w:rFonts w:hint="eastAsia"/>
          <w:highlight w:val="none"/>
        </w:rPr>
        <w:t xml:space="preserve">工会缴费核算基数较2023年降低，实有人数较2023年少3人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161.29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21.88%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35.91</w:t>
      </w:r>
      <w:r>
        <w:rPr>
          <w:rFonts w:ascii="宋体" w:eastAsia="宋体" w:hAnsi="宋体" w:cs="宋体" w:hint="eastAsia"/>
          <w:sz w:val="28"/>
          <w:szCs w:val="28"/>
        </w:rPr>
        <w:t xml:space="preserve">万元，</w:t>
      </w:r>
      <w:r>
        <w:rPr>
          <w:rFonts w:ascii="宋体" w:eastAsia="宋体" w:hAnsi="宋体" w:cs="宋体"/>
          <w:sz w:val="28"/>
          <w:u w:color="auto"/>
        </w:rPr>
        <w:t xml:space="preserve">增长125.38</w:t>
      </w:r>
      <w:r>
        <w:rPr>
          <w:rFonts w:ascii="宋体" w:eastAsia="宋体" w:hAnsi="宋体" w:cs="宋体" w:hint="eastAsia"/>
          <w:sz w:val="28"/>
          <w:szCs w:val="28"/>
        </w:rPr>
        <w:t xml:space="preserve">万元，</w:t>
      </w:r>
      <w:r>
        <w:rPr>
          <w:rFonts w:ascii="宋体" w:eastAsia="宋体" w:hAnsi="宋体" w:cs="宋体"/>
          <w:sz w:val="28"/>
          <w:u w:color="auto"/>
        </w:rPr>
        <w:t xml:space="preserve">增长349.15%</w:t>
      </w:r>
      <w:r>
        <w:rPr>
          <w:rFonts w:ascii="宋体" w:eastAsia="宋体" w:hAnsi="宋体" w:cs="宋体" w:hint="eastAsia"/>
          <w:sz w:val="28"/>
          <w:szCs w:val="28"/>
        </w:rPr>
        <w:t xml:space="preserve">，主要原因是：</w:t>
      </w:r>
      <w:r>
        <w:rPr>
          <w:rFonts w:hint="eastAsia"/>
          <w:highlight w:val="none"/>
        </w:rPr>
        <w:t xml:space="preserve">2023年未支付结转的保障性租赁住房为128.42万元在2024年列支，因此较2023年保障性租赁住房支出数增加128.42万元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国防支出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15.60</w:t>
      </w:r>
      <w:r>
        <w:rPr>
          <w:rFonts w:ascii="宋体" w:eastAsia="宋体" w:hAnsi="宋体" w:cs="宋体" w:hint="eastAsia"/>
          <w:sz w:val="28"/>
          <w:szCs w:val="28"/>
        </w:rPr>
        <w:t xml:space="preserve">万元，</w:t>
      </w:r>
      <w:r>
        <w:rPr>
          <w:rFonts w:ascii="宋体" w:eastAsia="宋体" w:hAnsi="宋体" w:cs="宋体"/>
          <w:sz w:val="28"/>
          <w:u w:color="auto"/>
        </w:rPr>
        <w:t xml:space="preserve">减少15.60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一是本单位职能变更，人防职能转移到发改部门，减少国防支出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430.95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58.47%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320.39</w:t>
      </w:r>
      <w:r>
        <w:rPr>
          <w:rFonts w:ascii="宋体" w:eastAsia="宋体" w:hAnsi="宋体" w:cs="宋体" w:hint="eastAsia"/>
          <w:sz w:val="28"/>
          <w:szCs w:val="28"/>
        </w:rPr>
        <w:t xml:space="preserve">万元，</w:t>
      </w:r>
      <w:r>
        <w:rPr>
          <w:rFonts w:ascii="宋体" w:eastAsia="宋体" w:hAnsi="宋体" w:cs="宋体"/>
          <w:sz w:val="28"/>
          <w:u w:color="auto"/>
        </w:rPr>
        <w:t xml:space="preserve">增长110.56</w:t>
      </w:r>
      <w:r>
        <w:rPr>
          <w:rFonts w:ascii="宋体" w:eastAsia="宋体" w:hAnsi="宋体" w:cs="宋体" w:hint="eastAsia"/>
          <w:sz w:val="28"/>
          <w:szCs w:val="28"/>
        </w:rPr>
        <w:t xml:space="preserve">万元，</w:t>
      </w:r>
      <w:r>
        <w:rPr>
          <w:rFonts w:ascii="宋体" w:eastAsia="宋体" w:hAnsi="宋体" w:cs="宋体"/>
          <w:sz w:val="28"/>
          <w:u w:color="auto"/>
        </w:rPr>
        <w:t xml:space="preserve">增长34.51%</w:t>
      </w:r>
      <w:r>
        <w:rPr>
          <w:rFonts w:ascii="宋体" w:eastAsia="宋体" w:hAnsi="宋体" w:cs="宋体" w:hint="eastAsia"/>
          <w:sz w:val="28"/>
          <w:szCs w:val="28"/>
        </w:rPr>
        <w:t xml:space="preserve">，主要原因是：</w:t>
      </w:r>
      <w:r>
        <w:rPr>
          <w:rFonts w:hint="eastAsia"/>
          <w:highlight w:val="none"/>
        </w:rPr>
        <w:t xml:space="preserve">2023年未支付结转的其他城乡社区公共设施支出为102.98万元在2024年列支，因此较2023年其他城乡社区公共设施支出数增加102.98万元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35.88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42.05</w:t>
      </w:r>
      <w:r>
        <w:rPr>
          <w:rFonts w:ascii="宋体" w:eastAsia="宋体" w:hAnsi="宋体" w:cs="宋体" w:hint="eastAsia"/>
          <w:sz w:val="28"/>
          <w:szCs w:val="28"/>
        </w:rPr>
        <w:t xml:space="preserve">万元，</w:t>
      </w:r>
      <w:r>
        <w:rPr>
          <w:rFonts w:ascii="宋体" w:eastAsia="宋体" w:hAnsi="宋体" w:cs="宋体"/>
          <w:sz w:val="28"/>
          <w:u w:color="auto"/>
        </w:rPr>
        <w:t xml:space="preserve">减少6.17</w:t>
      </w:r>
      <w:r>
        <w:rPr>
          <w:rFonts w:ascii="宋体" w:eastAsia="宋体" w:hAnsi="宋体" w:cs="宋体" w:hint="eastAsia"/>
          <w:sz w:val="28"/>
          <w:szCs w:val="28"/>
        </w:rPr>
        <w:t xml:space="preserve">万元，</w:t>
      </w:r>
      <w:r>
        <w:rPr>
          <w:rFonts w:ascii="宋体" w:eastAsia="宋体" w:hAnsi="宋体" w:cs="宋体"/>
          <w:sz w:val="28"/>
          <w:u w:color="auto"/>
        </w:rPr>
        <w:t xml:space="preserve">减少14.67%</w:t>
      </w:r>
      <w:r>
        <w:rPr>
          <w:rFonts w:ascii="宋体" w:eastAsia="宋体" w:hAnsi="宋体" w:cs="宋体" w:hint="eastAsia"/>
          <w:sz w:val="28"/>
          <w:szCs w:val="28"/>
        </w:rPr>
        <w:t xml:space="preserve">，主要原因是：</w:t>
      </w:r>
      <w:r>
        <w:rPr>
          <w:rFonts w:hint="eastAsia"/>
          <w:highlight w:val="none"/>
        </w:rPr>
        <w:t xml:space="preserve">一是2024社保缴费核算基数较2023年度降低，二是2024年社保缴费人数比2023年缴费人数少3人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105.90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50.00</w:t>
      </w:r>
      <w:r>
        <w:rPr>
          <w:rFonts w:ascii="宋体" w:eastAsia="宋体" w:hAnsi="宋体" w:cs="宋体" w:hint="eastAsia"/>
          <w:sz w:val="28"/>
          <w:szCs w:val="28"/>
        </w:rPr>
        <w:t xml:space="preserve">万元，</w:t>
      </w:r>
      <w:r>
        <w:rPr>
          <w:rFonts w:ascii="宋体" w:eastAsia="宋体" w:hAnsi="宋体" w:cs="宋体"/>
          <w:sz w:val="28"/>
          <w:u w:color="auto"/>
        </w:rPr>
        <w:t xml:space="preserve">增长55.90</w:t>
      </w:r>
      <w:r>
        <w:rPr>
          <w:rFonts w:ascii="宋体" w:eastAsia="宋体" w:hAnsi="宋体" w:cs="宋体" w:hint="eastAsia"/>
          <w:sz w:val="28"/>
          <w:szCs w:val="28"/>
        </w:rPr>
        <w:t xml:space="preserve">万元，</w:t>
      </w:r>
      <w:r>
        <w:rPr>
          <w:rFonts w:ascii="宋体" w:eastAsia="宋体" w:hAnsi="宋体" w:cs="宋体"/>
          <w:sz w:val="28"/>
          <w:u w:color="auto"/>
        </w:rPr>
        <w:t xml:space="preserve">增长111.80%</w:t>
      </w:r>
      <w:r>
        <w:rPr>
          <w:rFonts w:ascii="宋体" w:eastAsia="宋体" w:hAnsi="宋体" w:cs="宋体" w:hint="eastAsia"/>
          <w:sz w:val="28"/>
          <w:szCs w:val="28"/>
        </w:rPr>
        <w:t xml:space="preserve">，主要原因是：</w:t>
      </w:r>
      <w:r>
        <w:rPr>
          <w:rFonts w:hint="eastAsia"/>
          <w:highlight w:val="none"/>
        </w:rPr>
        <w:t xml:space="preserve">2023年未支付结转的水体30.69万元在2024年列支，2023年未支付结转的可再生能源75.2万元在2024年列支，较2023年水体支出数增加30.69万元，较2023年可再生能源支出数增加25.2万元</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54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354.80</w:t>
      </w:r>
      <w:r>
        <w:rPr>
          <w:rFonts w:hint="eastAsia"/>
        </w:rPr>
        <w:t xml:space="preserve">万元，较2023年度预算数</w:t>
      </w:r>
      <w:r>
        <w:rPr>
          <w:rFonts w:hint="eastAsia"/>
          <w:lang w:val="en-US" w:eastAsia="zh-CN"/>
        </w:rPr>
        <w:t xml:space="preserve">359.83</w:t>
      </w:r>
      <w:r>
        <w:rPr>
          <w:rFonts w:hint="eastAsia"/>
        </w:rPr>
        <w:t xml:space="preserve">万元</w:t>
      </w:r>
      <w:r>
        <w:rPr>
          <w:rFonts w:hint="eastAsia"/>
          <w:lang w:val="en-US" w:eastAsia="zh-CN"/>
        </w:rPr>
        <w:t xml:space="preserve">,</w:t>
      </w:r>
      <w:r>
        <w:rPr>
          <w:u w:color="auto"/>
        </w:rPr>
        <w:t xml:space="preserve">减少5.03</w:t>
      </w:r>
      <w:r>
        <w:rPr>
          <w:rFonts w:hint="eastAsia"/>
        </w:rPr>
        <w:t xml:space="preserve">万元，</w:t>
      </w:r>
      <w:r>
        <w:rPr>
          <w:rFonts w:hint="eastAsia"/>
          <w:lang w:val="en-US" w:eastAsia="zh-CN"/>
        </w:rPr>
        <w:t xml:space="preserve">下降1.40%</w:t>
      </w:r>
      <w:r>
        <w:rPr>
          <w:rFonts w:hint="eastAsia"/>
        </w:rPr>
        <w:t xml:space="preserve">，主要原因是</w:t>
      </w:r>
      <w:r>
        <w:rPr>
          <w:rFonts w:hint="eastAsia"/>
          <w:highlight w:val="none"/>
          <w:lang w:val="en-US" w:eastAsia="zh-CN"/>
        </w:rPr>
        <w:t xml:space="preserve">由于机构职能变更减少行政人员2人，退休减少参公人员1人，2024年实有人数比2023年少3人</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17.80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5.02%</w:t>
      </w:r>
      <w:r>
        <w:rPr>
          <w:rFonts w:hint="eastAsia"/>
        </w:rPr>
        <w:t xml:space="preserve">，较2023年度预算数</w:t>
      </w:r>
      <w:r>
        <w:rPr>
          <w:rFonts w:hint="eastAsia"/>
          <w:lang w:val="en-US" w:eastAsia="zh-CN"/>
        </w:rPr>
        <w:t xml:space="preserve">11.50</w:t>
      </w:r>
      <w:r>
        <w:rPr>
          <w:rFonts w:hint="eastAsia"/>
        </w:rPr>
        <w:t xml:space="preserve">万元，</w:t>
      </w:r>
      <w:r>
        <w:rPr>
          <w:rFonts w:hint="eastAsia"/>
          <w:lang w:val="en-US" w:eastAsia="zh-CN"/>
        </w:rPr>
        <w:t xml:space="preserve">增长6.30</w:t>
      </w:r>
      <w:r>
        <w:rPr>
          <w:rFonts w:hint="eastAsia"/>
        </w:rPr>
        <w:t xml:space="preserve">万元，</w:t>
      </w:r>
      <w:r>
        <w:rPr>
          <w:rFonts w:hint="eastAsia"/>
          <w:lang w:val="en-US" w:eastAsia="zh-CN"/>
        </w:rPr>
        <w:t xml:space="preserve">增长54.78%</w:t>
      </w:r>
      <w:r>
        <w:rPr>
          <w:rFonts w:hint="eastAsia"/>
        </w:rPr>
        <w:t xml:space="preserve">，主要原因是：</w:t>
      </w:r>
      <w:r>
        <w:rPr>
          <w:rFonts w:hint="eastAsia"/>
          <w:highlight w:val="none"/>
        </w:rPr>
        <w:t xml:space="preserve">2024年退休人员生活补贴标准较2023年提高，2024年每位退休人员年生活补贴比2023年增加4000元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318.92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89.89%</w:t>
      </w:r>
      <w:r>
        <w:rPr>
          <w:rFonts w:hint="eastAsia"/>
        </w:rPr>
        <w:t xml:space="preserve">，较2023年度预算数</w:t>
      </w:r>
      <w:r>
        <w:rPr>
          <w:rFonts w:hint="eastAsia"/>
          <w:lang w:val="en-US" w:eastAsia="zh-CN"/>
        </w:rPr>
        <w:t xml:space="preserve">324.22</w:t>
      </w:r>
      <w:r>
        <w:rPr>
          <w:rFonts w:hint="eastAsia"/>
        </w:rPr>
        <w:t xml:space="preserve">万元，</w:t>
      </w:r>
      <w:r>
        <w:rPr>
          <w:rFonts w:hint="eastAsia"/>
          <w:lang w:val="en-US" w:eastAsia="zh-CN"/>
        </w:rPr>
        <w:t xml:space="preserve">减少5.30</w:t>
      </w:r>
      <w:r>
        <w:rPr>
          <w:rFonts w:hint="eastAsia"/>
        </w:rPr>
        <w:t xml:space="preserve">万元，</w:t>
      </w:r>
      <w:r>
        <w:rPr>
          <w:rFonts w:hint="eastAsia"/>
          <w:lang w:val="en-US" w:eastAsia="zh-CN"/>
        </w:rPr>
        <w:t xml:space="preserve">减少1.63%</w:t>
      </w:r>
      <w:r>
        <w:rPr>
          <w:rFonts w:hint="eastAsia"/>
        </w:rPr>
        <w:t xml:space="preserve">，主要原因是：</w:t>
      </w:r>
      <w:r>
        <w:rPr>
          <w:rFonts w:hint="eastAsia"/>
          <w:highlight w:val="none"/>
        </w:rPr>
        <w:t xml:space="preserve">由于机构职能变更减少行政人员2人，退休减少参公人员1人，2024年实有人数比2023年少3人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18.08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5.10%</w:t>
      </w:r>
      <w:r>
        <w:rPr>
          <w:rFonts w:hint="eastAsia"/>
        </w:rPr>
        <w:t xml:space="preserve">，较2023年度预算数</w:t>
      </w:r>
      <w:r>
        <w:rPr>
          <w:rFonts w:hint="eastAsia"/>
          <w:lang w:val="en-US" w:eastAsia="zh-CN"/>
        </w:rPr>
        <w:t xml:space="preserve">24.11</w:t>
      </w:r>
      <w:r>
        <w:rPr>
          <w:rFonts w:hint="eastAsia"/>
        </w:rPr>
        <w:t xml:space="preserve">万元，</w:t>
      </w:r>
      <w:r>
        <w:rPr>
          <w:rFonts w:hint="eastAsia"/>
          <w:lang w:val="en-US" w:eastAsia="zh-CN"/>
        </w:rPr>
        <w:t xml:space="preserve">减少6.03</w:t>
      </w:r>
      <w:r>
        <w:rPr>
          <w:rFonts w:hint="eastAsia"/>
        </w:rPr>
        <w:t xml:space="preserve">万元，</w:t>
      </w:r>
      <w:r>
        <w:rPr>
          <w:rFonts w:hint="eastAsia"/>
          <w:lang w:val="en-US" w:eastAsia="zh-CN"/>
        </w:rPr>
        <w:t xml:space="preserve">减少25.01%</w:t>
      </w:r>
      <w:r>
        <w:rPr>
          <w:rFonts w:hint="eastAsia"/>
        </w:rPr>
        <w:t xml:space="preserve">，主要原因是：</w:t>
      </w:r>
      <w:r>
        <w:rPr>
          <w:rFonts w:hint="eastAsia"/>
          <w:highlight w:val="none"/>
        </w:rPr>
        <w:t xml:space="preserve">由于机构职能变更减少行政人员2人，退休减少参公人员1人，2024年实有人数比2023年少3人</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55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1.22</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1.22</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1.22</w:t>
      </w:r>
      <w:r>
        <w:rPr>
          <w:rFonts w:hint="eastAsia"/>
          <w:b w:val="0"/>
          <w:bCs w:val="0"/>
          <w:sz w:val="28"/>
          <w:szCs w:val="28"/>
        </w:rPr>
        <w:t xml:space="preserve">万元，同口径较2023年度预算数</w:t>
      </w:r>
      <w:r>
        <w:rPr>
          <w:rFonts w:hint="eastAsia"/>
          <w:b w:val="0"/>
          <w:bCs w:val="0"/>
          <w:sz w:val="28"/>
          <w:szCs w:val="28"/>
          <w:lang w:val="en-US" w:eastAsia="zh-CN"/>
        </w:rPr>
        <w:t xml:space="preserve">1.22</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2023年、2024年均未安排因公出国（境）费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1.22</w:t>
      </w:r>
      <w:r>
        <w:rPr>
          <w:rFonts w:hint="eastAsia"/>
          <w:b w:val="0"/>
          <w:bCs w:val="0"/>
          <w:sz w:val="28"/>
          <w:szCs w:val="28"/>
        </w:rPr>
        <w:t xml:space="preserve">万元，较2023年度预算数</w:t>
      </w:r>
      <w:r>
        <w:rPr>
          <w:sz w:val="28"/>
          <w:u w:color="auto"/>
        </w:rPr>
        <w:t xml:space="preserve">1.22</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缩减公务接待规模，压减2024年公务接待费支出。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2023年、2024年均未安排公务车购置费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我单位无公务车，2023年、2024年均未安排公务车运行维护费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0.75</w:t>
      </w:r>
      <w:r>
        <w:rPr>
          <w:rFonts w:hint="eastAsia"/>
          <w:sz w:val="28"/>
          <w:szCs w:val="28"/>
        </w:rPr>
        <w:t xml:space="preserve">万元，较2023年度预算数</w:t>
      </w:r>
      <w:r>
        <w:rPr>
          <w:rFonts w:hint="eastAsia"/>
          <w:b w:val="0"/>
          <w:bCs w:val="0"/>
          <w:sz w:val="28"/>
          <w:szCs w:val="28"/>
          <w:lang w:eastAsia="zh-CN"/>
        </w:rPr>
        <w:t xml:space="preserve">25.00</w:t>
      </w:r>
      <w:r>
        <w:rPr>
          <w:rFonts w:hint="eastAsia"/>
          <w:sz w:val="28"/>
          <w:szCs w:val="28"/>
        </w:rPr>
        <w:t xml:space="preserve">万元，</w:t>
      </w:r>
      <w:r>
        <w:rPr>
          <w:rFonts w:hint="eastAsia"/>
          <w:b w:val="0"/>
          <w:bCs w:val="0"/>
          <w:sz w:val="28"/>
          <w:szCs w:val="28"/>
          <w:lang w:eastAsia="zh-CN"/>
        </w:rPr>
        <w:t xml:space="preserve">减少24.25</w:t>
      </w:r>
      <w:r>
        <w:rPr>
          <w:rFonts w:hint="eastAsia"/>
          <w:sz w:val="28"/>
          <w:szCs w:val="28"/>
        </w:rPr>
        <w:t xml:space="preserve">万元，</w:t>
      </w:r>
      <w:r>
        <w:rPr>
          <w:rFonts w:hint="eastAsia"/>
          <w:b w:val="0"/>
          <w:bCs w:val="0"/>
          <w:sz w:val="28"/>
          <w:szCs w:val="28"/>
          <w:lang w:eastAsia="zh-CN"/>
        </w:rPr>
        <w:t xml:space="preserve">下降97.00%</w:t>
      </w:r>
      <w:r>
        <w:rPr>
          <w:rFonts w:hint="eastAsia"/>
          <w:sz w:val="28"/>
          <w:szCs w:val="28"/>
        </w:rPr>
        <w:t xml:space="preserve">，主要原因是</w:t>
      </w:r>
      <w:r>
        <w:rPr>
          <w:rFonts w:hint="eastAsia"/>
          <w:sz w:val="28"/>
          <w:szCs w:val="28"/>
          <w:highlight w:val="none"/>
          <w:lang w:val="en-US" w:eastAsia="zh-CN"/>
        </w:rPr>
        <w:t xml:space="preserve">2023年政府性基金安排的村容村貌项目支出25万元，2024年未有安排</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18.08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24.11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减少6.03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下降25.01%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由于机构职能变更减少行政人员2人，退休减少参公人员1人，2024年实有人数比2023年少3人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3.33</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3.33</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主要用于：采购办公用电脑及复印纸</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8</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338.05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保障性租赁住房，预算资金128.42万元，2024年绩效目标为扩大保障性住房供给，解决新市民、青年人等群体的住房难题,努力提升新市民等群体的幸福感。建立多主体供给、多渠道保障，以产业园区为重点大力发展保障性租赁住房，持续完善住房保障体系。设1条数量指标，数量指标为筹集保障性租赁住房60套；设1条质量指标，质量指标为验收合格率100%；设1条时效指标，时效指标为开工时间在2023年12月31日前；设1条成本指标，城成本指标为中央、自治区补助资金128.42万元；设1条社会效益指标，社会效益指标为解决新市民、青年人等群体的住房难题,提升新市民等群体的幸福感，受益群体满意度达85%以上；设1条满意度指标，满意度指标为受益群众满意度达85%以上</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二：项目名称2023年城市背街小巷整治改造提升项目，预算资金85万元，2024年绩效目标为背街小巷整治改造提升三年行动项目（2022—2024年），修好市民门前路，点亮百姓窗外灯，完善城市功能，提升城市宜居品质，设1条数量指标，数量指标为背街小巷整治改造提升项目建设面积5975.36平方米；设1条质量指标，质量指标为竣工验收合格率100%；设1条时效指标，时效指标为验收时间在2023年12月31日前；设1条成本指标，成本指标为自治区财政投入资金85万元；设一条社会效益指标，社会效益指标为背街小巷整治改造提升项目受益人数达20000人；设1条满意度指标，满意度指标为背街小巷整治改造后，受益群众满意度达85%以上</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环江毛南族自治县住房和城乡建设局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环江毛南族自治县住房和城乡建设局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399.80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399.80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35.88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105.90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431.70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161.29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399.80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737.85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338.05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737.85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737.85</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环江毛南族自治县住房和城乡建设局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302001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环江毛南族自治县住房和城乡建设局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737.85</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399.80</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399.80</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338.05</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337.30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0.75</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环江毛南族自治县住房和城乡建设局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737.85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354.80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383.05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737.85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354.80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383.05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水体</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2111201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可再生能源</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2120101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169.28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36.49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115.68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其他城乡社区公共设施支出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102.98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102.98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建设市场管理与监督</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2121903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城市建设支出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公共租赁住房</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2210110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保障性租赁住房</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128.42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128.42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环江毛南族自治县住房和城乡建设局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399.80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399.80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35.88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105.90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431.70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161.29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399.80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737.85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338.05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737.85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737.85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环江毛南族自治县住房和城乡建设局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302001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737.10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354.80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336.72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18.08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382.30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3.08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35.88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2110302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水体</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2111201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可再生能源</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75.20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2120101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205.77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169.27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154.28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14.99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36.49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120.48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115.68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115.68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其他城乡社区公共设施支出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102.98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102.98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建设市场管理与监督</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公共租赁住房</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2210110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保障性租赁住房</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128.42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128.42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环江毛南族自治县住房和城乡建设局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354.80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336.72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318.92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318.92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96.84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96.84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职业年金缴费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5.74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咨询费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对企业补助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31204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费用补贴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环江毛南族自治县住房和城乡建设局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302001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1.22</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环江毛南族自治县住房和城乡建设局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p>
        </w:tc>
        <w:tc>
          <w:tcPr>
            <w:tcW w:w="2161"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302001</w:t>
            </w:r>
          </w:p>
        </w:tc>
        <w:tc>
          <w:tcPr>
            <w:tcW w:w="2162" w:type="dxa"/>
            <w:vAlign w:val="center"/>
          </w:tcPr>
          <w:p>
            <w:pPr>
              <w:pStyle w:val="Other|1"/>
              <w:spacing w:line="240" w:lineRule="auto"/>
              <w:ind w:firstLine="0" w:firstLineChars="0"/>
              <w:jc w:val="left"/>
              <w:rPr>
                <w:b w:val="0"/>
                <w:bCs w:val="0"/>
                <w:vertAlign w:val="baseline"/>
              </w:rPr>
            </w:pP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0.75</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0.75</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2110302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水体</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2111201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可再生能源</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2120101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2120399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其他城乡社区公共设施支出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2120601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建设市场管理与监督</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2121903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城市建设支出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0.75</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0.75</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公共租赁住房</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2210110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保障性租赁住房</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环江毛南族自治县住房和城乡建设局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环江毛南族自治县住房和城乡建设局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行政工作经费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22.15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行政工作经费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污水处理厂运营经费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污水处理厂运营经费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村屯公共照明</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为满足农村群众生活出行要求，在驯乐、明伦、东兴、龙岩、思恩、洛阳、大安、川山八个乡镇22个屯，每个屯安装5盏共计110盏太阳能路灯，2023年1月底竣工验收投入使</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背街小巷整治改造</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16.66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对长度1251.25米，面积为11790平方米的道路进行改造</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2022年自治区节能减排(建筑节能)专项资金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对东兴镇东兴社区、明伦镇吉祥社区安装180盏绿色照明</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自治区节能减排（建筑节能）补助资金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对驯乐乡福寿社区、下南乡下南社区、龙岩乡龙岩社区各安装90绿色照明路灯，降低电能消耗</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2023年城市背街小巷整治改造提升项目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背街小巷整治改造提升三年行动项目（2022—2024年），修好市民门前路，点亮百姓窗外灯，完善城市功能，提升城市宜居品质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保障性租赁住房（2023年）</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128.42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扩大保障性住房供给，解决新市民、青年人等群体的住房难题,努力提升新市民等群体的幸福感。建立多主体供给、多渠道保障，以产业园区为重点大力发展保障性租赁住房，持续完善住房保障体系。</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拖欠工程款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环江县城区经二路、纬四路、纬五路、纬六路、环江大道、和金环大道4标道路交通工程</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拖欠环江大道前期服务费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0.72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提供项目前期服务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城乡规划人员职业年金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安排城乡规划人员职业年金单位部分</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新市政工作经费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市政工作经费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新质监站工作经费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质监站工作经费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新墙改工作经费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墙改经费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新党支部组织生活</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环江毛南族自治县住房和城乡建设局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公租房智慧门锁维护</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224套公租房智慧门锁维护</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44"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66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552"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664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554"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664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555"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664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556"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664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57"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66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55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64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55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6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a4fjwgY845NZbGfKeiE31A==" w:hash="IGTAaSw8WuuBCtG72Eg2ZWBUK8HBnaGnOQesSki1V8lKUcMzDbsxWI88Ipo/QCwvJ+M6LWnTIrOE5Zb3kKRUf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737.1</c:v>
                </c:pt>
                <c:pt idx="1">
                  <c:v>0.75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ptCount val="4"/>
                <c:pt idx="0">
                  <c:v>3.08</c:v>
                </c:pt>
                <c:pt idx="1">
                  <c:v>35.88</c:v>
                </c:pt>
                <c:pt idx="2">
                  <c:v>327.97</c:v>
                </c:pt>
                <c:pt idx="3">
                  <c:v>32.87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494.21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737.85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354.8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45.0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18.08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336.72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336.72</c:v>
                </c:pt>
                <c:pt idx="1">
                  <c:v>18.08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1.22</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1.22</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2024-03-01T07:42:58Z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