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 Generated by Spire.Doc -->
  <w:body>
    <w:p>
      <w:pPr>
        <w:pStyle w:val="Bodytext|5"/>
        <w:jc w:val="center"/>
        <w:rPr>
          <w:rFonts w:hint="eastAsia"/>
          <w:lang w:eastAsia="zh-CN"/>
        </w:rPr>
      </w:pPr>
      <w:r>
        <w:rPr>
          <w:rFonts w:hint="eastAsia"/>
          <w:lang w:eastAsia="zh-CN"/>
        </w:rPr>
        <w:t xml:space="preserve">环江毛南族自治县华山林场</w:t>
      </w:r>
    </w:p>
    <w:p>
      <w:pPr>
        <w:pStyle w:val="Bodytext|5"/>
        <w:jc w:val="center"/>
        <w:sectPr>
          <w:pgSz w:w="11900" w:h="16840" w:orient="portrait"/>
          <w:pgMar w:top="4713" w:right="1913" w:bottom="4713" w:left="2020" w:header="4285" w:footer="4285" w:gutter="0"/>
          <w:pgBorders>
            <w:top w:val="none" w:sz="0" w:space="0" w:color="auto"/>
            <w:left w:val="none" w:sz="0" w:space="0" w:color="auto"/>
            <w:bottom w:val="none" w:sz="0" w:space="0" w:color="auto"/>
            <w:right w:val="none" w:sz="0" w:space="0" w:color="auto"/>
          </w:pgBorders>
          <w:pgNumType w:start="1"/>
          <w:cols w:num="1" w:space="720">
            <w:col w:w="7967" w:space="720"/>
          </w:cols>
          <w:docGrid w:linePitch="360" w:charSpace="0"/>
        </w:sectPr>
      </w:pPr>
      <w:r>
        <w:rPr>
          <w:rFonts w:hint="eastAsia"/>
          <w:lang w:eastAsia="zh-CN"/>
        </w:rPr>
        <w:t xml:space="preserve">2024</w:t>
      </w:r>
      <w:r>
        <w:rPr>
          <w:rFonts w:ascii="Times New Roman" w:eastAsia="Times New Roman" w:hAnsi="Times New Roman" w:cs="Times New Roman"/>
          <w:sz w:val="56"/>
          <w:u w:color="auto"/>
        </w:rPr>
        <w:t xml:space="preserve">年</w:t>
      </w:r>
      <w:r>
        <w:t xml:space="preserve">度部门预算</w:t>
      </w:r>
    </w:p>
    <w:p>
      <w:pPr>
        <w:pStyle w:val="Heading#1|1"/>
        <w:keepNext/>
        <w:keepLines/>
        <w:spacing w:after="240"/>
        <w:jc w:val="center"/>
      </w:pPr>
      <w:bookmarkStart w:id="0" w:name="bookmark1"/>
      <w:bookmarkStart w:id="1" w:name="bookmark0"/>
      <w:bookmarkStart w:id="2" w:name="bookmark2"/>
      <w:r>
        <w:t xml:space="preserve">目录</w:t>
      </w:r>
      <w:bookmarkEnd w:id="0"/>
      <w:bookmarkEnd w:id="1"/>
      <w:bookmarkEnd w:id="2"/>
    </w:p>
    <w:p>
      <w:pPr>
        <w:pStyle w:val="Bodytext|2"/>
        <w:ind w:left="0" w:firstLine="320" w:leftChars="0" w:firstLineChars="100"/>
        <w:jc w:val="left"/>
      </w:pPr>
      <w:r>
        <w:t xml:space="preserve">第一部分</w:t>
      </w:r>
      <w:r>
        <w:rPr>
          <w:rFonts w:hint="eastAsia"/>
          <w:lang w:eastAsia="zh-CN"/>
        </w:rPr>
        <w:t xml:space="preserve">：</w:t>
      </w:r>
      <w:r>
        <w:rPr>
          <w:u w:color="auto"/>
        </w:rPr>
        <w:t xml:space="preserve">环江毛南族自治县华山林场</w:t>
      </w:r>
      <w:r>
        <w:rPr>
          <w:u w:color="auto"/>
        </w:rPr>
        <w:t xml:space="preserve">单位</w:t>
      </w:r>
      <w:r>
        <w:t xml:space="preserve">概况</w:t>
      </w:r>
    </w:p>
    <w:p>
      <w:pPr>
        <w:pStyle w:val="Bodytext|2"/>
        <w:jc w:val="left"/>
      </w:pPr>
      <w:r>
        <w:rPr>
          <w:lang w:val="en-US" w:eastAsia="zh-CN" w:bidi="en-US"/>
        </w:rPr>
        <w:t xml:space="preserve">—</w:t>
      </w:r>
      <w:r>
        <w:t xml:space="preserve">、主要职责</w:t>
      </w:r>
    </w:p>
    <w:p>
      <w:pPr>
        <w:pStyle w:val="Bodytext|2"/>
        <w:jc w:val="left"/>
        <w:rPr>
          <w:rFonts w:hint="eastAsia"/>
        </w:rPr>
      </w:pPr>
      <w:r>
        <w:rPr>
          <w:rFonts w:hint="eastAsia"/>
          <w:lang w:val="en-US" w:eastAsia="zh-CN"/>
        </w:rPr>
        <w:t xml:space="preserve">二、</w:t>
      </w:r>
      <w:r>
        <w:rPr>
          <w:rFonts w:hint="eastAsia"/>
        </w:rPr>
        <w:t xml:space="preserve">机构设置情况</w:t>
      </w:r>
    </w:p>
    <w:p>
      <w:pPr>
        <w:pStyle w:val="Bodytext|2"/>
        <w:ind w:left="0" w:firstLine="320" w:leftChars="0" w:firstLineChars="100"/>
        <w:jc w:val="left"/>
      </w:pPr>
      <w:r>
        <w:t xml:space="preserve">第二部分</w:t>
      </w:r>
      <w:r>
        <w:rPr>
          <w:rFonts w:hint="eastAsia"/>
          <w:lang w:eastAsia="zh-CN"/>
        </w:rPr>
        <w:t xml:space="preserve">：</w:t>
      </w:r>
      <w:r>
        <w:rPr>
          <w:u w:color="auto"/>
        </w:rPr>
        <w:t xml:space="preserve">环江毛南族自治县华山林场</w:t>
      </w:r>
      <w:r>
        <w:rPr>
          <w:u w:color="auto"/>
        </w:rPr>
        <w:t xml:space="preserve">2024</w:t>
      </w:r>
      <w:r>
        <w:t xml:space="preserve">部门预算情况说明</w:t>
      </w:r>
    </w:p>
    <w:p>
      <w:pPr>
        <w:pStyle w:val="Bodytext|2"/>
        <w:numPr>
          <w:ilvl w:val="0"/>
          <w:numId w:val="0"/>
        </w:numPr>
        <w:ind w:firstLine="640" w:firstLineChars="200"/>
        <w:jc w:val="left"/>
        <w:rPr>
          <w:rFonts w:hint="eastAsia"/>
        </w:rPr>
      </w:pPr>
      <w:r>
        <w:rPr>
          <w:rFonts w:hint="eastAsia"/>
        </w:rPr>
        <w:t xml:space="preserve">一、部门收支总体情况说明</w:t>
      </w:r>
    </w:p>
    <w:p>
      <w:pPr>
        <w:pStyle w:val="Bodytext|2"/>
        <w:numPr>
          <w:ilvl w:val="0"/>
          <w:numId w:val="0"/>
        </w:numPr>
        <w:ind w:firstLine="640" w:firstLineChars="200"/>
        <w:jc w:val="left"/>
        <w:rPr>
          <w:rFonts w:hint="eastAsia"/>
        </w:rPr>
      </w:pPr>
      <w:r>
        <w:rPr>
          <w:rFonts w:hint="eastAsia"/>
        </w:rPr>
        <w:t xml:space="preserve">二、部门收入总体情况说明</w:t>
      </w:r>
    </w:p>
    <w:p>
      <w:pPr>
        <w:pStyle w:val="Bodytext|2"/>
        <w:numPr>
          <w:ilvl w:val="0"/>
          <w:numId w:val="0"/>
        </w:numPr>
        <w:ind w:firstLine="640" w:firstLineChars="200"/>
        <w:jc w:val="left"/>
        <w:rPr>
          <w:rFonts w:hint="eastAsia"/>
        </w:rPr>
      </w:pPr>
      <w:r>
        <w:rPr>
          <w:rFonts w:hint="eastAsia"/>
        </w:rPr>
        <w:t xml:space="preserve">三、部门支出总体情况说明</w:t>
      </w:r>
    </w:p>
    <w:p>
      <w:pPr>
        <w:pStyle w:val="Bodytext|2"/>
        <w:numPr>
          <w:ilvl w:val="0"/>
          <w:numId w:val="0"/>
        </w:numPr>
        <w:ind w:firstLine="640" w:firstLineChars="200"/>
        <w:jc w:val="left"/>
        <w:rPr>
          <w:rFonts w:hint="eastAsia"/>
        </w:rPr>
      </w:pPr>
      <w:r>
        <w:rPr>
          <w:rFonts w:hint="eastAsia"/>
        </w:rPr>
        <w:t xml:space="preserve">四、财政拨款收支总体情况说明</w:t>
      </w:r>
    </w:p>
    <w:p>
      <w:pPr>
        <w:pStyle w:val="Bodytext|2"/>
        <w:numPr>
          <w:ilvl w:val="0"/>
          <w:numId w:val="0"/>
        </w:numPr>
        <w:ind w:firstLine="640" w:firstLineChars="200"/>
        <w:jc w:val="left"/>
        <w:rPr>
          <w:rFonts w:hint="eastAsia"/>
        </w:rPr>
      </w:pPr>
      <w:r>
        <w:rPr>
          <w:rFonts w:hint="eastAsia"/>
        </w:rPr>
        <w:t xml:space="preserve">五、一般公共预算支出情况说明</w:t>
      </w:r>
    </w:p>
    <w:p>
      <w:pPr>
        <w:pStyle w:val="Bodytext|2"/>
        <w:numPr>
          <w:ilvl w:val="0"/>
          <w:numId w:val="0"/>
        </w:numPr>
        <w:ind w:firstLine="640" w:firstLineChars="200"/>
        <w:jc w:val="left"/>
        <w:rPr>
          <w:rFonts w:hint="eastAsia"/>
        </w:rPr>
      </w:pPr>
      <w:r>
        <w:rPr>
          <w:rFonts w:hint="eastAsia"/>
        </w:rPr>
        <w:t xml:space="preserve">六、一般公共预算基本支出情况说明</w:t>
      </w:r>
    </w:p>
    <w:p>
      <w:pPr>
        <w:pStyle w:val="Bodytext|2"/>
        <w:numPr>
          <w:ilvl w:val="0"/>
          <w:numId w:val="0"/>
        </w:numPr>
        <w:ind w:firstLine="640" w:firstLineChars="200"/>
        <w:jc w:val="left"/>
        <w:rPr>
          <w:rFonts w:hint="eastAsia"/>
        </w:rPr>
      </w:pPr>
      <w:r>
        <w:rPr>
          <w:rFonts w:hint="eastAsia"/>
        </w:rPr>
        <w:t xml:space="preserve">七、一般公共预算“三公”经费支出情况说明</w:t>
      </w:r>
    </w:p>
    <w:p>
      <w:pPr>
        <w:pStyle w:val="Bodytext|2"/>
        <w:numPr>
          <w:ilvl w:val="0"/>
          <w:numId w:val="0"/>
        </w:numPr>
        <w:ind w:firstLine="640" w:firstLineChars="200"/>
        <w:jc w:val="left"/>
        <w:rPr>
          <w:rFonts w:hint="eastAsia"/>
        </w:rPr>
      </w:pPr>
      <w:r>
        <w:rPr>
          <w:rFonts w:hint="eastAsia"/>
        </w:rPr>
        <w:t xml:space="preserve">八、政府性基金预算支出情况说明</w:t>
      </w:r>
    </w:p>
    <w:p>
      <w:pPr>
        <w:pStyle w:val="Bodytext|2"/>
        <w:numPr>
          <w:ilvl w:val="0"/>
          <w:numId w:val="0"/>
        </w:numPr>
        <w:ind w:firstLine="640" w:firstLineChars="200"/>
        <w:jc w:val="left"/>
        <w:rPr>
          <w:rFonts w:hint="eastAsia"/>
        </w:rPr>
      </w:pPr>
      <w:r>
        <w:rPr>
          <w:rFonts w:hint="eastAsia"/>
        </w:rPr>
        <w:t xml:space="preserve">九、国有资本经营预算支出情况说明</w:t>
      </w:r>
    </w:p>
    <w:p>
      <w:pPr>
        <w:pStyle w:val="Bodytext|2"/>
        <w:numPr>
          <w:ilvl w:val="0"/>
          <w:numId w:val="0"/>
        </w:numPr>
        <w:ind w:firstLine="640" w:firstLineChars="200"/>
        <w:jc w:val="left"/>
      </w:pPr>
      <w:r>
        <w:rPr>
          <w:rFonts w:hint="eastAsia"/>
        </w:rPr>
        <w:t xml:space="preserve">十、其他重要事项情况说明</w:t>
      </w:r>
    </w:p>
    <w:p>
      <w:pPr>
        <w:pStyle w:val="Bodytext|2"/>
        <w:ind w:left="0" w:firstLine="320" w:leftChars="0" w:firstLineChars="100"/>
        <w:jc w:val="left"/>
      </w:pPr>
      <w:r>
        <w:t xml:space="preserve">第三部分</w:t>
      </w:r>
      <w:r>
        <w:rPr>
          <w:rFonts w:hint="eastAsia"/>
          <w:lang w:eastAsia="zh-CN"/>
        </w:rPr>
        <w:t xml:space="preserve">：</w:t>
      </w:r>
      <w:r>
        <w:rPr>
          <w:u w:color="auto"/>
        </w:rPr>
        <w:t xml:space="preserve">环江毛南族自治县华山林场</w:t>
      </w:r>
      <w:r>
        <w:rPr>
          <w:u w:color="auto"/>
        </w:rPr>
        <w:t xml:space="preserve">2024</w:t>
      </w:r>
      <w:r>
        <w:rPr>
          <w:rFonts w:ascii="Times New Roman" w:hAnsi="Times New Roman" w:cs="Times New Roman"/>
          <w:u w:color="auto"/>
        </w:rPr>
        <w:t xml:space="preserve">年</w:t>
      </w:r>
      <w:r>
        <w:t xml:space="preserve">部门预算</w:t>
      </w:r>
      <w:r>
        <w:rPr>
          <w:rFonts w:hint="eastAsia"/>
          <w:lang w:val="en-US" w:eastAsia="zh-CN"/>
        </w:rPr>
        <w:t xml:space="preserve">相关报</w:t>
      </w:r>
      <w:r>
        <w:t xml:space="preserve">表</w:t>
      </w:r>
    </w:p>
    <w:p>
      <w:pPr>
        <w:pStyle w:val="Bodytext|2"/>
        <w:jc w:val="left"/>
        <w:rPr>
          <w:rFonts w:hint="eastAsia"/>
        </w:rPr>
      </w:pPr>
      <w:r>
        <w:rPr>
          <w:rFonts w:hint="eastAsia"/>
        </w:rPr>
        <w:t xml:space="preserve">一、部门收支总体情况表</w:t>
      </w:r>
    </w:p>
    <w:p>
      <w:pPr>
        <w:pStyle w:val="Bodytext|2"/>
        <w:jc w:val="left"/>
        <w:rPr>
          <w:rFonts w:hint="eastAsia"/>
        </w:rPr>
      </w:pPr>
      <w:r>
        <w:rPr>
          <w:rFonts w:hint="eastAsia"/>
        </w:rPr>
        <w:t xml:space="preserve">二、部门收入总体情况表</w:t>
      </w:r>
    </w:p>
    <w:p>
      <w:pPr>
        <w:pStyle w:val="Bodytext|2"/>
        <w:jc w:val="left"/>
        <w:rPr>
          <w:rFonts w:hint="eastAsia"/>
        </w:rPr>
      </w:pPr>
      <w:r>
        <w:rPr>
          <w:rFonts w:hint="eastAsia"/>
        </w:rPr>
        <w:t xml:space="preserve">三、部门支出总体情况表</w:t>
      </w:r>
    </w:p>
    <w:p>
      <w:pPr>
        <w:pStyle w:val="Bodytext|2"/>
        <w:jc w:val="left"/>
        <w:rPr>
          <w:rFonts w:hint="eastAsia"/>
        </w:rPr>
      </w:pPr>
      <w:r>
        <w:rPr>
          <w:rFonts w:hint="eastAsia"/>
        </w:rPr>
        <w:t xml:space="preserve">四、财政拨款收支总体情况表</w:t>
      </w:r>
    </w:p>
    <w:p>
      <w:pPr>
        <w:pStyle w:val="Bodytext|2"/>
        <w:jc w:val="left"/>
        <w:rPr>
          <w:rFonts w:hint="eastAsia"/>
        </w:rPr>
      </w:pPr>
      <w:r>
        <w:rPr>
          <w:rFonts w:hint="eastAsia"/>
        </w:rPr>
        <w:t xml:space="preserve">五、一般公共预算支出情况表</w:t>
      </w:r>
    </w:p>
    <w:p>
      <w:pPr>
        <w:pStyle w:val="Bodytext|2"/>
        <w:jc w:val="left"/>
        <w:rPr>
          <w:rFonts w:hint="eastAsia"/>
        </w:rPr>
      </w:pPr>
      <w:r>
        <w:rPr>
          <w:rFonts w:hint="eastAsia"/>
        </w:rPr>
        <w:t xml:space="preserve">六、一般公共预算基本支出情况表</w:t>
      </w:r>
    </w:p>
    <w:p>
      <w:pPr>
        <w:pStyle w:val="Bodytext|2"/>
        <w:jc w:val="left"/>
        <w:rPr>
          <w:rFonts w:hint="eastAsia"/>
        </w:rPr>
      </w:pPr>
      <w:r>
        <w:rPr>
          <w:rFonts w:hint="eastAsia"/>
        </w:rPr>
        <w:t xml:space="preserve">七、一般公开预算“三公”经费支出情况表</w:t>
      </w:r>
    </w:p>
    <w:p>
      <w:pPr>
        <w:pStyle w:val="Bodytext|2"/>
        <w:jc w:val="left"/>
        <w:rPr>
          <w:rFonts w:hint="eastAsia"/>
        </w:rPr>
      </w:pPr>
      <w:r>
        <w:rPr>
          <w:rFonts w:hint="eastAsia"/>
        </w:rPr>
        <w:t xml:space="preserve">八、政府性基金预算支出情况表</w:t>
      </w:r>
    </w:p>
    <w:p>
      <w:pPr>
        <w:pStyle w:val="Bodytext|2"/>
        <w:jc w:val="left"/>
        <w:rPr>
          <w:rFonts w:hint="eastAsia"/>
        </w:rPr>
      </w:pPr>
      <w:r>
        <w:rPr>
          <w:rFonts w:hint="eastAsia"/>
        </w:rPr>
        <w:t xml:space="preserve">九、国有资本经营预算支出情况表</w:t>
      </w:r>
    </w:p>
    <w:p>
      <w:pPr>
        <w:pStyle w:val="Bodytext|2"/>
        <w:jc w:val="left"/>
        <w:rPr>
          <w:rFonts w:eastAsia="宋体" w:hint="eastAsia"/>
          <w:lang w:eastAsia="zh-CN"/>
        </w:rPr>
      </w:pPr>
      <w:r>
        <w:rPr>
          <w:rFonts w:hint="eastAsia"/>
        </w:rPr>
        <w:t xml:space="preserve">十、2024年度预算项目绩效目标公开表</w:t>
      </w:r>
    </w:p>
    <w:p>
      <w:pPr>
        <w:pStyle w:val="Bodytext|2"/>
        <w:ind w:left="0" w:firstLine="320" w:leftChars="0" w:firstLineChars="100"/>
        <w:jc w:val="left"/>
        <w:rPr>
          <w:rFonts w:eastAsia="宋体" w:hint="eastAsia"/>
          <w:lang w:eastAsia="zh-CN"/>
        </w:rPr>
        <w:sectPr>
          <w:footerReference w:type="default" r:id="rId5"/>
          <w:pgSz w:w="11900" w:h="16840" w:orient="portrait"/>
          <w:pgMar w:top="1508" w:right="1674" w:bottom="1508" w:left="1851" w:header="1080" w:footer="3" w:gutter="0"/>
          <w:pgBorders>
            <w:top w:val="none" w:sz="0" w:space="0" w:color="auto"/>
            <w:left w:val="none" w:sz="0" w:space="0" w:color="auto"/>
            <w:bottom w:val="none" w:sz="0" w:space="0" w:color="auto"/>
            <w:right w:val="none" w:sz="0" w:space="0" w:color="auto"/>
          </w:pgBorders>
          <w:cols w:num="1" w:space="720">
            <w:col w:w="8375" w:space="720"/>
          </w:cols>
          <w:docGrid w:linePitch="360" w:charSpace="0"/>
        </w:sectPr>
      </w:pPr>
      <w:r>
        <w:t xml:space="preserve">第四部分</w:t>
      </w:r>
      <w:r>
        <w:rPr>
          <w:rFonts w:hint="eastAsia"/>
          <w:lang w:eastAsia="zh-CN"/>
        </w:rPr>
        <w:t xml:space="preserve">：</w:t>
      </w:r>
      <w:r>
        <w:t xml:space="preserve">名词</w:t>
      </w:r>
      <w:r>
        <w:rPr>
          <w:rFonts w:hint="eastAsia"/>
          <w:lang w:val="en-US" w:eastAsia="zh-CN"/>
        </w:rPr>
        <w:t xml:space="preserve">解释</w:t>
      </w:r>
    </w:p>
    <w:p>
      <w:pPr>
        <w:pStyle w:val="Heading#1|1"/>
        <w:keepNext/>
        <w:keepLines/>
        <w:spacing w:after="560"/>
        <w:jc w:val="both"/>
      </w:pPr>
      <w:bookmarkStart w:id="3" w:name="bookmark14"/>
      <w:bookmarkStart w:id="4" w:name="bookmark12"/>
      <w:bookmarkStart w:id="5" w:name="bookmark13"/>
    </w:p>
    <w:p>
      <w:pPr>
        <w:pStyle w:val="Heading#1|1"/>
        <w:keepNext/>
        <w:keepLines/>
        <w:spacing w:after="560"/>
        <w:jc w:val="center"/>
        <w:rPr>
          <w:b/>
          <w:bCs/>
          <w:sz w:val="40"/>
          <w:szCs w:val="40"/>
        </w:rPr>
      </w:pPr>
      <w:r>
        <w:rPr>
          <w:b/>
          <w:bCs/>
          <w:sz w:val="40"/>
          <w:szCs w:val="40"/>
        </w:rPr>
        <w:t xml:space="preserve">第一部分</w:t>
      </w:r>
      <w:r>
        <w:rPr>
          <w:rFonts w:hint="eastAsia"/>
          <w:b/>
          <w:bCs/>
          <w:sz w:val="40"/>
          <w:szCs w:val="40"/>
          <w:lang w:eastAsia="zh-CN"/>
        </w:rPr>
        <w:t xml:space="preserve">：</w:t>
      </w:r>
      <w:r>
        <w:rPr>
          <w:b/>
          <w:sz w:val="40"/>
          <w:u w:color="auto"/>
        </w:rPr>
        <w:t xml:space="preserve">环江毛南族自治县华山林场</w:t>
      </w:r>
      <w:r>
        <w:rPr>
          <w:b/>
          <w:bCs/>
          <w:sz w:val="40"/>
          <w:szCs w:val="40"/>
        </w:rPr>
        <w:t xml:space="preserve">概况</w:t>
      </w:r>
      <w:bookmarkEnd w:id="3"/>
      <w:bookmarkEnd w:id="4"/>
      <w:bookmarkEnd w:id="5"/>
    </w:p>
    <w:p>
      <w:pPr>
        <w:pStyle w:val="Bodytext|2"/>
        <w:spacing w:after="0" w:line="619" w:lineRule="exact"/>
        <w:ind w:firstLine="620"/>
        <w:jc w:val="left"/>
        <w:rPr>
          <w:b/>
          <w:bCs/>
        </w:rPr>
      </w:pPr>
      <w:r>
        <w:rPr>
          <w:rFonts w:hint="eastAsia"/>
          <w:b/>
          <w:bCs/>
          <w:lang w:val="en-US" w:eastAsia="zh-CN"/>
        </w:rPr>
        <w:t xml:space="preserve">一、</w:t>
      </w:r>
      <w:r>
        <w:rPr>
          <w:b/>
          <w:bCs/>
        </w:rPr>
        <w:t xml:space="preserve">主要职责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华山林场场部位于环江毛南族自治县洛阳镇永权村，以国有林场改革为契机，将全面贯彻落实中央、自治区国有林场改革文件精神，按照“五位一体”和生态建设要求，围绕“保护生态、保障职工生活”两大目标，深入实施生态建设发展战略，推动林场发展新模式，实现管护方式创新和监管体制创新。主要主要职能有：1、负责贯彻执行国家有关林业方针政策和法律法规，保护培育森林资源，维护国家生态安全。2、负责制定林场中长期发展规划和年度计划并组织实施。开展自愿调查、林业统计、林业资产核算和森林资源档案管理工作。3、负责管护区域内的森林资源培育保护、野生动植物资源保护、林业有害生物防治工作。4、负责管护区域内的森林防火宣传及森林火灾扑救工作，确保国有森林资源不受损失。5、依据国家和自治区相关管理规定，做好辖区内重点公益林管理工作。6、负责本林场森林资源保护管理情况的考核。负责林场社会事务管理工作，确保林区社会安全稳定。7、承办县委、县政府及上级主管部门交办的其他事项。</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r>
    </w:p>
    <w:p>
      <w:pPr>
        <w:pStyle w:val="Bodytext|1"/>
        <w:spacing w:line="623" w:lineRule="exact"/>
        <w:ind w:left="0" w:firstLine="560" w:leftChars="0" w:firstLineChars="200"/>
        <w:jc w:val="left"/>
        <w:rPr>
          <w:rFonts w:hint="default"/>
          <w:highlight w:val="yellow"/>
          <w:lang w:val="en-US" w:eastAsia="zh-CN"/>
        </w:rPr>
      </w:pPr>
    </w:p>
    <w:p>
      <w:pPr>
        <w:pStyle w:val="Bodytext|2"/>
        <w:tabs>
          <w:tab w:val="left" w:pos="1369"/>
        </w:tabs>
        <w:spacing w:after="0" w:line="623" w:lineRule="exact"/>
        <w:ind w:firstLine="620"/>
        <w:jc w:val="left"/>
        <w:rPr>
          <w:b/>
          <w:bCs/>
        </w:rPr>
      </w:pPr>
      <w:bookmarkStart w:id="6" w:name="bookmark24"/>
      <w:r>
        <w:rPr>
          <w:b/>
          <w:bCs/>
        </w:rPr>
        <w:t xml:space="preserve">二</w:t>
      </w:r>
      <w:bookmarkEnd w:id="6"/>
      <w:r>
        <w:rPr>
          <w:b/>
          <w:bCs/>
        </w:rPr>
        <w:t xml:space="preserve">、</w:t>
      </w:r>
      <w:r>
        <w:rPr>
          <w:b/>
          <w:bCs/>
        </w:rPr>
        <w:tab/>
      </w:r>
      <w:r>
        <w:rPr>
          <w:rFonts w:hint="eastAsia"/>
          <w:b/>
          <w:bCs/>
        </w:rPr>
        <w:t xml:space="preserve">机构设置情况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华山林场内设机构有办公室、营林生产股、森林病虫害管理股、林政管理股、生态公益林管理股、林下经济科技应用与推广管理股、防火办公室、华山分场、廖洞分场、北山分场、大沙坡分场、雅龙分场、久仁分场、城皇分场、后洞分场。</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人员编制总数为106人，其中行政编制0人，事业编制106人，机关后勤服务中心聘用人员控制数0人，实有财政供养人数264人，其中行政在职0人，事业在职106人，离退休人员158人（其中离休0人）。编外在职实有人数0人。</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r>
    </w:p>
    <w:p>
      <w:pPr>
        <w:pStyle w:val="Bodytext|1"/>
        <w:spacing w:line="623" w:lineRule="exact"/>
        <w:ind w:left="0" w:firstLine="560" w:leftChars="0" w:firstLineChars="200"/>
        <w:jc w:val="left"/>
        <w:rPr>
          <w:rFonts w:hint="default"/>
          <w:highlight w:val="yellow"/>
          <w:lang w:val="en-US" w:eastAsia="zh-CN"/>
        </w:rPr>
      </w:pPr>
    </w:p>
    <w:p>
      <w:pPr>
        <w:pStyle w:val="Bodytext|1"/>
        <w:spacing w:line="623" w:lineRule="exact"/>
        <w:ind w:firstLine="1018" w:firstLineChars="0"/>
        <w:jc w:val="left"/>
        <w:rPr>
          <w:rFonts w:hint="eastAsia"/>
          <w:highlight w:val="none"/>
          <w:lang w:val="en-US" w:eastAsia="zh-CN"/>
        </w:rPr>
      </w:pPr>
    </w:p>
    <w:p>
      <w:pPr>
        <w:pStyle w:val="Bodytext|1"/>
        <w:spacing w:line="623" w:lineRule="exact"/>
        <w:ind w:firstLine="1018" w:firstLineChars="0"/>
        <w:jc w:val="left"/>
        <w:rPr>
          <w:rFonts w:hint="eastAsia"/>
          <w:highlight w:val="none"/>
          <w:lang w:val="en-US" w:eastAsia="zh-CN"/>
        </w:rPr>
      </w:pPr>
    </w:p>
    <w:p>
      <w:pPr/>
      <w:r>
        <w:br w:type="page"/>
      </w:r>
    </w:p>
    <w:p>
      <w:pPr>
        <w:pStyle w:val="Heading#1|1"/>
        <w:keepNext/>
        <w:keepLines/>
        <w:spacing w:before="120" w:after="0" w:line="629" w:lineRule="exact"/>
        <w:jc w:val="center"/>
        <w:rPr>
          <w:b/>
          <w:bCs/>
          <w:sz w:val="40"/>
          <w:szCs w:val="40"/>
        </w:rPr>
      </w:pPr>
      <w:bookmarkStart w:id="7" w:name="bookmark68"/>
      <w:bookmarkStart w:id="8" w:name="bookmark69"/>
      <w:bookmarkStart w:id="9" w:name="bookmark70"/>
      <w:bookmarkStart w:id="10" w:name="bookmark28"/>
      <w:bookmarkStart w:id="11" w:name="bookmark27"/>
      <w:bookmarkStart w:id="12" w:name="bookmark26"/>
      <w:r>
        <w:rPr>
          <w:b/>
          <w:bCs/>
          <w:sz w:val="40"/>
          <w:szCs w:val="40"/>
        </w:rPr>
        <w:t xml:space="preserve">第</w:t>
      </w:r>
      <w:r>
        <w:rPr>
          <w:rFonts w:hint="eastAsia"/>
          <w:b/>
          <w:bCs/>
          <w:sz w:val="40"/>
          <w:szCs w:val="40"/>
          <w:lang w:val="en-US" w:eastAsia="zh-CN"/>
        </w:rPr>
        <w:t xml:space="preserve">二</w:t>
      </w:r>
      <w:r>
        <w:rPr>
          <w:b/>
          <w:bCs/>
          <w:sz w:val="40"/>
          <w:szCs w:val="40"/>
        </w:rPr>
        <w:t xml:space="preserve">部分</w:t>
      </w:r>
      <w:r>
        <w:rPr>
          <w:rFonts w:hint="eastAsia"/>
          <w:b/>
          <w:bCs/>
          <w:sz w:val="40"/>
          <w:szCs w:val="40"/>
          <w:lang w:eastAsia="zh-CN"/>
        </w:rPr>
        <w:t xml:space="preserve">：</w:t>
      </w:r>
      <w:bookmarkEnd w:id="7"/>
      <w:bookmarkEnd w:id="8"/>
      <w:bookmarkEnd w:id="9"/>
      <w:r>
        <w:rPr>
          <w:rFonts w:hint="eastAsia"/>
          <w:b/>
          <w:bCs/>
          <w:sz w:val="40"/>
          <w:szCs w:val="40"/>
          <w:lang w:eastAsia="zh-CN"/>
        </w:rPr>
        <w:t xml:space="preserve">环江毛南族自治县华山林场</w:t>
      </w:r>
      <w:r>
        <w:rPr>
          <w:b/>
          <w:sz w:val="40"/>
          <w:u w:color="auto"/>
        </w:rPr>
        <w:t xml:space="preserve">2024</w:t>
      </w:r>
      <w:r>
        <w:rPr>
          <w:b/>
          <w:sz w:val="40"/>
          <w:u w:color="auto"/>
        </w:rPr>
        <w:t xml:space="preserve">年部门预算情况说明</w:t>
      </w:r>
    </w:p>
    <w:p>
      <w:pPr>
        <w:pStyle w:val="Bodytext|2"/>
        <w:tabs>
          <w:tab w:val="left" w:pos="1235"/>
        </w:tabs>
        <w:spacing w:after="0" w:line="624" w:lineRule="exact"/>
        <w:ind w:firstLine="580"/>
        <w:jc w:val="left"/>
        <w:rPr>
          <w:b/>
          <w:bCs/>
        </w:rPr>
      </w:pPr>
      <w:bookmarkStart w:id="13" w:name="bookmark71"/>
      <w:r>
        <w:rPr>
          <w:b/>
          <w:bCs/>
        </w:rPr>
        <w:t xml:space="preserve">一</w:t>
      </w:r>
      <w:bookmarkEnd w:id="13"/>
      <w:r>
        <w:rPr>
          <w:b/>
          <w:bCs/>
        </w:rPr>
        <w:t xml:space="preserve">、</w:t>
      </w:r>
      <w:r>
        <w:rPr>
          <w:b/>
          <w:bCs/>
        </w:rPr>
        <w:tab/>
      </w:r>
      <w:r>
        <w:rPr>
          <w:b/>
          <w:bCs/>
        </w:rPr>
        <w:t xml:space="preserve">部门预算收支总体情况说明</w:t>
      </w:r>
    </w:p>
    <w:p>
      <w:pPr>
        <w:pStyle w:val="Bodytext|1"/>
        <w:spacing w:line="623" w:lineRule="exact"/>
        <w:ind w:left="0" w:firstLine="560" w:leftChars="0" w:firstLineChars="200"/>
        <w:jc w:val="left"/>
        <w:rPr>
          <w:rFonts w:ascii="Times New Roman" w:hAnsi="Times New Roman" w:cs="Times New Roman"/>
          <w:b/>
          <w:bCs/>
          <w:sz w:val="28"/>
          <w:szCs w:val="28"/>
          <w:lang w:val="en-US" w:eastAsia="zh-CN"/>
        </w:rPr>
      </w:pPr>
      <w:r>
        <w:rPr>
          <w:rFonts w:hint="eastAsia"/>
          <w:b w:val="0"/>
          <w:bCs w:val="0"/>
          <w:sz w:val="28"/>
          <w:szCs w:val="28"/>
        </w:rPr>
        <w:t xml:space="preserve">我部门总收入</w:t>
      </w:r>
      <w:r>
        <w:rPr>
          <w:rFonts w:hint="eastAsia"/>
          <w:sz w:val="28"/>
          <w:szCs w:val="28"/>
          <w:lang w:val="en-US" w:eastAsia="zh-CN"/>
        </w:rPr>
        <w:t xml:space="preserve">1716.11</w:t>
      </w:r>
      <w:r>
        <w:rPr>
          <w:rFonts w:hint="eastAsia"/>
          <w:b w:val="0"/>
          <w:bCs w:val="0"/>
          <w:sz w:val="28"/>
          <w:szCs w:val="28"/>
        </w:rPr>
        <w:t xml:space="preserve">万元，总支出</w:t>
      </w:r>
      <w:r>
        <w:rPr>
          <w:rFonts w:hint="eastAsia"/>
          <w:sz w:val="28"/>
          <w:szCs w:val="28"/>
          <w:lang w:val="en-US" w:eastAsia="zh-CN"/>
        </w:rPr>
        <w:t xml:space="preserve">1716.11</w:t>
      </w:r>
      <w:r>
        <w:rPr>
          <w:rFonts w:hint="eastAsia"/>
          <w:b w:val="0"/>
          <w:bCs w:val="0"/>
          <w:sz w:val="28"/>
          <w:szCs w:val="28"/>
        </w:rPr>
        <w:t xml:space="preserve">万元。总收入较2023年度预算数</w:t>
      </w:r>
      <w:r>
        <w:rPr>
          <w:rFonts w:hint="eastAsia"/>
          <w:sz w:val="28"/>
          <w:szCs w:val="28"/>
          <w:lang w:val="en-US" w:eastAsia="zh-CN"/>
        </w:rPr>
        <w:t xml:space="preserve">1449.97</w:t>
      </w:r>
      <w:r>
        <w:rPr>
          <w:rFonts w:hint="eastAsia"/>
          <w:b w:val="0"/>
          <w:bCs w:val="0"/>
          <w:sz w:val="28"/>
          <w:szCs w:val="28"/>
        </w:rPr>
        <w:t xml:space="preserve">万元，</w:t>
      </w:r>
      <w:r>
        <w:rPr>
          <w:rFonts w:hint="eastAsia"/>
          <w:sz w:val="28"/>
          <w:szCs w:val="28"/>
        </w:rPr>
        <w:t xml:space="preserve">增加266.14</w:t>
      </w:r>
      <w:r>
        <w:rPr>
          <w:rFonts w:hint="eastAsia"/>
          <w:b w:val="0"/>
          <w:bCs w:val="0"/>
          <w:sz w:val="28"/>
          <w:szCs w:val="28"/>
        </w:rPr>
        <w:t xml:space="preserve">万元，</w:t>
      </w:r>
      <w:r>
        <w:rPr>
          <w:rFonts w:hint="eastAsia"/>
          <w:sz w:val="28"/>
          <w:szCs w:val="28"/>
        </w:rPr>
        <w:t xml:space="preserve">增长18.35%</w:t>
      </w:r>
      <w:r>
        <w:rPr>
          <w:rFonts w:hint="eastAsia"/>
          <w:b w:val="0"/>
          <w:bCs w:val="0"/>
          <w:sz w:val="28"/>
          <w:szCs w:val="28"/>
        </w:rPr>
        <w:t xml:space="preserve">，主要原因是</w:t>
      </w:r>
      <w:r>
        <w:rPr>
          <w:rFonts w:hint="eastAsia"/>
          <w:highlight w:val="none"/>
          <w:lang w:val="en-US" w:eastAsia="zh-CN"/>
        </w:rPr>
        <w:t xml:space="preserve">人员工资增长</w:t>
      </w:r>
      <w:r>
        <w:rPr>
          <w:rFonts w:hint="eastAsia"/>
          <w:b w:val="0"/>
          <w:bCs w:val="0"/>
          <w:sz w:val="28"/>
          <w:szCs w:val="28"/>
        </w:rPr>
        <w:t xml:space="preserve">。总支出较2023年度预算数</w:t>
      </w:r>
      <w:r>
        <w:rPr>
          <w:rFonts w:hint="eastAsia"/>
          <w:sz w:val="28"/>
          <w:szCs w:val="28"/>
          <w:lang w:val="en-US" w:eastAsia="zh-CN"/>
        </w:rPr>
        <w:t xml:space="preserve">1449.97</w:t>
      </w:r>
      <w:r>
        <w:rPr>
          <w:rFonts w:hint="eastAsia"/>
          <w:b w:val="0"/>
          <w:bCs w:val="0"/>
          <w:sz w:val="28"/>
          <w:szCs w:val="28"/>
        </w:rPr>
        <w:t xml:space="preserve">万元，</w:t>
      </w:r>
      <w:r>
        <w:rPr>
          <w:rFonts w:hint="eastAsia"/>
          <w:sz w:val="28"/>
          <w:szCs w:val="28"/>
        </w:rPr>
        <w:t xml:space="preserve">增加266.14</w:t>
      </w:r>
      <w:r>
        <w:rPr>
          <w:rFonts w:hint="eastAsia"/>
          <w:b w:val="0"/>
          <w:bCs w:val="0"/>
          <w:sz w:val="28"/>
          <w:szCs w:val="28"/>
        </w:rPr>
        <w:t xml:space="preserve">万元，</w:t>
      </w:r>
      <w:r>
        <w:rPr>
          <w:rFonts w:hint="eastAsia"/>
          <w:sz w:val="28"/>
          <w:szCs w:val="28"/>
        </w:rPr>
        <w:t xml:space="preserve">增长18.35%</w:t>
      </w:r>
      <w:r>
        <w:rPr>
          <w:rFonts w:hint="eastAsia"/>
          <w:b w:val="0"/>
          <w:bCs w:val="0"/>
          <w:sz w:val="28"/>
          <w:szCs w:val="28"/>
        </w:rPr>
        <w:t xml:space="preserve">，主要原因是</w:t>
      </w:r>
      <w:r>
        <w:rPr>
          <w:rFonts w:hint="eastAsia"/>
          <w:highlight w:val="none"/>
          <w:lang w:val="en-US" w:eastAsia="zh-CN"/>
        </w:rPr>
        <w:t xml:space="preserve">人员工资增长</w:t>
      </w:r>
      <w:r>
        <w:rPr>
          <w:rFonts w:hint="eastAsia"/>
          <w:b w:val="0"/>
          <w:bCs w:val="0"/>
          <w:sz w:val="28"/>
          <w:szCs w:val="28"/>
        </w:rPr>
        <w:t xml:space="preserve">。</w:t>
      </w:r>
    </w:p>
    <w:p>
      <w:pPr>
        <w:pStyle w:val="Bodytext|2"/>
        <w:tabs>
          <w:tab w:val="left" w:pos="1235"/>
        </w:tabs>
        <w:spacing w:after="0" w:line="624" w:lineRule="exact"/>
        <w:ind w:firstLine="580"/>
        <w:jc w:val="left"/>
        <w:rPr>
          <w:b/>
          <w:bCs/>
          <w:lang w:val="en-US" w:eastAsia="zh-CN"/>
        </w:rPr>
      </w:pPr>
      <w:r>
        <w:rPr>
          <w:rFonts w:hint="eastAsia"/>
          <w:b/>
          <w:bCs/>
          <w:lang w:val="en-US" w:eastAsia="zh-CN"/>
        </w:rPr>
        <w:t xml:space="preserve">二、</w:t>
      </w:r>
      <w:r>
        <w:rPr>
          <w:b/>
          <w:bCs/>
        </w:rPr>
        <w:t xml:space="preserve">部门收入总体情况说明</w:t>
      </w:r>
    </w:p>
    <w:p>
      <w:pPr>
        <w:pStyle w:val="Bodytext|1"/>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757"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6"/>
              </a:graphicData>
            </a:graphic>
          </wp:inline>
        </w:drawing>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u w:color="auto"/>
          <w:lang w:eastAsia="zh-CN"/>
        </w:rPr>
        <w:t xml:space="preserve">2024</w:t>
      </w:r>
      <w:r>
        <w:rPr>
          <w:rFonts w:ascii="宋体" w:eastAsia="宋体" w:hAnsi="宋体" w:cs="宋体" w:hint="eastAsia"/>
          <w:sz w:val="28"/>
          <w:szCs w:val="28"/>
          <w:u w:color="auto"/>
        </w:rPr>
        <w:t xml:space="preserve">年我部门总收入</w:t>
      </w:r>
      <w:r>
        <w:rPr>
          <w:rFonts w:ascii="宋体" w:eastAsia="宋体" w:hAnsi="宋体" w:cs="宋体" w:hint="eastAsia"/>
          <w:sz w:val="28"/>
          <w:szCs w:val="28"/>
          <w:lang w:val="en-US" w:eastAsia="zh-CN"/>
        </w:rPr>
        <w:t xml:space="preserve">1716.11</w:t>
      </w:r>
      <w:r>
        <w:rPr>
          <w:rFonts w:ascii="宋体" w:eastAsia="宋体" w:hAnsi="宋体" w:cs="宋体" w:hint="eastAsia"/>
          <w:sz w:val="28"/>
          <w:szCs w:val="28"/>
          <w:u w:color="auto"/>
        </w:rPr>
        <w:t xml:space="preserve">万元，较2023年度预算数</w:t>
      </w:r>
      <w:r>
        <w:rPr>
          <w:rFonts w:ascii="宋体" w:eastAsia="宋体" w:hAnsi="宋体" w:cs="宋体" w:hint="eastAsia"/>
          <w:sz w:val="28"/>
          <w:szCs w:val="28"/>
          <w:lang w:val="en-US" w:eastAsia="zh-CN"/>
        </w:rPr>
        <w:t xml:space="preserve">1449.97</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增加266.14</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增长18.35%</w:t>
      </w:r>
      <w:r>
        <w:rPr>
          <w:rFonts w:ascii="宋体" w:eastAsia="宋体" w:hAnsi="宋体" w:cs="宋体" w:hint="eastAsia"/>
          <w:sz w:val="28"/>
          <w:szCs w:val="28"/>
          <w:u w:color="auto"/>
        </w:rPr>
        <w:t xml:space="preserve">，主要原因是</w:t>
      </w:r>
      <w:r>
        <w:rPr>
          <w:rFonts w:hint="eastAsia"/>
          <w:highlight w:val="none"/>
          <w:lang w:val="en-US" w:eastAsia="zh-CN"/>
        </w:rPr>
        <w:t xml:space="preserve">人员工资增长</w:t>
      </w:r>
      <w:r>
        <w:rPr>
          <w:rFonts w:ascii="宋体" w:eastAsia="宋体" w:hAnsi="宋体" w:cs="宋体" w:hint="eastAsia"/>
          <w:sz w:val="28"/>
          <w:szCs w:val="28"/>
          <w:u w:color="auto"/>
        </w:rPr>
        <w:t xml:space="preserve">。</w:t>
      </w:r>
    </w:p>
    <w:p>
      <w:pPr>
        <w:pStyle w:val="Bodytext|2"/>
        <w:tabs>
          <w:tab w:val="left" w:pos="1235"/>
        </w:tabs>
        <w:spacing w:after="0" w:line="624" w:lineRule="exact"/>
        <w:ind w:firstLine="580"/>
        <w:jc w:val="left"/>
        <w:rPr>
          <w:b/>
          <w:bCs/>
        </w:rPr>
      </w:pPr>
      <w:r>
        <w:rPr>
          <w:rFonts w:hint="eastAsia"/>
          <w:b/>
          <w:bCs/>
          <w:lang w:val="en-US" w:eastAsia="zh-CN"/>
        </w:rPr>
        <w:t xml:space="preserve">三、</w:t>
      </w:r>
      <w:r>
        <w:rPr>
          <w:b/>
          <w:bCs/>
        </w:rPr>
        <w:t xml:space="preserve">部门支出总体情况说明</w:t>
      </w:r>
    </w:p>
    <w:p>
      <w:pPr>
        <w:pStyle w:val="Bodytext|1"/>
        <w:spacing w:line="240" w:lineRule="auto"/>
        <w:ind w:firstLine="0"/>
        <w:jc w:val="left"/>
        <w:rPr>
          <w:rFonts w:ascii="Times New Roman" w:eastAsia="Times New Roman" w:hAnsi="Times New Roman" w:cs="Times New Roman"/>
          <w:sz w:val="30"/>
          <w:szCs w:val="30"/>
        </w:rPr>
      </w:pPr>
      <w:r>
        <w:rPr>
          <w:rFonts w:ascii="Times New Roman" w:eastAsia="Times New Roman" w:hAnsi="Times New Roman" w:cs="Times New Roman"/>
          <w:sz w:val="30"/>
          <w:szCs w:val="30"/>
        </w:rPr>
        <w:drawing>
          <wp:inline distT="0" distB="0" distL="114300" distR="114300">
            <wp:extent cx="5080000" cy="3810000"/>
            <wp:effectExtent l="4445" t="4445" r="20955" b="14605"/>
            <wp:docPr id="758"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7"/>
              </a:graphicData>
            </a:graphic>
          </wp:inline>
        </w:drawing>
      </w:r>
    </w:p>
    <w:p>
      <w:pPr>
        <w:pStyle w:val="Bodytext|1"/>
        <w:spacing w:line="623" w:lineRule="exact"/>
        <w:ind w:left="0" w:firstLine="560" w:leftChars="0" w:firstLineChars="200"/>
        <w:jc w:val="left"/>
        <w:rPr>
          <w:rFonts w:ascii="Times New Roman" w:hAnsi="Times New Roman" w:cs="Times New Roman" w:hint="eastAsia"/>
          <w:sz w:val="30"/>
          <w:szCs w:val="30"/>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年我部门总支出</w:t>
      </w:r>
      <w:r>
        <w:rPr>
          <w:rFonts w:ascii="宋体" w:eastAsia="宋体" w:hAnsi="宋体" w:cs="宋体" w:hint="eastAsia"/>
          <w:sz w:val="28"/>
          <w:szCs w:val="28"/>
          <w:lang w:val="en-US" w:eastAsia="zh-CN"/>
        </w:rPr>
        <w:t xml:space="preserve">1716.11</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1449.97</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增加266.14</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增长18.35%</w:t>
      </w:r>
      <w:r>
        <w:rPr>
          <w:rFonts w:ascii="宋体" w:eastAsia="宋体" w:hAnsi="宋体" w:cs="宋体" w:hint="eastAsia"/>
          <w:sz w:val="28"/>
          <w:szCs w:val="28"/>
          <w:lang w:eastAsia="zh-CN"/>
        </w:rPr>
        <w:t xml:space="preserve">，主要原因是</w:t>
      </w:r>
      <w:r>
        <w:rPr>
          <w:rFonts w:hint="eastAsia"/>
          <w:highlight w:val="none"/>
          <w:lang w:val="en-US" w:eastAsia="zh-CN"/>
        </w:rPr>
        <w:t xml:space="preserve">人员工资增长</w:t>
      </w:r>
      <w:r>
        <w:rPr>
          <w:rFonts w:ascii="Times New Roman" w:hAnsi="Times New Roman" w:cs="Times New Roman" w:hint="eastAsia"/>
          <w:sz w:val="30"/>
          <w:szCs w:val="30"/>
          <w:lang w:eastAsia="zh-CN"/>
        </w:rPr>
        <w:t xml:space="preserve">。主要包括：</w:t>
      </w:r>
      <w:r>
        <w:rPr>
          <w:rFonts w:hint="eastAsia"/>
          <w:highlight w:val="none"/>
          <w:lang w:val="en-US" w:eastAsia="zh-CN"/>
        </w:rPr>
        <w:t xml:space="preserve">一般公共服务支出：13.61万元，社会保障和就业支出：161.56万元，农林水支出：1401.16万元，住房保障支出：139.78万元</w:t>
      </w:r>
      <w:r>
        <w:rPr>
          <w:rFonts w:ascii="Times New Roman" w:hAnsi="Times New Roman" w:cs="Times New Roman" w:hint="eastAsia"/>
          <w:sz w:val="30"/>
          <w:szCs w:val="30"/>
          <w:lang w:eastAsia="zh-CN"/>
        </w:rPr>
        <w:t xml:space="preserve">。</w:t>
      </w:r>
    </w:p>
    <w:p>
      <w:pPr>
        <w:pStyle w:val="Bodytext|1"/>
        <w:spacing w:after="140" w:line="240" w:lineRule="auto"/>
        <w:ind w:firstLine="0"/>
        <w:jc w:val="left"/>
      </w:pPr>
      <w:r>
        <w:t xml:space="preserve">（一）按支出功能分类科目划分，共分为</w:t>
      </w:r>
      <w:r>
        <w:rPr>
          <w:rFonts w:hint="eastAsia"/>
          <w:lang w:val="en-US" w:eastAsia="zh-CN"/>
        </w:rPr>
        <w:t xml:space="preserve">4</w:t>
      </w:r>
      <w:r>
        <w:t xml:space="preserve">类，其中:</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1</w:t>
      </w:r>
      <w:r>
        <w:rPr>
          <w:u w:color="auto"/>
        </w:rPr>
        <w:t xml:space="preserve">)</w:t>
      </w:r>
      <w:r>
        <w:rPr>
          <w:u w:color="auto"/>
        </w:rPr>
        <w:t xml:space="preserve">农林水支出</w:t>
      </w:r>
      <w:r>
        <w:rPr>
          <w:rFonts w:hint="eastAsia"/>
          <w:lang w:val="en-US" w:eastAsia="zh-CN"/>
        </w:rPr>
        <w:t xml:space="preserve">1401.16</w:t>
      </w:r>
      <w:r>
        <w:rPr>
          <w:rFonts w:hint="eastAsia"/>
        </w:rPr>
        <w:t xml:space="preserve">万元，占支出总预算</w:t>
      </w:r>
      <w:r>
        <w:rPr>
          <w:rFonts w:hint="eastAsia"/>
          <w:lang w:val="en-US" w:eastAsia="zh-CN"/>
        </w:rPr>
        <w:t xml:space="preserve">81.65%</w:t>
      </w:r>
      <w:r>
        <w:rPr>
          <w:rFonts w:hint="eastAsia"/>
        </w:rPr>
        <w:t xml:space="preserve">,比上年</w:t>
      </w:r>
      <w:r>
        <w:rPr>
          <w:rFonts w:hint="eastAsia"/>
          <w:lang w:val="en-US" w:eastAsia="zh-CN"/>
        </w:rPr>
        <w:t xml:space="preserve">增长267.76</w:t>
      </w:r>
      <w:r>
        <w:rPr>
          <w:rFonts w:hint="eastAsia"/>
        </w:rPr>
        <w:t xml:space="preserve">万元，</w:t>
      </w:r>
      <w:r>
        <w:rPr>
          <w:rFonts w:hint="eastAsia"/>
          <w:lang w:val="en-US" w:eastAsia="zh-CN"/>
        </w:rPr>
        <w:t xml:space="preserve">增长23.62%</w:t>
      </w:r>
      <w:r>
        <w:rPr>
          <w:rFonts w:hint="eastAsia"/>
        </w:rPr>
        <w:t xml:space="preserve">,</w:t>
      </w:r>
      <w:r>
        <w:rPr>
          <w:rFonts w:hint="eastAsia"/>
          <w:highlight w:val="none"/>
        </w:rPr>
        <w:t xml:space="preserve">主要原因是：</w:t>
      </w:r>
      <w:r>
        <w:rPr>
          <w:rFonts w:hint="eastAsia"/>
          <w:highlight w:val="none"/>
          <w:lang w:val="en-US" w:eastAsia="zh-CN"/>
        </w:rPr>
        <w:t xml:space="preserve">人员工资增长</w:t>
      </w:r>
      <w:r>
        <w:rPr>
          <w:rFonts w:hint="eastAsia"/>
          <w:highlight w:val="none"/>
        </w:rPr>
        <w:t xml:space="preserve">。</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2</w:t>
      </w:r>
      <w:r>
        <w:rPr>
          <w:u w:color="auto"/>
        </w:rPr>
        <w:t xml:space="preserve">)</w:t>
      </w:r>
      <w:r>
        <w:rPr>
          <w:u w:color="auto"/>
        </w:rPr>
        <w:t xml:space="preserve">社会保障和就业支出</w:t>
      </w:r>
      <w:r>
        <w:rPr>
          <w:rFonts w:hint="eastAsia"/>
          <w:lang w:val="en-US" w:eastAsia="zh-CN"/>
        </w:rPr>
        <w:t xml:space="preserve">161.56</w:t>
      </w:r>
      <w:r>
        <w:rPr>
          <w:rFonts w:hint="eastAsia"/>
        </w:rPr>
        <w:t xml:space="preserve">万元，占支出总预算</w:t>
      </w:r>
      <w:r>
        <w:rPr>
          <w:rFonts w:hint="eastAsia"/>
          <w:lang w:val="en-US" w:eastAsia="zh-CN"/>
        </w:rPr>
        <w:t xml:space="preserve">9.41%</w:t>
      </w:r>
      <w:r>
        <w:rPr>
          <w:rFonts w:hint="eastAsia"/>
        </w:rPr>
        <w:t xml:space="preserve">,比上年</w:t>
      </w:r>
      <w:r>
        <w:rPr>
          <w:rFonts w:hint="eastAsia"/>
          <w:lang w:val="en-US" w:eastAsia="zh-CN"/>
        </w:rPr>
        <w:t xml:space="preserve">减少7.28</w:t>
      </w:r>
      <w:r>
        <w:rPr>
          <w:rFonts w:hint="eastAsia"/>
        </w:rPr>
        <w:t xml:space="preserve">万元，</w:t>
      </w:r>
      <w:r>
        <w:rPr>
          <w:rFonts w:hint="eastAsia"/>
          <w:lang w:val="en-US" w:eastAsia="zh-CN"/>
        </w:rPr>
        <w:t xml:space="preserve">减少4.31%</w:t>
      </w:r>
      <w:r>
        <w:rPr>
          <w:rFonts w:hint="eastAsia"/>
        </w:rPr>
        <w:t xml:space="preserve">,</w:t>
      </w:r>
      <w:r>
        <w:rPr>
          <w:rFonts w:hint="eastAsia"/>
          <w:highlight w:val="none"/>
        </w:rPr>
        <w:t xml:space="preserve">主要原因是：</w:t>
      </w:r>
      <w:r>
        <w:rPr>
          <w:rFonts w:hint="eastAsia"/>
          <w:highlight w:val="none"/>
          <w:lang w:val="en-US" w:eastAsia="zh-CN"/>
        </w:rPr>
        <w:t xml:space="preserve">人员减少</w:t>
      </w:r>
      <w:r>
        <w:rPr>
          <w:rFonts w:hint="eastAsia"/>
          <w:highlight w:val="none"/>
        </w:rPr>
        <w:t xml:space="preserve">。</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3</w:t>
      </w:r>
      <w:r>
        <w:rPr>
          <w:u w:color="auto"/>
        </w:rPr>
        <w:t xml:space="preserve">)</w:t>
      </w:r>
      <w:r>
        <w:rPr>
          <w:u w:color="auto"/>
        </w:rPr>
        <w:t xml:space="preserve">住房保障支出</w:t>
      </w:r>
      <w:r>
        <w:rPr>
          <w:rFonts w:hint="eastAsia"/>
          <w:lang w:val="en-US" w:eastAsia="zh-CN"/>
        </w:rPr>
        <w:t xml:space="preserve">139.78</w:t>
      </w:r>
      <w:r>
        <w:rPr>
          <w:rFonts w:hint="eastAsia"/>
        </w:rPr>
        <w:t xml:space="preserve">万元，占支出总预算</w:t>
      </w:r>
      <w:r>
        <w:rPr>
          <w:rFonts w:hint="eastAsia"/>
          <w:lang w:val="en-US" w:eastAsia="zh-CN"/>
        </w:rPr>
        <w:t xml:space="preserve">8.15%</w:t>
      </w:r>
      <w:r>
        <w:rPr>
          <w:rFonts w:hint="eastAsia"/>
        </w:rPr>
        <w:t xml:space="preserve">,比上年</w:t>
      </w:r>
      <w:r>
        <w:rPr>
          <w:rFonts w:hint="eastAsia"/>
          <w:lang w:val="en-US" w:eastAsia="zh-CN"/>
        </w:rPr>
        <w:t xml:space="preserve">增长13.15</w:t>
      </w:r>
      <w:r>
        <w:rPr>
          <w:rFonts w:hint="eastAsia"/>
        </w:rPr>
        <w:t xml:space="preserve">万元，</w:t>
      </w:r>
      <w:r>
        <w:rPr>
          <w:rFonts w:hint="eastAsia"/>
          <w:lang w:val="en-US" w:eastAsia="zh-CN"/>
        </w:rPr>
        <w:t xml:space="preserve">增长10.38%</w:t>
      </w:r>
      <w:r>
        <w:rPr>
          <w:rFonts w:hint="eastAsia"/>
        </w:rPr>
        <w:t xml:space="preserve">,</w:t>
      </w:r>
      <w:r>
        <w:rPr>
          <w:rFonts w:hint="eastAsia"/>
          <w:highlight w:val="none"/>
        </w:rPr>
        <w:t xml:space="preserve">主要原因是：</w:t>
      </w:r>
      <w:r>
        <w:rPr>
          <w:rFonts w:hint="eastAsia"/>
          <w:highlight w:val="none"/>
          <w:lang w:val="en-US" w:eastAsia="zh-CN"/>
        </w:rPr>
        <w:t xml:space="preserve">公积金基数调整增加</w:t>
      </w:r>
      <w:r>
        <w:rPr>
          <w:rFonts w:hint="eastAsia"/>
          <w:highlight w:val="none"/>
        </w:rPr>
        <w:t xml:space="preserve">。</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4</w:t>
      </w:r>
      <w:r>
        <w:rPr>
          <w:u w:color="auto"/>
        </w:rPr>
        <w:t xml:space="preserve">)</w:t>
      </w:r>
      <w:r>
        <w:rPr>
          <w:u w:color="auto"/>
        </w:rPr>
        <w:t xml:space="preserve">一般公共服务支出</w:t>
      </w:r>
      <w:r>
        <w:rPr>
          <w:rFonts w:hint="eastAsia"/>
          <w:lang w:val="en-US" w:eastAsia="zh-CN"/>
        </w:rPr>
        <w:t xml:space="preserve">13.61</w:t>
      </w:r>
      <w:r>
        <w:rPr>
          <w:rFonts w:hint="eastAsia"/>
        </w:rPr>
        <w:t xml:space="preserve">万元，占支出总预算</w:t>
      </w:r>
      <w:r>
        <w:rPr>
          <w:rFonts w:hint="eastAsia"/>
          <w:lang w:val="en-US" w:eastAsia="zh-CN"/>
        </w:rPr>
        <w:t xml:space="preserve">0.79%</w:t>
      </w:r>
      <w:r>
        <w:rPr>
          <w:rFonts w:hint="eastAsia"/>
        </w:rPr>
        <w:t xml:space="preserve">,比上年</w:t>
      </w:r>
      <w:r>
        <w:rPr>
          <w:rFonts w:hint="eastAsia"/>
          <w:lang w:val="en-US" w:eastAsia="zh-CN"/>
        </w:rPr>
        <w:t xml:space="preserve">减少7.50</w:t>
      </w:r>
      <w:r>
        <w:rPr>
          <w:rFonts w:hint="eastAsia"/>
        </w:rPr>
        <w:t xml:space="preserve">万元，</w:t>
      </w:r>
      <w:r>
        <w:rPr>
          <w:rFonts w:hint="eastAsia"/>
          <w:lang w:val="en-US" w:eastAsia="zh-CN"/>
        </w:rPr>
        <w:t xml:space="preserve">减少35.53%</w:t>
      </w:r>
      <w:r>
        <w:rPr>
          <w:rFonts w:hint="eastAsia"/>
        </w:rPr>
        <w:t xml:space="preserve">,</w:t>
      </w:r>
      <w:r>
        <w:rPr>
          <w:rFonts w:hint="eastAsia"/>
          <w:highlight w:val="none"/>
        </w:rPr>
        <w:t xml:space="preserve">主要原因是：</w:t>
      </w:r>
      <w:r>
        <w:rPr>
          <w:rFonts w:hint="eastAsia"/>
          <w:highlight w:val="none"/>
          <w:lang w:val="en-US" w:eastAsia="zh-CN"/>
        </w:rPr>
        <w:t xml:space="preserve">工会经费减少</w:t>
      </w:r>
      <w:r>
        <w:rPr>
          <w:rFonts w:hint="eastAsia"/>
          <w:highlight w:val="none"/>
        </w:rPr>
        <w:t xml:space="preserve">。</w:t>
      </w:r>
    </w:p>
    <w:p>
      <w:pPr>
        <w:pStyle w:val="Bodytext|1"/>
        <w:spacing w:line="635" w:lineRule="exact"/>
        <w:ind w:firstLine="740"/>
        <w:jc w:val="left"/>
      </w:pPr>
      <w:r>
        <w:t xml:space="preserve">(二)按支出结构分类划分，分为基本支出预算和项目支出预算。</w:t>
      </w:r>
    </w:p>
    <w:p>
      <w:pPr>
        <w:pStyle w:val="Bodytext|1"/>
        <w:spacing w:line="635" w:lineRule="exact"/>
        <w:ind w:firstLine="600"/>
        <w:jc w:val="left"/>
      </w:pPr>
      <w:r>
        <w:rPr>
          <w:rFonts w:ascii="Times New Roman" w:eastAsia="Times New Roman" w:hAnsi="Times New Roman" w:cs="Times New Roman"/>
          <w:sz w:val="30"/>
          <w:szCs w:val="30"/>
        </w:rPr>
        <w:t xml:space="preserve">1</w:t>
      </w:r>
      <w:r>
        <w:t xml:space="preserve">.基本支出预算。</w:t>
      </w:r>
    </w:p>
    <w:p>
      <w:pPr>
        <w:pStyle w:val="Bodytext|1"/>
        <w:spacing w:line="619" w:lineRule="exact"/>
        <w:ind w:firstLine="600"/>
        <w:jc w:val="left"/>
        <w:rPr>
          <w:rFonts w:hint="eastAsia"/>
          <w:lang w:val="en-US" w:eastAsia="zh-CN"/>
        </w:rPr>
      </w:pPr>
      <w:r>
        <w:rPr>
          <w:rFonts w:hint="eastAsia"/>
        </w:rPr>
        <w:t xml:space="preserve">基本支出预算</w:t>
      </w:r>
      <w:r>
        <w:rPr>
          <w:rFonts w:hint="eastAsia"/>
          <w:lang w:val="en-US" w:eastAsia="zh-CN"/>
        </w:rPr>
        <w:t xml:space="preserve">1532.31</w:t>
      </w:r>
      <w:r>
        <w:rPr>
          <w:rFonts w:hint="eastAsia"/>
        </w:rPr>
        <w:t xml:space="preserve">万元，占支出预算</w:t>
      </w:r>
      <w:r>
        <w:rPr>
          <w:u w:color="auto"/>
        </w:rPr>
        <w:t xml:space="preserve">89.29%</w:t>
      </w:r>
      <w:r>
        <w:rPr>
          <w:u w:color="auto"/>
        </w:rPr>
        <w:t xml:space="preserve">,比上年</w:t>
      </w:r>
      <w:r>
        <w:rPr>
          <w:u w:color="auto"/>
        </w:rPr>
        <w:t xml:space="preserve">增长117.56</w:t>
      </w:r>
      <w:r>
        <w:rPr>
          <w:u w:color="auto"/>
        </w:rPr>
        <w:t xml:space="preserve">万元，</w:t>
      </w:r>
      <w:r>
        <w:rPr>
          <w:u w:color="auto"/>
        </w:rPr>
        <w:t xml:space="preserve">增长8.31%</w:t>
      </w:r>
      <w:r>
        <w:t xml:space="preserve">。</w:t>
      </w:r>
      <w:r>
        <w:rPr>
          <w:rFonts w:hint="eastAsia"/>
          <w:lang w:val="en-US" w:eastAsia="zh-CN"/>
        </w:rPr>
        <w:t xml:space="preserve">其中：</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40.61</w:t>
      </w:r>
      <w:r>
        <w:rPr>
          <w:rFonts w:ascii="宋体" w:eastAsia="宋体" w:hAnsi="宋体" w:cs="宋体" w:hint="eastAsia"/>
          <w:sz w:val="28"/>
          <w:szCs w:val="28"/>
        </w:rPr>
        <w:t xml:space="preserve">万</w:t>
      </w:r>
      <w:r>
        <w:rPr>
          <w:rFonts w:ascii="宋体" w:eastAsia="宋体" w:hAnsi="宋体" w:cs="宋体"/>
          <w:sz w:val="28"/>
          <w:szCs w:val="28"/>
        </w:rPr>
        <w:t xml:space="preserve">元，占基本支出总预算</w:t>
      </w:r>
      <w:r>
        <w:rPr>
          <w:rFonts w:ascii="宋体" w:eastAsia="宋体" w:hAnsi="宋体" w:cs="宋体" w:hint="eastAsia"/>
          <w:sz w:val="28"/>
          <w:szCs w:val="28"/>
          <w:lang w:val="en-US" w:eastAsia="zh-CN"/>
        </w:rPr>
        <w:t xml:space="preserve">2.65%</w:t>
      </w:r>
      <w:r>
        <w:rPr>
          <w:rFonts w:hint="eastAsia"/>
        </w:rPr>
        <w:t xml:space="preserve">,</w:t>
      </w:r>
      <w:r>
        <w:t xml:space="preserve">比上年</w:t>
      </w:r>
      <w:r>
        <w:rPr>
          <w:rFonts w:hint="eastAsia"/>
        </w:rPr>
        <w:t xml:space="preserve">减少8.25</w:t>
      </w:r>
      <w:r>
        <w:t xml:space="preserve">万元，</w:t>
      </w:r>
      <w:r>
        <w:rPr>
          <w:rFonts w:hint="eastAsia"/>
        </w:rPr>
        <w:t xml:space="preserve">减少16.88%</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工会经费减少，公用经费减少</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1321.06</w:t>
      </w:r>
      <w:r>
        <w:rPr>
          <w:rFonts w:ascii="宋体" w:eastAsia="宋体" w:hAnsi="宋体" w:cs="宋体" w:hint="eastAsia"/>
          <w:sz w:val="28"/>
          <w:szCs w:val="28"/>
        </w:rPr>
        <w:t xml:space="preserve">万</w:t>
      </w:r>
      <w:r>
        <w:rPr>
          <w:rFonts w:ascii="宋体" w:eastAsia="宋体" w:hAnsi="宋体" w:cs="宋体"/>
          <w:sz w:val="28"/>
          <w:szCs w:val="28"/>
        </w:rPr>
        <w:t xml:space="preserve">元，占基本支出总预算</w:t>
      </w:r>
      <w:r>
        <w:rPr>
          <w:rFonts w:ascii="宋体" w:eastAsia="宋体" w:hAnsi="宋体" w:cs="宋体" w:hint="eastAsia"/>
          <w:sz w:val="28"/>
          <w:szCs w:val="28"/>
          <w:lang w:val="en-US" w:eastAsia="zh-CN"/>
        </w:rPr>
        <w:t xml:space="preserve">86.21%</w:t>
      </w:r>
      <w:r>
        <w:rPr>
          <w:rFonts w:hint="eastAsia"/>
        </w:rPr>
        <w:t xml:space="preserve">,</w:t>
      </w:r>
      <w:r>
        <w:t xml:space="preserve">比上年</w:t>
      </w:r>
      <w:r>
        <w:rPr>
          <w:rFonts w:hint="eastAsia"/>
        </w:rPr>
        <w:t xml:space="preserve">增长61.25</w:t>
      </w:r>
      <w:r>
        <w:t xml:space="preserve">万元，</w:t>
      </w:r>
      <w:r>
        <w:rPr>
          <w:rFonts w:hint="eastAsia"/>
        </w:rPr>
        <w:t xml:space="preserve">增长4.86%</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人员工资增长</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170.64</w:t>
      </w:r>
      <w:r>
        <w:rPr>
          <w:rFonts w:ascii="宋体" w:eastAsia="宋体" w:hAnsi="宋体" w:cs="宋体" w:hint="eastAsia"/>
          <w:sz w:val="28"/>
          <w:szCs w:val="28"/>
        </w:rPr>
        <w:t xml:space="preserve">万</w:t>
      </w:r>
      <w:r>
        <w:rPr>
          <w:rFonts w:ascii="宋体" w:eastAsia="宋体" w:hAnsi="宋体" w:cs="宋体"/>
          <w:sz w:val="28"/>
          <w:szCs w:val="28"/>
        </w:rPr>
        <w:t xml:space="preserve">元，占基本支出总预算</w:t>
      </w:r>
      <w:r>
        <w:rPr>
          <w:rFonts w:ascii="宋体" w:eastAsia="宋体" w:hAnsi="宋体" w:cs="宋体" w:hint="eastAsia"/>
          <w:sz w:val="28"/>
          <w:szCs w:val="28"/>
          <w:lang w:val="en-US" w:eastAsia="zh-CN"/>
        </w:rPr>
        <w:t xml:space="preserve">11.14%</w:t>
      </w:r>
      <w:r>
        <w:rPr>
          <w:rFonts w:hint="eastAsia"/>
        </w:rPr>
        <w:t xml:space="preserve">,</w:t>
      </w:r>
      <w:r>
        <w:t xml:space="preserve">比上年</w:t>
      </w:r>
      <w:r>
        <w:rPr>
          <w:rFonts w:hint="eastAsia"/>
        </w:rPr>
        <w:t xml:space="preserve">增长64.55</w:t>
      </w:r>
      <w:r>
        <w:t xml:space="preserve">万元，</w:t>
      </w:r>
      <w:r>
        <w:rPr>
          <w:rFonts w:hint="eastAsia"/>
        </w:rPr>
        <w:t xml:space="preserve">增长60.84%</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生活补助增加</w:t>
      </w:r>
      <w:r>
        <w:rPr>
          <w:rFonts w:hint="eastAsia"/>
          <w:highlight w:val="none"/>
          <w:lang w:val="en-US" w:eastAsia="zh-CN"/>
        </w:rPr>
        <w:t xml:space="preserve">。</w:t>
      </w:r>
    </w:p>
    <w:p>
      <w:pPr>
        <w:pStyle w:val="Bodytext|1"/>
        <w:numPr>
          <w:ilvl w:val="0"/>
          <w:numId w:val="3"/>
        </w:numPr>
        <w:spacing w:line="614" w:lineRule="exact"/>
        <w:ind w:firstLine="600"/>
        <w:jc w:val="left"/>
      </w:pPr>
      <w:r>
        <w:t xml:space="preserve">项目支出预算。</w:t>
      </w:r>
    </w:p>
    <w:p>
      <w:pPr>
        <w:pStyle w:val="Bodytext|1"/>
        <w:spacing w:line="619" w:lineRule="exact"/>
        <w:ind w:firstLine="600"/>
        <w:jc w:val="left"/>
        <w:rPr>
          <w:rFonts w:hint="eastAsia"/>
          <w:lang w:val="en-US" w:eastAsia="zh-CN"/>
        </w:rPr>
      </w:pPr>
      <w:r>
        <w:rPr>
          <w:rFonts w:hint="eastAsia"/>
        </w:rPr>
        <w:t xml:space="preserve">项目支出预算</w:t>
      </w:r>
      <w:r>
        <w:rPr>
          <w:rFonts w:hint="eastAsia"/>
          <w:lang w:val="en-US" w:eastAsia="zh-CN"/>
        </w:rPr>
        <w:t xml:space="preserve">183.80</w:t>
      </w:r>
      <w:r>
        <w:rPr>
          <w:rFonts w:hint="eastAsia"/>
        </w:rPr>
        <w:t xml:space="preserve">万元，占支出预算</w:t>
      </w:r>
      <w:r>
        <w:rPr>
          <w:u w:color="auto"/>
        </w:rPr>
        <w:t xml:space="preserve">10.71%</w:t>
      </w:r>
      <w:r>
        <w:rPr>
          <w:rFonts w:hint="eastAsia"/>
        </w:rPr>
        <w:t xml:space="preserve">,比上年</w:t>
      </w:r>
      <w:r>
        <w:rPr>
          <w:u w:color="auto"/>
        </w:rPr>
        <w:t xml:space="preserve">增长148.58</w:t>
      </w:r>
      <w:r>
        <w:rPr>
          <w:rFonts w:hint="eastAsia"/>
        </w:rPr>
        <w:t xml:space="preserve">万元，</w:t>
      </w:r>
      <w:r>
        <w:rPr>
          <w:u w:color="auto"/>
        </w:rPr>
        <w:t xml:space="preserve">增长421.86%</w:t>
      </w:r>
      <w:r>
        <w:t xml:space="preserve">。</w:t>
      </w:r>
      <w:r>
        <w:rPr>
          <w:rFonts w:hint="eastAsia"/>
          <w:lang w:val="en-US" w:eastAsia="zh-CN"/>
        </w:rPr>
        <w:t xml:space="preserve">其中：</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134.00</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项目</w:t>
      </w:r>
      <w:r>
        <w:rPr>
          <w:rFonts w:ascii="宋体" w:eastAsia="宋体" w:hAnsi="宋体" w:cs="宋体"/>
          <w:sz w:val="28"/>
          <w:szCs w:val="28"/>
        </w:rPr>
        <w:t xml:space="preserve">支出总预算</w:t>
      </w:r>
      <w:r>
        <w:rPr>
          <w:rFonts w:ascii="宋体" w:eastAsia="宋体" w:hAnsi="宋体" w:cs="宋体" w:hint="eastAsia"/>
          <w:sz w:val="28"/>
          <w:szCs w:val="28"/>
          <w:lang w:val="en-US" w:eastAsia="zh-CN"/>
        </w:rPr>
        <w:t xml:space="preserve">72.91%</w:t>
      </w:r>
      <w:r>
        <w:t xml:space="preserve">,比上年</w:t>
      </w:r>
      <w:r>
        <w:rPr>
          <w:rFonts w:hint="eastAsia"/>
        </w:rPr>
        <w:t xml:space="preserve">增长98.78</w:t>
      </w:r>
      <w:r>
        <w:t xml:space="preserve">万元，</w:t>
      </w:r>
      <w:r>
        <w:rPr>
          <w:rFonts w:hint="eastAsia"/>
        </w:rPr>
        <w:t xml:space="preserve">增长280.47%</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上年度项目经费结转</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资本性支出</w:t>
      </w:r>
      <w:r>
        <w:rPr>
          <w:rFonts w:ascii="宋体" w:eastAsia="宋体" w:hAnsi="宋体" w:cs="宋体" w:hint="eastAsia"/>
          <w:sz w:val="28"/>
          <w:szCs w:val="28"/>
          <w:lang w:val="en-US" w:eastAsia="zh-CN"/>
        </w:rPr>
        <w:t xml:space="preserve">49.80</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项目</w:t>
      </w:r>
      <w:r>
        <w:rPr>
          <w:rFonts w:ascii="宋体" w:eastAsia="宋体" w:hAnsi="宋体" w:cs="宋体"/>
          <w:sz w:val="28"/>
          <w:szCs w:val="28"/>
        </w:rPr>
        <w:t xml:space="preserve">支出总预算</w:t>
      </w:r>
      <w:r>
        <w:rPr>
          <w:rFonts w:ascii="宋体" w:eastAsia="宋体" w:hAnsi="宋体" w:cs="宋体" w:hint="eastAsia"/>
          <w:sz w:val="28"/>
          <w:szCs w:val="28"/>
          <w:lang w:val="en-US" w:eastAsia="zh-CN"/>
        </w:rPr>
        <w:t xml:space="preserve">27.09%</w:t>
      </w:r>
      <w:r>
        <w:t xml:space="preserve">,比上年</w:t>
      </w:r>
      <w:r>
        <w:rPr>
          <w:rFonts w:hint="eastAsia"/>
        </w:rPr>
        <w:t xml:space="preserve">增长49.80</w:t>
      </w:r>
      <w:r>
        <w:t xml:space="preserve">万元，</w:t>
      </w:r>
      <w:r>
        <w:rPr>
          <w:rFonts w:hint="eastAsia"/>
        </w:rPr>
        <w:t xml:space="preserve">增长100%</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项目支出增加</w:t>
      </w:r>
      <w:r>
        <w:rPr>
          <w:rFonts w:hint="eastAsia"/>
          <w:highlight w:val="none"/>
          <w:lang w:val="en-US" w:eastAsia="zh-CN"/>
        </w:rPr>
        <w:t xml:space="preserve">。</w:t>
      </w:r>
    </w:p>
    <w:p>
      <w:pPr>
        <w:pStyle w:val="Bodytext|2"/>
        <w:numPr>
          <w:ilvl w:val="0"/>
          <w:numId w:val="0"/>
        </w:numPr>
        <w:tabs>
          <w:tab w:val="left" w:pos="1238"/>
        </w:tabs>
        <w:spacing w:after="0" w:line="625" w:lineRule="exact"/>
        <w:jc w:val="left"/>
        <w:rPr>
          <w:b/>
          <w:bCs/>
        </w:rPr>
      </w:pPr>
    </w:p>
    <w:p>
      <w:pPr>
        <w:pStyle w:val="Bodytext|2"/>
        <w:tabs>
          <w:tab w:val="left" w:pos="1235"/>
        </w:tabs>
        <w:spacing w:after="0" w:line="624" w:lineRule="exact"/>
        <w:ind w:firstLine="580"/>
        <w:jc w:val="left"/>
        <w:rPr>
          <w:b/>
          <w:bCs/>
        </w:rPr>
      </w:pPr>
      <w:r>
        <w:rPr>
          <w:rFonts w:hint="eastAsia"/>
          <w:b/>
          <w:bCs/>
          <w:lang w:val="en-US" w:eastAsia="zh-CN"/>
        </w:rPr>
        <w:t xml:space="preserve">四、</w:t>
      </w:r>
      <w:r>
        <w:rPr>
          <w:b/>
          <w:bCs/>
        </w:rPr>
        <w:t xml:space="preserve">财政拨款收支总体情况说明</w:t>
      </w:r>
    </w:p>
    <w:p>
      <w:pPr>
        <w:pStyle w:val="Bodytext|1"/>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20955" b="14605"/>
            <wp:docPr id="759"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spacing w:line="624" w:lineRule="exact"/>
        <w:ind w:firstLine="600"/>
        <w:jc w:val="left"/>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u w:color="auto"/>
        </w:rPr>
        <w:t xml:space="preserve">年</w:t>
      </w:r>
      <w:r>
        <w:rPr>
          <w:rFonts w:ascii="宋体" w:eastAsia="宋体" w:hAnsi="宋体" w:cs="宋体" w:hint="eastAsia"/>
          <w:sz w:val="28"/>
          <w:szCs w:val="28"/>
        </w:rPr>
        <w:t xml:space="preserve">财政拨款收入我部门财政拨款总收入</w:t>
      </w:r>
      <w:r>
        <w:rPr>
          <w:rFonts w:ascii="宋体" w:eastAsia="宋体" w:hAnsi="宋体" w:cs="宋体" w:hint="eastAsia"/>
          <w:sz w:val="28"/>
          <w:szCs w:val="28"/>
          <w:lang w:val="en-US" w:eastAsia="zh-CN" w:bidi="en-US"/>
        </w:rPr>
        <w:t xml:space="preserve">1716.11</w:t>
      </w:r>
      <w:r>
        <w:rPr>
          <w:rFonts w:ascii="宋体" w:eastAsia="宋体" w:hAnsi="宋体" w:cs="宋体" w:hint="eastAsia"/>
          <w:sz w:val="28"/>
          <w:szCs w:val="28"/>
        </w:rPr>
        <w:t xml:space="preserve">万元，总支出</w:t>
      </w:r>
      <w:r>
        <w:rPr>
          <w:rFonts w:ascii="宋体" w:eastAsia="宋体" w:hAnsi="宋体" w:cs="宋体" w:hint="eastAsia"/>
          <w:sz w:val="28"/>
          <w:szCs w:val="28"/>
          <w:lang w:val="en-US" w:eastAsia="zh-CN" w:bidi="en-US"/>
        </w:rPr>
        <w:t xml:space="preserve">1716.11</w:t>
      </w:r>
      <w:r>
        <w:rPr>
          <w:rFonts w:ascii="宋体" w:eastAsia="宋体" w:hAnsi="宋体" w:cs="宋体" w:hint="eastAsia"/>
          <w:sz w:val="28"/>
          <w:szCs w:val="28"/>
        </w:rPr>
        <w:t xml:space="preserve">万元。财政拨款总收入较2023年度预算数</w:t>
      </w:r>
      <w:r>
        <w:rPr>
          <w:rFonts w:ascii="宋体" w:eastAsia="宋体" w:hAnsi="宋体" w:cs="宋体" w:hint="eastAsia"/>
          <w:sz w:val="28"/>
          <w:szCs w:val="28"/>
          <w:lang w:val="en-US" w:eastAsia="zh-CN" w:bidi="en-US"/>
        </w:rPr>
        <w:t xml:space="preserve">1449.97</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增加266.14</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增长18.35%</w:t>
      </w:r>
      <w:r>
        <w:rPr>
          <w:rFonts w:ascii="宋体" w:eastAsia="宋体" w:hAnsi="宋体" w:cs="宋体" w:hint="eastAsia"/>
          <w:sz w:val="28"/>
          <w:szCs w:val="28"/>
        </w:rPr>
        <w:t xml:space="preserve">，主要原因是</w:t>
      </w:r>
      <w:r>
        <w:rPr>
          <w:rFonts w:hint="eastAsia"/>
          <w:highlight w:val="none"/>
          <w:lang w:val="en-US" w:eastAsia="zh-CN"/>
        </w:rPr>
        <w:t xml:space="preserve">人员工资增长</w:t>
      </w:r>
      <w:r>
        <w:rPr>
          <w:rFonts w:ascii="宋体" w:eastAsia="宋体" w:hAnsi="宋体" w:cs="宋体" w:hint="eastAsia"/>
          <w:sz w:val="28"/>
          <w:szCs w:val="28"/>
        </w:rPr>
        <w:t xml:space="preserve">。财政拨款总支出较2023年度预算数</w:t>
      </w:r>
      <w:r>
        <w:rPr>
          <w:rFonts w:ascii="宋体" w:eastAsia="宋体" w:hAnsi="宋体" w:cs="宋体" w:hint="eastAsia"/>
          <w:sz w:val="28"/>
          <w:szCs w:val="28"/>
          <w:lang w:val="en-US" w:eastAsia="zh-CN" w:bidi="en-US"/>
        </w:rPr>
        <w:t xml:space="preserve">1449.97</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增加266.14</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增长18.35%</w:t>
      </w:r>
      <w:r>
        <w:rPr>
          <w:rFonts w:ascii="宋体" w:eastAsia="宋体" w:hAnsi="宋体" w:cs="宋体" w:hint="eastAsia"/>
          <w:sz w:val="28"/>
          <w:szCs w:val="28"/>
        </w:rPr>
        <w:t xml:space="preserve">，主要原因是</w:t>
      </w:r>
      <w:r>
        <w:rPr>
          <w:rFonts w:hint="eastAsia"/>
          <w:highlight w:val="none"/>
          <w:lang w:val="en-US" w:eastAsia="zh-CN"/>
        </w:rPr>
        <w:t xml:space="preserve">人员工资增长</w:t>
      </w:r>
      <w:r>
        <w:rPr>
          <w:rFonts w:ascii="宋体" w:eastAsia="宋体" w:hAnsi="宋体" w:cs="宋体" w:hint="eastAsia"/>
          <w:sz w:val="28"/>
          <w:szCs w:val="28"/>
        </w:rPr>
        <w:t xml:space="preserve">。</w:t>
      </w:r>
    </w:p>
    <w:p>
      <w:pPr>
        <w:pStyle w:val="Bodytext|2"/>
        <w:numPr>
          <w:ilvl w:val="0"/>
          <w:numId w:val="0"/>
        </w:numPr>
        <w:tabs>
          <w:tab w:val="left" w:pos="1238"/>
        </w:tabs>
        <w:spacing w:after="0" w:line="625" w:lineRule="exact"/>
        <w:ind w:firstLine="560" w:firstLineChars="200"/>
        <w:jc w:val="left"/>
        <w:rPr>
          <w:rFonts w:hint="eastAsia"/>
          <w:sz w:val="28"/>
          <w:szCs w:val="28"/>
        </w:rPr>
      </w:pPr>
    </w:p>
    <w:p>
      <w:pPr>
        <w:pStyle w:val="Bodytext|2"/>
        <w:tabs>
          <w:tab w:val="left" w:pos="1235"/>
        </w:tabs>
        <w:spacing w:after="0" w:line="624" w:lineRule="exact"/>
        <w:ind w:firstLine="580"/>
        <w:jc w:val="left"/>
        <w:rPr>
          <w:b/>
          <w:bCs/>
        </w:rPr>
      </w:pPr>
      <w:r>
        <w:rPr>
          <w:rFonts w:hint="eastAsia"/>
          <w:b/>
          <w:bCs/>
          <w:lang w:val="en-US" w:eastAsia="zh-CN"/>
        </w:rPr>
        <w:t xml:space="preserve">五、</w:t>
      </w:r>
      <w:r>
        <w:rPr>
          <w:b/>
          <w:bCs/>
        </w:rPr>
        <w:t xml:space="preserve">一般公共预算支出情况说明</w:t>
      </w:r>
    </w:p>
    <w:p>
      <w:pPr>
        <w:pStyle w:val="Bodytext|1"/>
        <w:spacing w:line="240" w:lineRule="auto"/>
        <w:ind w:firstLine="0"/>
        <w:jc w:val="left"/>
        <w:rPr>
          <w:lang w:eastAsia="zh-CN"/>
        </w:rPr>
      </w:pPr>
      <w:r>
        <w:rPr>
          <w:lang w:eastAsia="zh-CN"/>
        </w:rPr>
        <w:drawing>
          <wp:inline distT="0" distB="0" distL="114300" distR="114300">
            <wp:extent cx="5080000" cy="3810000"/>
            <wp:effectExtent l="4445" t="4445" r="20955" b="14605"/>
            <wp:docPr id="760"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val="en-US" w:eastAsia="zh-CN"/>
        </w:rPr>
        <w:t xml:space="preserve">年</w:t>
      </w:r>
      <w:r>
        <w:rPr>
          <w:rFonts w:ascii="宋体" w:eastAsia="宋体" w:hAnsi="宋体" w:cs="宋体" w:hint="eastAsia"/>
          <w:sz w:val="28"/>
          <w:szCs w:val="28"/>
        </w:rPr>
        <w:t xml:space="preserve">一般公共预算支出共</w:t>
      </w:r>
      <w:r>
        <w:rPr>
          <w:rFonts w:ascii="宋体" w:eastAsia="宋体" w:hAnsi="宋体" w:cs="宋体" w:hint="eastAsia"/>
          <w:sz w:val="28"/>
          <w:szCs w:val="28"/>
          <w:lang w:val="en-US" w:eastAsia="zh-CN"/>
        </w:rPr>
        <w:t xml:space="preserve">1716.11</w:t>
      </w:r>
      <w:r>
        <w:rPr>
          <w:rFonts w:ascii="宋体" w:eastAsia="宋体" w:hAnsi="宋体" w:cs="宋体" w:hint="eastAsia"/>
          <w:sz w:val="28"/>
          <w:szCs w:val="28"/>
        </w:rPr>
        <w:t xml:space="preserve">万元，较2023年度预算数</w:t>
      </w:r>
      <w:r>
        <w:rPr>
          <w:rFonts w:ascii="宋体" w:eastAsia="宋体" w:hAnsi="宋体" w:cs="宋体" w:hint="eastAsia"/>
          <w:sz w:val="28"/>
          <w:szCs w:val="28"/>
          <w:lang w:val="en-US" w:eastAsia="zh-CN"/>
        </w:rPr>
        <w:t xml:space="preserve">1449.97</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增加266.14</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增长18.35%</w:t>
      </w:r>
      <w:r>
        <w:rPr>
          <w:rFonts w:ascii="宋体" w:eastAsia="宋体" w:hAnsi="宋体" w:cs="宋体" w:hint="eastAsia"/>
          <w:sz w:val="28"/>
          <w:szCs w:val="28"/>
        </w:rPr>
        <w:t xml:space="preserve">，主要原因是</w:t>
      </w:r>
      <w:r>
        <w:rPr>
          <w:rFonts w:hint="eastAsia"/>
          <w:highlight w:val="none"/>
          <w:lang w:val="en-US" w:eastAsia="zh-CN"/>
        </w:rPr>
        <w:t xml:space="preserve">人员工资增长</w:t>
      </w:r>
      <w:r>
        <w:rPr>
          <w:rFonts w:ascii="宋体" w:eastAsia="宋体" w:hAnsi="宋体" w:cs="宋体" w:hint="eastAsia"/>
          <w:sz w:val="28"/>
          <w:szCs w:val="28"/>
        </w:rPr>
        <w:t xml:space="preserve">。中央提前下达2024年一般公共预算转移支付资金安排的支出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万元。具体情况为：</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一般公共服务支出</w:t>
      </w:r>
      <w:r>
        <w:rPr>
          <w:rFonts w:ascii="宋体" w:eastAsia="宋体" w:hAnsi="宋体" w:cs="宋体" w:hint="eastAsia"/>
          <w:sz w:val="28"/>
          <w:szCs w:val="28"/>
        </w:rPr>
        <w:t xml:space="preserve">（类）支出</w:t>
      </w:r>
      <w:r>
        <w:rPr>
          <w:rFonts w:ascii="宋体" w:eastAsia="宋体" w:hAnsi="宋体" w:cs="宋体"/>
          <w:sz w:val="28"/>
          <w:u w:color="auto"/>
        </w:rPr>
        <w:t xml:space="preserve">13.61</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0.79%</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21.11</w:t>
      </w:r>
      <w:r>
        <w:rPr>
          <w:rFonts w:ascii="宋体" w:eastAsia="宋体" w:hAnsi="宋体" w:cs="宋体" w:hint="eastAsia"/>
          <w:sz w:val="28"/>
          <w:szCs w:val="28"/>
        </w:rPr>
        <w:t xml:space="preserve">万元，</w:t>
      </w:r>
      <w:r>
        <w:rPr>
          <w:rFonts w:ascii="宋体" w:eastAsia="宋体" w:hAnsi="宋体" w:cs="宋体"/>
          <w:sz w:val="28"/>
          <w:u w:color="auto"/>
        </w:rPr>
        <w:t xml:space="preserve">减少7.50</w:t>
      </w:r>
      <w:r>
        <w:rPr>
          <w:rFonts w:ascii="宋体" w:eastAsia="宋体" w:hAnsi="宋体" w:cs="宋体" w:hint="eastAsia"/>
          <w:sz w:val="28"/>
          <w:szCs w:val="28"/>
        </w:rPr>
        <w:t xml:space="preserve">万元，</w:t>
      </w:r>
      <w:r>
        <w:rPr>
          <w:rFonts w:ascii="宋体" w:eastAsia="宋体" w:hAnsi="宋体" w:cs="宋体"/>
          <w:sz w:val="28"/>
          <w:u w:color="auto"/>
        </w:rPr>
        <w:t xml:space="preserve">减少35.53%</w:t>
      </w:r>
      <w:r>
        <w:rPr>
          <w:rFonts w:ascii="宋体" w:eastAsia="宋体" w:hAnsi="宋体" w:cs="宋体" w:hint="eastAsia"/>
          <w:sz w:val="28"/>
          <w:szCs w:val="28"/>
        </w:rPr>
        <w:t xml:space="preserve">，主要原因是：</w:t>
      </w:r>
      <w:r>
        <w:rPr>
          <w:rFonts w:hint="eastAsia"/>
          <w:highlight w:val="none"/>
        </w:rPr>
        <w:t xml:space="preserve">工会经费减少</w:t>
      </w:r>
      <w:r>
        <w:rPr>
          <w:rFonts w:ascii="宋体" w:eastAsia="宋体" w:hAnsi="宋体" w:cs="宋体" w:hint="eastAsia"/>
          <w:sz w:val="28"/>
          <w:szCs w:val="28"/>
        </w:rPr>
        <w:t xml:space="preserve">。</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住房保障支出</w:t>
      </w:r>
      <w:r>
        <w:rPr>
          <w:rFonts w:ascii="宋体" w:eastAsia="宋体" w:hAnsi="宋体" w:cs="宋体" w:hint="eastAsia"/>
          <w:sz w:val="28"/>
          <w:szCs w:val="28"/>
        </w:rPr>
        <w:t xml:space="preserve">（类）支出</w:t>
      </w:r>
      <w:r>
        <w:rPr>
          <w:rFonts w:ascii="宋体" w:eastAsia="宋体" w:hAnsi="宋体" w:cs="宋体"/>
          <w:sz w:val="28"/>
          <w:u w:color="auto"/>
        </w:rPr>
        <w:t xml:space="preserve">139.78</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8.15%</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126.63</w:t>
      </w:r>
      <w:r>
        <w:rPr>
          <w:rFonts w:ascii="宋体" w:eastAsia="宋体" w:hAnsi="宋体" w:cs="宋体" w:hint="eastAsia"/>
          <w:sz w:val="28"/>
          <w:szCs w:val="28"/>
        </w:rPr>
        <w:t xml:space="preserve">万元，</w:t>
      </w:r>
      <w:r>
        <w:rPr>
          <w:rFonts w:ascii="宋体" w:eastAsia="宋体" w:hAnsi="宋体" w:cs="宋体"/>
          <w:sz w:val="28"/>
          <w:u w:color="auto"/>
        </w:rPr>
        <w:t xml:space="preserve">增长13.15</w:t>
      </w:r>
      <w:r>
        <w:rPr>
          <w:rFonts w:ascii="宋体" w:eastAsia="宋体" w:hAnsi="宋体" w:cs="宋体" w:hint="eastAsia"/>
          <w:sz w:val="28"/>
          <w:szCs w:val="28"/>
        </w:rPr>
        <w:t xml:space="preserve">万元，</w:t>
      </w:r>
      <w:r>
        <w:rPr>
          <w:rFonts w:ascii="宋体" w:eastAsia="宋体" w:hAnsi="宋体" w:cs="宋体"/>
          <w:sz w:val="28"/>
          <w:u w:color="auto"/>
        </w:rPr>
        <w:t xml:space="preserve">增长10.38%</w:t>
      </w:r>
      <w:r>
        <w:rPr>
          <w:rFonts w:ascii="宋体" w:eastAsia="宋体" w:hAnsi="宋体" w:cs="宋体" w:hint="eastAsia"/>
          <w:sz w:val="28"/>
          <w:szCs w:val="28"/>
        </w:rPr>
        <w:t xml:space="preserve">，主要原因是：</w:t>
      </w:r>
      <w:r>
        <w:rPr>
          <w:rFonts w:hint="eastAsia"/>
          <w:highlight w:val="none"/>
        </w:rPr>
        <w:t xml:space="preserve">公积金基数调整增加</w:t>
      </w:r>
      <w:r>
        <w:rPr>
          <w:rFonts w:ascii="宋体" w:eastAsia="宋体" w:hAnsi="宋体" w:cs="宋体" w:hint="eastAsia"/>
          <w:sz w:val="28"/>
          <w:szCs w:val="28"/>
        </w:rPr>
        <w:t xml:space="preserve">。</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农林水支出</w:t>
      </w:r>
      <w:r>
        <w:rPr>
          <w:rFonts w:ascii="宋体" w:eastAsia="宋体" w:hAnsi="宋体" w:cs="宋体" w:hint="eastAsia"/>
          <w:sz w:val="28"/>
          <w:szCs w:val="28"/>
        </w:rPr>
        <w:t xml:space="preserve">（类）支出</w:t>
      </w:r>
      <w:r>
        <w:rPr>
          <w:rFonts w:ascii="宋体" w:eastAsia="宋体" w:hAnsi="宋体" w:cs="宋体"/>
          <w:sz w:val="28"/>
          <w:u w:color="auto"/>
        </w:rPr>
        <w:t xml:space="preserve">1401.16</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81.65%</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1133.40</w:t>
      </w:r>
      <w:r>
        <w:rPr>
          <w:rFonts w:ascii="宋体" w:eastAsia="宋体" w:hAnsi="宋体" w:cs="宋体" w:hint="eastAsia"/>
          <w:sz w:val="28"/>
          <w:szCs w:val="28"/>
        </w:rPr>
        <w:t xml:space="preserve">万元，</w:t>
      </w:r>
      <w:r>
        <w:rPr>
          <w:rFonts w:ascii="宋体" w:eastAsia="宋体" w:hAnsi="宋体" w:cs="宋体"/>
          <w:sz w:val="28"/>
          <w:u w:color="auto"/>
        </w:rPr>
        <w:t xml:space="preserve">增长267.76</w:t>
      </w:r>
      <w:r>
        <w:rPr>
          <w:rFonts w:ascii="宋体" w:eastAsia="宋体" w:hAnsi="宋体" w:cs="宋体" w:hint="eastAsia"/>
          <w:sz w:val="28"/>
          <w:szCs w:val="28"/>
        </w:rPr>
        <w:t xml:space="preserve">万元，</w:t>
      </w:r>
      <w:r>
        <w:rPr>
          <w:rFonts w:ascii="宋体" w:eastAsia="宋体" w:hAnsi="宋体" w:cs="宋体"/>
          <w:sz w:val="28"/>
          <w:u w:color="auto"/>
        </w:rPr>
        <w:t xml:space="preserve">增长23.62%</w:t>
      </w:r>
      <w:r>
        <w:rPr>
          <w:rFonts w:ascii="宋体" w:eastAsia="宋体" w:hAnsi="宋体" w:cs="宋体" w:hint="eastAsia"/>
          <w:sz w:val="28"/>
          <w:szCs w:val="28"/>
        </w:rPr>
        <w:t xml:space="preserve">，主要原因是：</w:t>
      </w:r>
      <w:r>
        <w:rPr>
          <w:rFonts w:hint="eastAsia"/>
          <w:highlight w:val="none"/>
        </w:rPr>
        <w:t xml:space="preserve">人员工资增长</w:t>
      </w:r>
      <w:r>
        <w:rPr>
          <w:rFonts w:ascii="宋体" w:eastAsia="宋体" w:hAnsi="宋体" w:cs="宋体" w:hint="eastAsia"/>
          <w:sz w:val="28"/>
          <w:szCs w:val="28"/>
        </w:rPr>
        <w:t xml:space="preserve">。</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社会保障和就业支出</w:t>
      </w:r>
      <w:r>
        <w:rPr>
          <w:rFonts w:ascii="宋体" w:eastAsia="宋体" w:hAnsi="宋体" w:cs="宋体" w:hint="eastAsia"/>
          <w:sz w:val="28"/>
          <w:szCs w:val="28"/>
        </w:rPr>
        <w:t xml:space="preserve">（类）支出</w:t>
      </w:r>
      <w:r>
        <w:rPr>
          <w:rFonts w:ascii="宋体" w:eastAsia="宋体" w:hAnsi="宋体" w:cs="宋体"/>
          <w:sz w:val="28"/>
          <w:u w:color="auto"/>
        </w:rPr>
        <w:t xml:space="preserve">161.56</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9.41%</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168.84</w:t>
      </w:r>
      <w:r>
        <w:rPr>
          <w:rFonts w:ascii="宋体" w:eastAsia="宋体" w:hAnsi="宋体" w:cs="宋体" w:hint="eastAsia"/>
          <w:sz w:val="28"/>
          <w:szCs w:val="28"/>
        </w:rPr>
        <w:t xml:space="preserve">万元，</w:t>
      </w:r>
      <w:r>
        <w:rPr>
          <w:rFonts w:ascii="宋体" w:eastAsia="宋体" w:hAnsi="宋体" w:cs="宋体"/>
          <w:sz w:val="28"/>
          <w:u w:color="auto"/>
        </w:rPr>
        <w:t xml:space="preserve">减少7.28</w:t>
      </w:r>
      <w:r>
        <w:rPr>
          <w:rFonts w:ascii="宋体" w:eastAsia="宋体" w:hAnsi="宋体" w:cs="宋体" w:hint="eastAsia"/>
          <w:sz w:val="28"/>
          <w:szCs w:val="28"/>
        </w:rPr>
        <w:t xml:space="preserve">万元，</w:t>
      </w:r>
      <w:r>
        <w:rPr>
          <w:rFonts w:ascii="宋体" w:eastAsia="宋体" w:hAnsi="宋体" w:cs="宋体"/>
          <w:sz w:val="28"/>
          <w:u w:color="auto"/>
        </w:rPr>
        <w:t xml:space="preserve">减少4.31%</w:t>
      </w:r>
      <w:r>
        <w:rPr>
          <w:rFonts w:ascii="宋体" w:eastAsia="宋体" w:hAnsi="宋体" w:cs="宋体" w:hint="eastAsia"/>
          <w:sz w:val="28"/>
          <w:szCs w:val="28"/>
        </w:rPr>
        <w:t xml:space="preserve">，主要原因是：</w:t>
      </w:r>
      <w:r>
        <w:rPr>
          <w:rFonts w:hint="eastAsia"/>
          <w:highlight w:val="none"/>
        </w:rPr>
        <w:t xml:space="preserve">人员减少</w:t>
      </w:r>
      <w:r>
        <w:rPr>
          <w:rFonts w:ascii="宋体" w:eastAsia="宋体" w:hAnsi="宋体" w:cs="宋体" w:hint="eastAsia"/>
          <w:sz w:val="28"/>
          <w:szCs w:val="28"/>
        </w:rPr>
        <w:t xml:space="preserve">。</w:t>
      </w:r>
    </w:p>
    <w:p>
      <w:pPr>
        <w:pStyle w:val="Bodytext|2"/>
        <w:tabs>
          <w:tab w:val="left" w:pos="1235"/>
        </w:tabs>
        <w:spacing w:after="0" w:line="624" w:lineRule="exact"/>
        <w:ind w:firstLine="580"/>
        <w:jc w:val="left"/>
        <w:rPr>
          <w:b/>
          <w:bCs/>
        </w:rPr>
      </w:pPr>
      <w:r>
        <w:rPr>
          <w:rFonts w:hint="eastAsia"/>
          <w:b/>
          <w:bCs/>
          <w:lang w:val="en-US" w:eastAsia="zh-CN"/>
        </w:rPr>
        <w:t xml:space="preserve">六、</w:t>
      </w:r>
      <w:r>
        <w:rPr>
          <w:b/>
          <w:bCs/>
        </w:rPr>
        <w:t xml:space="preserve">一般公共预算基本支出情况说明</w:t>
      </w:r>
    </w:p>
    <w:p>
      <w:pPr>
        <w:pStyle w:val="Bodytext|2"/>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761"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spacing w:line="623" w:lineRule="exact"/>
        <w:ind w:left="0" w:firstLine="560" w:leftChars="0" w:firstLineChars="200"/>
        <w:jc w:val="left"/>
        <w:rPr>
          <w:rFonts w:hint="eastAsia"/>
          <w:lang w:val="en-US" w:eastAsia="zh-CN"/>
        </w:rPr>
      </w:pPr>
      <w:r>
        <w:rPr>
          <w:rFonts w:hint="eastAsia"/>
          <w:lang w:val="en-US" w:eastAsia="zh-CN"/>
        </w:rPr>
        <w:t xml:space="preserve">2024</w:t>
      </w:r>
      <w:r>
        <w:rPr>
          <w:u w:color="auto"/>
        </w:rPr>
        <w:t xml:space="preserve">年</w:t>
      </w:r>
      <w:r>
        <w:rPr>
          <w:rFonts w:hint="eastAsia"/>
        </w:rPr>
        <w:t xml:space="preserve">一般公共预算基本支出共</w:t>
      </w:r>
      <w:r>
        <w:rPr>
          <w:rFonts w:hint="eastAsia"/>
          <w:lang w:val="en-US" w:eastAsia="zh-CN"/>
        </w:rPr>
        <w:t xml:space="preserve">1532.31</w:t>
      </w:r>
      <w:r>
        <w:rPr>
          <w:rFonts w:hint="eastAsia"/>
        </w:rPr>
        <w:t xml:space="preserve">万元，较2023年度预算数</w:t>
      </w:r>
      <w:r>
        <w:rPr>
          <w:rFonts w:hint="eastAsia"/>
          <w:lang w:val="en-US" w:eastAsia="zh-CN"/>
        </w:rPr>
        <w:t xml:space="preserve">1414.75</w:t>
      </w:r>
      <w:r>
        <w:rPr>
          <w:rFonts w:hint="eastAsia"/>
        </w:rPr>
        <w:t xml:space="preserve">万元</w:t>
      </w:r>
      <w:r>
        <w:rPr>
          <w:rFonts w:hint="eastAsia"/>
          <w:lang w:val="en-US" w:eastAsia="zh-CN"/>
        </w:rPr>
        <w:t xml:space="preserve">,</w:t>
      </w:r>
      <w:r>
        <w:rPr>
          <w:u w:color="auto"/>
        </w:rPr>
        <w:t xml:space="preserve">增加117.56</w:t>
      </w:r>
      <w:r>
        <w:rPr>
          <w:rFonts w:hint="eastAsia"/>
        </w:rPr>
        <w:t xml:space="preserve">万元，</w:t>
      </w:r>
      <w:r>
        <w:rPr>
          <w:rFonts w:hint="eastAsia"/>
          <w:lang w:val="en-US" w:eastAsia="zh-CN"/>
        </w:rPr>
        <w:t xml:space="preserve">增长8.31%</w:t>
      </w:r>
      <w:r>
        <w:rPr>
          <w:rFonts w:hint="eastAsia"/>
        </w:rPr>
        <w:t xml:space="preserve">，主要原因是</w:t>
      </w:r>
      <w:r>
        <w:rPr>
          <w:rFonts w:hint="eastAsia"/>
          <w:highlight w:val="none"/>
          <w:lang w:val="en-US" w:eastAsia="zh-CN"/>
        </w:rPr>
        <w:t xml:space="preserve">人员工资增长</w:t>
      </w:r>
      <w:r>
        <w:rPr>
          <w:rFonts w:hint="eastAsia"/>
        </w:rPr>
        <w:t xml:space="preserve">。具体情况为：</w:t>
      </w:r>
    </w:p>
    <w:p>
      <w:pPr>
        <w:pStyle w:val="Bodytext|1"/>
        <w:spacing w:line="626" w:lineRule="exact"/>
        <w:ind w:firstLine="600"/>
        <w:jc w:val="left"/>
        <w:rPr>
          <w:rFonts w:hint="default"/>
          <w:lang w:val="en-US" w:eastAsia="zh-CN"/>
        </w:rPr>
      </w:pPr>
      <w:r>
        <w:rPr>
          <w:rFonts w:hint="eastAsia"/>
          <w:lang w:val="en-US" w:eastAsia="zh-CN"/>
        </w:rPr>
        <w:t xml:space="preserve">商品和服务支出</w:t>
      </w:r>
      <w:r>
        <w:rPr>
          <w:rFonts w:hint="eastAsia"/>
        </w:rPr>
        <w:t xml:space="preserve">支出预算</w:t>
      </w:r>
      <w:r>
        <w:rPr>
          <w:rFonts w:hint="eastAsia"/>
          <w:lang w:val="en-US" w:eastAsia="zh-CN"/>
        </w:rPr>
        <w:t xml:space="preserve">40.61</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2.65%</w:t>
      </w:r>
      <w:r>
        <w:rPr>
          <w:rFonts w:hint="eastAsia"/>
        </w:rPr>
        <w:t xml:space="preserve">，较2023年度预算数</w:t>
      </w:r>
      <w:r>
        <w:rPr>
          <w:rFonts w:hint="eastAsia"/>
          <w:lang w:val="en-US" w:eastAsia="zh-CN"/>
        </w:rPr>
        <w:t xml:space="preserve">48.86</w:t>
      </w:r>
      <w:r>
        <w:rPr>
          <w:rFonts w:hint="eastAsia"/>
        </w:rPr>
        <w:t xml:space="preserve">万元，</w:t>
      </w:r>
      <w:r>
        <w:rPr>
          <w:rFonts w:hint="eastAsia"/>
          <w:lang w:val="en-US" w:eastAsia="zh-CN"/>
        </w:rPr>
        <w:t xml:space="preserve">减少8.25</w:t>
      </w:r>
      <w:r>
        <w:rPr>
          <w:rFonts w:hint="eastAsia"/>
        </w:rPr>
        <w:t xml:space="preserve">万元，</w:t>
      </w:r>
      <w:r>
        <w:rPr>
          <w:rFonts w:hint="eastAsia"/>
          <w:lang w:val="en-US" w:eastAsia="zh-CN"/>
        </w:rPr>
        <w:t xml:space="preserve">减少16.88%</w:t>
      </w:r>
      <w:r>
        <w:rPr>
          <w:rFonts w:hint="eastAsia"/>
        </w:rPr>
        <w:t xml:space="preserve">，主要原因是：</w:t>
      </w:r>
      <w:r>
        <w:rPr>
          <w:rFonts w:hint="eastAsia"/>
          <w:highlight w:val="none"/>
        </w:rPr>
        <w:t xml:space="preserve">公用经费减少，工会经费减少</w:t>
      </w:r>
      <w:r>
        <w:rPr>
          <w:rFonts w:hint="eastAsia"/>
          <w:highlight w:val="none"/>
          <w:lang w:val="en-US" w:eastAsia="zh-CN"/>
        </w:rPr>
        <w:t xml:space="preserve">。</w:t>
      </w:r>
    </w:p>
    <w:p>
      <w:pPr>
        <w:pStyle w:val="Bodytext|1"/>
        <w:spacing w:line="626" w:lineRule="exact"/>
        <w:ind w:firstLine="600"/>
        <w:jc w:val="left"/>
        <w:rPr>
          <w:rFonts w:hint="default"/>
          <w:lang w:val="en-US" w:eastAsia="zh-CN"/>
        </w:rPr>
      </w:pPr>
      <w:r>
        <w:rPr>
          <w:rFonts w:hint="eastAsia"/>
          <w:lang w:val="en-US" w:eastAsia="zh-CN"/>
        </w:rPr>
        <w:t xml:space="preserve">工资福利支出</w:t>
      </w:r>
      <w:r>
        <w:rPr>
          <w:rFonts w:hint="eastAsia"/>
        </w:rPr>
        <w:t xml:space="preserve">支出预算</w:t>
      </w:r>
      <w:r>
        <w:rPr>
          <w:rFonts w:hint="eastAsia"/>
          <w:lang w:val="en-US" w:eastAsia="zh-CN"/>
        </w:rPr>
        <w:t xml:space="preserve">1321.06</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86.21%</w:t>
      </w:r>
      <w:r>
        <w:rPr>
          <w:rFonts w:hint="eastAsia"/>
        </w:rPr>
        <w:t xml:space="preserve">，较2023年度预算数</w:t>
      </w:r>
      <w:r>
        <w:rPr>
          <w:rFonts w:hint="eastAsia"/>
          <w:lang w:val="en-US" w:eastAsia="zh-CN"/>
        </w:rPr>
        <w:t xml:space="preserve">1259.81</w:t>
      </w:r>
      <w:r>
        <w:rPr>
          <w:rFonts w:hint="eastAsia"/>
        </w:rPr>
        <w:t xml:space="preserve">万元，</w:t>
      </w:r>
      <w:r>
        <w:rPr>
          <w:rFonts w:hint="eastAsia"/>
          <w:lang w:val="en-US" w:eastAsia="zh-CN"/>
        </w:rPr>
        <w:t xml:space="preserve">增长61.25</w:t>
      </w:r>
      <w:r>
        <w:rPr>
          <w:rFonts w:hint="eastAsia"/>
        </w:rPr>
        <w:t xml:space="preserve">万元，</w:t>
      </w:r>
      <w:r>
        <w:rPr>
          <w:rFonts w:hint="eastAsia"/>
          <w:lang w:val="en-US" w:eastAsia="zh-CN"/>
        </w:rPr>
        <w:t xml:space="preserve">增长4.86%</w:t>
      </w:r>
      <w:r>
        <w:rPr>
          <w:rFonts w:hint="eastAsia"/>
        </w:rPr>
        <w:t xml:space="preserve">，主要原因是：</w:t>
      </w:r>
      <w:r>
        <w:rPr>
          <w:rFonts w:hint="eastAsia"/>
          <w:highlight w:val="none"/>
        </w:rPr>
        <w:t xml:space="preserve">人员工资增长</w:t>
      </w:r>
      <w:r>
        <w:rPr>
          <w:rFonts w:hint="eastAsia"/>
          <w:highlight w:val="none"/>
          <w:lang w:val="en-US" w:eastAsia="zh-CN"/>
        </w:rPr>
        <w:t xml:space="preserve">。</w:t>
      </w:r>
    </w:p>
    <w:p>
      <w:pPr>
        <w:pStyle w:val="Bodytext|1"/>
        <w:spacing w:line="626" w:lineRule="exact"/>
        <w:ind w:firstLine="600"/>
        <w:jc w:val="left"/>
        <w:rPr>
          <w:rFonts w:hint="default"/>
          <w:lang w:val="en-US" w:eastAsia="zh-CN"/>
        </w:rPr>
      </w:pPr>
      <w:r>
        <w:rPr>
          <w:rFonts w:hint="eastAsia"/>
          <w:lang w:val="en-US" w:eastAsia="zh-CN"/>
        </w:rPr>
        <w:t xml:space="preserve">对个人和家庭的补助</w:t>
      </w:r>
      <w:r>
        <w:rPr>
          <w:rFonts w:hint="eastAsia"/>
        </w:rPr>
        <w:t xml:space="preserve">支出预算</w:t>
      </w:r>
      <w:r>
        <w:rPr>
          <w:rFonts w:hint="eastAsia"/>
          <w:lang w:val="en-US" w:eastAsia="zh-CN"/>
        </w:rPr>
        <w:t xml:space="preserve">170.64</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11.14%</w:t>
      </w:r>
      <w:r>
        <w:rPr>
          <w:rFonts w:hint="eastAsia"/>
        </w:rPr>
        <w:t xml:space="preserve">，较2023年度预算数</w:t>
      </w:r>
      <w:r>
        <w:rPr>
          <w:rFonts w:hint="eastAsia"/>
          <w:lang w:val="en-US" w:eastAsia="zh-CN"/>
        </w:rPr>
        <w:t xml:space="preserve">106.09</w:t>
      </w:r>
      <w:r>
        <w:rPr>
          <w:rFonts w:hint="eastAsia"/>
        </w:rPr>
        <w:t xml:space="preserve">万元，</w:t>
      </w:r>
      <w:r>
        <w:rPr>
          <w:rFonts w:hint="eastAsia"/>
          <w:lang w:val="en-US" w:eastAsia="zh-CN"/>
        </w:rPr>
        <w:t xml:space="preserve">增长64.55</w:t>
      </w:r>
      <w:r>
        <w:rPr>
          <w:rFonts w:hint="eastAsia"/>
        </w:rPr>
        <w:t xml:space="preserve">万元，</w:t>
      </w:r>
      <w:r>
        <w:rPr>
          <w:rFonts w:hint="eastAsia"/>
          <w:lang w:val="en-US" w:eastAsia="zh-CN"/>
        </w:rPr>
        <w:t xml:space="preserve">增长60.84%</w:t>
      </w:r>
      <w:r>
        <w:rPr>
          <w:rFonts w:hint="eastAsia"/>
        </w:rPr>
        <w:t xml:space="preserve">，主要原因是：</w:t>
      </w:r>
      <w:r>
        <w:rPr>
          <w:rFonts w:hint="eastAsia"/>
          <w:highlight w:val="none"/>
        </w:rPr>
        <w:t xml:space="preserve">生活补助增加</w:t>
      </w:r>
      <w:r>
        <w:rPr>
          <w:rFonts w:hint="eastAsia"/>
          <w:highlight w:val="none"/>
          <w:lang w:val="en-US" w:eastAsia="zh-CN"/>
        </w:rPr>
        <w:t xml:space="preserve">。</w:t>
      </w:r>
    </w:p>
    <w:p>
      <w:pPr>
        <w:pStyle w:val="Bodytext|2"/>
        <w:tabs>
          <w:tab w:val="left" w:pos="1235"/>
        </w:tabs>
        <w:spacing w:after="0" w:line="624" w:lineRule="exact"/>
        <w:ind w:firstLine="580"/>
        <w:jc w:val="left"/>
        <w:rPr>
          <w:rFonts w:hint="eastAsia"/>
          <w:b/>
          <w:bCs/>
        </w:rPr>
      </w:pPr>
      <w:r>
        <w:rPr>
          <w:rFonts w:hint="eastAsia"/>
          <w:b/>
          <w:bCs/>
          <w:lang w:val="en-US" w:eastAsia="zh-CN"/>
        </w:rPr>
        <w:t xml:space="preserve">七、</w:t>
      </w:r>
      <w:r>
        <w:rPr>
          <w:b/>
          <w:bCs/>
        </w:rPr>
        <w:t xml:space="preserve">一般公共预算</w:t>
      </w:r>
      <w:r>
        <w:rPr>
          <w:b/>
          <w:bCs/>
          <w:lang w:val="zh-CN" w:eastAsia="zh-CN" w:bidi="zh-CN"/>
        </w:rPr>
        <w:t xml:space="preserve">“三</w:t>
      </w:r>
      <w:r>
        <w:rPr>
          <w:b/>
          <w:bCs/>
        </w:rPr>
        <w:t xml:space="preserve">公”</w:t>
      </w:r>
      <w:r>
        <w:rPr>
          <w:rFonts w:hint="eastAsia"/>
          <w:b/>
          <w:bCs/>
        </w:rPr>
        <w:t xml:space="preserve">经费支出情况说明</w:t>
      </w:r>
    </w:p>
    <w:p>
      <w:pPr>
        <w:pStyle w:val="Bodytext|2"/>
        <w:numPr>
          <w:ilvl w:val="0"/>
          <w:numId w:val="0"/>
        </w:numPr>
        <w:spacing w:after="0"/>
        <w:jc w:val="left"/>
        <w:rPr>
          <w:rFonts w:hint="eastAsia"/>
          <w:b/>
          <w:bCs/>
        </w:rPr>
      </w:pPr>
    </w:p>
    <w:p>
      <w:pPr>
        <w:pStyle w:val="Bodytext|2"/>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762"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2"/>
        <w:tabs>
          <w:tab w:val="left" w:pos="1253"/>
        </w:tabs>
        <w:spacing w:after="0" w:line="629" w:lineRule="exact"/>
        <w:ind w:firstLine="600"/>
        <w:jc w:val="left"/>
        <w:rPr>
          <w:rFonts w:hint="eastAsia"/>
          <w:b w:val="0"/>
          <w:bCs w:val="0"/>
          <w:sz w:val="28"/>
          <w:szCs w:val="28"/>
          <w:lang w:eastAsia="zh-CN"/>
        </w:rPr>
      </w:pPr>
      <w:bookmarkStart w:id="14" w:name="bookmark90"/>
      <w:r>
        <w:rPr>
          <w:rFonts w:hint="eastAsia"/>
          <w:b w:val="0"/>
          <w:bCs w:val="0"/>
          <w:sz w:val="28"/>
          <w:szCs w:val="28"/>
          <w:lang w:eastAsia="zh-CN"/>
        </w:rPr>
        <w:t xml:space="preserve">（</w:t>
      </w:r>
      <w:r>
        <w:rPr>
          <w:rFonts w:hint="eastAsia"/>
          <w:b w:val="0"/>
          <w:bCs w:val="0"/>
          <w:sz w:val="28"/>
          <w:szCs w:val="28"/>
          <w:lang w:val="en-US" w:eastAsia="zh-CN"/>
        </w:rPr>
        <w:t xml:space="preserve">一</w:t>
      </w:r>
      <w:r>
        <w:rPr>
          <w:rFonts w:hint="eastAsia"/>
          <w:b w:val="0"/>
          <w:bCs w:val="0"/>
          <w:sz w:val="28"/>
          <w:szCs w:val="28"/>
          <w:lang w:eastAsia="zh-CN"/>
        </w:rPr>
        <w:t xml:space="preserve">）</w:t>
      </w:r>
      <w:r>
        <w:rPr>
          <w:sz w:val="28"/>
          <w:u w:color="auto"/>
        </w:rPr>
        <w:t xml:space="preserve">2024</w:t>
      </w:r>
      <w:r>
        <w:rPr>
          <w:sz w:val="28"/>
          <w:u w:color="auto"/>
        </w:rPr>
        <w:t xml:space="preserve">年部门预算共安排</w:t>
      </w:r>
      <w:r>
        <w:rPr>
          <w:rFonts w:hint="eastAsia"/>
          <w:b w:val="0"/>
          <w:bCs w:val="0"/>
          <w:sz w:val="28"/>
          <w:szCs w:val="28"/>
          <w:lang w:val="zh-CN" w:eastAsia="zh-CN"/>
        </w:rPr>
        <w:t xml:space="preserve">“三公</w:t>
      </w:r>
      <w:r>
        <w:rPr>
          <w:rFonts w:hint="eastAsia"/>
          <w:b w:val="0"/>
          <w:bCs w:val="0"/>
          <w:sz w:val="28"/>
          <w:szCs w:val="28"/>
          <w:lang w:val="en-US" w:eastAsia="zh-CN"/>
        </w:rPr>
        <w:t xml:space="preserve">"</w:t>
      </w:r>
      <w:r>
        <w:rPr>
          <w:rFonts w:hint="eastAsia"/>
          <w:b w:val="0"/>
          <w:bCs w:val="0"/>
          <w:sz w:val="28"/>
          <w:szCs w:val="28"/>
          <w:lang w:eastAsia="zh-CN"/>
        </w:rPr>
        <w:t xml:space="preserve">经费支出预算</w:t>
      </w:r>
      <w:r>
        <w:rPr>
          <w:rFonts w:hint="eastAsia"/>
          <w:b w:val="0"/>
          <w:bCs w:val="0"/>
          <w:sz w:val="28"/>
          <w:szCs w:val="28"/>
          <w:lang w:val="en-US" w:eastAsia="zh-CN"/>
        </w:rPr>
        <w:t xml:space="preserve">0.50</w:t>
      </w:r>
      <w:r>
        <w:rPr>
          <w:rFonts w:hint="eastAsia"/>
          <w:b w:val="0"/>
          <w:bCs w:val="0"/>
          <w:sz w:val="28"/>
          <w:szCs w:val="28"/>
          <w:lang w:eastAsia="zh-CN"/>
        </w:rPr>
        <w:t xml:space="preserve">万元（全口径），其中：因公出国（境）经费支出预算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万元，公务接待费支出预算</w:t>
      </w:r>
      <w:r>
        <w:rPr>
          <w:rFonts w:hint="eastAsia"/>
          <w:b w:val="0"/>
          <w:bCs w:val="0"/>
          <w:sz w:val="28"/>
          <w:szCs w:val="28"/>
          <w:lang w:val="en-US" w:eastAsia="zh-CN"/>
        </w:rPr>
        <w:t xml:space="preserve">0.50</w:t>
      </w:r>
      <w:r>
        <w:rPr>
          <w:rFonts w:hint="eastAsia"/>
          <w:b w:val="0"/>
          <w:bCs w:val="0"/>
          <w:sz w:val="28"/>
          <w:szCs w:val="28"/>
          <w:lang w:eastAsia="zh-CN"/>
        </w:rPr>
        <w:t xml:space="preserve">万元，公务用车购置及运行费支出预算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万元（公务用车购置费</w:t>
      </w:r>
      <w:r>
        <w:rPr>
          <w:rFonts w:hint="eastAsia"/>
          <w:b w:val="0"/>
          <w:bCs w:val="0"/>
          <w:sz w:val="28"/>
          <w:szCs w:val="28"/>
          <w:lang w:val="en-US" w:eastAsia="zh-CN"/>
        </w:rPr>
        <w:t xml:space="preserve">0.00</w:t>
      </w:r>
      <w:r>
        <w:rPr>
          <w:rFonts w:hint="eastAsia"/>
          <w:b w:val="0"/>
          <w:bCs w:val="0"/>
          <w:sz w:val="28"/>
          <w:szCs w:val="28"/>
          <w:lang w:eastAsia="zh-CN"/>
        </w:rPr>
        <w:t xml:space="preserve">万元,公务用车运行维护费</w:t>
      </w:r>
      <w:r>
        <w:rPr>
          <w:rFonts w:hint="eastAsia"/>
          <w:b w:val="0"/>
          <w:bCs w:val="0"/>
          <w:sz w:val="28"/>
          <w:szCs w:val="28"/>
          <w:lang w:val="en-US" w:eastAsia="zh-CN"/>
        </w:rPr>
        <w:t xml:space="preserve">0.00</w:t>
      </w:r>
      <w:r>
        <w:rPr>
          <w:rFonts w:hint="eastAsia"/>
          <w:b w:val="0"/>
          <w:bCs w:val="0"/>
          <w:sz w:val="28"/>
          <w:szCs w:val="28"/>
          <w:lang w:eastAsia="zh-CN"/>
        </w:rPr>
        <w:t xml:space="preserve">万元）。</w:t>
      </w:r>
    </w:p>
    <w:p>
      <w:pPr>
        <w:pStyle w:val="Bodytext|2"/>
        <w:tabs>
          <w:tab w:val="left" w:pos="1253"/>
        </w:tabs>
        <w:spacing w:after="0" w:line="629" w:lineRule="exact"/>
        <w:ind w:firstLine="600"/>
        <w:jc w:val="left"/>
        <w:rPr>
          <w:rFonts w:hint="eastAsia"/>
          <w:b w:val="0"/>
          <w:bCs w:val="0"/>
          <w:sz w:val="28"/>
          <w:szCs w:val="28"/>
        </w:rPr>
      </w:pPr>
      <w:r>
        <w:rPr>
          <w:rFonts w:hint="eastAsia"/>
          <w:b w:val="0"/>
          <w:bCs w:val="0"/>
          <w:sz w:val="28"/>
          <w:szCs w:val="28"/>
          <w:lang w:eastAsia="zh-CN"/>
        </w:rPr>
        <w:t xml:space="preserve">（</w:t>
      </w:r>
      <w:r>
        <w:rPr>
          <w:rFonts w:hint="eastAsia"/>
          <w:b w:val="0"/>
          <w:bCs w:val="0"/>
          <w:sz w:val="28"/>
          <w:szCs w:val="28"/>
          <w:lang w:val="en-US" w:eastAsia="zh-CN"/>
        </w:rPr>
        <w:t xml:space="preserve">二</w:t>
      </w:r>
      <w:r>
        <w:rPr>
          <w:rFonts w:hint="eastAsia"/>
          <w:b w:val="0"/>
          <w:bCs w:val="0"/>
          <w:sz w:val="28"/>
          <w:szCs w:val="28"/>
          <w:lang w:eastAsia="zh-CN"/>
        </w:rPr>
        <w:t xml:space="preserve">）</w:t>
      </w:r>
      <w:r>
        <w:rPr>
          <w:sz w:val="28"/>
          <w:u w:color="auto"/>
        </w:rPr>
        <w:t xml:space="preserve">2024</w:t>
      </w:r>
      <w:r>
        <w:rPr>
          <w:rFonts w:hint="eastAsia"/>
          <w:b w:val="0"/>
          <w:bCs w:val="0"/>
          <w:sz w:val="28"/>
          <w:szCs w:val="28"/>
        </w:rPr>
        <w:t xml:space="preserve">年一般公共预算安排的“三公”经费支出预算</w:t>
      </w:r>
      <w:r>
        <w:rPr>
          <w:rFonts w:hint="eastAsia"/>
          <w:b w:val="0"/>
          <w:bCs w:val="0"/>
          <w:sz w:val="28"/>
          <w:szCs w:val="28"/>
          <w:lang w:val="en-US" w:eastAsia="zh-CN"/>
        </w:rPr>
        <w:t xml:space="preserve">0.50</w:t>
      </w:r>
      <w:r>
        <w:rPr>
          <w:rFonts w:hint="eastAsia"/>
          <w:b w:val="0"/>
          <w:bCs w:val="0"/>
          <w:sz w:val="28"/>
          <w:szCs w:val="28"/>
        </w:rPr>
        <w:t xml:space="preserve">万元，同口径较2023年度预算数</w:t>
      </w:r>
      <w:r>
        <w:rPr>
          <w:rFonts w:hint="eastAsia"/>
          <w:b w:val="0"/>
          <w:bCs w:val="0"/>
          <w:sz w:val="28"/>
          <w:szCs w:val="28"/>
          <w:lang w:val="en-US" w:eastAsia="zh-CN"/>
        </w:rPr>
        <w:t xml:space="preserve">0.00</w:t>
      </w:r>
      <w:r>
        <w:rPr>
          <w:rFonts w:hint="eastAsia"/>
          <w:b w:val="0"/>
          <w:bCs w:val="0"/>
          <w:sz w:val="28"/>
          <w:szCs w:val="28"/>
        </w:rPr>
        <w:t xml:space="preserve">万元，</w:t>
      </w:r>
      <w:r>
        <w:rPr>
          <w:rFonts w:hint="eastAsia"/>
          <w:b w:val="0"/>
          <w:bCs w:val="0"/>
          <w:sz w:val="28"/>
          <w:szCs w:val="28"/>
          <w:lang w:val="en-US" w:eastAsia="zh-CN"/>
        </w:rPr>
        <w:t xml:space="preserve">增长0.50</w:t>
      </w:r>
      <w:r>
        <w:rPr>
          <w:rFonts w:hint="eastAsia"/>
          <w:b w:val="0"/>
          <w:bCs w:val="0"/>
          <w:sz w:val="28"/>
          <w:szCs w:val="28"/>
        </w:rPr>
        <w:t xml:space="preserve">万元，</w:t>
      </w:r>
      <w:r>
        <w:rPr>
          <w:rFonts w:hint="eastAsia"/>
          <w:b w:val="0"/>
          <w:bCs w:val="0"/>
          <w:sz w:val="28"/>
          <w:szCs w:val="28"/>
          <w:lang w:val="en-US" w:eastAsia="zh-CN"/>
        </w:rPr>
        <w:t xml:space="preserve">增长100%</w:t>
      </w:r>
      <w:r>
        <w:rPr>
          <w:rFonts w:hint="eastAsia"/>
          <w:b w:val="0"/>
          <w:bCs w:val="0"/>
          <w:sz w:val="28"/>
          <w:szCs w:val="28"/>
        </w:rPr>
        <w:t xml:space="preserve">，具体如下：</w:t>
      </w:r>
    </w:p>
    <w:p>
      <w:pPr>
        <w:pStyle w:val="Bodytext|2"/>
        <w:tabs>
          <w:tab w:val="left" w:pos="1253"/>
        </w:tabs>
        <w:spacing w:after="0" w:line="629" w:lineRule="exact"/>
        <w:ind w:firstLine="600"/>
        <w:jc w:val="left"/>
        <w:rPr>
          <w:rFonts w:eastAsia="宋体" w:hint="eastAsia"/>
          <w:b w:val="0"/>
          <w:bCs w:val="0"/>
          <w:sz w:val="28"/>
          <w:szCs w:val="28"/>
          <w:lang w:eastAsia="zh-CN"/>
        </w:rPr>
      </w:pPr>
      <w:r>
        <w:rPr>
          <w:rFonts w:hint="eastAsia"/>
          <w:b w:val="0"/>
          <w:bCs w:val="0"/>
          <w:sz w:val="28"/>
          <w:szCs w:val="28"/>
        </w:rPr>
        <w:t xml:space="preserve">1.因公出国（境）费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无</w:t>
      </w:r>
      <w:r>
        <w:rPr>
          <w:rFonts w:hint="eastAsia"/>
          <w:b w:val="0"/>
          <w:bCs w:val="0"/>
          <w:sz w:val="28"/>
          <w:szCs w:val="28"/>
        </w:rPr>
        <w:t xml:space="preserve">。</w:t>
      </w:r>
    </w:p>
    <w:p>
      <w:pPr>
        <w:pStyle w:val="Bodytext|2"/>
        <w:tabs>
          <w:tab w:val="left" w:pos="1253"/>
        </w:tabs>
        <w:spacing w:after="0" w:line="629" w:lineRule="exact"/>
        <w:ind w:firstLine="600"/>
        <w:jc w:val="left"/>
        <w:rPr>
          <w:rFonts w:eastAsia="宋体" w:hint="eastAsia"/>
          <w:b w:val="0"/>
          <w:bCs w:val="0"/>
          <w:sz w:val="28"/>
          <w:szCs w:val="28"/>
          <w:lang w:eastAsia="zh-CN"/>
        </w:rPr>
      </w:pPr>
      <w:r>
        <w:rPr>
          <w:rFonts w:hint="eastAsia"/>
          <w:b w:val="0"/>
          <w:bCs w:val="0"/>
          <w:sz w:val="28"/>
          <w:szCs w:val="28"/>
        </w:rPr>
        <w:t xml:space="preserve">2.公务接待费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0.50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增长0.50</w:t>
      </w:r>
      <w:r>
        <w:rPr>
          <w:rFonts w:hint="eastAsia"/>
          <w:b w:val="0"/>
          <w:bCs w:val="0"/>
          <w:sz w:val="28"/>
          <w:szCs w:val="28"/>
        </w:rPr>
        <w:t xml:space="preserve">万元，</w:t>
      </w:r>
      <w:r>
        <w:rPr>
          <w:sz w:val="28"/>
          <w:u w:color="auto"/>
        </w:rPr>
        <w:t xml:space="preserve">增长100%</w:t>
      </w:r>
      <w:r>
        <w:rPr>
          <w:rFonts w:hint="eastAsia"/>
          <w:b w:val="0"/>
          <w:bCs w:val="0"/>
          <w:sz w:val="28"/>
          <w:szCs w:val="28"/>
        </w:rPr>
        <w:t xml:space="preserve">，主要原因是</w:t>
      </w:r>
      <w:r>
        <w:rPr>
          <w:rFonts w:hint="eastAsia"/>
          <w:highlight w:val="none"/>
          <w:lang w:val="en-US" w:eastAsia="zh-CN"/>
        </w:rPr>
        <w:t xml:space="preserve">2024年增加公务接待</w:t>
      </w:r>
      <w:r>
        <w:rPr>
          <w:rFonts w:hint="eastAsia"/>
          <w:b w:val="0"/>
          <w:bCs w:val="0"/>
          <w:sz w:val="28"/>
          <w:szCs w:val="28"/>
        </w:rPr>
        <w:t xml:space="preserve">。</w:t>
      </w:r>
    </w:p>
    <w:p>
      <w:pPr>
        <w:pStyle w:val="Bodytext|2"/>
        <w:tabs>
          <w:tab w:val="left" w:pos="1253"/>
        </w:tabs>
        <w:spacing w:after="0" w:line="629" w:lineRule="exact"/>
        <w:ind w:firstLine="600"/>
        <w:jc w:val="left"/>
        <w:rPr>
          <w:rFonts w:hint="eastAsia"/>
          <w:b w:val="0"/>
          <w:bCs w:val="0"/>
          <w:sz w:val="28"/>
          <w:szCs w:val="28"/>
        </w:rPr>
      </w:pPr>
      <w:r>
        <w:rPr>
          <w:rFonts w:hint="eastAsia"/>
          <w:b w:val="0"/>
          <w:bCs w:val="0"/>
          <w:sz w:val="28"/>
          <w:szCs w:val="28"/>
        </w:rPr>
        <w:t xml:space="preserve">3.公务用车购置及运行费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，其中：</w:t>
      </w:r>
    </w:p>
    <w:p>
      <w:pPr>
        <w:pStyle w:val="Bodytext|2"/>
        <w:tabs>
          <w:tab w:val="left" w:pos="1253"/>
        </w:tabs>
        <w:spacing w:after="0" w:line="629" w:lineRule="exact"/>
        <w:ind w:firstLine="600"/>
        <w:jc w:val="left"/>
        <w:rPr>
          <w:rFonts w:eastAsia="宋体" w:hint="eastAsia"/>
          <w:b w:val="0"/>
          <w:bCs w:val="0"/>
          <w:sz w:val="28"/>
          <w:szCs w:val="28"/>
          <w:lang w:eastAsia="zh-CN"/>
        </w:rPr>
      </w:pPr>
      <w:r>
        <w:rPr>
          <w:rFonts w:hint="eastAsia"/>
          <w:b w:val="0"/>
          <w:bCs w:val="0"/>
          <w:sz w:val="28"/>
          <w:szCs w:val="28"/>
        </w:rPr>
        <w:t xml:space="preserve">公务用车购置费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无</w:t>
      </w:r>
      <w:r>
        <w:rPr>
          <w:rFonts w:hint="eastAsia"/>
          <w:b w:val="0"/>
          <w:bCs w:val="0"/>
          <w:sz w:val="28"/>
          <w:szCs w:val="28"/>
        </w:rPr>
        <w:t xml:space="preserve">。</w:t>
      </w:r>
    </w:p>
    <w:p>
      <w:pPr>
        <w:pStyle w:val="Bodytext|2"/>
        <w:tabs>
          <w:tab w:val="left" w:pos="1253"/>
        </w:tabs>
        <w:spacing w:after="0" w:line="629" w:lineRule="exact"/>
        <w:ind w:firstLine="600"/>
        <w:jc w:val="left"/>
        <w:rPr>
          <w:rFonts w:hint="eastAsia"/>
          <w:b w:val="0"/>
          <w:bCs w:val="0"/>
          <w:sz w:val="28"/>
          <w:szCs w:val="28"/>
        </w:rPr>
      </w:pPr>
      <w:r>
        <w:rPr>
          <w:rFonts w:hint="eastAsia"/>
          <w:b w:val="0"/>
          <w:bCs w:val="0"/>
          <w:sz w:val="28"/>
          <w:szCs w:val="28"/>
        </w:rPr>
        <w:t xml:space="preserve">公务用车运行维护费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无</w:t>
      </w:r>
      <w:r>
        <w:rPr>
          <w:rFonts w:hint="eastAsia"/>
          <w:b w:val="0"/>
          <w:bCs w:val="0"/>
          <w:sz w:val="28"/>
          <w:szCs w:val="28"/>
        </w:rPr>
        <w:t xml:space="preserve">。</w:t>
      </w:r>
    </w:p>
    <w:p>
      <w:pPr>
        <w:pStyle w:val="Bodytext|2"/>
        <w:tabs>
          <w:tab w:val="left" w:pos="1235"/>
        </w:tabs>
        <w:spacing w:after="0" w:line="624" w:lineRule="exact"/>
        <w:ind w:firstLine="580"/>
        <w:jc w:val="left"/>
        <w:rPr>
          <w:b/>
          <w:bCs/>
        </w:rPr>
      </w:pPr>
      <w:r>
        <w:rPr>
          <w:b/>
          <w:bCs/>
        </w:rPr>
        <w:t xml:space="preserve">八</w:t>
      </w:r>
      <w:bookmarkEnd w:id="14"/>
      <w:r>
        <w:rPr>
          <w:b/>
          <w:bCs/>
        </w:rPr>
        <w:t xml:space="preserve">、</w:t>
      </w:r>
      <w:r>
        <w:rPr>
          <w:b/>
          <w:bCs/>
        </w:rPr>
        <w:tab/>
      </w:r>
      <w:r>
        <w:rPr>
          <w:b/>
          <w:bCs/>
        </w:rPr>
        <w:t xml:space="preserve">政府性基金预算支出情况说明</w:t>
      </w:r>
    </w:p>
    <w:p>
      <w:pPr>
        <w:pStyle w:val="Bodytext|1"/>
        <w:spacing w:line="629" w:lineRule="exact"/>
        <w:ind w:firstLine="600"/>
        <w:jc w:val="left"/>
        <w:rPr>
          <w:rFonts w:eastAsia="宋体" w:hint="eastAsia"/>
          <w:lang w:eastAsia="zh-CN"/>
        </w:rPr>
      </w:pPr>
      <w:r>
        <w:rPr>
          <w:rFonts w:hint="eastAsia"/>
        </w:rPr>
        <w:t xml:space="preserve">我部门</w:t>
      </w:r>
      <w:r>
        <w:rPr>
          <w:rFonts w:hint="eastAsia"/>
          <w:b w:val="0"/>
          <w:bCs w:val="0"/>
          <w:sz w:val="28"/>
          <w:szCs w:val="28"/>
          <w:lang w:eastAsia="zh-CN"/>
        </w:rPr>
        <w:t xml:space="preserve">2024</w:t>
      </w:r>
      <w:r>
        <w:rPr>
          <w:rFonts w:hint="eastAsia"/>
        </w:rPr>
        <w:t xml:space="preserve">年政府性基金预算支出共</w:t>
      </w:r>
      <w:r>
        <w:rPr>
          <w:rFonts w:hint="eastAsia"/>
          <w:b w:val="0"/>
          <w:bCs w:val="0"/>
          <w:sz w:val="28"/>
          <w:szCs w:val="28"/>
          <w:lang w:eastAsia="zh-CN"/>
        </w:rPr>
        <w:t xml:space="preserve">0.00</w:t>
      </w:r>
      <w:r>
        <w:rPr>
          <w:rFonts w:hint="eastAsia"/>
        </w:rPr>
        <w:t xml:space="preserve">万元，较2023年度预算数</w:t>
      </w:r>
      <w:r>
        <w:rPr>
          <w:rFonts w:hint="eastAsia"/>
          <w:b w:val="0"/>
          <w:bCs w:val="0"/>
          <w:sz w:val="28"/>
          <w:szCs w:val="28"/>
          <w:lang w:eastAsia="zh-CN"/>
        </w:rPr>
        <w:t xml:space="preserve">0.00</w:t>
      </w:r>
      <w:r>
        <w:rPr>
          <w:rFonts w:hint="eastAsia"/>
        </w:rPr>
        <w:t xml:space="preserve">万元，</w:t>
      </w:r>
      <w:r>
        <w:rPr>
          <w:rFonts w:hint="eastAsia"/>
          <w:b w:val="0"/>
          <w:bCs w:val="0"/>
          <w:sz w:val="28"/>
          <w:szCs w:val="28"/>
          <w:lang w:eastAsia="zh-CN"/>
        </w:rPr>
        <w:t xml:space="preserve">增加0.00</w:t>
      </w:r>
      <w:r>
        <w:rPr>
          <w:rFonts w:hint="eastAsia"/>
        </w:rPr>
        <w:t xml:space="preserve">万元，</w:t>
      </w:r>
      <w:r>
        <w:rPr>
          <w:rFonts w:hint="eastAsia"/>
          <w:b w:val="0"/>
          <w:bCs w:val="0"/>
          <w:sz w:val="28"/>
          <w:szCs w:val="28"/>
          <w:lang w:eastAsia="zh-CN"/>
        </w:rPr>
        <w:t xml:space="preserve">增长0%</w:t>
      </w:r>
      <w:r>
        <w:rPr>
          <w:rFonts w:hint="eastAsia"/>
        </w:rPr>
        <w:t xml:space="preserve">，主要原因是</w:t>
      </w:r>
      <w:r>
        <w:rPr>
          <w:rFonts w:hint="eastAsia"/>
          <w:highlight w:val="none"/>
          <w:lang w:val="en-US" w:eastAsia="zh-CN"/>
        </w:rPr>
        <w:t xml:space="preserve">无</w:t>
      </w:r>
      <w:r>
        <w:rPr>
          <w:rFonts w:hint="eastAsia"/>
        </w:rPr>
        <w:t xml:space="preserve">。</w:t>
      </w:r>
    </w:p>
    <w:p>
      <w:pPr>
        <w:pStyle w:val="Bodytext|2"/>
        <w:tabs>
          <w:tab w:val="left" w:pos="1235"/>
        </w:tabs>
        <w:spacing w:after="0" w:line="624" w:lineRule="exact"/>
        <w:ind w:firstLine="580"/>
        <w:jc w:val="left"/>
        <w:rPr>
          <w:b/>
          <w:bCs/>
        </w:rPr>
      </w:pPr>
      <w:bookmarkStart w:id="15" w:name="bookmark91"/>
      <w:r>
        <w:rPr>
          <w:b/>
          <w:bCs/>
        </w:rPr>
        <w:t xml:space="preserve">九</w:t>
      </w:r>
      <w:bookmarkEnd w:id="15"/>
      <w:r>
        <w:rPr>
          <w:b/>
          <w:bCs/>
        </w:rPr>
        <w:t xml:space="preserve">、</w:t>
      </w:r>
      <w:r>
        <w:rPr>
          <w:b/>
          <w:bCs/>
        </w:rPr>
        <w:tab/>
      </w:r>
      <w:r>
        <w:rPr>
          <w:b/>
          <w:bCs/>
        </w:rPr>
        <w:t xml:space="preserve">国有资本经营预算支出情况说明</w:t>
      </w:r>
    </w:p>
    <w:p>
      <w:pPr>
        <w:pStyle w:val="Bodytext|1"/>
        <w:spacing w:line="437" w:lineRule="auto"/>
        <w:ind w:firstLine="600"/>
        <w:jc w:val="left"/>
        <w:rPr>
          <w:rFonts w:eastAsia="宋体" w:hint="eastAsia"/>
          <w:lang w:eastAsia="zh-CN"/>
        </w:rPr>
      </w:pPr>
      <w:r>
        <w:rPr>
          <w:rFonts w:hint="eastAsia"/>
        </w:rPr>
        <w:t xml:space="preserve">我部门</w:t>
      </w:r>
      <w:r>
        <w:rPr>
          <w:rFonts w:hint="eastAsia"/>
          <w:lang w:eastAsia="zh-CN"/>
        </w:rPr>
        <w:t xml:space="preserve">2024</w:t>
      </w:r>
      <w:r>
        <w:rPr>
          <w:rFonts w:hint="eastAsia"/>
        </w:rPr>
        <w:t xml:space="preserve">年国有资本经营预算支出共</w:t>
      </w:r>
      <w:r>
        <w:rPr>
          <w:rFonts w:hint="eastAsia"/>
          <w:lang w:eastAsia="zh-CN"/>
        </w:rPr>
        <w:t xml:space="preserve">0.00</w:t>
      </w:r>
      <w:r>
        <w:rPr>
          <w:rFonts w:hint="eastAsia"/>
        </w:rPr>
        <w:t xml:space="preserve">万元，较2023年度预算数</w:t>
      </w:r>
      <w:r>
        <w:rPr>
          <w:rFonts w:hint="eastAsia"/>
          <w:lang w:eastAsia="zh-CN"/>
        </w:rPr>
        <w:t xml:space="preserve">0.00</w:t>
      </w:r>
      <w:r>
        <w:rPr>
          <w:rFonts w:hint="eastAsia"/>
        </w:rPr>
        <w:t xml:space="preserve">万元，</w:t>
      </w:r>
      <w:r>
        <w:rPr>
          <w:rFonts w:hint="eastAsia"/>
          <w:lang w:eastAsia="zh-CN"/>
        </w:rPr>
        <w:t xml:space="preserve">增加0.00</w:t>
      </w:r>
      <w:r>
        <w:rPr>
          <w:rFonts w:hint="eastAsia"/>
        </w:rPr>
        <w:t xml:space="preserve">万元，</w:t>
      </w:r>
      <w:r>
        <w:rPr>
          <w:rFonts w:hint="eastAsia"/>
          <w:lang w:eastAsia="zh-CN"/>
        </w:rPr>
        <w:t xml:space="preserve">增长0%</w:t>
      </w:r>
      <w:r>
        <w:rPr>
          <w:rFonts w:hint="eastAsia"/>
        </w:rPr>
        <w:t xml:space="preserve">，主要原因是</w:t>
      </w:r>
      <w:r>
        <w:rPr>
          <w:rFonts w:hint="eastAsia"/>
          <w:lang w:val="en-US" w:eastAsia="zh-CN"/>
        </w:rPr>
        <w:t xml:space="preserve">无</w:t>
      </w:r>
      <w:r>
        <w:rPr>
          <w:rFonts w:hint="eastAsia"/>
        </w:rPr>
        <w:t xml:space="preserve">。</w:t>
      </w:r>
    </w:p>
    <w:p>
      <w:pPr>
        <w:pStyle w:val="Bodytext|2"/>
        <w:tabs>
          <w:tab w:val="left" w:pos="1235"/>
        </w:tabs>
        <w:spacing w:after="0" w:line="624" w:lineRule="exact"/>
        <w:ind w:firstLine="580"/>
        <w:jc w:val="left"/>
        <w:rPr>
          <w:b/>
          <w:bCs/>
        </w:rPr>
      </w:pPr>
      <w:r>
        <w:rPr>
          <w:b/>
          <w:bCs/>
        </w:rPr>
        <w:t xml:space="preserve">十、其他重要事项</w:t>
      </w:r>
      <w:r>
        <w:rPr>
          <w:rFonts w:hint="eastAsia"/>
          <w:b/>
          <w:bCs/>
          <w:lang w:val="en-US" w:eastAsia="zh-CN"/>
        </w:rPr>
        <w:t xml:space="preserve">情况</w:t>
      </w:r>
      <w:r>
        <w:rPr>
          <w:b/>
          <w:bCs/>
        </w:rPr>
        <w:t xml:space="preserve">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（一）机关运行经费安排情况说明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b w:val="0"/>
          <w:bCs w:val="0"/>
          <w:sz w:val="28"/>
          <w:szCs w:val="28"/>
          <w:lang w:eastAsia="zh-CN"/>
        </w:rPr>
        <w:t xml:space="preserve">2024</w:t>
      </w:r>
      <w:r>
        <w:rPr>
          <w:rFonts w:ascii="宋体" w:eastAsia="宋体" w:hAnsi="宋体" w:cs="宋体" w:hint="eastAsia"/>
          <w:sz w:val="28"/>
          <w:szCs w:val="28"/>
          <w:lang w:eastAsia="zh-CN"/>
        </w:rPr>
        <w:t xml:space="preserve">年本部门机关运行经费预算</w:t>
      </w:r>
      <w:r>
        <w:rPr>
          <w:rFonts w:ascii="宋体" w:eastAsia="宋体" w:hAnsi="宋体" w:cs="宋体" w:hint="eastAsia"/>
          <w:sz w:val="28"/>
          <w:szCs w:val="28"/>
          <w:lang w:val="en-US" w:eastAsia="zh-CN"/>
        </w:rPr>
        <w:t xml:space="preserve">40.61</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48.86</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减少8.25</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下降16.88%</w:t>
      </w:r>
      <w:r>
        <w:rPr>
          <w:rFonts w:ascii="宋体" w:eastAsia="宋体" w:hAnsi="宋体" w:cs="宋体" w:hint="eastAsia"/>
          <w:sz w:val="28"/>
          <w:szCs w:val="28"/>
          <w:lang w:eastAsia="zh-CN"/>
        </w:rPr>
        <w:t xml:space="preserve">，主要原因是：</w:t>
      </w:r>
      <w:r>
        <w:rPr>
          <w:rFonts w:hint="eastAsia"/>
          <w:highlight w:val="none"/>
          <w:lang w:val="en-US" w:eastAsia="zh-CN"/>
        </w:rPr>
        <w:t xml:space="preserve">公用经费减少，工会经费减少</w:t>
      </w:r>
      <w:r>
        <w:rPr>
          <w:rFonts w:ascii="宋体" w:eastAsia="宋体" w:hAnsi="宋体" w:cs="宋体" w:hint="eastAsia"/>
          <w:sz w:val="28"/>
          <w:szCs w:val="28"/>
          <w:lang w:eastAsia="zh-CN"/>
        </w:rPr>
        <w:t xml:space="preserve">。</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（二）政府采购预算安排情况说明</w:t>
      </w:r>
    </w:p>
    <w:p>
      <w:pPr>
        <w:pStyle w:val="Bodytext|1"/>
        <w:spacing w:line="624" w:lineRule="exact"/>
        <w:ind w:firstLine="600"/>
        <w:jc w:val="left"/>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我部门2024年政府采购预算总金额</w:t>
      </w:r>
      <w:r>
        <w:rPr>
          <w:rFonts w:hint="eastAsia"/>
          <w:highlight w:val="none"/>
          <w:lang w:val="en-US" w:eastAsia="zh-CN"/>
        </w:rPr>
        <w:t xml:space="preserve">无</w:t>
      </w:r>
      <w:r>
        <w:rPr>
          <w:rFonts w:ascii="宋体" w:eastAsia="宋体" w:hAnsi="宋体" w:cs="宋体" w:hint="eastAsia"/>
          <w:sz w:val="28"/>
          <w:szCs w:val="28"/>
          <w:lang w:eastAsia="zh-CN"/>
        </w:rPr>
        <w:t xml:space="preserve">万元。其中：货物类采购</w:t>
      </w:r>
      <w:r>
        <w:rPr>
          <w:rFonts w:hint="eastAsia"/>
          <w:highlight w:val="none"/>
          <w:lang w:val="en-US" w:eastAsia="zh-CN"/>
        </w:rPr>
        <w:t xml:space="preserve">0</w:t>
      </w:r>
      <w:r>
        <w:rPr>
          <w:rFonts w:ascii="宋体" w:eastAsia="宋体" w:hAnsi="宋体" w:cs="宋体" w:hint="eastAsia"/>
          <w:sz w:val="28"/>
          <w:szCs w:val="28"/>
          <w:lang w:eastAsia="zh-CN"/>
        </w:rPr>
        <w:t xml:space="preserve">万元、工程类采购</w:t>
      </w:r>
      <w:r>
        <w:rPr>
          <w:rFonts w:hint="eastAsia"/>
          <w:highlight w:val="none"/>
          <w:lang w:val="en-US" w:eastAsia="zh-CN"/>
        </w:rPr>
        <w:t xml:space="preserve">0</w:t>
      </w:r>
      <w:r>
        <w:rPr>
          <w:rFonts w:ascii="宋体" w:eastAsia="宋体" w:hAnsi="宋体" w:cs="宋体" w:hint="eastAsia"/>
          <w:sz w:val="28"/>
          <w:szCs w:val="28"/>
          <w:lang w:eastAsia="zh-CN"/>
        </w:rPr>
        <w:t xml:space="preserve">万元、服务类采购</w:t>
      </w:r>
      <w:r>
        <w:rPr>
          <w:rFonts w:hint="eastAsia"/>
          <w:highlight w:val="none"/>
          <w:lang w:val="en-US" w:eastAsia="zh-CN"/>
        </w:rPr>
        <w:t xml:space="preserve">0</w:t>
      </w:r>
      <w:r>
        <w:rPr>
          <w:rFonts w:ascii="宋体" w:eastAsia="宋体" w:hAnsi="宋体" w:cs="宋体" w:hint="eastAsia"/>
          <w:sz w:val="28"/>
          <w:szCs w:val="28"/>
          <w:lang w:eastAsia="zh-CN"/>
        </w:rPr>
        <w:t xml:space="preserve">万元。</w:t>
      </w:r>
      <w:r>
        <w:rPr>
          <w:rFonts w:cs="宋体" w:hint="eastAsia"/>
          <w:sz w:val="28"/>
          <w:szCs w:val="28"/>
          <w:lang w:val="en-US" w:eastAsia="zh-CN"/>
        </w:rPr>
        <w:t xml:space="preserve">主要用于：</w:t>
      </w:r>
      <w:r>
        <w:rPr>
          <w:rFonts w:hint="eastAsia"/>
          <w:highlight w:val="none"/>
          <w:lang w:val="en-US" w:eastAsia="zh-CN"/>
        </w:rPr>
        <w:t xml:space="preserve">0</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（三）国有资产占用情况说明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截至2023年12月31日，本部门共有车辆</w:t>
      </w:r>
      <w:r>
        <w:rPr>
          <w:rFonts w:hint="eastAsia"/>
          <w:highlight w:val="none"/>
          <w:lang w:val="en-US" w:eastAsia="zh-CN"/>
        </w:rPr>
        <w:t xml:space="preserve">0</w:t>
      </w:r>
      <w:r>
        <w:rPr>
          <w:rFonts w:ascii="宋体" w:eastAsia="宋体" w:hAnsi="宋体" w:cs="宋体" w:hint="eastAsia"/>
          <w:sz w:val="28"/>
          <w:szCs w:val="28"/>
          <w:lang w:eastAsia="zh-CN"/>
        </w:rPr>
        <w:t xml:space="preserve">辆，其中，应急机要通信用车</w:t>
      </w:r>
      <w:r>
        <w:rPr>
          <w:rFonts w:hint="eastAsia"/>
          <w:highlight w:val="none"/>
          <w:lang w:val="en-US" w:eastAsia="zh-CN"/>
        </w:rPr>
        <w:t xml:space="preserve">0</w:t>
      </w:r>
      <w:r>
        <w:rPr>
          <w:rFonts w:ascii="宋体" w:eastAsia="宋体" w:hAnsi="宋体" w:cs="宋体" w:hint="eastAsia"/>
          <w:sz w:val="28"/>
          <w:szCs w:val="28"/>
          <w:lang w:eastAsia="zh-CN"/>
        </w:rPr>
        <w:t xml:space="preserve">辆、一般执法执勤用车</w:t>
      </w:r>
      <w:r>
        <w:rPr>
          <w:rFonts w:hint="eastAsia"/>
          <w:highlight w:val="none"/>
          <w:lang w:val="en-US" w:eastAsia="zh-CN"/>
        </w:rPr>
        <w:t xml:space="preserve">0</w:t>
      </w:r>
      <w:r>
        <w:rPr>
          <w:rFonts w:ascii="宋体" w:eastAsia="宋体" w:hAnsi="宋体" w:cs="宋体" w:hint="eastAsia"/>
          <w:sz w:val="28"/>
          <w:szCs w:val="28"/>
          <w:lang w:eastAsia="zh-CN"/>
        </w:rPr>
        <w:t xml:space="preserve">辆、特种专业技术用车</w:t>
      </w:r>
      <w:r>
        <w:rPr>
          <w:rFonts w:hint="eastAsia"/>
          <w:highlight w:val="none"/>
          <w:lang w:val="en-US" w:eastAsia="zh-CN"/>
        </w:rPr>
        <w:t xml:space="preserve">0</w:t>
      </w:r>
      <w:r>
        <w:rPr>
          <w:rFonts w:ascii="宋体" w:eastAsia="宋体" w:hAnsi="宋体" w:cs="宋体" w:hint="eastAsia"/>
          <w:sz w:val="28"/>
          <w:szCs w:val="28"/>
          <w:lang w:eastAsia="zh-CN"/>
        </w:rPr>
        <w:t xml:space="preserve">辆、其他用车</w:t>
      </w:r>
      <w:r>
        <w:rPr>
          <w:rFonts w:hint="eastAsia"/>
          <w:highlight w:val="none"/>
          <w:lang w:val="en-US" w:eastAsia="zh-CN"/>
        </w:rPr>
        <w:t xml:space="preserve">0</w:t>
      </w:r>
      <w:r>
        <w:rPr>
          <w:rFonts w:ascii="宋体" w:eastAsia="宋体" w:hAnsi="宋体" w:cs="宋体" w:hint="eastAsia"/>
          <w:sz w:val="28"/>
          <w:szCs w:val="28"/>
          <w:lang w:eastAsia="zh-CN"/>
        </w:rPr>
        <w:t xml:space="preserve">辆，单位价值200万元以上大型设备</w:t>
      </w:r>
      <w:r>
        <w:rPr>
          <w:rFonts w:hint="eastAsia"/>
          <w:highlight w:val="none"/>
          <w:lang w:val="en-US" w:eastAsia="zh-CN"/>
        </w:rPr>
        <w:t xml:space="preserve">0</w:t>
      </w:r>
      <w:r>
        <w:rPr>
          <w:rFonts w:ascii="宋体" w:eastAsia="宋体" w:hAnsi="宋体" w:cs="宋体" w:hint="eastAsia"/>
          <w:sz w:val="28"/>
          <w:szCs w:val="28"/>
          <w:lang w:eastAsia="zh-CN"/>
        </w:rPr>
        <w:t xml:space="preserve">台（套）。</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（四）预算绩效目标情况说明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1.我部门2024年所有项目支出全面实施绩效目标管理，涉及项目</w:t>
      </w:r>
      <w:r>
        <w:rPr>
          <w:rFonts w:hint="eastAsia"/>
          <w:highlight w:val="none"/>
          <w:lang w:val="en-US" w:eastAsia="zh-CN"/>
        </w:rPr>
        <w:t xml:space="preserve">11</w:t>
      </w:r>
      <w:r>
        <w:rPr>
          <w:rFonts w:ascii="宋体" w:eastAsia="宋体" w:hAnsi="宋体" w:cs="宋体" w:hint="eastAsia"/>
          <w:sz w:val="28"/>
          <w:szCs w:val="28"/>
          <w:lang w:eastAsia="zh-CN"/>
        </w:rPr>
        <w:t xml:space="preserve">个，预算资金</w:t>
      </w:r>
      <w:r>
        <w:rPr>
          <w:rFonts w:hint="eastAsia"/>
          <w:highlight w:val="none"/>
          <w:lang w:val="en-US" w:eastAsia="zh-CN"/>
        </w:rPr>
        <w:t xml:space="preserve">183.797</w:t>
      </w:r>
      <w:r>
        <w:rPr>
          <w:rFonts w:ascii="宋体" w:eastAsia="宋体" w:hAnsi="宋体" w:cs="宋体" w:hint="eastAsia"/>
          <w:sz w:val="28"/>
          <w:szCs w:val="28"/>
          <w:lang w:eastAsia="zh-CN"/>
        </w:rPr>
        <w:t xml:space="preserve">万元。绩效目标情况详见报表（日常运转类项目、工资类人员经费项目和涉密项目等除外）。</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2.重点项目预算绩效目标说明。</w:t>
      </w:r>
    </w:p>
    <w:p>
      <w:pPr>
        <w:pStyle w:val="Bodytext|1"/>
        <w:spacing w:line="624" w:lineRule="exact"/>
        <w:ind w:firstLine="600"/>
        <w:jc w:val="left"/>
        <w:rPr>
          <w:rFonts w:hint="eastAsia"/>
          <w:highlight w:val="none"/>
          <w:lang w:val="en-US" w:eastAsia="zh-CN"/>
        </w:rPr>
      </w:pPr>
      <w:r>
        <w:rPr>
          <w:rFonts w:hint="eastAsia"/>
          <w:highlight w:val="none"/>
          <w:lang w:val="en-US" w:eastAsia="zh-CN"/>
        </w:rPr>
        <w:t xml:space="preserve">项目名称：营林防火生产经费，预算资金4万元；2024年度绩效目标为：2024年底完成；设1条数量指标：防火覆盖公里数≥82.69公里；设1条质量指标：覆盖率＝100%；设1条时效指标：2024年12月31日前完成；设1条成本指标：年度维护成本≤40000元；设1条经济效益指标：效果明显；设1条社会效益指标：效果明显；设1条生态效益指标：效果明显；设一条满意度指标：服务对象满意度=100%</w:t>
      </w:r>
    </w:p>
    <w:p>
      <w:pPr>
        <w:pStyle w:val="Bodytext|1"/>
        <w:spacing w:line="624" w:lineRule="exact"/>
        <w:ind w:firstLine="600"/>
        <w:jc w:val="left"/>
        <w:rPr>
          <w:rFonts w:hint="eastAsia"/>
          <w:highlight w:val="none"/>
          <w:lang w:val="en-US" w:eastAsia="zh-CN"/>
        </w:rPr>
      </w:pPr>
      <w:r>
        <w:rPr>
          <w:rFonts w:hint="eastAsia"/>
          <w:highlight w:val="none"/>
          <w:lang w:val="en-US" w:eastAsia="zh-CN"/>
        </w:rPr>
      </w:r>
    </w:p>
    <w:p>
      <w:pPr>
        <w:pStyle w:val="Bodytext|1"/>
        <w:spacing w:line="624" w:lineRule="exact"/>
        <w:ind w:firstLine="600"/>
        <w:jc w:val="left"/>
        <w:rPr>
          <w:rFonts w:hint="eastAsia"/>
          <w:highlight w:val="none"/>
          <w:lang w:val="en-US" w:eastAsia="zh-CN"/>
        </w:rPr>
      </w:pPr>
      <w:r>
        <w:rPr>
          <w:rFonts w:hint="eastAsia"/>
          <w:highlight w:val="none"/>
          <w:lang w:val="en-US" w:eastAsia="zh-CN"/>
        </w:rPr>
      </w:r>
    </w:p>
    <w:p>
      <w:pPr>
        <w:pStyle w:val="Bodytext|1"/>
        <w:spacing w:line="624" w:lineRule="exact"/>
        <w:ind w:firstLine="600"/>
        <w:jc w:val="left"/>
        <w:rPr>
          <w:rFonts w:hint="eastAsia"/>
          <w:highlight w:val="none"/>
          <w:lang w:val="en-US" w:eastAsia="zh-CN"/>
        </w:rPr>
      </w:pPr>
      <w:r>
        <w:rPr>
          <w:rFonts w:hint="eastAsia"/>
          <w:highlight w:val="none"/>
          <w:lang w:val="en-US" w:eastAsia="zh-CN"/>
        </w:rPr>
      </w:r>
    </w:p>
    <w:p>
      <w:pPr>
        <w:pStyle w:val="Bodytext|1"/>
        <w:spacing w:line="624" w:lineRule="exact"/>
        <w:ind w:firstLine="600"/>
        <w:jc w:val="left"/>
        <w:rPr>
          <w:rFonts w:hint="eastAsia"/>
          <w:highlight w:val="none"/>
          <w:lang w:val="en-US" w:eastAsia="zh-CN"/>
        </w:rPr>
      </w:pPr>
      <w:r>
        <w:rPr>
          <w:rFonts w:hint="eastAsia"/>
          <w:highlight w:val="none"/>
          <w:lang w:val="en-US" w:eastAsia="zh-CN"/>
        </w:rPr>
      </w:r>
    </w:p>
    <w:p>
      <w:pPr>
        <w:pStyle w:val="Bodytext|1"/>
        <w:spacing w:line="624" w:lineRule="exact"/>
        <w:ind w:firstLine="600"/>
        <w:jc w:val="left"/>
        <w:rPr>
          <w:rFonts w:hint="eastAsia"/>
          <w:highlight w:val="none"/>
          <w:lang w:val="en-US" w:eastAsia="zh-CN"/>
        </w:rPr>
      </w:pPr>
    </w:p>
    <w:p>
      <w:pPr>
        <w:pStyle w:val="Bodytext|1"/>
        <w:spacing w:line="624" w:lineRule="exact"/>
        <w:ind w:firstLine="600"/>
        <w:jc w:val="left"/>
        <w:rPr>
          <w:rFonts w:hint="eastAsia"/>
          <w:highlight w:val="none"/>
          <w:lang w:val="en-US" w:eastAsia="zh-CN"/>
        </w:rPr>
      </w:pPr>
    </w:p>
    <w:p>
      <w:pPr>
        <w:pStyle w:val="Bodytext|1"/>
        <w:spacing w:line="624" w:lineRule="exact"/>
        <w:ind w:firstLine="600"/>
        <w:jc w:val="left"/>
        <w:rPr>
          <w:rFonts w:hint="default"/>
          <w:highlight w:val="none"/>
          <w:lang w:val="en-US" w:eastAsia="zh-CN"/>
        </w:rPr>
        <w:sectPr>
          <w:headerReference w:type="default" r:id="rId12"/>
          <w:footerReference w:type="default" r:id="rId13"/>
          <w:pgSz w:w="11900" w:h="16840" w:orient="portrait"/>
          <w:pgMar w:top="1440" w:right="1800" w:bottom="1440" w:left="1800" w:header="0" w:footer="3" w:gutter="0"/>
          <w:pgBorders>
            <w:top w:val="none" w:sz="0" w:space="0" w:color="auto"/>
            <w:left w:val="none" w:sz="0" w:space="0" w:color="auto"/>
            <w:bottom w:val="none" w:sz="0" w:space="0" w:color="auto"/>
            <w:right w:val="none" w:sz="0" w:space="0" w:color="auto"/>
          </w:pgBorders>
          <w:cols w:num="1" w:space="720">
            <w:col w:w="8300" w:space="720"/>
          </w:cols>
          <w:docGrid w:linePitch="360" w:charSpace="0"/>
        </w:sectPr>
      </w:pPr>
    </w:p>
    <w:p>
      <w:pPr>
        <w:pStyle w:val="Heading#1|1"/>
        <w:keepNext/>
        <w:keepLines/>
        <w:spacing w:after="980"/>
        <w:jc w:val="center"/>
        <w:rPr>
          <w:rFonts w:ascii="宋体" w:eastAsia="宋体" w:hAnsi="宋体" w:cs="宋体" w:hint="eastAsia"/>
          <w:b/>
          <w:bCs/>
          <w:sz w:val="36"/>
          <w:szCs w:val="36"/>
        </w:rPr>
      </w:pPr>
      <w:bookmarkEnd w:id="10"/>
      <w:bookmarkEnd w:id="11"/>
      <w:bookmarkEnd w:id="12"/>
      <w:r>
        <w:rPr>
          <w:rFonts w:ascii="宋体" w:eastAsia="宋体" w:hAnsi="宋体" w:cs="宋体" w:hint="eastAsia"/>
          <w:b/>
          <w:bCs/>
          <w:sz w:val="36"/>
          <w:szCs w:val="36"/>
        </w:rPr>
        <w:t xml:space="preserve">第</w:t>
      </w:r>
      <w:r>
        <w:rPr>
          <w:rFonts w:ascii="宋体" w:eastAsia="宋体" w:hAnsi="宋体" w:cs="宋体" w:hint="eastAsia"/>
          <w:b/>
          <w:bCs/>
          <w:sz w:val="36"/>
          <w:szCs w:val="36"/>
          <w:lang w:val="en-US" w:eastAsia="zh-CN"/>
        </w:rPr>
        <w:t xml:space="preserve">三</w:t>
      </w:r>
      <w:r>
        <w:rPr>
          <w:rFonts w:ascii="宋体" w:eastAsia="宋体" w:hAnsi="宋体" w:cs="宋体" w:hint="eastAsia"/>
          <w:b/>
          <w:bCs/>
          <w:sz w:val="36"/>
          <w:szCs w:val="36"/>
        </w:rPr>
        <w:t xml:space="preserve">部分</w:t>
      </w:r>
      <w:r>
        <w:rPr>
          <w:rFonts w:ascii="宋体" w:eastAsia="宋体" w:hAnsi="宋体" w:cs="宋体" w:hint="eastAsia"/>
          <w:b/>
          <w:bCs/>
          <w:sz w:val="36"/>
          <w:szCs w:val="36"/>
          <w:lang w:eastAsia="zh-CN"/>
        </w:rPr>
        <w:t xml:space="preserve">环江毛南族自治县华山林场</w:t>
      </w:r>
      <w:r>
        <w:rPr>
          <w:rFonts w:ascii="宋体" w:eastAsia="宋体" w:hAnsi="宋体" w:cs="宋体"/>
          <w:b/>
          <w:sz w:val="36"/>
          <w:u w:color="auto"/>
        </w:rPr>
        <w:t xml:space="preserve">2024</w:t>
      </w:r>
      <w:r>
        <w:rPr>
          <w:rFonts w:ascii="宋体" w:eastAsia="宋体" w:hAnsi="宋体" w:cs="宋体"/>
          <w:b/>
          <w:sz w:val="36"/>
          <w:u w:color="auto"/>
        </w:rPr>
        <w:t xml:space="preserve">年</w:t>
      </w:r>
      <w:r>
        <w:rPr>
          <w:rFonts w:ascii="宋体" w:eastAsia="宋体" w:hAnsi="宋体" w:cs="宋体" w:hint="eastAsia"/>
          <w:b/>
          <w:bCs/>
          <w:sz w:val="36"/>
          <w:szCs w:val="36"/>
        </w:rPr>
        <w:t xml:space="preserve">部门预算表</w:t>
      </w:r>
    </w:p>
    <w:p>
      <w:pPr>
        <w:pStyle w:val="Heading#2|1"/>
        <w:keepNext/>
        <w:keepLines/>
        <w:spacing w:after="240"/>
        <w:jc w:val="center"/>
      </w:pPr>
      <w:bookmarkStart w:id="16" w:name="bookmark31"/>
      <w:bookmarkStart w:id="17" w:name="bookmark29"/>
      <w:bookmarkStart w:id="18" w:name="bookmark30"/>
      <w:r>
        <w:t xml:space="preserve">收支总体情况表</w:t>
      </w:r>
      <w:bookmarkEnd w:id="16"/>
      <w:bookmarkEnd w:id="17"/>
      <w:bookmarkEnd w:id="18"/>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3339"/>
        <w:gridCol w:w="3760"/>
        <w:gridCol w:w="3542"/>
        <w:gridCol w:w="3571"/>
      </w:tblGrid>
      <w:tr>
        <w:tblPrEx>
          <w:tblW w:w="0" w:type="auto"/>
          <w:tblInd w:w="0" w:type="dxa"/>
          <w:tblLayout w:type="fixed"/>
          <w:tblCellMar>
            <w:top w:w="0" w:type="dxa"/>
            <w:left w:w="10" w:type="dxa"/>
            <w:bottom w:w="0" w:type="dxa"/>
            <w:right w:w="10" w:type="dxa"/>
          </w:tblCellMar>
        </w:tblPrEx>
        <w:trPr>
          <w:trHeight w:hRule="exact" w:val="331"/>
        </w:trPr>
        <w:tc>
          <w:tcPr>
            <w:tcW w:w="10641" w:type="dxa"/>
            <w:gridSpan w:val="3"/>
            <w:tcBorders>
              <w:bottom w:val="single" w:sz="4" w:space="0" w:color="auto"/>
            </w:tcBorders>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环江毛南族自治县华山林场</w:t>
            </w:r>
          </w:p>
        </w:tc>
        <w:tc>
          <w:tcPr>
            <w:tcW w:w="3571" w:type="dxa"/>
            <w:tcBorders>
              <w:bottom w:val="single" w:sz="4" w:space="0" w:color="auto"/>
            </w:tcBorders>
            <w:shd w:val="clear" w:color="auto" w:fill="FFFFFF"/>
          </w:tcPr>
          <w:p>
            <w:pPr>
              <w:pStyle w:val="Other|1"/>
              <w:spacing w:line="240" w:lineRule="auto"/>
              <w:ind w:firstLine="2380" w:firstLineChars="14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456"/>
        </w:trPr>
        <w:tc>
          <w:tcPr>
            <w:tcW w:w="7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2890" w:firstLineChars="1700"/>
              <w:jc w:val="both"/>
              <w:rPr>
                <w:sz w:val="17"/>
                <w:szCs w:val="17"/>
              </w:rPr>
            </w:pPr>
            <w:r>
              <w:rPr>
                <w:sz w:val="17"/>
                <w:szCs w:val="17"/>
              </w:rPr>
              <w:t xml:space="preserve">收入</w:t>
            </w:r>
          </w:p>
        </w:tc>
        <w:tc>
          <w:tcPr>
            <w:tcW w:w="7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2890" w:firstLineChars="1700"/>
              <w:jc w:val="both"/>
              <w:rPr>
                <w:sz w:val="17"/>
                <w:szCs w:val="17"/>
              </w:rPr>
            </w:pPr>
            <w:r>
              <w:rPr>
                <w:sz w:val="17"/>
                <w:szCs w:val="17"/>
              </w:rPr>
              <w:t xml:space="preserve">支出</w:t>
            </w:r>
          </w:p>
        </w:tc>
      </w:tr>
      <w:tr>
        <w:tblPrEx>
          <w:tblW w:w="0" w:type="auto"/>
          <w:tblInd w:w="0" w:type="dxa"/>
          <w:tblLayout w:type="fixed"/>
          <w:tblCellMar>
            <w:top w:w="0" w:type="dxa"/>
            <w:left w:w="10" w:type="dxa"/>
            <w:bottom w:w="0" w:type="dxa"/>
            <w:right w:w="10" w:type="dxa"/>
          </w:tblCellMar>
        </w:tblPrEx>
        <w:trPr>
          <w:trHeight w:hRule="exact" w:val="432"/>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项目</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sz w:val="17"/>
                <w:szCs w:val="17"/>
              </w:rPr>
            </w:pPr>
            <w:r>
              <w:rPr>
                <w:sz w:val="17"/>
                <w:szCs w:val="17"/>
              </w:rPr>
              <w:t xml:space="preserve">项</w:t>
            </w:r>
            <w:r>
              <w:rPr>
                <w:sz w:val="17"/>
                <w:szCs w:val="17"/>
              </w:rPr>
              <w:tab/>
            </w:r>
            <w:r>
              <w:rPr>
                <w:sz w:val="17"/>
                <w:szCs w:val="17"/>
              </w:rPr>
              <w:t xml:space="preserve">目（按支出功能科目分类）</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一、一般公共预算拨款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1716.11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一、一般公共服务支出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13.61</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152.30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二、外交支出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1563.81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三、国防支出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二、政府性基金预算拨款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四、公共安全支出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五、教育支出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六、科学技术支出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三、国有资本经营预算拨款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七、文化旅游体育与传媒支出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八、社会保障和就业支出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161.56</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九、卫生健康支出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四、财政专户管理资金收入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十、节能环保支出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五、事业收入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十一、城乡社区支出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六、事业单位经营收入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十二、农林水支出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1401.16</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七、上级补助收入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十三、交通运输支出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八、附属单位上缴收入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十四、资源勘探工业信息等支出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九、其他收入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十五、商业服务业等支出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十六、金融支出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十七、援助其他地区支出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十八、自然资源海洋气象等支出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十九、住房保障支出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139.78</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二十、粮油物资储备支出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二十一、国有资本经营预算支出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二十二、灾害防治及应急管理支出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二十三、其他支出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二十四、债务还本支出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二十五、债务付息支出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二十六、债务发行费用支出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本年收入合计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1716.11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本年支出合计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1716.11</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上年结转结余</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结转下年支出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收入总计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1716.11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支出总计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1716.11</w:t>
            </w:r>
          </w:p>
        </w:tc>
      </w:tr>
    </w:tbl>
    <w:p>
      <w:pPr>
        <w:pStyle w:val="Tablecaption|1"/>
        <w:ind w:left="101"/>
        <w:jc w:val="left"/>
      </w:pPr>
      <w:r>
        <w:t xml:space="preserve">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w:type="default" r:id="rId14"/>
          <w:footerReference w:type="default" r:id="rId15"/>
          <w:pgSz w:w="16840" w:h="11900" w:orient="landscape"/>
          <w:pgMar w:top="2397" w:right="761" w:bottom="1966" w:left="739" w:header="0" w:footer="3" w:gutter="0"/>
          <w:pgBorders>
            <w:top w:val="none" w:sz="0" w:space="0" w:color="auto"/>
            <w:left w:val="none" w:sz="0" w:space="0" w:color="auto"/>
            <w:bottom w:val="none" w:sz="0" w:space="0" w:color="auto"/>
            <w:right w:val="none" w:sz="0" w:space="0" w:color="auto"/>
          </w:pgBorders>
          <w:cols w:num="1" w:space="720">
            <w:col w:w="15340" w:space="720"/>
          </w:cols>
          <w:docGrid w:linePitch="360" w:charSpace="0"/>
        </w:sectPr>
      </w:pPr>
    </w:p>
    <w:p>
      <w:pPr>
        <w:tabs>
          <w:tab w:val="left" w:pos="859"/>
        </w:tabs>
        <w:jc w:val="left"/>
        <w:rPr>
          <w:rFonts w:eastAsia="宋体"/>
          <w:lang w:eastAsia="zh-CN"/>
        </w:rPr>
      </w:pPr>
    </w:p>
    <w:p>
      <w:pPr>
        <w:tabs>
          <w:tab w:val="left" w:pos="859"/>
        </w:tabs>
        <w:jc w:val="center"/>
        <w:rPr>
          <w:rFonts w:eastAsia="宋体" w:hint="eastAsia"/>
          <w:lang w:val="en-US" w:eastAsia="zh-CN"/>
        </w:rPr>
      </w:pPr>
    </w:p>
    <w:p>
      <w:pPr>
        <w:tabs>
          <w:tab w:val="left" w:pos="859"/>
        </w:tabs>
        <w:jc w:val="center"/>
        <w:rPr>
          <w:rFonts w:eastAsia="宋体" w:hint="eastAsia"/>
          <w:lang w:val="en-US" w:eastAsia="zh-CN"/>
        </w:rPr>
      </w:pPr>
      <w:r>
        <w:rPr>
          <w:rFonts w:eastAsia="宋体" w:hint="eastAsia"/>
          <w:lang w:val="en-US" w:eastAsia="zh-CN"/>
        </w:rPr>
        <w:t xml:space="preserve">收入总体情况表</w:t>
      </w:r>
    </w:p>
    <w:p>
      <w:pPr>
        <w:tabs>
          <w:tab w:val="left" w:pos="859"/>
        </w:tabs>
        <w:jc w:val="center"/>
        <w:rPr>
          <w:rFonts w:eastAsia="宋体" w:hint="eastAsia"/>
          <w:lang w:val="en-US"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1161"/>
        <w:gridCol w:w="1031"/>
        <w:gridCol w:w="844"/>
        <w:gridCol w:w="856"/>
        <w:gridCol w:w="1035"/>
        <w:gridCol w:w="1011"/>
        <w:gridCol w:w="859"/>
        <w:gridCol w:w="944"/>
        <w:gridCol w:w="150"/>
        <w:gridCol w:w="872"/>
        <w:gridCol w:w="1054"/>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70"/>
        </w:trPr>
        <w:tc>
          <w:tcPr>
            <w:tcW w:w="13481" w:type="dxa"/>
            <w:gridSpan w:val="13"/>
            <w:tcBorders>
              <w:top w:val="nil"/>
              <w:left w:val="nil"/>
              <w:right w:val="nil"/>
            </w:tcBorders>
          </w:tcPr>
          <w:p>
            <w:pPr>
              <w:pStyle w:val="Tablecaption|1"/>
              <w:jc w:val="both"/>
              <w:rPr>
                <w:rFonts w:hint="eastAsia"/>
                <w:lang w:val="en-US" w:eastAsia="zh-CN"/>
              </w:rPr>
            </w:pPr>
            <w:r>
              <w:rPr>
                <w:sz w:val="17"/>
                <w:szCs w:val="17"/>
              </w:rPr>
              <w:t xml:space="preserve">单位名称：</w:t>
            </w:r>
            <w:r>
              <w:rPr>
                <w:rFonts w:hint="eastAsia"/>
                <w:sz w:val="17"/>
                <w:szCs w:val="17"/>
                <w:lang w:eastAsia="zh-CN"/>
              </w:rPr>
              <w:t xml:space="preserve">环江毛南族自治县华山林场</w:t>
            </w:r>
            <w:r>
              <w:rPr>
                <w:rFonts w:hint="eastAsia"/>
                <w:lang w:val="en-US" w:eastAsia="zh-CN"/>
              </w:rPr>
              <w:t xml:space="preserve">                                                                                  </w:t>
            </w:r>
          </w:p>
        </w:tc>
        <w:tc>
          <w:tcPr>
            <w:tcW w:w="2076" w:type="dxa"/>
            <w:gridSpan w:val="3"/>
            <w:tcBorders>
              <w:top w:val="nil"/>
              <w:left w:val="nil"/>
              <w:right w:val="nil"/>
            </w:tcBorders>
          </w:tcPr>
          <w:p>
            <w:pPr>
              <w:pStyle w:val="Tablecaption|1"/>
              <w:ind w:firstLine="340" w:firstLineChars="200"/>
              <w:jc w:val="left"/>
              <w:rPr>
                <w:rFonts w:hint="eastAsia"/>
                <w:lang w:val="en-US" w:eastAsia="zh-CN"/>
              </w:rPr>
            </w:pPr>
            <w:r>
              <w:rPr>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Merge w:val="restart"/>
          </w:tcPr>
          <w:p>
            <w:pPr>
              <w:tabs>
                <w:tab w:val="left" w:pos="859"/>
              </w:tabs>
              <w:jc w:val="both"/>
              <w:rPr>
                <w:rFonts w:eastAsia="宋体" w:hint="eastAsia"/>
                <w:vertAlign w:val="baseline"/>
                <w:lang w:val="en-US" w:eastAsia="zh-CN"/>
              </w:rPr>
            </w:pPr>
            <w:r>
              <w:rPr>
                <w:sz w:val="17"/>
                <w:szCs w:val="17"/>
              </w:rPr>
              <w:t xml:space="preserve">部门（单位）代码</w:t>
            </w:r>
          </w:p>
        </w:tc>
        <w:tc>
          <w:tcPr>
            <w:tcW w:w="1279" w:type="dxa"/>
            <w:vMerge w:val="restart"/>
          </w:tcPr>
          <w:p>
            <w:pPr>
              <w:tabs>
                <w:tab w:val="left" w:pos="859"/>
              </w:tabs>
              <w:jc w:val="both"/>
              <w:rPr>
                <w:rFonts w:eastAsia="宋体" w:hint="eastAsia"/>
                <w:vertAlign w:val="baseline"/>
                <w:lang w:val="en-US" w:eastAsia="zh-CN"/>
              </w:rPr>
            </w:pPr>
            <w:r>
              <w:rPr>
                <w:sz w:val="17"/>
                <w:szCs w:val="17"/>
              </w:rPr>
              <w:t xml:space="preserve">部门（单位）名称</w:t>
            </w:r>
          </w:p>
        </w:tc>
        <w:tc>
          <w:tcPr>
            <w:tcW w:w="990" w:type="dxa"/>
            <w:vMerge w:val="restart"/>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合</w:t>
            </w:r>
            <w:r>
              <w:rPr>
                <w:sz w:val="17"/>
                <w:szCs w:val="17"/>
              </w:rPr>
              <w:t xml:space="preserve">计</w:t>
            </w:r>
          </w:p>
        </w:tc>
        <w:tc>
          <w:tcPr>
            <w:tcW w:w="4871" w:type="dxa"/>
            <w:gridSpan w:val="5"/>
          </w:tcPr>
          <w:p>
            <w:pPr>
              <w:tabs>
                <w:tab w:val="left" w:pos="859"/>
              </w:tabs>
              <w:jc w:val="both"/>
              <w:rPr>
                <w:rFonts w:eastAsia="宋体" w:hint="eastAsia"/>
                <w:vertAlign w:val="baseline"/>
                <w:lang w:val="en-US" w:eastAsia="zh-CN"/>
              </w:rPr>
            </w:pPr>
            <w:r>
              <w:rPr>
                <w:sz w:val="17"/>
                <w:szCs w:val="17"/>
              </w:rPr>
              <w:t xml:space="preserve">本年收入</w:t>
            </w:r>
          </w:p>
        </w:tc>
        <w:tc>
          <w:tcPr>
            <w:tcW w:w="6781" w:type="dxa"/>
            <w:gridSpan w:val="8"/>
          </w:tcPr>
          <w:p>
            <w:pPr>
              <w:tabs>
                <w:tab w:val="left" w:pos="859"/>
              </w:tabs>
              <w:jc w:val="both"/>
              <w:rPr>
                <w:rFonts w:eastAsia="宋体" w:hint="eastAsia"/>
                <w:vertAlign w:val="baseline"/>
                <w:lang w:val="en-US" w:eastAsia="zh-CN"/>
              </w:rPr>
            </w:pPr>
            <w:r>
              <w:rPr>
                <w:sz w:val="17"/>
                <w:szCs w:val="17"/>
              </w:rPr>
              <w:t xml:space="preserve">上年结转结余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58"/>
        </w:trPr>
        <w:tc>
          <w:tcPr>
            <w:tcW w:w="1636" w:type="dxa"/>
            <w:vMerge/>
          </w:tcPr>
          <w:p>
            <w:pPr>
              <w:tabs>
                <w:tab w:val="left" w:pos="859"/>
              </w:tabs>
              <w:jc w:val="both"/>
              <w:rPr>
                <w:rFonts w:eastAsia="宋体" w:hint="eastAsia"/>
                <w:vertAlign w:val="baseline"/>
                <w:lang w:val="en-US" w:eastAsia="zh-CN"/>
              </w:rPr>
            </w:pPr>
          </w:p>
        </w:tc>
        <w:tc>
          <w:tcPr>
            <w:tcW w:w="1279" w:type="dxa"/>
            <w:vMerge/>
          </w:tcPr>
          <w:p>
            <w:pPr>
              <w:tabs>
                <w:tab w:val="left" w:pos="859"/>
              </w:tabs>
              <w:jc w:val="both"/>
              <w:rPr>
                <w:rFonts w:eastAsia="宋体" w:hint="eastAsia"/>
                <w:vertAlign w:val="baseline"/>
                <w:lang w:val="en-US" w:eastAsia="zh-CN"/>
              </w:rPr>
            </w:pPr>
          </w:p>
        </w:tc>
        <w:tc>
          <w:tcPr>
            <w:tcW w:w="990" w:type="dxa"/>
            <w:vMerge/>
            <w:vAlign w:val="center"/>
          </w:tcPr>
          <w:p>
            <w:pPr>
              <w:pStyle w:val="Other|1"/>
              <w:spacing w:line="240" w:lineRule="auto"/>
              <w:ind w:firstLine="300" w:firstLineChars="0"/>
              <w:jc w:val="left"/>
              <w:rPr>
                <w:rFonts w:eastAsia="宋体" w:hint="eastAsia"/>
                <w:vertAlign w:val="baseline"/>
                <w:lang w:val="en-US" w:eastAsia="zh-CN"/>
              </w:rPr>
            </w:pP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sz w:val="17"/>
                <w:szCs w:val="17"/>
              </w:rPr>
              <w:t xml:space="preserve">小计</w:t>
            </w:r>
          </w:p>
        </w:tc>
        <w:tc>
          <w:tcPr>
            <w:tcW w:w="909"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一般公共预算</w:t>
            </w:r>
          </w:p>
        </w:tc>
        <w:tc>
          <w:tcPr>
            <w:tcW w:w="116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政府性基金预算</w:t>
            </w:r>
          </w:p>
        </w:tc>
        <w:tc>
          <w:tcPr>
            <w:tcW w:w="103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国有资本经营预算</w:t>
            </w:r>
          </w:p>
        </w:tc>
        <w:tc>
          <w:tcPr>
            <w:tcW w:w="844" w:type="dxa"/>
          </w:tcPr>
          <w:p>
            <w:pPr>
              <w:pStyle w:val="Other|1"/>
              <w:spacing w:line="312" w:lineRule="exact"/>
              <w:ind w:firstLine="0"/>
              <w:jc w:val="left"/>
              <w:rPr>
                <w:sz w:val="17"/>
                <w:szCs w:val="17"/>
              </w:rPr>
            </w:pPr>
            <w:r>
              <w:rPr>
                <w:sz w:val="17"/>
                <w:szCs w:val="17"/>
              </w:rPr>
              <w:t xml:space="preserve">财政专户管理资金</w:t>
            </w:r>
          </w:p>
          <w:p>
            <w:pPr>
              <w:pStyle w:val="Other|1"/>
              <w:spacing w:line="312" w:lineRule="exact"/>
              <w:ind w:firstLine="0" w:firstLineChars="0"/>
              <w:jc w:val="left"/>
              <w:rPr>
                <w:rFonts w:eastAsia="宋体" w:hint="eastAsia"/>
                <w:vertAlign w:val="baseline"/>
                <w:lang w:val="en-US" w:eastAsia="zh-CN"/>
              </w:rPr>
            </w:pPr>
            <w:r>
              <w:rPr>
                <w:sz w:val="17"/>
                <w:szCs w:val="17"/>
              </w:rPr>
              <w:t xml:space="preserve">收入</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sz w:val="17"/>
                <w:szCs w:val="17"/>
              </w:rPr>
              <w:t xml:space="preserve">单位资金</w:t>
            </w:r>
          </w:p>
        </w:tc>
        <w:tc>
          <w:tcPr>
            <w:tcW w:w="1035" w:type="dxa"/>
            <w:vAlign w:val="center"/>
          </w:tcPr>
          <w:p>
            <w:pPr>
              <w:pStyle w:val="Other|1"/>
              <w:spacing w:line="240" w:lineRule="auto"/>
              <w:ind w:firstLine="300" w:firstLineChars="0"/>
              <w:jc w:val="left"/>
              <w:rPr>
                <w:rFonts w:eastAsia="宋体" w:hint="eastAsia"/>
                <w:vertAlign w:val="baseline"/>
                <w:lang w:val="en-US" w:eastAsia="zh-CN"/>
              </w:rPr>
            </w:pPr>
            <w:r>
              <w:rPr>
                <w:sz w:val="17"/>
                <w:szCs w:val="17"/>
              </w:rPr>
              <w:t xml:space="preserve">小计</w:t>
            </w:r>
          </w:p>
        </w:tc>
        <w:tc>
          <w:tcPr>
            <w:tcW w:w="101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一般公共预算</w:t>
            </w:r>
          </w:p>
        </w:tc>
        <w:tc>
          <w:tcPr>
            <w:tcW w:w="859"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政府性基金预算</w:t>
            </w:r>
          </w:p>
        </w:tc>
        <w:tc>
          <w:tcPr>
            <w:tcW w:w="1094" w:type="dxa"/>
            <w:gridSpan w:val="2"/>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国有资本经营预算</w:t>
            </w:r>
          </w:p>
        </w:tc>
        <w:tc>
          <w:tcPr>
            <w:tcW w:w="872" w:type="dxa"/>
          </w:tcPr>
          <w:p>
            <w:pPr>
              <w:pStyle w:val="Other|1"/>
              <w:spacing w:line="312" w:lineRule="exact"/>
              <w:ind w:firstLine="0"/>
              <w:jc w:val="left"/>
              <w:rPr>
                <w:sz w:val="17"/>
                <w:szCs w:val="17"/>
              </w:rPr>
            </w:pPr>
            <w:r>
              <w:rPr>
                <w:sz w:val="17"/>
                <w:szCs w:val="17"/>
              </w:rPr>
              <w:t xml:space="preserve">财政专户管理资金</w:t>
            </w:r>
          </w:p>
          <w:p>
            <w:pPr>
              <w:pStyle w:val="Other|1"/>
              <w:spacing w:line="312" w:lineRule="exact"/>
              <w:ind w:right="280" w:firstLine="0" w:rightChars="0" w:firstLineChars="0"/>
              <w:jc w:val="left"/>
              <w:rPr>
                <w:rFonts w:eastAsia="宋体" w:hint="eastAsia"/>
                <w:vertAlign w:val="baseline"/>
                <w:lang w:val="en-US" w:eastAsia="zh-CN"/>
              </w:rPr>
            </w:pPr>
            <w:r>
              <w:rPr>
                <w:sz w:val="17"/>
                <w:szCs w:val="17"/>
              </w:rPr>
              <w:t xml:space="preserve">收入</w:t>
            </w:r>
          </w:p>
        </w:tc>
        <w:tc>
          <w:tcPr>
            <w:tcW w:w="1054" w:type="dxa"/>
            <w:vAlign w:val="center"/>
          </w:tcPr>
          <w:p>
            <w:pPr>
              <w:pStyle w:val="Other|1"/>
              <w:spacing w:line="240" w:lineRule="auto"/>
              <w:ind w:firstLine="140" w:firstLineChars="0"/>
              <w:jc w:val="left"/>
              <w:rPr>
                <w:rFonts w:eastAsia="宋体" w:hint="eastAsia"/>
                <w:vertAlign w:val="baseline"/>
                <w:lang w:val="en-US" w:eastAsia="zh-CN"/>
              </w:rPr>
            </w:pPr>
            <w:r>
              <w:rPr>
                <w:sz w:val="17"/>
                <w:szCs w:val="17"/>
              </w:rPr>
              <w:t xml:space="preserve">单位资金</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tcPr>
          <w:p>
            <w:pPr>
              <w:tabs>
                <w:tab w:val="left" w:pos="859"/>
              </w:tabs>
              <w:jc w:val="both"/>
              <w:rPr>
                <w:rFonts w:eastAsia="宋体" w:hint="eastAsia"/>
                <w:vertAlign w:val="baseline"/>
                <w:lang w:val="en-US" w:eastAsia="zh-CN"/>
              </w:rPr>
            </w:pPr>
          </w:p>
        </w:tc>
        <w:tc>
          <w:tcPr>
            <w:tcW w:w="1279" w:type="dxa"/>
          </w:tcPr>
          <w:p>
            <w:pPr>
              <w:tabs>
                <w:tab w:val="left" w:pos="859"/>
              </w:tabs>
              <w:jc w:val="both"/>
              <w:rPr>
                <w:rFonts w:eastAsia="宋体" w:hint="eastAsia"/>
                <w:vertAlign w:val="baseline"/>
                <w:lang w:val="en-US" w:eastAsia="zh-CN"/>
              </w:rPr>
            </w:pPr>
          </w:p>
        </w:tc>
        <w:tc>
          <w:tcPr>
            <w:tcW w:w="990"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w:t>
            </w:r>
          </w:p>
        </w:tc>
        <w:tc>
          <w:tcPr>
            <w:tcW w:w="92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2</w:t>
            </w:r>
          </w:p>
        </w:tc>
        <w:tc>
          <w:tcPr>
            <w:tcW w:w="90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3</w:t>
            </w:r>
          </w:p>
        </w:tc>
        <w:tc>
          <w:tcPr>
            <w:tcW w:w="1161"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4</w:t>
            </w:r>
          </w:p>
        </w:tc>
        <w:tc>
          <w:tcPr>
            <w:tcW w:w="1031"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5</w:t>
            </w:r>
          </w:p>
        </w:tc>
        <w:tc>
          <w:tcPr>
            <w:tcW w:w="844"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6</w:t>
            </w:r>
          </w:p>
        </w:tc>
        <w:tc>
          <w:tcPr>
            <w:tcW w:w="856"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7</w:t>
            </w:r>
          </w:p>
        </w:tc>
        <w:tc>
          <w:tcPr>
            <w:tcW w:w="1035"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8</w:t>
            </w:r>
          </w:p>
        </w:tc>
        <w:tc>
          <w:tcPr>
            <w:tcW w:w="1011"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9</w:t>
            </w:r>
          </w:p>
        </w:tc>
        <w:tc>
          <w:tcPr>
            <w:tcW w:w="859" w:type="dxa"/>
            <w:vAlign w:val="center"/>
          </w:tcPr>
          <w:p>
            <w:pPr>
              <w:pStyle w:val="Other|1"/>
              <w:spacing w:line="240" w:lineRule="auto"/>
              <w:ind w:right="36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10</w:t>
            </w:r>
          </w:p>
        </w:tc>
        <w:tc>
          <w:tcPr>
            <w:tcW w:w="1094" w:type="dxa"/>
            <w:gridSpan w:val="2"/>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11</w:t>
            </w:r>
          </w:p>
        </w:tc>
        <w:tc>
          <w:tcPr>
            <w:tcW w:w="872" w:type="dxa"/>
            <w:vAlign w:val="center"/>
          </w:tcPr>
          <w:p>
            <w:pPr>
              <w:pStyle w:val="Other|1"/>
              <w:spacing w:line="240" w:lineRule="auto"/>
              <w:ind w:right="38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12</w:t>
            </w:r>
          </w:p>
        </w:tc>
        <w:tc>
          <w:tcPr>
            <w:tcW w:w="1054" w:type="dxa"/>
            <w:vAlign w:val="center"/>
          </w:tcPr>
          <w:p>
            <w:pPr>
              <w:pStyle w:val="Other|1"/>
              <w:spacing w:line="240" w:lineRule="auto"/>
              <w:ind w:right="42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 </w:t>
            </w:r>
          </w:p>
        </w:tc>
        <w:tc>
          <w:tcPr>
            <w:tcW w:w="1279" w:type="dxa"/>
          </w:tcPr>
          <w:p>
            <w:pPr>
              <w:pStyle w:val="Other|1"/>
              <w:spacing w:line="326" w:lineRule="exact"/>
              <w:ind w:firstLine="0" w:firstLineChars="0"/>
              <w:jc w:val="left"/>
              <w:rPr>
                <w:rFonts w:eastAsia="宋体" w:hint="eastAsia"/>
                <w:vertAlign w:val="baseline"/>
                <w:lang w:val="en-US" w:eastAsia="zh-CN"/>
              </w:rPr>
            </w:pPr>
            <w:r>
              <w:rPr>
                <w:rFonts w:hint="eastAsia"/>
                <w:sz w:val="17"/>
                <w:szCs w:val="17"/>
                <w:lang w:val="en-US" w:eastAsia="zh-CN"/>
              </w:rPr>
              <w:t xml:space="preserve">合计</w:t>
            </w:r>
          </w:p>
        </w:tc>
        <w:tc>
          <w:tcPr>
            <w:tcW w:w="990"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1716.11</w:t>
            </w: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1716.11</w:t>
            </w:r>
          </w:p>
        </w:tc>
        <w:tc>
          <w:tcPr>
            <w:tcW w:w="909" w:type="dxa"/>
            <w:vAlign w:val="center"/>
          </w:tcPr>
          <w:p>
            <w:pPr>
              <w:pStyle w:val="Other|1"/>
              <w:spacing w:line="240" w:lineRule="auto"/>
              <w:ind w:firstLine="2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1716.11</w:t>
            </w:r>
          </w:p>
        </w:tc>
        <w:tc>
          <w:tcPr>
            <w:tcW w:w="1161" w:type="dxa"/>
            <w:vAlign w:val="center"/>
          </w:tcPr>
          <w:p>
            <w:pPr>
              <w:pStyle w:val="Other|1"/>
              <w:spacing w:line="240" w:lineRule="auto"/>
              <w:ind w:firstLine="520" w:firstLineChars="0"/>
              <w:jc w:val="left"/>
              <w:rPr>
                <w:rFonts w:eastAsia="宋体" w:hint="eastAsia"/>
                <w:vertAlign w:val="baseline"/>
                <w:lang w:val="en-US" w:eastAsia="zh-CN"/>
              </w:rPr>
            </w:pPr>
            <w:r>
              <w:rPr>
                <w:rFonts w:hint="eastAsia"/>
                <w:sz w:val="17"/>
                <w:szCs w:val="17"/>
                <w:lang w:val="en-US" w:eastAsia="zh-CN"/>
              </w:rPr>
              <w:t xml:space="preserve">0.00</w:t>
            </w:r>
          </w:p>
        </w:tc>
        <w:tc>
          <w:tcPr>
            <w:tcW w:w="103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44"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35" w:type="dxa"/>
            <w:vAlign w:val="center"/>
          </w:tcPr>
          <w:p>
            <w:pPr>
              <w:pStyle w:val="Other|1"/>
              <w:spacing w:line="240" w:lineRule="auto"/>
              <w:ind w:firstLine="52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1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5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94" w:type="dxa"/>
            <w:gridSpan w:val="2"/>
            <w:vAlign w:val="center"/>
          </w:tcPr>
          <w:p>
            <w:pPr>
              <w:pStyle w:val="Other|1"/>
              <w:spacing w:line="240" w:lineRule="auto"/>
              <w:ind w:firstLine="5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72"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54" w:type="dxa"/>
            <w:vAlign w:val="center"/>
          </w:tcPr>
          <w:p>
            <w:pPr>
              <w:pStyle w:val="Other|1"/>
              <w:spacing w:line="240" w:lineRule="auto"/>
              <w:ind w:firstLine="54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512001</w:t>
            </w:r>
          </w:p>
        </w:tc>
        <w:tc>
          <w:tcPr>
            <w:tcW w:w="1279" w:type="dxa"/>
          </w:tcPr>
          <w:p>
            <w:pPr>
              <w:pStyle w:val="Other|1"/>
              <w:spacing w:line="326" w:lineRule="exact"/>
              <w:ind w:firstLine="0" w:firstLineChars="0"/>
              <w:jc w:val="left"/>
              <w:rPr>
                <w:rFonts w:eastAsia="宋体" w:hint="eastAsia"/>
                <w:vertAlign w:val="baseline"/>
                <w:lang w:val="en-US" w:eastAsia="zh-CN"/>
              </w:rPr>
            </w:pPr>
          </w:p>
        </w:tc>
        <w:tc>
          <w:tcPr>
            <w:tcW w:w="990"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1716.11</w:t>
            </w: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1716.11</w:t>
            </w:r>
          </w:p>
        </w:tc>
        <w:tc>
          <w:tcPr>
            <w:tcW w:w="909" w:type="dxa"/>
            <w:vAlign w:val="center"/>
          </w:tcPr>
          <w:p>
            <w:pPr>
              <w:pStyle w:val="Other|1"/>
              <w:spacing w:line="240" w:lineRule="auto"/>
              <w:ind w:firstLine="2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1716.11</w:t>
            </w:r>
          </w:p>
        </w:tc>
        <w:tc>
          <w:tcPr>
            <w:tcW w:w="1161" w:type="dxa"/>
            <w:vAlign w:val="center"/>
          </w:tcPr>
          <w:p>
            <w:pPr>
              <w:pStyle w:val="Other|1"/>
              <w:spacing w:line="240" w:lineRule="auto"/>
              <w:ind w:firstLine="520" w:firstLineChars="0"/>
              <w:jc w:val="left"/>
              <w:rPr>
                <w:rFonts w:eastAsia="宋体" w:hint="eastAsia"/>
                <w:vertAlign w:val="baseline"/>
                <w:lang w:val="en-US" w:eastAsia="zh-CN"/>
              </w:rPr>
            </w:pPr>
            <w:r>
              <w:rPr>
                <w:rFonts w:hint="eastAsia"/>
                <w:sz w:val="17"/>
                <w:szCs w:val="17"/>
                <w:lang w:val="en-US" w:eastAsia="zh-CN"/>
              </w:rPr>
              <w:t xml:space="preserve">0.00</w:t>
            </w:r>
          </w:p>
        </w:tc>
        <w:tc>
          <w:tcPr>
            <w:tcW w:w="103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44"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35" w:type="dxa"/>
            <w:vAlign w:val="center"/>
          </w:tcPr>
          <w:p>
            <w:pPr>
              <w:pStyle w:val="Other|1"/>
              <w:spacing w:line="240" w:lineRule="auto"/>
              <w:ind w:firstLine="52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1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5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94" w:type="dxa"/>
            <w:gridSpan w:val="2"/>
            <w:vAlign w:val="center"/>
          </w:tcPr>
          <w:p>
            <w:pPr>
              <w:pStyle w:val="Other|1"/>
              <w:spacing w:line="240" w:lineRule="auto"/>
              <w:ind w:firstLine="5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72"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54" w:type="dxa"/>
            <w:vAlign w:val="center"/>
          </w:tcPr>
          <w:p>
            <w:pPr>
              <w:pStyle w:val="Other|1"/>
              <w:spacing w:line="240" w:lineRule="auto"/>
              <w:ind w:firstLine="54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5557" w:type="dxa"/>
            <w:gridSpan w:val="16"/>
            <w:tcBorders>
              <w:left w:val="nil"/>
              <w:bottom w:val="nil"/>
              <w:right w:val="nil"/>
            </w:tcBorders>
          </w:tcPr>
          <w:p>
            <w:pPr>
              <w:pStyle w:val="Tablecaption|1"/>
              <w:jc w:val="left"/>
              <w:rPr>
                <w:rFonts w:eastAsia="宋体" w:hint="eastAsia"/>
                <w:vertAlign w:val="baseline"/>
                <w:lang w:val="en-US" w:eastAsia="zh-CN"/>
              </w:rPr>
            </w:pPr>
            <w:r>
              <w:t xml:space="preserve">注：本报表金额单位转换时可能存在四舍五入尾数误差。</w:t>
            </w:r>
          </w:p>
        </w:tc>
      </w:tr>
    </w:tbl>
    <w:p>
      <w:pPr>
        <w:tabs>
          <w:tab w:val="left" w:pos="859"/>
        </w:tabs>
        <w:jc w:val="both"/>
        <w:rPr>
          <w:rFonts w:eastAsia="宋体" w:hint="eastAsia"/>
          <w:lang w:val="en-US" w:eastAsia="zh-CN"/>
        </w:rPr>
      </w:pPr>
    </w:p>
    <w:p>
      <w:pPr>
        <w:tabs>
          <w:tab w:val="left" w:pos="859"/>
        </w:tabs>
        <w:jc w:val="center"/>
        <w:rPr>
          <w:rFonts w:eastAsia="宋体" w:hint="eastAsia"/>
          <w:lang w:val="en-US" w:eastAsia="zh-CN"/>
        </w:rPr>
      </w:pPr>
    </w:p>
    <w:p>
      <w:pPr>
        <w:tabs>
          <w:tab w:val="left" w:pos="859"/>
        </w:tabs>
        <w:jc w:val="both"/>
        <w:rPr>
          <w:rFonts w:eastAsia="宋体" w:hint="eastAsia"/>
          <w:lang w:val="en-US" w:eastAsia="zh-CN"/>
        </w:rPr>
      </w:pPr>
    </w:p>
    <w:p>
      <w:pPr>
        <w:spacing w:line="1" w:lineRule="exact"/>
        <w:jc w:val="left"/>
        <w:rPr>
          <w:lang w:eastAsia="zh-CN"/>
        </w:rPr>
        <w:sectPr>
          <w:headerReference w:type="default" r:id="rId16"/>
          <w:footerReference w:type="default" r:id="rId17"/>
          <w:pgSz w:w="16840" w:h="11900" w:orient="landscape"/>
          <w:pgMar w:top="2709" w:right="764" w:bottom="2709" w:left="735" w:header="2281" w:footer="3" w:gutter="0"/>
          <w:pgBorders>
            <w:top w:val="none" w:sz="0" w:space="0" w:color="auto"/>
            <w:left w:val="none" w:sz="0" w:space="0" w:color="auto"/>
            <w:bottom w:val="none" w:sz="0" w:space="0" w:color="auto"/>
            <w:right w:val="none" w:sz="0" w:space="0" w:color="auto"/>
          </w:pgBorders>
          <w:cols w:num="1" w:space="720">
            <w:col w:w="15341" w:space="720"/>
          </w:cols>
          <w:docGrid w:linePitch="360" w:charSpace="0"/>
        </w:sectPr>
      </w:pPr>
    </w:p>
    <w:p>
      <w:pPr>
        <w:pStyle w:val="Heading#2|1"/>
        <w:keepNext/>
        <w:keepLines/>
        <w:spacing w:after="240"/>
        <w:jc w:val="center"/>
      </w:pPr>
      <w:bookmarkStart w:id="19" w:name="bookmark41"/>
      <w:bookmarkStart w:id="20" w:name="bookmark43"/>
      <w:bookmarkStart w:id="21" w:name="bookmark42"/>
      <w:r>
        <w:t xml:space="preserve">支出总体情况表</w:t>
      </w:r>
      <w:bookmarkEnd w:id="19"/>
      <w:bookmarkEnd w:id="20"/>
      <w:bookmarkEnd w:id="21"/>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1934"/>
        <w:gridCol w:w="2390"/>
        <w:gridCol w:w="2280"/>
        <w:gridCol w:w="2299"/>
        <w:gridCol w:w="2222"/>
        <w:gridCol w:w="2371"/>
      </w:tblGrid>
      <w:tr>
        <w:tblPrEx>
          <w:tblW w:w="0" w:type="auto"/>
          <w:tblInd w:w="0" w:type="dxa"/>
          <w:tblLayout w:type="fixed"/>
          <w:tblCellMar>
            <w:top w:w="0" w:type="dxa"/>
            <w:left w:w="10" w:type="dxa"/>
            <w:bottom w:w="0" w:type="dxa"/>
            <w:right w:w="10" w:type="dxa"/>
          </w:tblCellMar>
        </w:tblPrEx>
        <w:trPr>
          <w:trHeight w:hRule="exact" w:val="346"/>
        </w:trPr>
        <w:tc>
          <w:tcPr>
            <w:tcW w:w="12968" w:type="dxa"/>
            <w:gridSpan w:val="6"/>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环江毛南族自治县华山林场</w:t>
            </w:r>
          </w:p>
        </w:tc>
        <w:tc>
          <w:tcPr>
            <w:tcW w:w="2371" w:type="dxa"/>
            <w:shd w:val="clear" w:color="auto" w:fill="FFFFFF"/>
          </w:tcPr>
          <w:p>
            <w:pPr>
              <w:pStyle w:val="Other|1"/>
              <w:spacing w:line="240" w:lineRule="auto"/>
              <w:ind w:firstLine="1190" w:firstLineChars="7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sz w:val="17"/>
                <w:szCs w:val="17"/>
              </w:rPr>
            </w:pPr>
            <w:r>
              <w:rPr>
                <w:sz w:val="17"/>
                <w:szCs w:val="17"/>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sz w:val="17"/>
                <w:szCs w:val="17"/>
              </w:rPr>
            </w:pPr>
            <w:r>
              <w:rPr>
                <w:sz w:val="17"/>
                <w:szCs w:val="17"/>
              </w:rPr>
              <w:t xml:space="preserve">部门（单位）名称</w:t>
            </w:r>
          </w:p>
          <w:p>
            <w:pPr>
              <w:pStyle w:val="Other|1"/>
              <w:spacing w:line="240" w:lineRule="auto"/>
              <w:ind w:firstLine="0"/>
              <w:jc w:val="left"/>
              <w:rPr>
                <w:sz w:val="17"/>
                <w:szCs w:val="17"/>
              </w:rPr>
            </w:pPr>
            <w:r>
              <w:rPr>
                <w:sz w:val="17"/>
                <w:szCs w:val="17"/>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结转下年支出</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 </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 </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1716.11</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1532.31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183.80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512001</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1716.11</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1532.31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183.80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2012999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其他群众团体事务支出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13.61</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13.61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2080505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机关事业单位基本养老保险缴费支出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161.56</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161.56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2130204</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事业机构</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1234.11</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1217.36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16.75</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2130205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森林资源培育</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72.50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72.50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2130206</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技术推广与转化</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0.30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0.30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2130213</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执法与监督</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4.60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4.60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2130234</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林业草原防灾减灾</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5.85</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5.85</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2130299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其他林业和草原支出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83.80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83.80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2210201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住房公积金</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139.78</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139.78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bl>
    <w:p>
      <w:pPr>
        <w:pStyle w:val="Tablecaption|1"/>
        <w:ind w:left="672"/>
        <w:jc w:val="left"/>
      </w:pPr>
      <w:r>
        <w:t xml:space="preserve">注：本报表金额单位转换时可能存在四舍五入尾数误差。</w:t>
      </w:r>
      <w:r>
        <w:br w:type="page"/>
      </w:r>
    </w:p>
    <w:p>
      <w:pPr>
        <w:pStyle w:val="Heading#2|1"/>
        <w:keepNext/>
        <w:keepLines/>
        <w:spacing w:after="240"/>
        <w:jc w:val="center"/>
      </w:pPr>
      <w:bookmarkStart w:id="22" w:name="bookmark46"/>
      <w:bookmarkStart w:id="23" w:name="bookmark44"/>
      <w:bookmarkStart w:id="24" w:name="bookmark45"/>
      <w:r>
        <w:t xml:space="preserve">财政拨款收支总体情况表</w:t>
      </w:r>
      <w:bookmarkEnd w:id="22"/>
      <w:bookmarkEnd w:id="23"/>
      <w:bookmarkEnd w:id="24"/>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2885"/>
        <w:gridCol w:w="955"/>
        <w:gridCol w:w="3830"/>
        <w:gridCol w:w="3826"/>
        <w:gridCol w:w="3845"/>
        <w:gridCol w:w="1"/>
      </w:tblGrid>
      <w:tr>
        <w:tblPrEx>
          <w:tblW w:w="0" w:type="auto"/>
          <w:tblInd w:w="0" w:type="dxa"/>
          <w:tblLayout w:type="fixed"/>
          <w:tblCellMar>
            <w:top w:w="0" w:type="dxa"/>
            <w:left w:w="10" w:type="dxa"/>
            <w:bottom w:w="0" w:type="dxa"/>
            <w:right w:w="10" w:type="dxa"/>
          </w:tblCellMar>
        </w:tblPrEx>
        <w:trPr>
          <w:gridAfter w:val="1"/>
          <w:wAfter w:w="1" w:type="dxa"/>
          <w:trHeight w:hRule="exact" w:val="346"/>
        </w:trPr>
        <w:tc>
          <w:tcPr>
            <w:tcW w:w="11496" w:type="dxa"/>
            <w:gridSpan w:val="4"/>
            <w:shd w:val="clear" w:color="auto" w:fill="FFFFFF"/>
          </w:tcPr>
          <w:p>
            <w:pPr>
              <w:pStyle w:val="Other|1"/>
              <w:spacing w:line="240" w:lineRule="auto"/>
              <w:ind w:firstLine="0"/>
              <w:jc w:val="left"/>
              <w:rPr>
                <w:rFonts w:hint="default"/>
                <w:sz w:val="17"/>
                <w:szCs w:val="17"/>
                <w:lang w:val="en-US"/>
              </w:rPr>
            </w:pPr>
            <w:r>
              <w:rPr>
                <w:sz w:val="17"/>
                <w:szCs w:val="17"/>
              </w:rPr>
              <w:t xml:space="preserve">单位名称：</w:t>
            </w:r>
            <w:r>
              <w:rPr>
                <w:rFonts w:hint="eastAsia"/>
                <w:sz w:val="17"/>
                <w:szCs w:val="17"/>
                <w:lang w:eastAsia="zh-CN"/>
              </w:rPr>
              <w:t xml:space="preserve">环江毛南族自治县华山林场</w:t>
            </w:r>
            <w:r>
              <w:rPr>
                <w:rFonts w:hint="eastAsia"/>
                <w:sz w:val="17"/>
                <w:szCs w:val="17"/>
                <w:lang w:val="en-US" w:eastAsia="zh-CN"/>
              </w:rPr>
              <w:t xml:space="preserve">                         </w:t>
            </w:r>
          </w:p>
        </w:tc>
        <w:tc>
          <w:tcPr>
            <w:tcW w:w="3845" w:type="dxa"/>
            <w:shd w:val="clear" w:color="auto" w:fill="FFFFFF"/>
          </w:tcPr>
          <w:p>
            <w:pPr>
              <w:pStyle w:val="Other|1"/>
              <w:spacing w:line="240" w:lineRule="auto"/>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2885" w:type="dxa"/>
            <w:tcBorders>
              <w:top w:val="single" w:sz="4" w:space="0" w:color="auto"/>
              <w:left w:val="single" w:sz="4" w:space="0" w:color="auto"/>
            </w:tcBorders>
            <w:shd w:val="clear" w:color="auto" w:fill="FFFFFF"/>
          </w:tcPr>
          <w:p>
            <w:pPr>
              <w:jc w:val="left"/>
              <w:rPr>
                <w:sz w:val="10"/>
                <w:szCs w:val="10"/>
              </w:rPr>
            </w:pPr>
          </w:p>
        </w:tc>
        <w:tc>
          <w:tcPr>
            <w:tcW w:w="955" w:type="dxa"/>
            <w:tcBorders>
              <w:top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收</w:t>
            </w:r>
          </w:p>
        </w:tc>
        <w:tc>
          <w:tcPr>
            <w:tcW w:w="3830" w:type="dxa"/>
            <w:tcBorders>
              <w:top w:val="single" w:sz="4" w:space="0" w:color="auto"/>
            </w:tcBorders>
            <w:shd w:val="clear" w:color="auto" w:fill="FFFFFF"/>
            <w:vAlign w:val="center"/>
          </w:tcPr>
          <w:p>
            <w:pPr>
              <w:pStyle w:val="Other|1"/>
              <w:spacing w:line="240" w:lineRule="auto"/>
              <w:ind w:firstLine="340"/>
              <w:jc w:val="left"/>
              <w:rPr>
                <w:sz w:val="17"/>
                <w:szCs w:val="17"/>
              </w:rPr>
            </w:pPr>
            <w:r>
              <w:rPr>
                <w:sz w:val="17"/>
                <w:szCs w:val="17"/>
              </w:rPr>
              <w:t xml:space="preserve">入</w:t>
            </w:r>
          </w:p>
        </w:tc>
        <w:tc>
          <w:tcPr>
            <w:tcW w:w="3826" w:type="dxa"/>
            <w:tcBorders>
              <w:top w:val="single" w:sz="4" w:space="0" w:color="auto"/>
              <w:left w:val="single" w:sz="4" w:space="0" w:color="auto"/>
            </w:tcBorders>
            <w:shd w:val="clear" w:color="auto" w:fill="FFFFFF"/>
            <w:vAlign w:val="center"/>
          </w:tcPr>
          <w:p>
            <w:pPr>
              <w:pStyle w:val="Other|1"/>
              <w:spacing w:line="240" w:lineRule="auto"/>
              <w:ind w:right="340" w:firstLine="2720" w:firstLineChars="1600"/>
              <w:jc w:val="left"/>
              <w:rPr>
                <w:sz w:val="17"/>
                <w:szCs w:val="17"/>
              </w:rPr>
            </w:pPr>
            <w:r>
              <w:rPr>
                <w:sz w:val="17"/>
                <w:szCs w:val="17"/>
              </w:rPr>
              <w:t xml:space="preserve">支</w:t>
            </w:r>
          </w:p>
        </w:tc>
        <w:tc>
          <w:tcPr>
            <w:tcW w:w="3845" w:type="dxa"/>
            <w:tcBorders>
              <w:top w:val="single" w:sz="4" w:space="0" w:color="auto"/>
              <w:right w:val="single" w:sz="4" w:space="0" w:color="auto"/>
            </w:tcBorders>
            <w:shd w:val="clear" w:color="auto" w:fill="FFFFFF"/>
            <w:vAlign w:val="center"/>
          </w:tcPr>
          <w:p>
            <w:pPr>
              <w:pStyle w:val="Other|1"/>
              <w:spacing w:line="240" w:lineRule="auto"/>
              <w:ind w:firstLine="935" w:firstLineChars="550"/>
              <w:jc w:val="left"/>
              <w:rPr>
                <w:sz w:val="17"/>
                <w:szCs w:val="17"/>
              </w:rPr>
            </w:pPr>
            <w:r>
              <w:rPr>
                <w:sz w:val="17"/>
                <w:szCs w:val="17"/>
              </w:rPr>
              <w:t xml:space="preserve">出</w:t>
            </w:r>
          </w:p>
        </w:tc>
      </w:tr>
      <w:tr>
        <w:tblPrEx>
          <w:tblW w:w="0" w:type="auto"/>
          <w:tblInd w:w="0" w:type="dxa"/>
          <w:tblLayout w:type="fixed"/>
          <w:tblCellMar>
            <w:top w:w="0" w:type="dxa"/>
            <w:left w:w="10" w:type="dxa"/>
            <w:bottom w:w="0" w:type="dxa"/>
            <w:right w:w="10" w:type="dxa"/>
          </w:tblCellMar>
        </w:tblPrEx>
        <w:trPr>
          <w:gridAfter w:val="1"/>
          <w:wAfter w:w="1" w:type="dxa"/>
          <w:trHeight w:hRule="exact" w:val="451"/>
        </w:trPr>
        <w:tc>
          <w:tcPr>
            <w:tcW w:w="3840" w:type="dxa"/>
            <w:gridSpan w:val="2"/>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项目</w:t>
            </w:r>
          </w:p>
        </w:tc>
        <w:tc>
          <w:tcPr>
            <w:tcW w:w="3830" w:type="dxa"/>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c>
          <w:tcPr>
            <w:tcW w:w="3826" w:type="dxa"/>
            <w:tcBorders>
              <w:top w:val="single" w:sz="4" w:space="0" w:color="auto"/>
              <w:left w:val="single" w:sz="4" w:space="0" w:color="auto"/>
            </w:tcBorders>
            <w:shd w:val="clear" w:color="auto" w:fill="FFFFFF"/>
            <w:vAlign w:val="center"/>
          </w:tcPr>
          <w:p>
            <w:pPr>
              <w:pStyle w:val="Other|1"/>
              <w:tabs>
                <w:tab w:val="left" w:pos="1034"/>
              </w:tabs>
              <w:spacing w:line="240" w:lineRule="auto"/>
              <w:ind w:firstLine="540"/>
              <w:jc w:val="center"/>
              <w:rPr>
                <w:sz w:val="17"/>
                <w:szCs w:val="17"/>
              </w:rPr>
            </w:pPr>
            <w:r>
              <w:rPr>
                <w:sz w:val="17"/>
                <w:szCs w:val="17"/>
              </w:rPr>
              <w:t xml:space="preserve">项</w:t>
            </w:r>
            <w:r>
              <w:rPr>
                <w:sz w:val="17"/>
                <w:szCs w:val="17"/>
              </w:rPr>
              <w:tab/>
            </w:r>
            <w:r>
              <w:rPr>
                <w:sz w:val="17"/>
                <w:szCs w:val="17"/>
              </w:rPr>
              <w:t xml:space="preserve">目（按支出功能科目分类）</w:t>
            </w:r>
          </w:p>
        </w:tc>
        <w:tc>
          <w:tcPr>
            <w:tcW w:w="3845" w:type="dxa"/>
            <w:tcBorders>
              <w:top w:val="single" w:sz="4" w:space="0" w:color="auto"/>
              <w:left w:val="single" w:sz="4" w:space="0" w:color="auto"/>
              <w:righ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1716.11</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一、一般公共服务支出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13.61</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152.30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二、外交支出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1563.81</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二、政府性基金预算拨款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四、公共安全支出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五、教育支出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六、科学技术支出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三、国有资本经营预算拨款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七、文化旅游体育与传媒支出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八、社会保障和就业支出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161.56</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九、卫生健康支出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十、节能环保支出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十一、城乡社区支出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十二、农林水支出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1401.16</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十三、交通运输支出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十四、资源勘探工业信息等支出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十五、商业服务业等支出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十六、金融支出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十七、援助其他地区支出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十八、自然资源海洋气象等支出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十九、住房保障支出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139.78</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二十、粮油物资储备支出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二十一、国有资本经营预算支出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二十二、灾害防治及应急管理支出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二十三、其他支出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二十四、债务还本支出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二十五、债务付息支出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二十六、债务发行费用支出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本年收入合计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1716.11</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本年支出合计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1716.11</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上年结转结余</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结转下年支出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收入总计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1716.11</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支出总计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1716.11</w:t>
            </w:r>
          </w:p>
        </w:tc>
      </w:tr>
      <w:tr>
        <w:tblPrEx>
          <w:tblW w:w="0" w:type="auto"/>
          <w:tblInd w:w="0" w:type="dxa"/>
          <w:tblLayout w:type="fixed"/>
          <w:tblCellMar>
            <w:top w:w="0" w:type="dxa"/>
            <w:left w:w="10" w:type="dxa"/>
            <w:bottom w:w="0" w:type="dxa"/>
            <w:right w:w="10" w:type="dxa"/>
          </w:tblCellMar>
        </w:tblPrEx>
        <w:trPr>
          <w:trHeight w:hRule="exact" w:val="352"/>
        </w:trPr>
        <w:tc>
          <w:tcPr>
            <w:tcW w:w="15342" w:type="dxa"/>
            <w:gridSpan w:val="6"/>
            <w:tcBorders>
              <w:top w:val="single" w:sz="4" w:space="0" w:color="auto"/>
            </w:tcBorders>
            <w:shd w:val="clear" w:color="auto" w:fill="FFFFFF"/>
          </w:tcPr>
          <w:p>
            <w:pPr>
              <w:jc w:val="left"/>
              <w:rPr>
                <w:sz w:val="10"/>
                <w:szCs w:val="10"/>
                <w:lang w:eastAsia="zh-CN"/>
              </w:rPr>
            </w:pPr>
            <w:r>
              <w:rPr>
                <w:sz w:val="17"/>
                <w:szCs w:val="17"/>
              </w:rPr>
              <w:t xml:space="preserve">注：表中功能分类科目，根据各部门实际预算编制情况编列。</w:t>
            </w:r>
          </w:p>
        </w:tc>
      </w:tr>
      <w:tr>
        <w:tblPrEx>
          <w:tblW w:w="0" w:type="auto"/>
          <w:tblInd w:w="0" w:type="dxa"/>
          <w:tblLayout w:type="fixed"/>
          <w:tblCellMar>
            <w:top w:w="0" w:type="dxa"/>
            <w:left w:w="10" w:type="dxa"/>
            <w:bottom w:w="0" w:type="dxa"/>
            <w:right w:w="10" w:type="dxa"/>
          </w:tblCellMar>
        </w:tblPrEx>
        <w:trPr>
          <w:trHeight w:hRule="exact" w:val="274"/>
        </w:trPr>
        <w:tc>
          <w:tcPr>
            <w:tcW w:w="15342" w:type="dxa"/>
            <w:gridSpan w:val="6"/>
            <w:shd w:val="clear" w:color="auto" w:fill="FFFFFF"/>
            <w:vAlign w:val="bottom"/>
          </w:tcPr>
          <w:p>
            <w:pPr>
              <w:jc w:val="left"/>
              <w:rPr>
                <w:sz w:val="10"/>
                <w:szCs w:val="10"/>
                <w:lang w:eastAsia="zh-CN"/>
              </w:rPr>
            </w:pPr>
            <w:r>
              <w:rPr>
                <w:sz w:val="17"/>
                <w:szCs w:val="17"/>
              </w:rPr>
              <w:t xml:space="preserve">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 xml:space="preserve">一般公共预算支出情况表</w:t>
      </w:r>
    </w:p>
    <w:p>
      <w:pPr>
        <w:jc w:val="center"/>
        <w:rPr>
          <w:rFonts w:hint="eastAsia"/>
          <w:lang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715"/>
        <w:gridCol w:w="1676"/>
        <w:gridCol w:w="1662"/>
        <w:gridCol w:w="1717"/>
        <w:gridCol w:w="1879"/>
        <w:gridCol w:w="1729"/>
        <w:gridCol w:w="1718"/>
        <w:gridCol w:w="72"/>
        <w:gridCol w:w="1694"/>
        <w:gridCol w:w="169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096" w:type="dxa"/>
            <w:gridSpan w:val="7"/>
            <w:tcBorders>
              <w:top w:val="nil"/>
              <w:left w:val="nil"/>
              <w:right w:val="nil"/>
            </w:tcBorders>
          </w:tcPr>
          <w:p>
            <w:pPr>
              <w:jc w:val="left"/>
              <w:rPr>
                <w:rFonts w:hint="eastAsia"/>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环江毛南族自治县华山林场</w:t>
            </w:r>
            <w:r>
              <w:rPr>
                <w:rFonts w:ascii="宋体" w:eastAsia="宋体" w:hAnsi="宋体" w:cs="宋体"/>
                <w:sz w:val="16"/>
                <w:u w:color="auto"/>
              </w:rPr>
              <w:t xml:space="preserve">                                                            </w:t>
            </w:r>
            <w:r>
              <w:rPr>
                <w:rFonts w:ascii="宋体" w:eastAsia="宋体" w:hAnsi="宋体"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val="restart"/>
          </w:tcPr>
          <w:p>
            <w:pPr>
              <w:jc w:val="center"/>
              <w:rPr>
                <w:rFonts w:hint="eastAsia"/>
                <w:vertAlign w:val="baseline"/>
                <w:lang w:eastAsia="zh-CN"/>
              </w:rPr>
            </w:pPr>
            <w:r>
              <w:rPr>
                <w:sz w:val="17"/>
                <w:szCs w:val="17"/>
              </w:rPr>
              <w:t xml:space="preserve">科目编码</w:t>
            </w:r>
          </w:p>
        </w:tc>
        <w:tc>
          <w:tcPr>
            <w:tcW w:w="1676" w:type="dxa"/>
            <w:vMerge w:val="restart"/>
          </w:tcPr>
          <w:p>
            <w:pPr>
              <w:jc w:val="center"/>
              <w:rPr>
                <w:rFonts w:hint="eastAsia"/>
                <w:vertAlign w:val="baseline"/>
                <w:lang w:eastAsia="zh-CN"/>
              </w:rPr>
            </w:pPr>
            <w:r>
              <w:rPr>
                <w:sz w:val="17"/>
                <w:szCs w:val="17"/>
              </w:rPr>
              <w:t xml:space="preserve">部门（单位）代码</w:t>
            </w:r>
          </w:p>
        </w:tc>
        <w:tc>
          <w:tcPr>
            <w:tcW w:w="1662" w:type="dxa"/>
            <w:vMerge w:val="restart"/>
          </w:tcPr>
          <w:p>
            <w:pPr>
              <w:pStyle w:val="Other|1"/>
              <w:spacing w:after="120" w:line="240" w:lineRule="auto"/>
              <w:ind w:firstLine="0"/>
              <w:jc w:val="center"/>
              <w:rPr>
                <w:sz w:val="17"/>
                <w:szCs w:val="17"/>
              </w:rPr>
            </w:pPr>
            <w:r>
              <w:rPr>
                <w:sz w:val="17"/>
                <w:szCs w:val="17"/>
              </w:rPr>
              <w:t xml:space="preserve">部门（单位）名称</w:t>
            </w:r>
          </w:p>
          <w:p>
            <w:pPr>
              <w:jc w:val="center"/>
              <w:rPr>
                <w:rFonts w:hint="eastAsia"/>
                <w:vertAlign w:val="baseline"/>
                <w:lang w:eastAsia="zh-CN"/>
              </w:rPr>
            </w:pPr>
            <w:r>
              <w:rPr>
                <w:sz w:val="17"/>
                <w:szCs w:val="17"/>
              </w:rPr>
              <w:t xml:space="preserve">（功能分类科目名称）</w:t>
            </w:r>
          </w:p>
        </w:tc>
        <w:tc>
          <w:tcPr>
            <w:tcW w:w="1717" w:type="dxa"/>
            <w:vMerge w:val="restart"/>
          </w:tcPr>
          <w:p>
            <w:pPr>
              <w:jc w:val="center"/>
              <w:rPr>
                <w:rFonts w:hint="eastAsia"/>
                <w:vertAlign w:val="baseline"/>
                <w:lang w:eastAsia="zh-CN"/>
              </w:rPr>
            </w:pPr>
            <w:r>
              <w:rPr>
                <w:sz w:val="17"/>
                <w:szCs w:val="17"/>
              </w:rPr>
              <w:t xml:space="preserve">合计</w:t>
            </w:r>
          </w:p>
        </w:tc>
        <w:tc>
          <w:tcPr>
            <w:tcW w:w="5398" w:type="dxa"/>
            <w:gridSpan w:val="4"/>
          </w:tcPr>
          <w:p>
            <w:pPr>
              <w:jc w:val="center"/>
              <w:rPr>
                <w:rFonts w:hint="eastAsia"/>
                <w:vertAlign w:val="baseline"/>
                <w:lang w:eastAsia="zh-CN"/>
              </w:rPr>
            </w:pPr>
            <w:r>
              <w:rPr>
                <w:sz w:val="17"/>
                <w:szCs w:val="17"/>
              </w:rPr>
              <w:t xml:space="preserve">基本支出</w:t>
            </w:r>
          </w:p>
        </w:tc>
        <w:tc>
          <w:tcPr>
            <w:tcW w:w="1694" w:type="dxa"/>
            <w:vMerge w:val="restart"/>
          </w:tcPr>
          <w:p>
            <w:pPr>
              <w:jc w:val="center"/>
              <w:rPr>
                <w:rFonts w:hint="eastAsia"/>
                <w:vertAlign w:val="baseline"/>
                <w:lang w:eastAsia="zh-CN"/>
              </w:rPr>
            </w:pPr>
            <w:r>
              <w:rPr>
                <w:sz w:val="17"/>
                <w:szCs w:val="17"/>
              </w:rPr>
              <w:t xml:space="preserve">项目支出</w:t>
            </w:r>
          </w:p>
        </w:tc>
        <w:tc>
          <w:tcPr>
            <w:tcW w:w="1695" w:type="dxa"/>
            <w:vMerge w:val="restart"/>
          </w:tcPr>
          <w:p>
            <w:pPr>
              <w:jc w:val="center"/>
              <w:rPr>
                <w:rFonts w:hint="eastAsia"/>
                <w:vertAlign w:val="baseline"/>
                <w:lang w:eastAsia="zh-CN"/>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tcPr>
          <w:p>
            <w:pPr>
              <w:jc w:val="center"/>
              <w:rPr>
                <w:rFonts w:hint="eastAsia"/>
                <w:vertAlign w:val="baseline"/>
                <w:lang w:eastAsia="zh-CN"/>
              </w:rPr>
            </w:pPr>
          </w:p>
        </w:tc>
        <w:tc>
          <w:tcPr>
            <w:tcW w:w="1676" w:type="dxa"/>
            <w:vMerge/>
          </w:tcPr>
          <w:p>
            <w:pPr>
              <w:jc w:val="center"/>
              <w:rPr>
                <w:rFonts w:hint="eastAsia"/>
                <w:vertAlign w:val="baseline"/>
                <w:lang w:eastAsia="zh-CN"/>
              </w:rPr>
            </w:pPr>
          </w:p>
        </w:tc>
        <w:tc>
          <w:tcPr>
            <w:tcW w:w="1662" w:type="dxa"/>
            <w:vMerge/>
          </w:tcPr>
          <w:p>
            <w:pPr>
              <w:jc w:val="center"/>
              <w:rPr>
                <w:rFonts w:hint="eastAsia"/>
                <w:vertAlign w:val="baseline"/>
                <w:lang w:eastAsia="zh-CN"/>
              </w:rPr>
            </w:pPr>
          </w:p>
        </w:tc>
        <w:tc>
          <w:tcPr>
            <w:tcW w:w="1717" w:type="dxa"/>
            <w:vMerge/>
          </w:tcPr>
          <w:p>
            <w:pPr>
              <w:jc w:val="center"/>
              <w:rPr>
                <w:rFonts w:hint="eastAsia"/>
                <w:vertAlign w:val="baseline"/>
                <w:lang w:eastAsia="zh-CN"/>
              </w:rPr>
            </w:pPr>
          </w:p>
        </w:tc>
        <w:tc>
          <w:tcPr>
            <w:tcW w:w="187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小计</w:t>
            </w:r>
          </w:p>
        </w:tc>
        <w:tc>
          <w:tcPr>
            <w:tcW w:w="172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人员经费</w:t>
            </w:r>
          </w:p>
        </w:tc>
        <w:tc>
          <w:tcPr>
            <w:tcW w:w="1790" w:type="dxa"/>
            <w:gridSpan w:val="2"/>
            <w:vAlign w:val="center"/>
          </w:tcPr>
          <w:p>
            <w:pPr>
              <w:pStyle w:val="Other|1"/>
              <w:spacing w:line="240" w:lineRule="auto"/>
              <w:ind w:firstLine="440" w:firstLineChars="0"/>
              <w:jc w:val="center"/>
              <w:rPr>
                <w:rFonts w:hint="eastAsia"/>
                <w:vertAlign w:val="baseline"/>
                <w:lang w:eastAsia="zh-CN"/>
              </w:rPr>
            </w:pPr>
            <w:r>
              <w:rPr>
                <w:sz w:val="17"/>
                <w:szCs w:val="17"/>
              </w:rPr>
              <w:t xml:space="preserve">公用经费</w:t>
            </w:r>
          </w:p>
        </w:tc>
        <w:tc>
          <w:tcPr>
            <w:tcW w:w="1694" w:type="dxa"/>
            <w:vMerge/>
          </w:tcPr>
          <w:p>
            <w:pPr>
              <w:jc w:val="center"/>
              <w:rPr>
                <w:rFonts w:hint="eastAsia"/>
                <w:vertAlign w:val="baseline"/>
                <w:lang w:eastAsia="zh-CN"/>
              </w:rPr>
            </w:pPr>
          </w:p>
        </w:tc>
        <w:tc>
          <w:tcPr>
            <w:tcW w:w="1695" w:type="dxa"/>
            <w:vMerge/>
          </w:tcPr>
          <w:p>
            <w:pPr>
              <w:jc w:val="center"/>
              <w:rPr>
                <w:rFonts w:hint="eastAsia"/>
                <w:vertAlign w:val="baseline"/>
                <w:lang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1</w:t>
            </w:r>
          </w:p>
        </w:tc>
        <w:tc>
          <w:tcPr>
            <w:tcW w:w="187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2</w:t>
            </w:r>
          </w:p>
        </w:tc>
        <w:tc>
          <w:tcPr>
            <w:tcW w:w="172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3</w:t>
            </w:r>
          </w:p>
        </w:tc>
        <w:tc>
          <w:tcPr>
            <w:tcW w:w="1790" w:type="dxa"/>
            <w:gridSpan w:val="2"/>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4</w:t>
            </w:r>
          </w:p>
        </w:tc>
        <w:tc>
          <w:tcPr>
            <w:tcW w:w="1694" w:type="dxa"/>
            <w:vAlign w:val="center"/>
          </w:tcPr>
          <w:p>
            <w:pPr>
              <w:pStyle w:val="Other|1"/>
              <w:spacing w:line="240" w:lineRule="auto"/>
              <w:ind w:firstLine="660" w:firstLineChars="0"/>
              <w:jc w:val="center"/>
              <w:rPr>
                <w:rFonts w:hint="eastAsia"/>
                <w:vertAlign w:val="baseline"/>
                <w:lang w:eastAsia="zh-CN"/>
              </w:rPr>
            </w:pPr>
            <w:r>
              <w:rPr>
                <w:rFonts w:ascii="Times New Roman" w:eastAsia="Times New Roman" w:hAnsi="Times New Roman" w:cs="Times New Roman"/>
                <w:b/>
                <w:bCs/>
                <w:sz w:val="17"/>
                <w:szCs w:val="17"/>
              </w:rPr>
              <w:t xml:space="preserve">5</w:t>
            </w:r>
          </w:p>
        </w:tc>
        <w:tc>
          <w:tcPr>
            <w:tcW w:w="1695" w:type="dxa"/>
            <w:vAlign w:val="center"/>
          </w:tcPr>
          <w:p>
            <w:pPr>
              <w:pStyle w:val="Other|1"/>
              <w:spacing w:line="240" w:lineRule="auto"/>
              <w:ind w:right="700" w:firstLine="0" w:rightChars="0" w:firstLineChars="0"/>
              <w:jc w:val="center"/>
              <w:rPr>
                <w:rFonts w:hint="eastAsia"/>
                <w:vertAlign w:val="baseline"/>
                <w:lang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p>
        </w:tc>
        <w:tc>
          <w:tcPr>
            <w:tcW w:w="1676"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512001</w:t>
            </w:r>
          </w:p>
        </w:tc>
        <w:tc>
          <w:tcPr>
            <w:tcW w:w="1662" w:type="dxa"/>
            <w:vAlign w:val="center"/>
          </w:tcPr>
          <w:p>
            <w:pPr>
              <w:pStyle w:val="Other|1"/>
              <w:spacing w:line="240" w:lineRule="auto"/>
              <w:ind w:firstLine="0" w:firstLineChars="0"/>
              <w:jc w:val="center"/>
              <w:rPr>
                <w:rFonts w:hint="eastAsia"/>
                <w:vertAlign w:val="baseline"/>
                <w:lang w:eastAsia="zh-CN"/>
              </w:rPr>
            </w:pP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1716.11</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1532.31</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1491.70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40.61</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183.80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2012999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其他群众团体事务支出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13.61</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13.61</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13.61</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2080505</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机关事业单位基本养老保险缴费支出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161.56</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161.56</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161.56</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2130204</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事业机构</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1234.11</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1217.36</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1190.36</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27.00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16.75</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2130205</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森林资源培育</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72.50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72.50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2130206</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技术推广与转化</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0.30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0.30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2130213</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执法与监督</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4.60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4.60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2130234</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林业草原防灾减灾</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5.85</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5.85</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2130299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其他林业和草原支出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83.80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83.80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2210201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住房公积金</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139.78</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139.78</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139.78</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10"/>
            <w:tcBorders>
              <w:left w:val="nil"/>
              <w:bottom w:val="nil"/>
              <w:right w:val="nil"/>
            </w:tcBorders>
          </w:tcPr>
          <w:p>
            <w:pPr>
              <w:jc w:val="left"/>
              <w:rPr>
                <w:rFonts w:hint="eastAsia"/>
                <w:vertAlign w:val="baseline"/>
                <w:lang w:eastAsia="zh-CN"/>
              </w:rPr>
            </w:pPr>
            <w:r>
              <w:rPr>
                <w:sz w:val="16"/>
                <w:szCs w:val="16"/>
              </w:rPr>
              <w:t xml:space="preserve">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pPr>
      <w:bookmarkStart w:id="25" w:name="bookmark58"/>
      <w:bookmarkStart w:id="26" w:name="bookmark56"/>
      <w:bookmarkStart w:id="27" w:name="bookmark57"/>
      <w:r>
        <w:t xml:space="preserve">一般公共预算基本支出情况表</w:t>
      </w:r>
      <w:bookmarkEnd w:id="25"/>
      <w:bookmarkEnd w:id="26"/>
      <w:bookmarkEnd w:id="27"/>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444" w:type="dxa"/>
            <w:gridSpan w:val="4"/>
            <w:tcBorders>
              <w:top w:val="nil"/>
              <w:left w:val="nil"/>
              <w:right w:val="nil"/>
            </w:tcBorders>
          </w:tcPr>
          <w:p>
            <w:pPr>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环江毛南族自治县华山林场</w:t>
            </w:r>
            <w:r>
              <w:rPr>
                <w:rFonts w:ascii="宋体" w:eastAsia="宋体" w:hAnsi="宋体" w:cs="宋体"/>
                <w:sz w:val="16"/>
                <w:u w:color="auto"/>
              </w:rPr>
              <w:t xml:space="preserve">                                                          </w:t>
            </w:r>
            <w:r>
              <w:rPr>
                <w:rFonts w:ascii="宋体" w:eastAsia="宋体" w:hAnsi="宋体"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3113" w:type="dxa"/>
            <w:tcBorders>
              <w:top w:val="nil"/>
              <w:left w:val="nil"/>
              <w:right w:val="nil"/>
            </w:tcBorders>
          </w:tcPr>
          <w:p>
            <w:pPr>
              <w:ind w:firstLine="1760" w:firstLineChars="1100"/>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5"/>
        </w:trPr>
        <w:tc>
          <w:tcPr>
            <w:tcW w:w="6221" w:type="dxa"/>
            <w:gridSpan w:val="2"/>
          </w:tcPr>
          <w:p>
            <w:pPr>
              <w:jc w:val="left"/>
              <w:rPr>
                <w:vertAlign w:val="baseline"/>
                <w:lang w:eastAsia="zh-CN"/>
              </w:rPr>
            </w:pPr>
            <w:r>
              <w:rPr>
                <w:sz w:val="17"/>
                <w:szCs w:val="17"/>
              </w:rPr>
              <w:t xml:space="preserve">部门预算支出经济分类科目</w:t>
            </w:r>
          </w:p>
        </w:tc>
        <w:tc>
          <w:tcPr>
            <w:tcW w:w="9336" w:type="dxa"/>
            <w:gridSpan w:val="3"/>
          </w:tcPr>
          <w:p>
            <w:pPr>
              <w:jc w:val="left"/>
              <w:rPr>
                <w:vertAlign w:val="baseline"/>
                <w:lang w:eastAsia="zh-CN"/>
              </w:rPr>
            </w:pPr>
            <w:r>
              <w:rPr>
                <w:sz w:val="17"/>
                <w:szCs w:val="17"/>
              </w:rPr>
              <w:t xml:space="preserve">本年一般公共预算基本支出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trPr>
        <w:tc>
          <w:tcPr>
            <w:tcW w:w="3110" w:type="dxa"/>
            <w:vAlign w:val="center"/>
          </w:tcPr>
          <w:p>
            <w:pPr>
              <w:pStyle w:val="Other|1"/>
              <w:spacing w:line="240" w:lineRule="auto"/>
              <w:ind w:firstLine="0" w:firstLineChars="0"/>
              <w:jc w:val="center"/>
              <w:rPr>
                <w:vertAlign w:val="baseline"/>
                <w:lang w:eastAsia="zh-CN"/>
              </w:rPr>
            </w:pPr>
            <w:r>
              <w:rPr>
                <w:sz w:val="17"/>
                <w:szCs w:val="17"/>
              </w:rPr>
              <w:t xml:space="preserve">科目编码</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科目名称</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合计</w:t>
            </w:r>
          </w:p>
        </w:tc>
        <w:tc>
          <w:tcPr>
            <w:tcW w:w="3112" w:type="dxa"/>
            <w:vAlign w:val="center"/>
          </w:tcPr>
          <w:p>
            <w:pPr>
              <w:pStyle w:val="Other|1"/>
              <w:spacing w:line="240" w:lineRule="auto"/>
              <w:ind w:firstLine="0" w:firstLineChars="0"/>
              <w:jc w:val="center"/>
              <w:rPr>
                <w:vertAlign w:val="baseline"/>
                <w:lang w:eastAsia="zh-CN"/>
              </w:rPr>
            </w:pPr>
            <w:r>
              <w:rPr>
                <w:sz w:val="17"/>
                <w:szCs w:val="17"/>
              </w:rPr>
              <w:t xml:space="preserve">人员经费</w:t>
            </w:r>
          </w:p>
        </w:tc>
        <w:tc>
          <w:tcPr>
            <w:tcW w:w="3113" w:type="dxa"/>
            <w:vAlign w:val="center"/>
          </w:tcPr>
          <w:p>
            <w:pPr>
              <w:pStyle w:val="Other|1"/>
              <w:spacing w:line="240" w:lineRule="auto"/>
              <w:ind w:firstLine="0" w:firstLineChars="0"/>
              <w:jc w:val="center"/>
              <w:rPr>
                <w:vertAlign w:val="baseline"/>
                <w:lang w:eastAsia="zh-CN"/>
              </w:rPr>
            </w:pPr>
            <w:r>
              <w:rPr>
                <w:sz w:val="17"/>
                <w:szCs w:val="17"/>
              </w:rPr>
              <w:t xml:space="preserve">公用经费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 </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合计</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1532.31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1491.70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40.61</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1321.06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1321.06</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基本工资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442.12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442.12</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津贴补贴</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62.52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62.52</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奖金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240.34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240.34</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绩效工资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203.05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203.05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机关事业单位基本养老保险缴费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161.56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161.56</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职工基本医疗保险缴费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64.62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64.62</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其他社会保障缴费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7.07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7.07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住房公积金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139.78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139.78</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40.61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40.61</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办公费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5.80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5.80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印刷费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0.50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0.50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电费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邮电费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1.20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1.20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差旅费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6.50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6.50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维修（护）费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4.50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4.50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会议费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培训费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公务接待费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专用材料费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专用燃料费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劳务费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工会经费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13.61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13.61</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1.50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1.50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对个人和家庭的补助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170.64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170.64</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退休费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157.74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157.74</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生活补助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12.87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12.87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其他对个人和家庭的补助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0.03</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资本性支出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31002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办公设备购置</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31005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基础设施建设</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2"/>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 xml:space="preserve">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rPr>
          <w:rFonts w:hint="default"/>
          <w:sz w:val="28"/>
          <w:szCs w:val="28"/>
          <w:lang w:val="en-US" w:eastAsia="zh-CN"/>
        </w:rPr>
      </w:pPr>
      <w:bookmarkStart w:id="28" w:name="bookmark67"/>
      <w:bookmarkStart w:id="29" w:name="bookmark66"/>
      <w:bookmarkStart w:id="30" w:name="bookmark65"/>
      <w:r>
        <w:rPr>
          <w:rFonts w:hint="default"/>
          <w:sz w:val="28"/>
          <w:szCs w:val="28"/>
          <w:lang w:val="en-US" w:eastAsia="zh-CN"/>
        </w:rPr>
        <w:t xml:space="preserve">一般公共预算“三公”经费预算表</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666" w:type="dxa"/>
            <w:gridSpan w:val="7"/>
            <w:tcBorders>
              <w:top w:val="nil"/>
              <w:left w:val="nil"/>
              <w:right w:val="nil"/>
            </w:tcBorders>
          </w:tcPr>
          <w:p>
            <w:pPr>
              <w:pStyle w:val="Tablecaption|1"/>
              <w:bidi w:val="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环江毛南族自治县华山林场</w:t>
            </w:r>
            <w:r>
              <w:rPr>
                <w:rFonts w:ascii="宋体" w:eastAsia="宋体" w:hAnsi="宋体" w:cs="宋体"/>
                <w:sz w:val="16"/>
                <w:u w:color="auto"/>
              </w:rPr>
              <w:t xml:space="preserve">                                           </w:t>
            </w:r>
            <w:r>
              <w:rPr>
                <w:rFonts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1891" w:type="dxa"/>
            <w:gridSpan w:val="2"/>
            <w:tcBorders>
              <w:top w:val="nil"/>
              <w:left w:val="nil"/>
              <w:right w:val="nil"/>
            </w:tcBorders>
          </w:tcPr>
          <w:p>
            <w:pPr>
              <w:pStyle w:val="Tablecaption|1"/>
              <w:bidi w:val="0"/>
              <w:ind w:firstLine="480" w:firstLineChars="30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val="restart"/>
          </w:tcPr>
          <w:p>
            <w:pPr>
              <w:pStyle w:val="Tablecaption|1"/>
              <w:bidi w:val="0"/>
              <w:jc w:val="center"/>
              <w:rPr>
                <w:rFonts w:hint="eastAsia"/>
                <w:vertAlign w:val="baseline"/>
                <w:lang w:val="en-US" w:eastAsia="zh-CN"/>
              </w:rPr>
            </w:pPr>
            <w:r>
              <w:rPr>
                <w:sz w:val="17"/>
                <w:szCs w:val="17"/>
              </w:rPr>
              <w:t xml:space="preserve">门（单位）代码</w:t>
            </w:r>
          </w:p>
        </w:tc>
        <w:tc>
          <w:tcPr>
            <w:tcW w:w="1918" w:type="dxa"/>
            <w:vMerge w:val="restart"/>
          </w:tcPr>
          <w:p>
            <w:pPr>
              <w:pStyle w:val="Tablecaption|1"/>
              <w:bidi w:val="0"/>
              <w:jc w:val="center"/>
              <w:rPr>
                <w:rFonts w:hint="eastAsia"/>
                <w:vertAlign w:val="baseline"/>
                <w:lang w:val="en-US" w:eastAsia="zh-CN"/>
              </w:rPr>
            </w:pPr>
            <w:r>
              <w:rPr>
                <w:sz w:val="17"/>
                <w:szCs w:val="17"/>
              </w:rPr>
              <w:t xml:space="preserve">部门（单位）名称</w:t>
            </w:r>
          </w:p>
        </w:tc>
        <w:tc>
          <w:tcPr>
            <w:tcW w:w="11343" w:type="dxa"/>
            <w:gridSpan w:val="7"/>
          </w:tcPr>
          <w:p>
            <w:pPr>
              <w:pStyle w:val="Tablecaption|1"/>
              <w:bidi w:val="0"/>
              <w:jc w:val="center"/>
              <w:rPr>
                <w:rFonts w:hint="eastAsia"/>
                <w:vertAlign w:val="baseline"/>
                <w:lang w:val="en-US" w:eastAsia="zh-CN"/>
              </w:rPr>
            </w:pPr>
            <w:r>
              <w:rPr>
                <w:sz w:val="17"/>
                <w:szCs w:val="17"/>
                <w:lang w:val="zh-CN" w:eastAsia="zh-CN" w:bidi="zh-CN"/>
              </w:rPr>
              <w:t xml:space="preserve">“三</w:t>
            </w:r>
            <w:r>
              <w:rPr>
                <w:sz w:val="17"/>
                <w:szCs w:val="17"/>
              </w:rPr>
              <w:t xml:space="preserve">公”经费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val="restart"/>
          </w:tcPr>
          <w:p>
            <w:pPr>
              <w:pStyle w:val="Tablecaption|1"/>
              <w:bidi w:val="0"/>
              <w:jc w:val="center"/>
              <w:rPr>
                <w:rFonts w:hint="eastAsia"/>
                <w:vertAlign w:val="baseline"/>
                <w:lang w:val="en-US" w:eastAsia="zh-CN"/>
              </w:rPr>
            </w:pPr>
            <w:r>
              <w:rPr>
                <w:sz w:val="17"/>
                <w:szCs w:val="17"/>
              </w:rPr>
              <w:t xml:space="preserve">合计</w:t>
            </w:r>
          </w:p>
        </w:tc>
        <w:tc>
          <w:tcPr>
            <w:tcW w:w="1895" w:type="dxa"/>
            <w:vMerge w:val="restart"/>
          </w:tcPr>
          <w:p>
            <w:pPr>
              <w:pStyle w:val="Tablecaption|1"/>
              <w:bidi w:val="0"/>
              <w:jc w:val="center"/>
              <w:rPr>
                <w:rFonts w:hint="eastAsia"/>
                <w:vertAlign w:val="baseline"/>
                <w:lang w:val="en-US" w:eastAsia="zh-CN"/>
              </w:rPr>
            </w:pPr>
            <w:r>
              <w:rPr>
                <w:sz w:val="17"/>
                <w:szCs w:val="17"/>
              </w:rPr>
              <w:t xml:space="preserve">因公出国（境）费</w:t>
            </w:r>
          </w:p>
        </w:tc>
        <w:tc>
          <w:tcPr>
            <w:tcW w:w="5675" w:type="dxa"/>
            <w:gridSpan w:val="4"/>
          </w:tcPr>
          <w:p>
            <w:pPr>
              <w:pStyle w:val="Tablecaption|1"/>
              <w:bidi w:val="0"/>
              <w:jc w:val="center"/>
              <w:rPr>
                <w:rFonts w:hint="eastAsia"/>
                <w:vertAlign w:val="baseline"/>
                <w:lang w:val="en-US" w:eastAsia="zh-CN"/>
              </w:rPr>
            </w:pPr>
            <w:r>
              <w:rPr>
                <w:sz w:val="17"/>
                <w:szCs w:val="17"/>
              </w:rPr>
              <w:t xml:space="preserve">公务用车购置及运行维护费</w:t>
            </w:r>
          </w:p>
        </w:tc>
        <w:tc>
          <w:tcPr>
            <w:tcW w:w="1889" w:type="dxa"/>
            <w:vMerge w:val="restart"/>
          </w:tcPr>
          <w:p>
            <w:pPr>
              <w:pStyle w:val="Tablecaption|1"/>
              <w:bidi w:val="0"/>
              <w:jc w:val="center"/>
              <w:rPr>
                <w:rFonts w:hint="eastAsia"/>
                <w:vertAlign w:val="baseline"/>
                <w:lang w:val="en-US" w:eastAsia="zh-CN"/>
              </w:rPr>
            </w:pPr>
            <w:r>
              <w:rPr>
                <w:sz w:val="17"/>
                <w:szCs w:val="17"/>
              </w:rPr>
              <w:t xml:space="preserve">公务接待费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tcPr>
          <w:p>
            <w:pPr>
              <w:pStyle w:val="Tablecaption|1"/>
              <w:bidi w:val="0"/>
              <w:jc w:val="center"/>
              <w:rPr>
                <w:rFonts w:hint="eastAsia"/>
                <w:vertAlign w:val="baseline"/>
                <w:lang w:val="en-US" w:eastAsia="zh-CN"/>
              </w:rPr>
            </w:pPr>
          </w:p>
        </w:tc>
        <w:tc>
          <w:tcPr>
            <w:tcW w:w="1895" w:type="dxa"/>
            <w:vMerge/>
          </w:tcPr>
          <w:p>
            <w:pPr>
              <w:pStyle w:val="Tablecaption|1"/>
              <w:bidi w:val="0"/>
              <w:jc w:val="center"/>
              <w:rPr>
                <w:rFonts w:hint="eastAsia"/>
                <w:vertAlign w:val="baseline"/>
                <w:lang w:val="en-US" w:eastAsia="zh-CN"/>
              </w:rPr>
            </w:pPr>
          </w:p>
        </w:tc>
        <w:tc>
          <w:tcPr>
            <w:tcW w:w="1888" w:type="dxa"/>
            <w:vAlign w:val="center"/>
          </w:tcPr>
          <w:p>
            <w:pPr>
              <w:pStyle w:val="Other|1"/>
              <w:spacing w:line="240" w:lineRule="auto"/>
              <w:ind w:firstLine="0" w:firstLineChars="0"/>
              <w:jc w:val="center"/>
              <w:rPr>
                <w:rFonts w:hint="eastAsia"/>
                <w:vertAlign w:val="baseline"/>
                <w:lang w:val="en-US" w:eastAsia="zh-CN"/>
              </w:rPr>
            </w:pPr>
            <w:r>
              <w:rPr>
                <w:sz w:val="17"/>
                <w:szCs w:val="17"/>
              </w:rPr>
              <w:t xml:space="preserve">小计</w:t>
            </w:r>
          </w:p>
        </w:tc>
        <w:tc>
          <w:tcPr>
            <w:tcW w:w="1890" w:type="dxa"/>
            <w:vAlign w:val="center"/>
          </w:tcPr>
          <w:p>
            <w:pPr>
              <w:pStyle w:val="Other|1"/>
              <w:spacing w:line="240" w:lineRule="auto"/>
              <w:ind w:firstLine="220" w:firstLineChars="0"/>
              <w:jc w:val="center"/>
              <w:rPr>
                <w:rFonts w:hint="eastAsia"/>
                <w:vertAlign w:val="baseline"/>
                <w:lang w:val="en-US" w:eastAsia="zh-CN"/>
              </w:rPr>
            </w:pPr>
            <w:r>
              <w:rPr>
                <w:sz w:val="17"/>
                <w:szCs w:val="17"/>
              </w:rPr>
              <w:t xml:space="preserve">公务用车运行维护费</w:t>
            </w:r>
          </w:p>
        </w:tc>
        <w:tc>
          <w:tcPr>
            <w:tcW w:w="1897" w:type="dxa"/>
            <w:gridSpan w:val="2"/>
            <w:vAlign w:val="center"/>
          </w:tcPr>
          <w:p>
            <w:pPr>
              <w:pStyle w:val="Other|1"/>
              <w:spacing w:line="240" w:lineRule="auto"/>
              <w:ind w:firstLine="400" w:firstLineChars="0"/>
              <w:jc w:val="center"/>
              <w:rPr>
                <w:rFonts w:hint="eastAsia"/>
                <w:vertAlign w:val="baseline"/>
                <w:lang w:val="en-US" w:eastAsia="zh-CN"/>
              </w:rPr>
            </w:pPr>
            <w:r>
              <w:rPr>
                <w:sz w:val="17"/>
                <w:szCs w:val="17"/>
              </w:rPr>
              <w:t xml:space="preserve">公务用车购置费</w:t>
            </w:r>
          </w:p>
        </w:tc>
        <w:tc>
          <w:tcPr>
            <w:tcW w:w="1889" w:type="dxa"/>
            <w:vMerge/>
          </w:tcPr>
          <w:p>
            <w:pPr>
              <w:pStyle w:val="Tablecaption|1"/>
              <w:bidi w:val="0"/>
              <w:jc w:val="center"/>
              <w:rPr>
                <w:rFonts w:hint="eastAsia"/>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1</w:t>
            </w:r>
          </w:p>
        </w:tc>
        <w:tc>
          <w:tcPr>
            <w:tcW w:w="1895"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2</w:t>
            </w:r>
          </w:p>
        </w:tc>
        <w:tc>
          <w:tcPr>
            <w:tcW w:w="1888"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3</w:t>
            </w:r>
          </w:p>
        </w:tc>
        <w:tc>
          <w:tcPr>
            <w:tcW w:w="1890"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4</w:t>
            </w:r>
          </w:p>
        </w:tc>
        <w:tc>
          <w:tcPr>
            <w:tcW w:w="1897" w:type="dxa"/>
            <w:gridSpan w:val="2"/>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5</w:t>
            </w:r>
          </w:p>
        </w:tc>
        <w:tc>
          <w:tcPr>
            <w:tcW w:w="1889"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pStyle w:val="Other|1"/>
              <w:spacing w:line="240" w:lineRule="auto"/>
              <w:ind w:firstLine="0" w:firstLineChars="0"/>
              <w:jc w:val="lef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512001</w:t>
            </w:r>
          </w:p>
        </w:tc>
        <w:tc>
          <w:tcPr>
            <w:tcW w:w="1918" w:type="dxa"/>
            <w:vAlign w:val="center"/>
          </w:tcPr>
          <w:p>
            <w:pPr>
              <w:pStyle w:val="Other|1"/>
              <w:spacing w:line="240" w:lineRule="auto"/>
              <w:ind w:firstLine="0" w:firstLineChars="0"/>
              <w:jc w:val="left"/>
              <w:rPr>
                <w:rFonts w:hint="eastAsia"/>
                <w:vertAlign w:val="baseline"/>
                <w:lang w:val="en-US" w:eastAsia="zh-CN"/>
              </w:rPr>
            </w:pPr>
          </w:p>
        </w:tc>
        <w:tc>
          <w:tcPr>
            <w:tcW w:w="1884"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0.50</w:t>
            </w:r>
          </w:p>
        </w:tc>
        <w:tc>
          <w:tcPr>
            <w:tcW w:w="1895"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8"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0"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7" w:type="dxa"/>
            <w:gridSpan w:val="2"/>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9"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0.50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5557" w:type="dxa"/>
            <w:gridSpan w:val="9"/>
            <w:tcBorders>
              <w:left w:val="nil"/>
              <w:bottom w:val="nil"/>
              <w:right w:val="nil"/>
            </w:tcBorders>
          </w:tcPr>
          <w:p>
            <w:pPr>
              <w:pStyle w:val="Tablecaption|1"/>
              <w:bidi w:val="0"/>
              <w:jc w:val="both"/>
              <w:rPr>
                <w:rFonts w:hint="eastAsia"/>
                <w:vertAlign w:val="baseline"/>
                <w:lang w:val="en-US" w:eastAsia="zh-CN"/>
              </w:rPr>
            </w:pPr>
            <w:r>
              <w:rPr>
                <w:rFonts w:ascii="宋体" w:eastAsia="宋体" w:hAnsi="宋体" w:cs="宋体" w:hint="eastAsia"/>
                <w:sz w:val="16"/>
                <w:szCs w:val="16"/>
              </w:rPr>
              <w:t xml:space="preserve">注：本报表金额单位转换时可能存在四舍五入尾数误差</w:t>
            </w:r>
          </w:p>
        </w:tc>
      </w:tr>
    </w:tbl>
    <w:p>
      <w:pPr>
        <w:pStyle w:val="Tablecaption|1"/>
        <w:bidi w:val="0"/>
        <w:rPr>
          <w:rFonts w:hint="eastAsia"/>
          <w:lang w:val="en-US" w:eastAsia="zh-CN"/>
        </w:rP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Tablecaption|1"/>
        <w:bidi w:val="0"/>
      </w:pPr>
    </w:p>
    <w:p>
      <w:pPr>
        <w:pStyle w:val="Heading#2|1"/>
        <w:keepNext/>
        <w:keepLines/>
        <w:spacing w:after="240"/>
        <w:jc w:val="center"/>
      </w:pPr>
      <w:r>
        <w:t xml:space="preserve">政府性基金预算支出情况表</w:t>
      </w:r>
      <w:bookmarkEnd w:id="28"/>
      <w:bookmarkEnd w:id="29"/>
      <w:bookmarkEnd w:id="30"/>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5"/>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环江毛南族自治县华山林场</w:t>
            </w:r>
            <w:r>
              <w:tab/>
            </w:r>
            <w:r>
              <w:t xml:space="preserve">单位：万元</w:t>
            </w:r>
          </w:p>
        </w:tc>
        <w:tc>
          <w:tcPr>
            <w:tcW w:w="2163" w:type="dxa"/>
            <w:tcBorders>
              <w:top w:val="nil"/>
              <w:left w:val="nil"/>
              <w:right w:val="nil"/>
            </w:tcBorders>
          </w:tcPr>
          <w:p>
            <w:pPr>
              <w:pStyle w:val="Tablecaption|1"/>
              <w:tabs>
                <w:tab w:val="left" w:pos="14213"/>
              </w:tabs>
              <w:ind w:left="101" w:firstLine="680" w:firstLineChars="400"/>
              <w:jc w:val="left"/>
            </w:pPr>
            <w:r>
              <w:rPr>
                <w:rFonts w:hint="eastAsia"/>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pStyle w:val="Tablecaption|1"/>
              <w:bidi w:val="0"/>
              <w:jc w:val="center"/>
              <w:rPr>
                <w:vertAlign w:val="baseline"/>
              </w:rPr>
            </w:pPr>
            <w:r>
              <w:rPr>
                <w:sz w:val="17"/>
                <w:szCs w:val="17"/>
              </w:rPr>
              <w:t xml:space="preserve">科目编码</w:t>
            </w:r>
          </w:p>
        </w:tc>
        <w:tc>
          <w:tcPr>
            <w:tcW w:w="2161" w:type="dxa"/>
          </w:tcPr>
          <w:p>
            <w:pPr>
              <w:pStyle w:val="Tablecaption|1"/>
              <w:bidi w:val="0"/>
              <w:jc w:val="center"/>
              <w:rPr>
                <w:vertAlign w:val="baseline"/>
              </w:rPr>
            </w:pPr>
            <w:r>
              <w:rPr>
                <w:sz w:val="17"/>
                <w:szCs w:val="17"/>
              </w:rPr>
              <w:t xml:space="preserve">部门（单位）代码</w:t>
            </w:r>
          </w:p>
        </w:tc>
        <w:tc>
          <w:tcPr>
            <w:tcW w:w="2162" w:type="dxa"/>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bidi w:val="0"/>
              <w:jc w:val="both"/>
              <w:rPr>
                <w:vertAlign w:val="baseline"/>
              </w:rPr>
            </w:pPr>
            <w:r>
              <w:t xml:space="preserve">注：本报表金额单位转换时可能存在四舍五入尾数误差</w:t>
            </w:r>
          </w:p>
        </w:tc>
      </w:tr>
    </w:tbl>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jc w:val="center"/>
        <w:rPr>
          <w:sz w:val="28"/>
          <w:szCs w:val="28"/>
        </w:rPr>
      </w:pPr>
      <w:r>
        <w:rPr>
          <w:sz w:val="28"/>
          <w:szCs w:val="28"/>
        </w:rPr>
        <w:t xml:space="preserve">国有资本经营预算支出情况表</w:t>
      </w:r>
    </w:p>
    <w:p>
      <w:pPr>
        <w:pStyle w:val="Tablecaption|1"/>
        <w:bidi w:val="0"/>
        <w:jc w:val="center"/>
        <w:rPr>
          <w:sz w:val="28"/>
          <w:szCs w:val="28"/>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环江毛南族自治县华山林场</w:t>
            </w:r>
            <w:r>
              <w:tab/>
            </w:r>
            <w:r>
              <w:t xml:space="preserve">单位：万元</w:t>
            </w:r>
          </w:p>
        </w:tc>
        <w:tc>
          <w:tcPr>
            <w:tcW w:w="2163" w:type="dxa"/>
            <w:tcBorders>
              <w:top w:val="nil"/>
              <w:left w:val="nil"/>
              <w:right w:val="nil"/>
            </w:tcBorders>
          </w:tcPr>
          <w:p>
            <w:pPr>
              <w:pStyle w:val="Tablecaption|1"/>
              <w:tabs>
                <w:tab w:val="left" w:pos="14213"/>
              </w:tabs>
              <w:ind w:left="101"/>
              <w:jc w:val="left"/>
            </w:pPr>
            <w:r>
              <w:rPr>
                <w:rFonts w:ascii="宋体" w:eastAsia="宋体" w:hAnsi="宋体" w:cs="宋体" w:hint="eastAsia"/>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val="restart"/>
          </w:tcPr>
          <w:p>
            <w:pPr>
              <w:pStyle w:val="Tablecaption|1"/>
              <w:bidi w:val="0"/>
              <w:jc w:val="center"/>
              <w:rPr>
                <w:vertAlign w:val="baseline"/>
              </w:rPr>
            </w:pPr>
            <w:r>
              <w:rPr>
                <w:sz w:val="17"/>
                <w:szCs w:val="17"/>
              </w:rPr>
              <w:t xml:space="preserve">科目编码</w:t>
            </w:r>
          </w:p>
        </w:tc>
        <w:tc>
          <w:tcPr>
            <w:tcW w:w="2161" w:type="dxa"/>
            <w:vMerge w:val="restart"/>
          </w:tcPr>
          <w:p>
            <w:pPr>
              <w:pStyle w:val="Tablecaption|1"/>
              <w:bidi w:val="0"/>
              <w:jc w:val="center"/>
              <w:rPr>
                <w:vertAlign w:val="baseline"/>
              </w:rPr>
            </w:pPr>
            <w:r>
              <w:rPr>
                <w:sz w:val="17"/>
                <w:szCs w:val="17"/>
              </w:rPr>
              <w:t xml:space="preserve">部门（单位）代码</w:t>
            </w:r>
          </w:p>
        </w:tc>
        <w:tc>
          <w:tcPr>
            <w:tcW w:w="2162" w:type="dxa"/>
            <w:vMerge w:val="restart"/>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tcPr>
          <w:p>
            <w:pPr>
              <w:pStyle w:val="Tablecaption|1"/>
              <w:bidi w:val="0"/>
              <w:jc w:val="both"/>
              <w:rPr>
                <w:vertAlign w:val="baseline"/>
              </w:rPr>
            </w:pPr>
          </w:p>
        </w:tc>
        <w:tc>
          <w:tcPr>
            <w:tcW w:w="2161" w:type="dxa"/>
            <w:vMerge/>
          </w:tcPr>
          <w:p>
            <w:pPr>
              <w:pStyle w:val="Tablecaption|1"/>
              <w:bidi w:val="0"/>
              <w:jc w:val="both"/>
              <w:rPr>
                <w:vertAlign w:val="baseline"/>
              </w:rPr>
            </w:pPr>
          </w:p>
        </w:tc>
        <w:tc>
          <w:tcPr>
            <w:tcW w:w="2162" w:type="dxa"/>
            <w:vMerge/>
          </w:tcPr>
          <w:p>
            <w:pPr>
              <w:pStyle w:val="Tablecaption|1"/>
              <w:bidi w:val="0"/>
              <w:jc w:val="both"/>
              <w:rPr>
                <w:vertAlign w:val="baseline"/>
              </w:rPr>
            </w:pPr>
          </w:p>
        </w:tc>
        <w:tc>
          <w:tcPr>
            <w:tcW w:w="2222"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1</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2</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3</w:t>
            </w:r>
          </w:p>
        </w:tc>
        <w:tc>
          <w:tcPr>
            <w:tcW w:w="2163"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Other|1"/>
              <w:spacing w:line="240" w:lineRule="auto"/>
              <w:ind w:firstLine="0" w:firstLineChars="0"/>
              <w:jc w:val="left"/>
              <w:rPr>
                <w:vertAlign w:val="baseline"/>
              </w:rPr>
            </w:pPr>
            <w:r>
              <w:rPr>
                <w:sz w:val="17"/>
                <w:szCs w:val="17"/>
              </w:rPr>
              <w:t xml:space="preserve">合计</w:t>
            </w:r>
          </w:p>
        </w:tc>
        <w:tc>
          <w:tcPr>
            <w:tcW w:w="2222" w:type="dxa"/>
            <w:vAlign w:val="center"/>
          </w:tcPr>
          <w:p>
            <w:pPr>
              <w:pStyle w:val="Other|1"/>
              <w:spacing w:line="240" w:lineRule="auto"/>
              <w:ind w:left="1700" w:firstLine="0" w:leftChars="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3"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spacing w:line="302" w:lineRule="exact"/>
              <w:ind w:left="672"/>
              <w:jc w:val="left"/>
            </w:pPr>
            <w:r>
              <w:t xml:space="preserve">注：本报表金额单位转换时可能存在四舍五入尾数误差。本部门</w:t>
            </w:r>
            <w:r>
              <w:rPr>
                <w:rFonts w:ascii="Times New Roman" w:hAnsi="Times New Roman" w:cs="Times New Roman" w:hint="eastAsia"/>
                <w:b/>
                <w:bCs/>
                <w:lang w:eastAsia="zh-CN"/>
              </w:rPr>
              <w:t xml:space="preserve">2024</w:t>
            </w:r>
            <w:r>
              <w:rPr>
                <w:rFonts w:ascii="Times New Roman" w:hAnsi="Times New Roman" w:cs="Times New Roman"/>
                <w:b/>
                <w:u w:color="auto"/>
              </w:rPr>
              <w:t xml:space="preserve">年</w:t>
            </w:r>
            <w:r>
              <w:t xml:space="preserve">度没有国有资本经营预算支出，故本表无数据</w:t>
            </w:r>
          </w:p>
          <w:p>
            <w:pPr>
              <w:pStyle w:val="Tablecaption|1"/>
              <w:bidi w:val="0"/>
              <w:jc w:val="both"/>
              <w:rPr>
                <w:vertAlign w:val="baseline"/>
              </w:rPr>
            </w:pPr>
          </w:p>
        </w:tc>
      </w:tr>
    </w:tbl>
    <w:p>
      <w:pPr>
        <w:pStyle w:val="Tablecaption|1"/>
        <w:bidi w:val="0"/>
      </w:pPr>
    </w:p>
    <w:p>
      <w:pPr/>
      <w:r>
        <w:br w:type="page"/>
      </w:r>
    </w:p>
    <w:p>
      <w:pPr>
        <w:pStyle w:val="Heading#2|1"/>
        <w:keepNext/>
        <w:keepLines/>
        <w:spacing w:after="240"/>
        <w:jc w:val="center"/>
        <w:rPr>
          <w:rFonts w:eastAsia="宋体" w:hint="default"/>
          <w:lang w:val="en-US" w:eastAsia="zh-CN"/>
        </w:rPr>
      </w:pPr>
      <w:r>
        <w:rPr>
          <w:rFonts w:hint="eastAsia"/>
          <w:lang w:val="en-US" w:eastAsia="zh-CN"/>
        </w:rPr>
        <w:t xml:space="preserve">2024年度预算项目绩效目标公开表</w:t>
      </w:r>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2559"/>
        <w:gridCol w:w="3350"/>
        <w:gridCol w:w="1511"/>
        <w:gridCol w:w="6076"/>
      </w:tblGrid>
      <w:tr>
        <w:tblPrEx>
          <w:tblW w:w="0" w:type="auto"/>
          <w:tblInd w:w="0" w:type="dxa"/>
          <w:tblLayout w:type="fixed"/>
          <w:tblCellMar>
            <w:top w:w="0" w:type="dxa"/>
            <w:left w:w="10" w:type="dxa"/>
            <w:bottom w:w="0" w:type="dxa"/>
            <w:right w:w="10" w:type="dxa"/>
          </w:tblCellMar>
        </w:tblPrEx>
        <w:trPr>
          <w:trHeight w:hRule="exact" w:val="346"/>
        </w:trPr>
        <w:tc>
          <w:tcPr>
            <w:tcW w:w="9263" w:type="dxa"/>
            <w:gridSpan w:val="4"/>
            <w:shd w:val="clear" w:color="auto" w:fill="FFFFFF"/>
          </w:tcPr>
          <w:p>
            <w:pPr>
              <w:pStyle w:val="Other|1"/>
              <w:spacing w:line="240" w:lineRule="auto"/>
              <w:ind w:firstLine="0"/>
              <w:jc w:val="left"/>
              <w:rPr>
                <w:rFonts w:ascii="宋体" w:eastAsia="宋体" w:hAnsi="宋体" w:cs="宋体" w:hint="default"/>
                <w:sz w:val="17"/>
                <w:szCs w:val="17"/>
                <w:lang w:val="en-US"/>
              </w:rPr>
            </w:pPr>
            <w:r>
              <w:rPr>
                <w:rFonts w:ascii="宋体" w:eastAsia="宋体" w:hAnsi="宋体" w:cs="宋体" w:hint="eastAsia"/>
                <w:sz w:val="17"/>
                <w:szCs w:val="17"/>
              </w:rPr>
              <w:t xml:space="preserve">单位名称：</w:t>
            </w:r>
            <w:r>
              <w:rPr>
                <w:rFonts w:ascii="宋体" w:eastAsia="宋体" w:hAnsi="宋体" w:cs="宋体" w:hint="eastAsia"/>
                <w:sz w:val="17"/>
                <w:szCs w:val="17"/>
                <w:lang w:eastAsia="zh-CN"/>
              </w:rPr>
              <w:t xml:space="preserve">环江毛南族自治县华山林场</w:t>
            </w:r>
            <w:r>
              <w:rPr>
                <w:rFonts w:cs="宋体" w:hint="eastAsia"/>
                <w:sz w:val="17"/>
                <w:szCs w:val="17"/>
                <w:lang w:val="en-US" w:eastAsia="zh-CN"/>
              </w:rPr>
              <w:t xml:space="preserve">            </w:t>
            </w:r>
          </w:p>
        </w:tc>
        <w:tc>
          <w:tcPr>
            <w:tcW w:w="6076" w:type="dxa"/>
            <w:shd w:val="clear" w:color="auto" w:fill="FFFFFF"/>
          </w:tcPr>
          <w:p>
            <w:pPr>
              <w:pStyle w:val="Other|1"/>
              <w:spacing w:line="240" w:lineRule="auto"/>
              <w:ind w:firstLine="4760" w:firstLineChars="2800"/>
              <w:jc w:val="left"/>
              <w:rPr>
                <w:rFonts w:ascii="宋体" w:eastAsia="宋体" w:hAnsi="宋体" w:cs="宋体" w:hint="eastAsia"/>
                <w:sz w:val="17"/>
                <w:szCs w:val="17"/>
              </w:rPr>
            </w:pPr>
            <w:r>
              <w:rPr>
                <w:rFonts w:ascii="宋体" w:eastAsia="宋体" w:hAnsi="宋体" w:cs="宋体" w:hint="eastAsia"/>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sz w:val="17"/>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年度绩效目标</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512001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环江毛南族自治县华山林场</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各分场、场部基础建设费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15.63</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2024年底完成</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512001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环江毛南族自治县华山林场</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病虫害防治费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0.85</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2024年底完成</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512001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环江毛南族自治县华山林场</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林地综合整治业务费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4.60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2024年底完成</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512001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环江毛南族自治县华山林场</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华山林场森林质量提升</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47.00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2023年底完成</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512001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环江毛南族自治县华山林场</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2023年环江县华山林场林木良种基地建设项目</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21.50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2023年完成</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512001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环江毛南族自治县华山林场</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华山林场2023年森林植被恢复项目</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83.80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2025年10月25日前完成</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512001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环江毛南族自治县华山林场</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林业技术推广与转化经费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0.30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2024年底完成</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512001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环江毛南族自治县华山林场</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森林防火工作经费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5.00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2024年底完成</w:t>
            </w:r>
            <w:r>
              <w:rPr>
                <w:rFonts w:ascii="宋体" w:eastAsia="宋体" w:hAnsi="宋体" w:cs="宋体" w:hint="eastAsia"/>
                <w:b/>
                <w:bCs/>
                <w:sz w:val="17"/>
                <w:szCs w:val="17"/>
                <w:lang w:val="en-US" w:eastAsia="zh-CN"/>
              </w:rPr>
              <w:br/>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512001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环江毛南族自治县华山林场</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营林防火生产经费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2024年底完成</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512001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环江毛南族自治县华山林场</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党支部组织生活经费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0.62</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2024年底完成</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512001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环江毛南族自治县华山林场</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乡村振兴工作经费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0.50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2024年底完成</w:t>
            </w:r>
          </w:p>
        </w:tc>
      </w:tr>
    </w:tbl>
    <w:p>
      <w:pPr>
        <w:jc w:val="left"/>
        <w:rPr>
          <w:rFonts w:hint="eastAsia"/>
        </w:rPr>
      </w:pPr>
      <w:r>
        <w:t xml:space="preserve">注：本报表金额单位转换时可能存在四舍五入尾数误差。</w:t>
      </w:r>
    </w:p>
    <w:p>
      <w:pPr>
        <w:jc w:val="left"/>
        <w:rPr>
          <w:rFonts w:hint="eastAsia"/>
          <w:lang w:eastAsia="zh-CN"/>
        </w:rPr>
        <w:sectPr>
          <w:headerReference w:type="default" r:id="rId18"/>
          <w:footerReference w:type="default" r:id="rId19"/>
          <w:pgSz w:w="16840" w:h="11900" w:orient="landscape"/>
          <w:pgMar w:top="2714" w:right="764" w:bottom="2714" w:left="735" w:header="2286" w:footer="3" w:gutter="0"/>
          <w:pgBorders>
            <w:top w:val="none" w:sz="0" w:space="0" w:color="auto"/>
            <w:left w:val="none" w:sz="0" w:space="0" w:color="auto"/>
            <w:bottom w:val="none" w:sz="0" w:space="0" w:color="auto"/>
            <w:right w:val="none" w:sz="0" w:space="0" w:color="auto"/>
          </w:pgBorders>
          <w:cols w:num="1" w:space="720">
            <w:col w:w="15341" w:space="720"/>
          </w:cols>
          <w:docGrid w:linePitch="360" w:charSpace="0"/>
        </w:sectPr>
      </w:pPr>
    </w:p>
    <w:p>
      <w:pPr>
        <w:pStyle w:val="Heading#1|1"/>
        <w:keepNext/>
        <w:keepLines/>
        <w:spacing w:before="200" w:after="0"/>
        <w:jc w:val="center"/>
        <w:rPr>
          <w:sz w:val="40"/>
          <w:szCs w:val="40"/>
        </w:rPr>
      </w:pPr>
      <w:bookmarkStart w:id="31" w:name="bookmark95"/>
      <w:bookmarkStart w:id="32" w:name="bookmark94"/>
      <w:bookmarkStart w:id="33" w:name="bookmark96"/>
      <w:r>
        <w:rPr>
          <w:sz w:val="40"/>
          <w:szCs w:val="40"/>
        </w:rPr>
        <w:t xml:space="preserve">第四部</w:t>
      </w:r>
      <w:r>
        <w:rPr>
          <w:rFonts w:hint="eastAsia"/>
          <w:sz w:val="40"/>
          <w:szCs w:val="40"/>
          <w:lang w:val="en-US" w:eastAsia="zh-CN"/>
        </w:rPr>
        <w:t xml:space="preserve">  </w:t>
      </w:r>
      <w:bookmarkStart w:id="34" w:name="_GoBack"/>
      <w:bookmarkEnd w:id="34"/>
      <w:r>
        <w:rPr>
          <w:sz w:val="40"/>
          <w:szCs w:val="40"/>
        </w:rPr>
        <w:t xml:space="preserve">分名词解释</w:t>
      </w:r>
      <w:bookmarkEnd w:id="31"/>
      <w:bookmarkEnd w:id="32"/>
      <w:bookmarkEnd w:id="33"/>
    </w:p>
    <w:p>
      <w:pPr>
        <w:pStyle w:val="Bodytext|1"/>
        <w:tabs>
          <w:tab w:val="left" w:pos="1270"/>
        </w:tabs>
        <w:spacing w:line="626" w:lineRule="exact"/>
        <w:ind w:firstLine="640"/>
        <w:jc w:val="left"/>
      </w:pPr>
      <w:bookmarkStart w:id="35" w:name="bookmark97"/>
      <w:r>
        <w:t xml:space="preserve">一</w:t>
      </w:r>
      <w:bookmarkEnd w:id="35"/>
      <w:r>
        <w:t xml:space="preserve">、</w:t>
      </w:r>
      <w:r>
        <w:tab/>
      </w:r>
      <w:r>
        <w:t xml:space="preserve">财政拨款收入：指预算单位从本级财政部门取得的财政预算资金收入。</w:t>
      </w:r>
    </w:p>
    <w:p>
      <w:pPr>
        <w:pStyle w:val="Bodytext|1"/>
        <w:tabs>
          <w:tab w:val="left" w:pos="1280"/>
        </w:tabs>
        <w:spacing w:line="626" w:lineRule="exact"/>
        <w:ind w:firstLine="640"/>
        <w:jc w:val="left"/>
      </w:pPr>
      <w:bookmarkStart w:id="36" w:name="bookmark98"/>
      <w:r>
        <w:t xml:space="preserve">二</w:t>
      </w:r>
      <w:bookmarkEnd w:id="36"/>
      <w:r>
        <w:t xml:space="preserve">、</w:t>
      </w:r>
      <w:r>
        <w:tab/>
      </w:r>
      <w:r>
        <w:t xml:space="preserve">事业收入：指事业单位开展专业业务活动及辅助活动所取得的收入。</w:t>
      </w:r>
    </w:p>
    <w:p>
      <w:pPr>
        <w:pStyle w:val="Bodytext|1"/>
        <w:tabs>
          <w:tab w:val="left" w:pos="1275"/>
        </w:tabs>
        <w:spacing w:line="626" w:lineRule="exact"/>
        <w:ind w:firstLine="640"/>
        <w:jc w:val="left"/>
      </w:pPr>
      <w:bookmarkStart w:id="37" w:name="bookmark99"/>
      <w:r>
        <w:t xml:space="preserve">三</w:t>
      </w:r>
      <w:bookmarkEnd w:id="37"/>
      <w:r>
        <w:t xml:space="preserve">、</w:t>
      </w:r>
      <w:r>
        <w:tab/>
      </w:r>
      <w: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pPr>
      <w:bookmarkStart w:id="38" w:name="bookmark100"/>
      <w:r>
        <w:t xml:space="preserve">四</w:t>
      </w:r>
      <w:bookmarkEnd w:id="38"/>
      <w:r>
        <w:t xml:space="preserve">、</w:t>
      </w:r>
      <w:r>
        <w:tab/>
      </w:r>
      <w:r>
        <w:t xml:space="preserve">其他收入：指除上述</w:t>
      </w:r>
      <w:r>
        <w:rPr>
          <w:lang w:val="zh-CN" w:eastAsia="zh-CN" w:bidi="zh-CN"/>
        </w:rPr>
        <w:t xml:space="preserve">“财</w:t>
      </w:r>
      <w:r>
        <w:t xml:space="preserve">政拨款收入”、</w:t>
      </w:r>
      <w:r>
        <w:rPr>
          <w:lang w:val="zh-CN" w:eastAsia="zh-CN" w:bidi="zh-CN"/>
        </w:rPr>
        <w:t xml:space="preserve">“事</w:t>
      </w:r>
      <w:r>
        <w:t xml:space="preserve">业收入"、</w:t>
      </w:r>
      <w:r>
        <w:rPr>
          <w:lang w:val="zh-CN" w:eastAsia="zh-CN" w:bidi="zh-CN"/>
        </w:rPr>
        <w:t xml:space="preserve">“经营</w:t>
      </w:r>
      <w:r>
        <w:t xml:space="preserve">收入"等以外的收入。主要是非本级财政拨款、存款利息收入、事业单位固定资产出租收入等。</w:t>
      </w:r>
    </w:p>
    <w:p>
      <w:pPr>
        <w:pStyle w:val="Bodytext|1"/>
        <w:tabs>
          <w:tab w:val="left" w:pos="1275"/>
        </w:tabs>
        <w:spacing w:line="626" w:lineRule="exact"/>
        <w:ind w:firstLine="640"/>
        <w:jc w:val="left"/>
      </w:pPr>
      <w:bookmarkStart w:id="39" w:name="bookmark101"/>
      <w:r>
        <w:t xml:space="preserve">五</w:t>
      </w:r>
      <w:bookmarkEnd w:id="39"/>
      <w:r>
        <w:t xml:space="preserve">、</w:t>
      </w:r>
      <w:r>
        <w:tab/>
      </w:r>
      <w:r>
        <w:t xml:space="preserve">用事业基金弥补收支差额：指事业单位在用当年的</w:t>
      </w:r>
      <w:r>
        <w:rPr>
          <w:lang w:val="zh-CN" w:eastAsia="zh-CN" w:bidi="zh-CN"/>
        </w:rPr>
        <w:t xml:space="preserve">“财</w:t>
      </w:r>
      <w:r>
        <w:t xml:space="preserve">政拨款收入"、</w:t>
      </w:r>
      <w:r>
        <w:rPr>
          <w:lang w:val="zh-CN" w:eastAsia="zh-CN" w:bidi="zh-CN"/>
        </w:rPr>
        <w:t xml:space="preserve">“事业</w:t>
      </w:r>
      <w:r>
        <w:t xml:space="preserve">收入"、</w:t>
      </w:r>
      <w:r>
        <w:rPr>
          <w:lang w:val="zh-CN" w:eastAsia="zh-CN" w:bidi="zh-CN"/>
        </w:rPr>
        <w:t xml:space="preserve">“经营</w:t>
      </w:r>
      <w:r>
        <w:t xml:space="preserve">收入"、</w:t>
      </w:r>
      <w:r>
        <w:rPr>
          <w:lang w:val="zh-CN" w:eastAsia="zh-CN" w:bidi="zh-CN"/>
        </w:rPr>
        <w:t xml:space="preserve">“其他</w:t>
      </w:r>
      <w:r>
        <w:t xml:space="preserve">收入"不足以安排当年支出的情况下，使用以前年度积累的事业基金（事业单位当年收支相抵后按国家规定提取、用于弥补以后年度收支差额的基金）弥补本年度收支缺口的资金。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pPr>
      <w:bookmarkStart w:id="40" w:name="bookmark102"/>
      <w:r>
        <w:t xml:space="preserve">六</w:t>
      </w:r>
      <w:bookmarkEnd w:id="40"/>
      <w:r>
        <w:t xml:space="preserve">、</w:t>
      </w:r>
      <w:r>
        <w:tab/>
      </w:r>
      <w:r>
        <w:t xml:space="preserve">年初结转和结余：指以前年度尚未完成、结转到本年按有关规定继续使用的资金。</w:t>
      </w:r>
    </w:p>
    <w:p>
      <w:pPr>
        <w:pStyle w:val="Bodytext|1"/>
        <w:tabs>
          <w:tab w:val="left" w:pos="1275"/>
        </w:tabs>
        <w:spacing w:line="626" w:lineRule="exact"/>
        <w:ind w:firstLine="640"/>
        <w:jc w:val="left"/>
      </w:pPr>
      <w:bookmarkStart w:id="41" w:name="bookmark103"/>
      <w:r>
        <w:t xml:space="preserve">七</w:t>
      </w:r>
      <w:bookmarkEnd w:id="41"/>
      <w:r>
        <w:t xml:space="preserve">、</w:t>
      </w:r>
      <w:r>
        <w:tab/>
      </w:r>
      <w: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pPr>
      <w:bookmarkStart w:id="42" w:name="bookmark104"/>
      <w:r>
        <w:t xml:space="preserve">八</w:t>
      </w:r>
      <w:bookmarkEnd w:id="42"/>
      <w:r>
        <w:t xml:space="preserve">、</w:t>
      </w:r>
      <w:r>
        <w:tab/>
      </w:r>
      <w: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pPr>
      <w:bookmarkStart w:id="43" w:name="bookmark105"/>
      <w:r>
        <w:t xml:space="preserve">九</w:t>
      </w:r>
      <w:bookmarkEnd w:id="43"/>
      <w:r>
        <w:t xml:space="preserve">、基本支出：指为保障机构正常运转、完成日常工作任务而发生的人员支出和公用支出。</w:t>
      </w:r>
    </w:p>
    <w:p>
      <w:pPr>
        <w:pStyle w:val="Bodytext|1"/>
        <w:spacing w:line="628" w:lineRule="exact"/>
        <w:ind w:firstLine="640"/>
        <w:jc w:val="left"/>
      </w:pPr>
      <w:r>
        <w:t xml:space="preserve">十、项目支出：指在基本支出之外为完成特定行政任务和事业发展目标所发生的支出。</w:t>
      </w:r>
    </w:p>
    <w:p>
      <w:pPr>
        <w:pStyle w:val="Bodytext|1"/>
        <w:spacing w:line="628" w:lineRule="exact"/>
        <w:ind w:firstLine="640"/>
        <w:jc w:val="left"/>
      </w:pPr>
      <w:r>
        <w:t xml:space="preserve">十一、经营支出：指事业单位在专业业务活动及其辅助活动之外开展非独立核算经营活动所发生的支出。</w:t>
      </w:r>
    </w:p>
    <w:p>
      <w:pPr>
        <w:pStyle w:val="Bodytext|1"/>
        <w:spacing w:line="628" w:lineRule="exact"/>
        <w:ind w:firstLine="640"/>
        <w:jc w:val="left"/>
      </w:pPr>
      <w:r>
        <w:t xml:space="preserve">十二、</w:t>
      </w:r>
      <w:r>
        <w:rPr>
          <w:lang w:val="zh-CN" w:eastAsia="zh-CN" w:bidi="zh-CN"/>
        </w:rPr>
        <w:t xml:space="preserve">“三</w:t>
      </w:r>
      <w:r>
        <w:t xml:space="preserve">公”经费：纳入财政预决算管理的</w:t>
      </w:r>
      <w:r>
        <w:rPr>
          <w:lang w:val="zh-CN" w:eastAsia="zh-CN" w:bidi="zh-CN"/>
        </w:rPr>
        <w:t xml:space="preserve">“三公</w:t>
      </w:r>
      <w:r>
        <w:t xml:space="preserve">”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pPr>
      <w: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0"/>
      <w:footerReference w:type="default" r:id="rId21"/>
      <w:type w:val="continuous"/>
      <w:pgSz w:w="11900" w:h="16840" w:orient="portrait"/>
      <w:pgMar w:top="1302" w:right="1735" w:bottom="1568" w:left="1793" w:header="874" w:footer="3" w:gutter="0"/>
      <w:pgBorders>
        <w:top w:val="none" w:sz="0" w:space="0" w:color="auto"/>
        <w:left w:val="none" w:sz="0" w:space="0" w:color="auto"/>
        <w:bottom w:val="none" w:sz="0" w:space="0" w:color="auto"/>
        <w:right w:val="none" w:sz="0" w:space="0" w:color="auto"/>
      </w:pgBorders>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763"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2221"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764"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2222"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2"/>
      <w:numFmt w:val="decimal"/>
      <w:suff w:val="tab"/>
      <w:lvlText w:val="%1."/>
      <w:lvlJc w:val="left"/>
      <w:pPr>
        <w:tabs>
          <w:tab w:val="left" w:pos="312"/>
        </w:tabs>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80"/>
  <w:bordersDoNotSurroundFooter w:val="0"/>
  <w:bordersDoNotSurroundHeader w:val="0"/>
  <w:doNotTrackMoves/>
  <w:documentProtection w:enforcement="1" w:edit="readOnly" w:salt="XQLBYnvRx/pRjnQgKGzaIA==" w:hash="0a+dkvsFD7DZXr+qMG0OgWTxB6K249bQdEBrziRUuF78YTam9JdXX9++TixsF5vtxmQFg7DW2Ap4FrI6c4MG/Q=="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ODFiOTZkYjkwN2Q1MTBhY2U1NDI3ZmEwNzcyMDM4OGM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CommentText">
    <w:name w:val="Comment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NormalTable"/>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Comment Reference"/>
    <w:basedOn w:val="DefaultParagraphFont"/>
    <w:autoRedefine/>
    <w:qFormat/>
    <w:rPr>
      <w:sz w:val="21"/>
      <w:szCs w:val="21"/>
    </w:rPr>
  </w:style>
  <w:style w:type="character" w:customStyle="1" w:styleId="Bodytext|5_">
    <w:name w:val="Body text|5_"/>
    <w:basedOn w:val="DefaultParagraphFont"/>
    <w:link w:val="Bodytext|5"/>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link w:val="Bodytext|5_"/>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link w:val="Heading#1|1"/>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link w:val="Heading#1|1_"/>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link w:val="Headerorfooter|2"/>
    <w:autoRedefine/>
    <w:qFormat/>
    <w:rPr>
      <w:sz w:val="20"/>
      <w:szCs w:val="20"/>
      <w:u w:val="none"/>
      <w:shd w:val="clear" w:color="auto" w:fill="auto"/>
      <w:lang w:val="zh-TW" w:eastAsia="zh-TW" w:bidi="zh-TW"/>
    </w:rPr>
  </w:style>
  <w:style w:type="paragraph" w:customStyle="1" w:styleId="Headerorfooter|2">
    <w:name w:val="Header or footer|2"/>
    <w:basedOn w:val="Normal"/>
    <w:link w:val="Headerorfooter|2_"/>
    <w:autoRedefine/>
    <w:qFormat/>
    <w:rPr>
      <w:sz w:val="20"/>
      <w:szCs w:val="20"/>
      <w:lang w:val="zh-TW" w:eastAsia="zh-TW" w:bidi="zh-TW"/>
    </w:rPr>
  </w:style>
  <w:style w:type="character" w:customStyle="1" w:styleId="Bodytext|2_">
    <w:name w:val="Body text|2_"/>
    <w:basedOn w:val="DefaultParagraphFont"/>
    <w:link w:val="Bodytext|2"/>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link w:val="Bodytext|2_"/>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link w:val="Bodytext|1"/>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link w:val="Bodytext|1_"/>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link w:val="Headerorfooter|1"/>
    <w:autoRedefine/>
    <w:qFormat/>
    <w:rPr>
      <w:b/>
      <w:bCs/>
      <w:sz w:val="17"/>
      <w:szCs w:val="17"/>
      <w:u w:val="none"/>
      <w:shd w:val="clear" w:color="auto" w:fill="auto"/>
      <w:lang w:val="zh-TW" w:eastAsia="zh-TW" w:bidi="zh-TW"/>
    </w:rPr>
  </w:style>
  <w:style w:type="paragraph" w:customStyle="1" w:styleId="Headerorfooter|1">
    <w:name w:val="Header or footer|1"/>
    <w:basedOn w:val="Normal"/>
    <w:link w:val="Headerorfooter|1_"/>
    <w:autoRedefine/>
    <w:qFormat/>
    <w:rPr>
      <w:b/>
      <w:bCs/>
      <w:sz w:val="17"/>
      <w:szCs w:val="17"/>
      <w:lang w:val="zh-TW" w:eastAsia="zh-TW" w:bidi="zh-TW"/>
    </w:rPr>
  </w:style>
  <w:style w:type="character" w:customStyle="1" w:styleId="Heading#2|1_">
    <w:name w:val="Heading #2|1_"/>
    <w:basedOn w:val="DefaultParagraphFont"/>
    <w:link w:val="Heading#2|1"/>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link w:val="Heading#2|1_"/>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link w:val="Other|1"/>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link w:val="Other|1_"/>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link w:val="Tablecaption|1"/>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link w:val="Tablecaption|1_"/>
    <w:autoRedefine/>
    <w:qFormat/>
    <w:rPr>
      <w:rFonts w:ascii="宋体" w:eastAsia="宋体" w:hAnsi="宋体" w:cs="宋体"/>
      <w:sz w:val="17"/>
      <w:szCs w:val="17"/>
      <w:lang w:val="zh-TW" w:eastAsia="zh-TW" w:bidi="zh-TW"/>
    </w:rPr>
  </w:style>
  <w:style w:type="character" w:customStyle="1" w:styleId="Bodytext|4_">
    <w:name w:val="Body text|4_"/>
    <w:basedOn w:val="DefaultParagraphFont"/>
    <w:link w:val="Bodytext|4"/>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link w:val="Bodytext|4_"/>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link w:val="Bodytext|3"/>
    <w:autoRedefine/>
    <w:qFormat/>
    <w:rPr>
      <w:sz w:val="30"/>
      <w:szCs w:val="30"/>
      <w:u w:val="none"/>
      <w:shd w:val="clear" w:color="auto" w:fill="auto"/>
      <w:lang w:val="zh-TW" w:eastAsia="zh-TW" w:bidi="zh-TW"/>
    </w:rPr>
  </w:style>
  <w:style w:type="paragraph" w:customStyle="1" w:styleId="Bodytext|3">
    <w:name w:val="Body text|3"/>
    <w:basedOn w:val="Normal"/>
    <w:link w:val="Bodytext|3_"/>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5.xml" Type="http://schemas.openxmlformats.org/officeDocument/2006/relationships/chart"/><Relationship Id="rId11" Target="charts/chart6.xml" Type="http://schemas.openxmlformats.org/officeDocument/2006/relationships/chart"/><Relationship Id="rId12" Target="header1.xml" Type="http://schemas.openxmlformats.org/officeDocument/2006/relationships/header"/><Relationship Id="rId13" Target="footer2.xml" Type="http://schemas.openxmlformats.org/officeDocument/2006/relationships/footer"/><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theme/theme1.xml" Type="http://schemas.openxmlformats.org/officeDocument/2006/relationships/theme"/><Relationship Id="rId23" Target="styles.xml" Type="http://schemas.openxmlformats.org/officeDocument/2006/relationships/styles"/><Relationship Id="rId24" Target="webSettings.xml" Type="http://schemas.openxmlformats.org/officeDocument/2006/relationships/webSettings"/><Relationship Id="rId25" Target="numbering.xml" Type="http://schemas.openxmlformats.org/officeDocument/2006/relationships/numbering"/><Relationship Id="rId26" Target="fontTable.xml" Type="http://schemas.openxmlformats.org/officeDocument/2006/relationships/fontTable"/><Relationship Id="rId27"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footer1.xml" Type="http://schemas.openxmlformats.org/officeDocument/2006/relationships/footer"/><Relationship Id="rId6" Target="charts/chart1.xml" Type="http://schemas.openxmlformats.org/officeDocument/2006/relationships/chart"/><Relationship Id="rId7" Target="charts/chart2.xml" Type="http://schemas.openxmlformats.org/officeDocument/2006/relationships/chart"/><Relationship Id="rId8" Target="charts/chart3.xml" Type="http://schemas.openxmlformats.org/officeDocument/2006/relationships/chart"/><Relationship Id="rId9" Target="charts/chart4.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ptCount val="1"/>
                <c:pt idx="0">
                  <c:v>1716.11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Sheet1!$A$2:$A$5</c:f>
              <c:strCache>
                <c:ptCount val="4"/>
                <c:pt idx="0">
                  <c:v>一般公共服务支出</c:v>
                </c:pt>
                <c:pt idx="1">
                  <c:v>社会保障和就业支出</c:v>
                </c:pt>
                <c:pt idx="2">
                  <c:v>农林水支出</c:v>
                </c:pt>
                <c:pt idx="3">
                  <c:v>住房保障支出</c:v>
                </c:pt>
              </c:strCache>
            </c:strRef>
          </c:cat>
          <c:val>
            <c:numRef>
              <c:f>Sheet1!$B$2:$B$5</c:f>
              <c:numCache>
                <c:ptCount val="4"/>
                <c:pt idx="0">
                  <c:v>13.61</c:v>
                </c:pt>
                <c:pt idx="1">
                  <c:v>161.56</c:v>
                </c:pt>
                <c:pt idx="2">
                  <c:v>1248.86</c:v>
                </c:pt>
                <c:pt idx="3">
                  <c:v>139.78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Sheet1!$A$2:$A$3</c:f>
              <c:strCache>
                <c:ptCount val="2"/>
                <c:pt idx="0">
                  <c:v>收入</c:v>
                </c:pt>
                <c:pt idx="1">
                  <c:v>支出</c:v>
                </c:pt>
              </c:strCache>
            </c:strRef>
          </c:cat>
          <c:val>
            <c:numRef>
              <c:f>Sheet1!$B$2:$B$3</c:f>
              <c:numCache>
                <c:formatCode>General</c:formatCode>
                <c:ptCount val="2"/>
                <c:pt idx="0">
                  <c:v>1449.97</c:v>
                </c:pt>
                <c:pt idx="1">
                  <c:v>1449.97</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Sheet1!$A$2:$A$3</c:f>
              <c:strCache>
                <c:ptCount val="2"/>
                <c:pt idx="0">
                  <c:v>收入</c:v>
                </c:pt>
                <c:pt idx="1">
                  <c:v>支出</c:v>
                </c:pt>
              </c:strCache>
            </c:strRef>
          </c:cat>
          <c:val>
            <c:numRef>
              <c:f>Sheet1!$C$2:$C$3</c:f>
              <c:numCache>
                <c:formatCode>General</c:formatCode>
                <c:ptCount val="2"/>
                <c:pt idx="0">
                  <c:v>1563.81</c:v>
                </c:pt>
                <c:pt idx="1">
                  <c:v>1563.81</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zh-CN"/>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上年</c:v>
                </c:pt>
              </c:strCache>
            </c:strRef>
          </c:cat>
          <c:val>
            <c:numRef>
              <c:f>Sheet1!$B$2</c:f>
              <c:numCache>
                <c:formatCode>General</c:formatCode>
                <c:ptCount val="1"/>
                <c:pt idx="0">
                  <c:v>1532.31</c:v>
                </c:pt>
              </c:numCache>
            </c:numRef>
          </c:val>
        </c:ser>
        <c:ser>
          <c:idx val="1"/>
          <c:order val="1"/>
          <c:tx>
            <c:strRef>
              <c:f>Sheet1!$C$1</c:f>
              <c:strCache>
                <c:ptCount val="1"/>
                <c:pt idx="0">
                  <c:v>结转下年支出</c:v>
                </c:pt>
              </c:strCache>
            </c:strRef>
          </c:tx>
          <c:cat>
            <c:strRef>
              <c:f>Sheet1!$A$2</c:f>
              <c:strCache>
                <c:ptCount val="1"/>
                <c:pt idx="0">
                  <c:v>上年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上年</c:v>
                </c:pt>
              </c:strCache>
            </c:strRef>
          </c:cat>
          <c:val>
            <c:numRef>
              <c:f>Sheet1!$D$2</c:f>
              <c:numCache>
                <c:ptCount val="1"/>
                <c:pt idx="0">
                  <c:v>31.5</c:v>
                </c:pt>
              </c:numCache>
            </c:numRef>
          </c:val>
        </c:ser>
        <c:ser>
          <c:idx val="3"/>
          <c:order val="3"/>
          <c:tx>
            <c:strRef>
              <c:f>Sheet1!$E$1</c:f>
              <c:strCache>
                <c:ptCount val="1"/>
                <c:pt idx="0">
                  <c:v>公用经费</c:v>
                </c:pt>
              </c:strCache>
            </c:strRef>
          </c:tx>
          <c:cat>
            <c:strRef>
              <c:f>Sheet1!$A$2</c:f>
              <c:strCache>
                <c:ptCount val="1"/>
                <c:pt idx="0">
                  <c:v>上年</c:v>
                </c:pt>
              </c:strCache>
            </c:strRef>
          </c:cat>
          <c:val>
            <c:numRef>
              <c:f>Sheet1!$E$2</c:f>
              <c:numCache>
                <c:ptCount val="1"/>
                <c:pt idx="0">
                  <c:v>40.61</c:v>
                </c:pt>
              </c:numCache>
            </c:numRef>
          </c:val>
        </c:ser>
        <c:ser>
          <c:idx val="4"/>
          <c:order val="4"/>
          <c:tx>
            <c:strRef>
              <c:f>Sheet1!$F$1</c:f>
              <c:strCache>
                <c:ptCount val="1"/>
                <c:pt idx="0">
                  <c:v>人员经费</c:v>
                </c:pt>
              </c:strCache>
            </c:strRef>
          </c:tx>
          <c:cat>
            <c:strRef>
              <c:f>Sheet1!$A$2</c:f>
              <c:strCache>
                <c:ptCount val="1"/>
                <c:pt idx="0">
                  <c:v>上年</c:v>
                </c:pt>
              </c:strCache>
            </c:strRef>
          </c:cat>
          <c:val>
            <c:numRef>
              <c:f>Sheet1!$F$2</c:f>
              <c:numCache>
                <c:ptCount val="1"/>
                <c:pt idx="0">
                  <c:v>1491.7</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zh-CN"/>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ptCount val="2"/>
                <c:pt idx="0">
                  <c:v>1491.7</c:v>
                </c:pt>
                <c:pt idx="1">
                  <c:v>40.61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公务用车购置及运行费预算</c:v>
                </c:pt>
                <c:pt idx="1">
                  <c:v>因公出国（境）经费预算</c:v>
                </c:pt>
                <c:pt idx="2">
                  <c:v>公务接待费预算</c:v>
                </c:pt>
              </c:strCache>
            </c:strRef>
          </c:cat>
          <c:val>
            <c:numRef>
              <c:f>Sheet1!$B$2:$B$4</c:f>
              <c:numCache>
                <c:formatCode>General</c:formatCode>
                <c:ptCount val="3"/>
                <c:pt idx="0">
                  <c:v>0.0</c:v>
                </c:pt>
                <c:pt idx="1">
                  <c:v>0.0</c:v>
                </c:pt>
                <c:pt idx="2">
                  <c:v>0.0</c:v>
                </c:pt>
              </c:numCache>
            </c:numRef>
          </c:val>
        </c:ser>
        <c:ser>
          <c:idx val="1"/>
          <c:order val="1"/>
          <c:tx>
            <c:strRef>
              <c:f>Sheet1!$C$1</c:f>
              <c:strCache>
                <c:ptCount val="1"/>
                <c:pt idx="0">
                  <c:v>当年</c:v>
                </c:pt>
              </c:strCache>
            </c:strRef>
          </c:tx>
          <c:invertIfNegative val="0"/>
          <c:dLbls>
            <c:delete val="1"/>
          </c:dLbls>
          <c:cat>
            <c:strRef>
              <c:f>Sheet1!$A$2:$A$4</c:f>
              <c:strCache>
                <c:ptCount val="3"/>
                <c:pt idx="0">
                  <c:v>公务用车购置及运行费预算</c:v>
                </c:pt>
                <c:pt idx="1">
                  <c:v>因公出国（境）经费预算</c:v>
                </c:pt>
                <c:pt idx="2">
                  <c:v>公务接待费预算</c:v>
                </c:pt>
              </c:strCache>
            </c:strRef>
          </c:cat>
          <c:val>
            <c:numRef>
              <c:f>Sheet1!$C$2:$C$4</c:f>
              <c:numCache>
                <c:formatCode>General</c:formatCode>
                <c:ptCount val="3"/>
                <c:pt idx="0">
                  <c:v>0.0</c:v>
                </c:pt>
                <c:pt idx="1">
                  <c:v>0.0</c:v>
                </c:pt>
                <c:pt idx="2">
                  <c:v>0.5</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C D D</cp:lastModifiedBy>
  <dcterms:modified xsi:type="dcterms:W3CDTF">2024-02-27T09:38:28Z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10</TotalTime>
  <ScaleCrop>false</ScaleCrop>
  <LinksUpToDate>false</LinksUpToDate>
  <CharactersWithSpaces>11333</CharactersWithSpaces>
  <Application>WPS Office_12.1.0.16120_F1E327BC-269C-435d-A152-05C5408002CA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88404FF73E4A4D02B71DC44154D3F401_13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10</TotalTime>
  <Pages>35</Pages>
  <Words>8576</Words>
  <Characters>11046</Characters>
  <Application>WPS Office_12.1.0.16120_F1E327BC-269C-435d-A152-05C5408002CA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C D D</cp:lastModifiedBy>
  <dcterms:modified xsi:type="dcterms:W3CDTF">2024-02-28T09:55:46Z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2052-12.1.0.16120</vt:lpstr>
  </property>
  <property fmtid="{D5CDD505-2E9C-101B-9397-08002B2CF9AE}" pid="3" name="ICV">
    <vt:lpstr>88404FF73E4A4D02B71DC44154D3F401_13</vt:lpstr>
  </property>
</Properties>
</file>