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环江毛南族自治县爱山林业试验场</w:t>
      </w:r>
    </w:p>
    <w:p>
      <w:pPr>
        <w:pStyle w:val="Bodytext|5"/>
        <w:jc w:val="center"/>
        <w:rPr>
          <w:sz w:val="56"/>
          <w:szCs w:val="56"/>
        </w:rPr>
        <w:sectPr>
          <w:headerReference w:type="default" r:id="rId5"/>
          <w:footerReference w:type="default" r:id="rId6"/>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2"/>
      <w:bookmarkStart w:id="1" w:name="bookmark1"/>
      <w:bookmarkStart w:id="2" w:name="bookmark0"/>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环江毛南族自治县爱山林业试验场</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环江毛南族自治县爱山林业试验场</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环江毛南族自治县爱山林业试验场</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7"/>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环江毛南族自治县爱山林业试验场</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(一)负责贯彻执行国家有关林业的方针政策和法律法规，保护培育森林资源，维护国家生态安全。</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(二)负责制定国有林场中长期发展规划和年度计划并负责组织实施。开展资源调查、林业统计、林业资产核算和森林资源档案管理工作。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(三)负责管护区域内的森林防火宣传及森林火灾扑救工作，确保国有森林资源不受损失。</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(四)负责管护区域内森林资源培育保护、野生动植物资源保护、林业有害生物防治工作。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(五)依据国家和自治区相关的管理规定，做好辖区内重点公益林管理工作。负责国有林场森林资源保护管理情况的考核。</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(六)负责林场林木、林产品和其他产品管理。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(七)负责林场社会事务管理工作，确保林区社会安全稳定。</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(八)承办县委、县政府及上级主管部门交办的其他事项</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（一）内设机构</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自治县爱山林业试验场设3个内设机构：</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1.办公室</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组织协调林场机关日常工作，负责文秘、档案、信息、统计、宣传报道、督查、接访、绩效考核、爱卫创建、后勤接待、车辆调度、综合性文稿的起草、会议组织等工作。负责编制财务年度预算、做好年度决算，负责报账审核、报表统计、计账结账、决算、资金票据管理、固定资产管理、工资福利发放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2.营林绿化股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负责组织开展森林资源清查（调查）建档统计、负责森林资源调查各项作业设计，组织指导营林造林、封山育林、生态公益林区划界定、检查验收，森林病虫害防治、抚育间伐、木材生产、项目建设等工作。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3.护林防火股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负责林区护林防火宣传教育和巡逻督查，定期对各工区山场进行护林防火检查；负责专业扑火队管理及扑火器材管护；负责林区安全生产和工区人员考勤督岗；负责公益林管理和保护管理情况考核；协助上级主管部门做好涉林案件的查处及权属纠纷调处工作</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8"/>
      <w:bookmarkStart w:id="9" w:name="bookmark69"/>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环江毛南族自治县爱山林业试验场</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152.40</w:t>
      </w:r>
      <w:r>
        <w:rPr>
          <w:rFonts w:hint="eastAsia"/>
          <w:b w:val="0"/>
          <w:bCs w:val="0"/>
          <w:sz w:val="28"/>
          <w:szCs w:val="28"/>
        </w:rPr>
        <w:t xml:space="preserve">万元，总支出</w:t>
      </w:r>
      <w:r>
        <w:rPr>
          <w:rFonts w:hint="eastAsia"/>
          <w:sz w:val="28"/>
          <w:szCs w:val="28"/>
          <w:lang w:val="en-US" w:eastAsia="zh-CN"/>
        </w:rPr>
        <w:t xml:space="preserve">152.40</w:t>
      </w:r>
      <w:r>
        <w:rPr>
          <w:rFonts w:hint="eastAsia"/>
          <w:b w:val="0"/>
          <w:bCs w:val="0"/>
          <w:sz w:val="28"/>
          <w:szCs w:val="28"/>
        </w:rPr>
        <w:t xml:space="preserve">万元。总收入较2023年度预算数</w:t>
      </w:r>
      <w:r>
        <w:rPr>
          <w:rFonts w:hint="eastAsia"/>
          <w:sz w:val="28"/>
          <w:szCs w:val="28"/>
          <w:lang w:val="en-US" w:eastAsia="zh-CN"/>
        </w:rPr>
        <w:t xml:space="preserve">151.36</w:t>
      </w:r>
      <w:r>
        <w:rPr>
          <w:rFonts w:hint="eastAsia"/>
          <w:b w:val="0"/>
          <w:bCs w:val="0"/>
          <w:sz w:val="28"/>
          <w:szCs w:val="28"/>
        </w:rPr>
        <w:t xml:space="preserve">万元，</w:t>
      </w:r>
      <w:r>
        <w:rPr>
          <w:rFonts w:hint="eastAsia"/>
          <w:sz w:val="28"/>
          <w:szCs w:val="28"/>
        </w:rPr>
        <w:t xml:space="preserve">增加1.04</w:t>
      </w:r>
      <w:r>
        <w:rPr>
          <w:rFonts w:hint="eastAsia"/>
          <w:b w:val="0"/>
          <w:bCs w:val="0"/>
          <w:sz w:val="28"/>
          <w:szCs w:val="28"/>
        </w:rPr>
        <w:t xml:space="preserve">万元，</w:t>
      </w:r>
      <w:r>
        <w:rPr>
          <w:rFonts w:hint="eastAsia"/>
          <w:sz w:val="28"/>
          <w:szCs w:val="28"/>
        </w:rPr>
        <w:t xml:space="preserve">增长0.69%</w:t>
      </w:r>
      <w:r>
        <w:rPr>
          <w:rFonts w:hint="eastAsia"/>
          <w:b w:val="0"/>
          <w:bCs w:val="0"/>
          <w:sz w:val="28"/>
          <w:szCs w:val="28"/>
        </w:rPr>
        <w:t xml:space="preserve">，主要原因是</w:t>
      </w:r>
      <w:r>
        <w:rPr>
          <w:rFonts w:hint="eastAsia"/>
          <w:highlight w:val="none"/>
          <w:lang w:val="en-US" w:eastAsia="zh-CN"/>
        </w:rPr>
        <w:t xml:space="preserve">正常变动</w:t>
      </w:r>
      <w:r>
        <w:rPr>
          <w:rFonts w:hint="eastAsia"/>
          <w:b w:val="0"/>
          <w:bCs w:val="0"/>
          <w:sz w:val="28"/>
          <w:szCs w:val="28"/>
        </w:rPr>
        <w:t xml:space="preserve">。总支出较2023年度预算数</w:t>
      </w:r>
      <w:r>
        <w:rPr>
          <w:rFonts w:hint="eastAsia"/>
          <w:sz w:val="28"/>
          <w:szCs w:val="28"/>
          <w:lang w:val="en-US" w:eastAsia="zh-CN"/>
        </w:rPr>
        <w:t xml:space="preserve">151.36</w:t>
      </w:r>
      <w:r>
        <w:rPr>
          <w:rFonts w:hint="eastAsia"/>
          <w:b w:val="0"/>
          <w:bCs w:val="0"/>
          <w:sz w:val="28"/>
          <w:szCs w:val="28"/>
        </w:rPr>
        <w:t xml:space="preserve">万元，</w:t>
      </w:r>
      <w:r>
        <w:rPr>
          <w:rFonts w:hint="eastAsia"/>
          <w:sz w:val="28"/>
          <w:szCs w:val="28"/>
        </w:rPr>
        <w:t xml:space="preserve">增加1.04</w:t>
      </w:r>
      <w:r>
        <w:rPr>
          <w:rFonts w:hint="eastAsia"/>
          <w:b w:val="0"/>
          <w:bCs w:val="0"/>
          <w:sz w:val="28"/>
          <w:szCs w:val="28"/>
        </w:rPr>
        <w:t xml:space="preserve">万元，</w:t>
      </w:r>
      <w:r>
        <w:rPr>
          <w:rFonts w:hint="eastAsia"/>
          <w:sz w:val="28"/>
          <w:szCs w:val="28"/>
        </w:rPr>
        <w:t xml:space="preserve">增长0.69%</w:t>
      </w:r>
      <w:r>
        <w:rPr>
          <w:rFonts w:hint="eastAsia"/>
          <w:b w:val="0"/>
          <w:bCs w:val="0"/>
          <w:sz w:val="28"/>
          <w:szCs w:val="28"/>
        </w:rPr>
        <w:t xml:space="preserve">，主要原因是</w:t>
      </w:r>
      <w:r>
        <w:rPr>
          <w:rFonts w:hint="eastAsia"/>
          <w:highlight w:val="none"/>
          <w:lang w:val="en-US" w:eastAsia="zh-CN"/>
        </w:rPr>
        <w:t xml:space="preserve">正常变动</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657"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152.40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151.36</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增加1.04</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增长0.69%</w:t>
      </w:r>
      <w:r>
        <w:rPr>
          <w:rFonts w:ascii="宋体" w:eastAsia="宋体" w:hAnsi="宋体" w:cs="宋体" w:hint="eastAsia"/>
          <w:sz w:val="28"/>
          <w:szCs w:val="28"/>
          <w:u w:color="auto"/>
        </w:rPr>
        <w:t xml:space="preserve">，主要原因是</w:t>
      </w:r>
      <w:r>
        <w:rPr>
          <w:rFonts w:hint="eastAsia"/>
          <w:highlight w:val="none"/>
          <w:lang w:val="en-US" w:eastAsia="zh-CN"/>
        </w:rPr>
        <w:t xml:space="preserve">正常变动</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658"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152.40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151.36</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增加1.04</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增长0.69%</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正常变动</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正常变动</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6</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农林水支出</w:t>
      </w:r>
      <w:r>
        <w:rPr>
          <w:rFonts w:ascii="宋体" w:eastAsia="宋体" w:hAnsi="宋体" w:cs="宋体" w:hint="eastAsia"/>
          <w:sz w:val="28"/>
          <w:szCs w:val="28"/>
          <w:lang w:val="en-US" w:eastAsia="zh-CN"/>
        </w:rPr>
        <w:t xml:space="preserve">128.39</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84.25%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增长22.12</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增长20.81%</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正常变动</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灾害防治及应急管理支出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减少6.00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减少100.00%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正常变动</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12.33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8.09%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减少1.60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减少11.49%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正常变动</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其他支出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减少12.96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减少100.00%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正常变动</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5</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10.62</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6.97%</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增长0.17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增长1.63%</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正常变动</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6</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1.05</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0.69%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减少0.69</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减少39.66%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正常变动</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129.30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84.84%</w:t>
      </w:r>
      <w:r>
        <w:rPr>
          <w:rFonts w:ascii="宋体" w:eastAsia="宋体" w:hAnsi="宋体" w:cs="宋体"/>
          <w:sz w:val="28"/>
          <w:u w:color="auto"/>
        </w:rPr>
        <w:t xml:space="preserve">,比上年</w:t>
      </w:r>
      <w:r>
        <w:rPr>
          <w:rFonts w:ascii="宋体" w:eastAsia="宋体" w:hAnsi="宋体" w:cs="宋体"/>
          <w:sz w:val="28"/>
          <w:u w:color="auto"/>
        </w:rPr>
        <w:t xml:space="preserve">增长9.61</w:t>
      </w:r>
      <w:r>
        <w:rPr>
          <w:rFonts w:ascii="宋体" w:eastAsia="宋体" w:hAnsi="宋体" w:cs="宋体"/>
          <w:sz w:val="28"/>
          <w:u w:color="auto"/>
        </w:rPr>
        <w:t xml:space="preserve">万元，</w:t>
      </w:r>
      <w:r>
        <w:rPr>
          <w:rFonts w:ascii="宋体" w:eastAsia="宋体" w:hAnsi="宋体" w:cs="宋体"/>
          <w:sz w:val="28"/>
          <w:u w:color="auto"/>
        </w:rPr>
        <w:t xml:space="preserve">增长8.03%</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99.42</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76.89%</w:t>
      </w:r>
      <w:r>
        <w:rPr>
          <w:rFonts w:ascii="宋体" w:eastAsia="宋体" w:hAnsi="宋体" w:cs="宋体" w:hint="eastAsia"/>
          <w:sz w:val="28"/>
          <w:szCs w:val="28"/>
        </w:rPr>
        <w:t xml:space="preserve">,比上年</w:t>
      </w:r>
      <w:r>
        <w:rPr>
          <w:rFonts w:ascii="宋体" w:eastAsia="宋体" w:hAnsi="宋体" w:cs="宋体"/>
          <w:sz w:val="28"/>
          <w:u w:color="auto"/>
        </w:rPr>
        <w:t xml:space="preserve">减少0.23</w:t>
      </w:r>
      <w:r>
        <w:rPr>
          <w:rFonts w:ascii="宋体" w:eastAsia="宋体" w:hAnsi="宋体" w:cs="宋体"/>
          <w:sz w:val="28"/>
          <w:u w:color="auto"/>
        </w:rPr>
        <w:t xml:space="preserve">万元，</w:t>
      </w:r>
      <w:r>
        <w:rPr>
          <w:rFonts w:ascii="宋体" w:eastAsia="宋体" w:hAnsi="宋体" w:cs="宋体"/>
          <w:sz w:val="28"/>
          <w:u w:color="auto"/>
        </w:rPr>
        <w:t xml:space="preserve">减少0.23%</w:t>
      </w:r>
      <w:r>
        <w:rPr>
          <w:rFonts w:ascii="宋体" w:eastAsia="宋体" w:hAnsi="宋体" w:cs="宋体"/>
          <w:sz w:val="28"/>
          <w:u w:color="auto"/>
        </w:rPr>
        <w:t xml:space="preserve">,主要原因是：正常变动</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3.05</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2.36%</w:t>
      </w:r>
      <w:r>
        <w:rPr>
          <w:rFonts w:ascii="宋体" w:eastAsia="宋体" w:hAnsi="宋体" w:cs="宋体" w:hint="eastAsia"/>
          <w:sz w:val="28"/>
          <w:szCs w:val="28"/>
        </w:rPr>
        <w:t xml:space="preserve">,比上年</w:t>
      </w:r>
      <w:r>
        <w:rPr>
          <w:rFonts w:ascii="宋体" w:eastAsia="宋体" w:hAnsi="宋体" w:cs="宋体"/>
          <w:sz w:val="28"/>
          <w:u w:color="auto"/>
        </w:rPr>
        <w:t xml:space="preserve">减少0.94</w:t>
      </w:r>
      <w:r>
        <w:rPr>
          <w:rFonts w:ascii="宋体" w:eastAsia="宋体" w:hAnsi="宋体" w:cs="宋体"/>
          <w:sz w:val="28"/>
          <w:u w:color="auto"/>
        </w:rPr>
        <w:t xml:space="preserve">万元，</w:t>
      </w:r>
      <w:r>
        <w:rPr>
          <w:rFonts w:ascii="宋体" w:eastAsia="宋体" w:hAnsi="宋体" w:cs="宋体"/>
          <w:sz w:val="28"/>
          <w:u w:color="auto"/>
        </w:rPr>
        <w:t xml:space="preserve">减少23.56%</w:t>
      </w:r>
      <w:r>
        <w:rPr>
          <w:rFonts w:ascii="宋体" w:eastAsia="宋体" w:hAnsi="宋体" w:cs="宋体"/>
          <w:sz w:val="28"/>
          <w:u w:color="auto"/>
        </w:rPr>
        <w:t xml:space="preserve">,主要原因是：正常变动</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对个人和家庭的补助</w:t>
      </w:r>
      <w:r>
        <w:rPr>
          <w:rFonts w:ascii="宋体" w:eastAsia="宋体" w:hAnsi="宋体" w:cs="宋体" w:hint="eastAsia"/>
          <w:sz w:val="28"/>
          <w:szCs w:val="28"/>
          <w:lang w:val="en-US" w:eastAsia="zh-CN"/>
        </w:rPr>
        <w:t xml:space="preserve">26.82</w:t>
      </w:r>
      <w:r>
        <w:rPr>
          <w:rFonts w:ascii="宋体" w:eastAsia="宋体" w:hAnsi="宋体" w:cs="宋体" w:hint="eastAsia"/>
          <w:sz w:val="28"/>
          <w:szCs w:val="28"/>
        </w:rPr>
        <w:t xml:space="preserve">万元，占基本支出总预算</w:t>
      </w:r>
      <w:r>
        <w:rPr>
          <w:rFonts w:ascii="宋体" w:eastAsia="宋体" w:hAnsi="宋体" w:cs="宋体" w:hint="eastAsia"/>
          <w:sz w:val="28"/>
          <w:szCs w:val="28"/>
          <w:lang w:val="en-US" w:eastAsia="zh-CN"/>
        </w:rPr>
        <w:t xml:space="preserve">20.74%</w:t>
      </w:r>
      <w:r>
        <w:rPr>
          <w:rFonts w:ascii="宋体" w:eastAsia="宋体" w:hAnsi="宋体" w:cs="宋体" w:hint="eastAsia"/>
          <w:sz w:val="28"/>
          <w:szCs w:val="28"/>
        </w:rPr>
        <w:t xml:space="preserve">,比上年</w:t>
      </w:r>
      <w:r>
        <w:rPr>
          <w:rFonts w:ascii="宋体" w:eastAsia="宋体" w:hAnsi="宋体" w:cs="宋体"/>
          <w:sz w:val="28"/>
          <w:u w:color="auto"/>
        </w:rPr>
        <w:t xml:space="preserve">增长10.77</w:t>
      </w:r>
      <w:r>
        <w:rPr>
          <w:rFonts w:ascii="宋体" w:eastAsia="宋体" w:hAnsi="宋体" w:cs="宋体"/>
          <w:sz w:val="28"/>
          <w:u w:color="auto"/>
        </w:rPr>
        <w:t xml:space="preserve">万元，</w:t>
      </w:r>
      <w:r>
        <w:rPr>
          <w:rFonts w:ascii="宋体" w:eastAsia="宋体" w:hAnsi="宋体" w:cs="宋体"/>
          <w:sz w:val="28"/>
          <w:u w:color="auto"/>
        </w:rPr>
        <w:t xml:space="preserve">增长67.10%</w:t>
      </w:r>
      <w:r>
        <w:rPr>
          <w:rFonts w:ascii="宋体" w:eastAsia="宋体" w:hAnsi="宋体" w:cs="宋体"/>
          <w:sz w:val="28"/>
          <w:u w:color="auto"/>
        </w:rPr>
        <w:t xml:space="preserve">,主要原因是：正常变动</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23.10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15.16%</w:t>
      </w:r>
      <w:r>
        <w:rPr>
          <w:rFonts w:ascii="宋体" w:eastAsia="宋体" w:hAnsi="宋体" w:cs="宋体" w:hint="eastAsia"/>
          <w:sz w:val="28"/>
          <w:szCs w:val="28"/>
        </w:rPr>
        <w:t xml:space="preserve">,比上年</w:t>
      </w:r>
      <w:r>
        <w:rPr>
          <w:rFonts w:ascii="宋体" w:eastAsia="宋体" w:hAnsi="宋体" w:cs="宋体"/>
          <w:sz w:val="28"/>
          <w:u w:color="auto"/>
        </w:rPr>
        <w:t xml:space="preserve">减少8.57</w:t>
      </w:r>
      <w:r>
        <w:rPr>
          <w:rFonts w:ascii="宋体" w:eastAsia="宋体" w:hAnsi="宋体" w:cs="宋体" w:hint="eastAsia"/>
          <w:sz w:val="28"/>
          <w:szCs w:val="28"/>
        </w:rPr>
        <w:t xml:space="preserve">万元，</w:t>
      </w:r>
      <w:r>
        <w:rPr>
          <w:rFonts w:ascii="宋体" w:eastAsia="宋体" w:hAnsi="宋体" w:cs="宋体"/>
          <w:sz w:val="28"/>
          <w:u w:color="auto"/>
        </w:rPr>
        <w:t xml:space="preserve">减少27.06%</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22.60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97.84%</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减少3.07</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减少11.96%</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正常变动</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资本性支出（基本建设）</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0.00%</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减少6.00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减少100.00%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正常变动</w:t>
      </w:r>
      <w:r>
        <w:rPr>
          <w:rFonts w:ascii="宋体" w:eastAsia="宋体" w:hAnsi="宋体" w:cs="宋体" w:hint="eastAsia"/>
          <w:color w:val="000000"/>
          <w:sz w:val="28"/>
          <w:szCs w:val="28"/>
          <w:lang w:val="en-US" w:eastAsia="zh-CN" w:bidi="zh-TW"/>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color w:val="000000"/>
          <w:sz w:val="28"/>
          <w:szCs w:val="28"/>
          <w:lang w:val="en-US" w:eastAsia="zh-CN" w:bidi="zh-TW"/>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资本性支出</w:t>
      </w:r>
      <w:r>
        <w:rPr>
          <w:rFonts w:ascii="宋体" w:eastAsia="宋体" w:hAnsi="宋体" w:cs="宋体" w:hint="eastAsia"/>
          <w:sz w:val="28"/>
          <w:szCs w:val="28"/>
          <w:lang w:val="en-US" w:eastAsia="zh-CN"/>
        </w:rPr>
        <w:t xml:space="preserve">0.50</w:t>
      </w:r>
      <w:r>
        <w:rPr>
          <w:rFonts w:ascii="宋体" w:eastAsia="宋体" w:hAnsi="宋体" w:cs="宋体" w:hint="eastAsia"/>
          <w:sz w:val="28"/>
          <w:szCs w:val="28"/>
        </w:rPr>
        <w:t xml:space="preserve">万元，占项</w:t>
      </w:r>
      <w:r>
        <w:rPr>
          <w:rFonts w:ascii="宋体" w:eastAsia="宋体" w:hAnsi="宋体" w:cs="宋体" w:hint="eastAsia"/>
          <w:color w:val="000000"/>
          <w:sz w:val="28"/>
          <w:szCs w:val="28"/>
          <w:lang w:val="zh-TW" w:eastAsia="zh-TW" w:bidi="zh-TW"/>
        </w:rPr>
        <w:t xml:space="preserve">目支出总预算</w:t>
      </w:r>
      <w:r>
        <w:rPr>
          <w:rFonts w:ascii="宋体" w:eastAsia="宋体" w:hAnsi="宋体" w:cs="宋体" w:hint="eastAsia"/>
          <w:color w:val="000000"/>
          <w:sz w:val="28"/>
          <w:szCs w:val="28"/>
          <w:lang w:val="en-US" w:eastAsia="zh-CN" w:bidi="zh-TW"/>
        </w:rPr>
        <w:t xml:space="preserve">2.16%</w:t>
      </w:r>
      <w:r>
        <w:rPr>
          <w:rFonts w:ascii="宋体" w:eastAsia="宋体" w:hAnsi="宋体" w:cs="宋体" w:hint="eastAsia"/>
          <w:color w:val="000000"/>
          <w:sz w:val="28"/>
          <w:szCs w:val="28"/>
          <w:lang w:val="zh-TW" w:eastAsia="zh-TW" w:bidi="zh-TW"/>
        </w:rPr>
        <w:t xml:space="preserve">,比上年</w:t>
      </w:r>
      <w:r>
        <w:rPr>
          <w:rFonts w:ascii="宋体" w:eastAsia="宋体" w:hAnsi="宋体" w:cs="宋体"/>
          <w:color w:val="000000"/>
          <w:sz w:val="28"/>
          <w:u w:color="auto"/>
        </w:rPr>
        <w:t xml:space="preserve">增长0.50</w:t>
      </w:r>
      <w:r>
        <w:rPr>
          <w:rFonts w:ascii="宋体" w:eastAsia="宋体" w:hAnsi="宋体" w:cs="宋体"/>
          <w:color w:val="000000"/>
          <w:sz w:val="28"/>
          <w:u w:color="auto"/>
        </w:rPr>
        <w:t xml:space="preserve">万元，</w:t>
      </w:r>
      <w:r>
        <w:rPr>
          <w:rFonts w:ascii="宋体" w:eastAsia="宋体" w:hAnsi="宋体" w:cs="宋体"/>
          <w:color w:val="000000"/>
          <w:sz w:val="28"/>
          <w:u w:color="auto"/>
        </w:rPr>
        <w:t xml:space="preserve">增长100%</w:t>
      </w:r>
      <w:r>
        <w:rPr>
          <w:rFonts w:ascii="宋体" w:eastAsia="宋体" w:hAnsi="宋体" w:cs="宋体"/>
          <w:color w:val="000000"/>
          <w:sz w:val="28"/>
          <w:u w:color="auto"/>
        </w:rPr>
        <w:t xml:space="preserve">,主要原因是：</w:t>
      </w:r>
      <w:r>
        <w:rPr>
          <w:rFonts w:ascii="宋体" w:eastAsia="宋体" w:hAnsi="宋体" w:cs="宋体" w:hint="eastAsia"/>
          <w:color w:val="000000"/>
          <w:sz w:val="28"/>
          <w:szCs w:val="28"/>
          <w:lang w:val="zh-TW" w:eastAsia="zh-TW" w:bidi="zh-TW"/>
        </w:rPr>
        <w:t xml:space="preserve">正常变动</w:t>
      </w:r>
      <w:r>
        <w:rPr>
          <w:rFonts w:ascii="宋体" w:eastAsia="宋体" w:hAnsi="宋体" w:cs="宋体" w:hint="eastAsia"/>
          <w:color w:val="000000"/>
          <w:sz w:val="28"/>
          <w:szCs w:val="28"/>
          <w:lang w:val="en-US" w:eastAsia="zh-CN" w:bidi="zh-TW"/>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3659"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152.40</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152.40</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151.36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增加1.04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增长0.69%</w:t>
      </w:r>
      <w:r>
        <w:rPr>
          <w:rFonts w:ascii="宋体" w:eastAsia="宋体" w:hAnsi="宋体" w:cs="宋体" w:hint="eastAsia"/>
          <w:sz w:val="28"/>
          <w:szCs w:val="28"/>
        </w:rPr>
        <w:t xml:space="preserve">，主要原因是</w:t>
      </w:r>
      <w:r>
        <w:rPr>
          <w:rFonts w:hint="eastAsia"/>
          <w:highlight w:val="none"/>
          <w:lang w:val="en-US" w:eastAsia="zh-CN"/>
        </w:rPr>
        <w:t xml:space="preserve">正常变动</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151.36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增加1.04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增长0.69%</w:t>
      </w:r>
      <w:r>
        <w:rPr>
          <w:rFonts w:ascii="宋体" w:eastAsia="宋体" w:hAnsi="宋体" w:cs="宋体" w:hint="eastAsia"/>
          <w:sz w:val="28"/>
          <w:szCs w:val="28"/>
        </w:rPr>
        <w:t xml:space="preserve">，主要原因是</w:t>
      </w:r>
      <w:r>
        <w:rPr>
          <w:rFonts w:hint="eastAsia"/>
          <w:highlight w:val="none"/>
          <w:lang w:val="en-US" w:eastAsia="zh-CN"/>
        </w:rPr>
        <w:t xml:space="preserve">正常变动</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660"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152.40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151.36</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增加1.04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增长0.69%</w:t>
      </w:r>
      <w:r>
        <w:rPr>
          <w:rFonts w:ascii="宋体" w:eastAsia="宋体" w:hAnsi="宋体" w:cs="宋体" w:hint="eastAsia"/>
          <w:sz w:val="28"/>
          <w:szCs w:val="28"/>
        </w:rPr>
        <w:t xml:space="preserve">，主要原因是</w:t>
      </w:r>
      <w:r>
        <w:rPr>
          <w:rFonts w:hint="eastAsia"/>
          <w:highlight w:val="none"/>
          <w:lang w:val="en-US" w:eastAsia="zh-CN"/>
        </w:rPr>
        <w:t xml:space="preserve">正常变动</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1.05</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0.69%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1.74</w:t>
      </w:r>
      <w:r>
        <w:rPr>
          <w:rFonts w:ascii="宋体" w:eastAsia="宋体" w:hAnsi="宋体" w:cs="宋体" w:hint="eastAsia"/>
          <w:sz w:val="28"/>
          <w:szCs w:val="28"/>
        </w:rPr>
        <w:t xml:space="preserve">万元，</w:t>
      </w:r>
      <w:r>
        <w:rPr>
          <w:rFonts w:ascii="宋体" w:eastAsia="宋体" w:hAnsi="宋体" w:cs="宋体"/>
          <w:sz w:val="28"/>
          <w:u w:color="auto"/>
        </w:rPr>
        <w:t xml:space="preserve">减少0.69</w:t>
      </w:r>
      <w:r>
        <w:rPr>
          <w:rFonts w:ascii="宋体" w:eastAsia="宋体" w:hAnsi="宋体" w:cs="宋体" w:hint="eastAsia"/>
          <w:sz w:val="28"/>
          <w:szCs w:val="28"/>
        </w:rPr>
        <w:t xml:space="preserve">万元，</w:t>
      </w:r>
      <w:r>
        <w:rPr>
          <w:rFonts w:ascii="宋体" w:eastAsia="宋体" w:hAnsi="宋体" w:cs="宋体"/>
          <w:sz w:val="28"/>
          <w:u w:color="auto"/>
        </w:rPr>
        <w:t xml:space="preserve">减少39.66%</w:t>
      </w:r>
      <w:r>
        <w:rPr>
          <w:rFonts w:ascii="宋体" w:eastAsia="宋体" w:hAnsi="宋体" w:cs="宋体" w:hint="eastAsia"/>
          <w:sz w:val="28"/>
          <w:szCs w:val="28"/>
        </w:rPr>
        <w:t xml:space="preserve">，主要原因是：</w:t>
      </w:r>
      <w:r>
        <w:rPr>
          <w:rFonts w:hint="eastAsia"/>
          <w:highlight w:val="none"/>
        </w:rPr>
        <w:t xml:space="preserve">正常变动</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10.62</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6.97%</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10.45</w:t>
      </w:r>
      <w:r>
        <w:rPr>
          <w:rFonts w:ascii="宋体" w:eastAsia="宋体" w:hAnsi="宋体" w:cs="宋体" w:hint="eastAsia"/>
          <w:sz w:val="28"/>
          <w:szCs w:val="28"/>
        </w:rPr>
        <w:t xml:space="preserve">万元，</w:t>
      </w:r>
      <w:r>
        <w:rPr>
          <w:rFonts w:ascii="宋体" w:eastAsia="宋体" w:hAnsi="宋体" w:cs="宋体"/>
          <w:sz w:val="28"/>
          <w:u w:color="auto"/>
        </w:rPr>
        <w:t xml:space="preserve">增长0.17</w:t>
      </w:r>
      <w:r>
        <w:rPr>
          <w:rFonts w:ascii="宋体" w:eastAsia="宋体" w:hAnsi="宋体" w:cs="宋体" w:hint="eastAsia"/>
          <w:sz w:val="28"/>
          <w:szCs w:val="28"/>
        </w:rPr>
        <w:t xml:space="preserve">万元，</w:t>
      </w:r>
      <w:r>
        <w:rPr>
          <w:rFonts w:ascii="宋体" w:eastAsia="宋体" w:hAnsi="宋体" w:cs="宋体"/>
          <w:sz w:val="28"/>
          <w:u w:color="auto"/>
        </w:rPr>
        <w:t xml:space="preserve">增长1.63%</w:t>
      </w:r>
      <w:r>
        <w:rPr>
          <w:rFonts w:ascii="宋体" w:eastAsia="宋体" w:hAnsi="宋体" w:cs="宋体" w:hint="eastAsia"/>
          <w:sz w:val="28"/>
          <w:szCs w:val="28"/>
        </w:rPr>
        <w:t xml:space="preserve">，主要原因是：</w:t>
      </w:r>
      <w:r>
        <w:rPr>
          <w:rFonts w:hint="eastAsia"/>
          <w:highlight w:val="none"/>
        </w:rPr>
        <w:t xml:space="preserve">正常变动</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其他支出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12.96</w:t>
      </w:r>
      <w:r>
        <w:rPr>
          <w:rFonts w:ascii="宋体" w:eastAsia="宋体" w:hAnsi="宋体" w:cs="宋体" w:hint="eastAsia"/>
          <w:sz w:val="28"/>
          <w:szCs w:val="28"/>
        </w:rPr>
        <w:t xml:space="preserve">万元，</w:t>
      </w:r>
      <w:r>
        <w:rPr>
          <w:rFonts w:ascii="宋体" w:eastAsia="宋体" w:hAnsi="宋体" w:cs="宋体"/>
          <w:sz w:val="28"/>
          <w:u w:color="auto"/>
        </w:rPr>
        <w:t xml:space="preserve">减少12.96</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正常变动</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128.39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84.25%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106.27</w:t>
      </w:r>
      <w:r>
        <w:rPr>
          <w:rFonts w:ascii="宋体" w:eastAsia="宋体" w:hAnsi="宋体" w:cs="宋体" w:hint="eastAsia"/>
          <w:sz w:val="28"/>
          <w:szCs w:val="28"/>
        </w:rPr>
        <w:t xml:space="preserve">万元，</w:t>
      </w:r>
      <w:r>
        <w:rPr>
          <w:rFonts w:ascii="宋体" w:eastAsia="宋体" w:hAnsi="宋体" w:cs="宋体"/>
          <w:sz w:val="28"/>
          <w:u w:color="auto"/>
        </w:rPr>
        <w:t xml:space="preserve">增长22.12</w:t>
      </w:r>
      <w:r>
        <w:rPr>
          <w:rFonts w:ascii="宋体" w:eastAsia="宋体" w:hAnsi="宋体" w:cs="宋体" w:hint="eastAsia"/>
          <w:sz w:val="28"/>
          <w:szCs w:val="28"/>
        </w:rPr>
        <w:t xml:space="preserve">万元，</w:t>
      </w:r>
      <w:r>
        <w:rPr>
          <w:rFonts w:ascii="宋体" w:eastAsia="宋体" w:hAnsi="宋体" w:cs="宋体"/>
          <w:sz w:val="28"/>
          <w:u w:color="auto"/>
        </w:rPr>
        <w:t xml:space="preserve">增长20.81%</w:t>
      </w:r>
      <w:r>
        <w:rPr>
          <w:rFonts w:ascii="宋体" w:eastAsia="宋体" w:hAnsi="宋体" w:cs="宋体" w:hint="eastAsia"/>
          <w:sz w:val="28"/>
          <w:szCs w:val="28"/>
        </w:rPr>
        <w:t xml:space="preserve">，主要原因是：</w:t>
      </w:r>
      <w:r>
        <w:rPr>
          <w:rFonts w:hint="eastAsia"/>
          <w:highlight w:val="none"/>
        </w:rPr>
        <w:t xml:space="preserve">正常变动</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灾害防治及应急管理支出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6.00</w:t>
      </w:r>
      <w:r>
        <w:rPr>
          <w:rFonts w:ascii="宋体" w:eastAsia="宋体" w:hAnsi="宋体" w:cs="宋体" w:hint="eastAsia"/>
          <w:sz w:val="28"/>
          <w:szCs w:val="28"/>
        </w:rPr>
        <w:t xml:space="preserve">万元，</w:t>
      </w:r>
      <w:r>
        <w:rPr>
          <w:rFonts w:ascii="宋体" w:eastAsia="宋体" w:hAnsi="宋体" w:cs="宋体"/>
          <w:sz w:val="28"/>
          <w:u w:color="auto"/>
        </w:rPr>
        <w:t xml:space="preserve">减少6.00</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正常变动</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12.33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8.09%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13.93</w:t>
      </w:r>
      <w:r>
        <w:rPr>
          <w:rFonts w:ascii="宋体" w:eastAsia="宋体" w:hAnsi="宋体" w:cs="宋体" w:hint="eastAsia"/>
          <w:sz w:val="28"/>
          <w:szCs w:val="28"/>
        </w:rPr>
        <w:t xml:space="preserve">万元，</w:t>
      </w:r>
      <w:r>
        <w:rPr>
          <w:rFonts w:ascii="宋体" w:eastAsia="宋体" w:hAnsi="宋体" w:cs="宋体"/>
          <w:sz w:val="28"/>
          <w:u w:color="auto"/>
        </w:rPr>
        <w:t xml:space="preserve">减少1.60</w:t>
      </w:r>
      <w:r>
        <w:rPr>
          <w:rFonts w:ascii="宋体" w:eastAsia="宋体" w:hAnsi="宋体" w:cs="宋体" w:hint="eastAsia"/>
          <w:sz w:val="28"/>
          <w:szCs w:val="28"/>
        </w:rPr>
        <w:t xml:space="preserve">万元，</w:t>
      </w:r>
      <w:r>
        <w:rPr>
          <w:rFonts w:ascii="宋体" w:eastAsia="宋体" w:hAnsi="宋体" w:cs="宋体"/>
          <w:sz w:val="28"/>
          <w:u w:color="auto"/>
        </w:rPr>
        <w:t xml:space="preserve">减少11.49%</w:t>
      </w:r>
      <w:r>
        <w:rPr>
          <w:rFonts w:ascii="宋体" w:eastAsia="宋体" w:hAnsi="宋体" w:cs="宋体" w:hint="eastAsia"/>
          <w:sz w:val="28"/>
          <w:szCs w:val="28"/>
        </w:rPr>
        <w:t xml:space="preserve">，主要原因是：</w:t>
      </w:r>
      <w:r>
        <w:rPr>
          <w:rFonts w:hint="eastAsia"/>
          <w:highlight w:val="none"/>
        </w:rPr>
        <w:t xml:space="preserve">正常变动</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661"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2"/>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129.30</w:t>
      </w:r>
      <w:r>
        <w:rPr>
          <w:rFonts w:hint="eastAsia"/>
        </w:rPr>
        <w:t xml:space="preserve">万元，较2023年度预算数</w:t>
      </w:r>
      <w:r>
        <w:rPr>
          <w:rFonts w:hint="eastAsia"/>
          <w:lang w:val="en-US" w:eastAsia="zh-CN"/>
        </w:rPr>
        <w:t xml:space="preserve">119.69</w:t>
      </w:r>
      <w:r>
        <w:rPr>
          <w:rFonts w:hint="eastAsia"/>
        </w:rPr>
        <w:t xml:space="preserve">万元</w:t>
      </w:r>
      <w:r>
        <w:rPr>
          <w:rFonts w:hint="eastAsia"/>
          <w:lang w:val="en-US" w:eastAsia="zh-CN"/>
        </w:rPr>
        <w:t xml:space="preserve">,</w:t>
      </w:r>
      <w:r>
        <w:rPr>
          <w:u w:color="auto"/>
        </w:rPr>
        <w:t xml:space="preserve">增加9.61</w:t>
      </w:r>
      <w:r>
        <w:rPr>
          <w:rFonts w:hint="eastAsia"/>
        </w:rPr>
        <w:t xml:space="preserve">万元，</w:t>
      </w:r>
      <w:r>
        <w:rPr>
          <w:rFonts w:hint="eastAsia"/>
          <w:lang w:val="en-US" w:eastAsia="zh-CN"/>
        </w:rPr>
        <w:t xml:space="preserve">增长8.03%</w:t>
      </w:r>
      <w:r>
        <w:rPr>
          <w:rFonts w:hint="eastAsia"/>
        </w:rPr>
        <w:t xml:space="preserve">，主要原因是</w:t>
      </w:r>
      <w:r>
        <w:rPr>
          <w:rFonts w:hint="eastAsia"/>
          <w:highlight w:val="none"/>
          <w:lang w:val="en-US" w:eastAsia="zh-CN"/>
        </w:rPr>
        <w:t xml:space="preserve">正常变动</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99.42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76.89%</w:t>
      </w:r>
      <w:r>
        <w:rPr>
          <w:rFonts w:hint="eastAsia"/>
        </w:rPr>
        <w:t xml:space="preserve">，较2023年度预算数</w:t>
      </w:r>
      <w:r>
        <w:rPr>
          <w:rFonts w:hint="eastAsia"/>
          <w:lang w:val="en-US" w:eastAsia="zh-CN"/>
        </w:rPr>
        <w:t xml:space="preserve">99.65</w:t>
      </w:r>
      <w:r>
        <w:rPr>
          <w:rFonts w:hint="eastAsia"/>
        </w:rPr>
        <w:t xml:space="preserve">万元，</w:t>
      </w:r>
      <w:r>
        <w:rPr>
          <w:rFonts w:hint="eastAsia"/>
          <w:lang w:val="en-US" w:eastAsia="zh-CN"/>
        </w:rPr>
        <w:t xml:space="preserve">减少0.23</w:t>
      </w:r>
      <w:r>
        <w:rPr>
          <w:rFonts w:hint="eastAsia"/>
        </w:rPr>
        <w:t xml:space="preserve">万元，</w:t>
      </w:r>
      <w:r>
        <w:rPr>
          <w:rFonts w:hint="eastAsia"/>
          <w:lang w:val="en-US" w:eastAsia="zh-CN"/>
        </w:rPr>
        <w:t xml:space="preserve">减少0.23%</w:t>
      </w:r>
      <w:r>
        <w:rPr>
          <w:rFonts w:hint="eastAsia"/>
        </w:rPr>
        <w:t xml:space="preserve">，主要原因是：</w:t>
      </w:r>
      <w:r>
        <w:rPr>
          <w:rFonts w:hint="eastAsia"/>
          <w:highlight w:val="none"/>
        </w:rPr>
        <w:t xml:space="preserve">正常变动</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3.05</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2.36%</w:t>
      </w:r>
      <w:r>
        <w:rPr>
          <w:rFonts w:hint="eastAsia"/>
        </w:rPr>
        <w:t xml:space="preserve">，较2023年度预算数</w:t>
      </w:r>
      <w:r>
        <w:rPr>
          <w:rFonts w:hint="eastAsia"/>
          <w:lang w:val="en-US" w:eastAsia="zh-CN"/>
        </w:rPr>
        <w:t xml:space="preserve">3.99</w:t>
      </w:r>
      <w:r>
        <w:rPr>
          <w:rFonts w:hint="eastAsia"/>
        </w:rPr>
        <w:t xml:space="preserve">万元，</w:t>
      </w:r>
      <w:r>
        <w:rPr>
          <w:rFonts w:hint="eastAsia"/>
          <w:lang w:val="en-US" w:eastAsia="zh-CN"/>
        </w:rPr>
        <w:t xml:space="preserve">减少0.94</w:t>
      </w:r>
      <w:r>
        <w:rPr>
          <w:rFonts w:hint="eastAsia"/>
        </w:rPr>
        <w:t xml:space="preserve">万元，</w:t>
      </w:r>
      <w:r>
        <w:rPr>
          <w:rFonts w:hint="eastAsia"/>
          <w:lang w:val="en-US" w:eastAsia="zh-CN"/>
        </w:rPr>
        <w:t xml:space="preserve">减少23.56%</w:t>
      </w:r>
      <w:r>
        <w:rPr>
          <w:rFonts w:hint="eastAsia"/>
        </w:rPr>
        <w:t xml:space="preserve">，主要原因是：</w:t>
      </w:r>
      <w:r>
        <w:rPr>
          <w:rFonts w:hint="eastAsia"/>
          <w:highlight w:val="none"/>
        </w:rPr>
        <w:t xml:space="preserve">正常变动</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对个人和家庭的补助</w:t>
      </w:r>
      <w:r>
        <w:rPr>
          <w:rFonts w:hint="eastAsia"/>
        </w:rPr>
        <w:t xml:space="preserve">支出预算</w:t>
      </w:r>
      <w:r>
        <w:rPr>
          <w:rFonts w:hint="eastAsia"/>
          <w:lang w:val="en-US" w:eastAsia="zh-CN"/>
        </w:rPr>
        <w:t xml:space="preserve">26.82</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20.74%</w:t>
      </w:r>
      <w:r>
        <w:rPr>
          <w:rFonts w:hint="eastAsia"/>
        </w:rPr>
        <w:t xml:space="preserve">，较2023年度预算数</w:t>
      </w:r>
      <w:r>
        <w:rPr>
          <w:rFonts w:hint="eastAsia"/>
          <w:lang w:val="en-US" w:eastAsia="zh-CN"/>
        </w:rPr>
        <w:t xml:space="preserve">16.05</w:t>
      </w:r>
      <w:r>
        <w:rPr>
          <w:rFonts w:hint="eastAsia"/>
        </w:rPr>
        <w:t xml:space="preserve">万元，</w:t>
      </w:r>
      <w:r>
        <w:rPr>
          <w:rFonts w:hint="eastAsia"/>
          <w:lang w:val="en-US" w:eastAsia="zh-CN"/>
        </w:rPr>
        <w:t xml:space="preserve">增长10.77</w:t>
      </w:r>
      <w:r>
        <w:rPr>
          <w:rFonts w:hint="eastAsia"/>
        </w:rPr>
        <w:t xml:space="preserve">万元，</w:t>
      </w:r>
      <w:r>
        <w:rPr>
          <w:rFonts w:hint="eastAsia"/>
          <w:lang w:val="en-US" w:eastAsia="zh-CN"/>
        </w:rPr>
        <w:t xml:space="preserve">增长67.10%</w:t>
      </w:r>
      <w:r>
        <w:rPr>
          <w:rFonts w:hint="eastAsia"/>
        </w:rPr>
        <w:t xml:space="preserve">，主要原因是：</w:t>
      </w:r>
      <w:r>
        <w:rPr>
          <w:rFonts w:hint="eastAsia"/>
          <w:highlight w:val="none"/>
        </w:rPr>
        <w:t xml:space="preserve">正常变动</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662"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3"/>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4"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0.39</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0.39</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0.39</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增长0.39</w:t>
      </w:r>
      <w:r>
        <w:rPr>
          <w:rFonts w:hint="eastAsia"/>
          <w:b w:val="0"/>
          <w:bCs w:val="0"/>
          <w:sz w:val="28"/>
          <w:szCs w:val="28"/>
        </w:rPr>
        <w:t xml:space="preserve">万元，</w:t>
      </w:r>
      <w:r>
        <w:rPr>
          <w:rFonts w:hint="eastAsia"/>
          <w:b w:val="0"/>
          <w:bCs w:val="0"/>
          <w:sz w:val="28"/>
          <w:szCs w:val="28"/>
          <w:lang w:val="en-US" w:eastAsia="zh-CN"/>
        </w:rPr>
        <w:t xml:space="preserve">增长100%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本单位无因公出国（境）费2024年预算安排</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0.39</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增长0.39</w:t>
      </w:r>
      <w:r>
        <w:rPr>
          <w:rFonts w:hint="eastAsia"/>
          <w:b w:val="0"/>
          <w:bCs w:val="0"/>
          <w:sz w:val="28"/>
          <w:szCs w:val="28"/>
        </w:rPr>
        <w:t xml:space="preserve">万元，</w:t>
      </w:r>
      <w:r>
        <w:rPr>
          <w:sz w:val="28"/>
          <w:u w:color="auto"/>
        </w:rPr>
        <w:t xml:space="preserve">增长100%</w:t>
      </w:r>
      <w:r>
        <w:rPr>
          <w:rFonts w:hint="eastAsia"/>
          <w:b w:val="0"/>
          <w:bCs w:val="0"/>
          <w:sz w:val="28"/>
          <w:szCs w:val="28"/>
        </w:rPr>
        <w:t xml:space="preserve">，主要原因是</w:t>
      </w:r>
      <w:r>
        <w:rPr>
          <w:rFonts w:hint="eastAsia"/>
          <w:sz w:val="28"/>
          <w:szCs w:val="28"/>
          <w:highlight w:val="none"/>
          <w:lang w:val="en-US" w:eastAsia="zh-CN"/>
        </w:rPr>
        <w:t xml:space="preserve">正常变动</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本单位无公务车辆购置</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本单位无公务用车</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4"/>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本单位无政府性基金预算支出</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5" w:name="bookmark91"/>
      <w:r>
        <w:rPr>
          <w:rFonts w:hint="eastAsia"/>
          <w:b/>
          <w:bCs/>
          <w:lang w:val="en-US" w:eastAsia="zh-CN"/>
        </w:rPr>
        <w:t xml:space="preserve">九</w:t>
      </w:r>
      <w:bookmarkEnd w:id="15"/>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本单位无国有资本经营预算支出</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3.05</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3.99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减少0.94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下降23.56%</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人员减少，相对应经费减少</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1</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1</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主要用于：办公耗材</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7</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23.1万元</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重点项目一：爱山森林公园项目，预算资金12.74万元，2024年度绩效目标为：通过加强对森林公园森林抚育管理工作，森林质量明显提高，林下卫生明显改善。设数量指标：600亩；质量指标：森林抚育率90%以上；时效指标：于2024年12月31日前完成森林抚育工作；年度维护成本12.74万元；设社会效益指标：使用人员满意度≥90%；设满意度指标：服务对象满意度≥90%。</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4"/>
          <w:footerReference w:type="default" r:id="rId15"/>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环江毛南族自治县爱山林业试验场</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6" w:name="bookmark31"/>
      <w:bookmarkStart w:id="17" w:name="bookmark30"/>
      <w:bookmarkStart w:id="18" w:name="bookmark29"/>
      <w:r>
        <w:t xml:space="preserve">收支总体情况表</w:t>
      </w:r>
      <w:bookmarkEnd w:id="16"/>
      <w:bookmarkEnd w:id="17"/>
      <w:bookmarkEnd w:id="18"/>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环江毛南族自治县爱山林业试验场</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152.40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1.05</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152.40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12.33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128.39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10.62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152.40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152.40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152.40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152.40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6"/>
          <w:footerReference w:type="default" r:id="rId17"/>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环江毛南族自治县爱山林业试验场</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511011</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环江毛南族自治县爱山林业试验场</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152.40</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152.40</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152.40</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8"/>
          <w:footerReference w:type="default" r:id="rId19"/>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3"/>
      <w:bookmarkStart w:id="21" w:name="bookmark41"/>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环江毛南族自治县爱山林业试验场</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152.40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129.30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23.10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511011</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152.40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129.30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23.10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1.05</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1.05</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12.33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12.33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2130204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事业机构</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128.39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105.29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23.10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10.62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10.62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6"/>
      <w:bookmarkStart w:id="24" w:name="bookmark44"/>
      <w:bookmarkStart w:id="25" w:name="bookmark45"/>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环江毛南族自治县爱山林业试验场</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152.40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1.05</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152.40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12.33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128.39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10.62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152.40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152.40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152.40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152.40</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环江毛南族自治县爱山林业试验场</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511011</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152.40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129.29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126.24</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3.05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23.10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1.05</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1.05</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1.05</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12.33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12.33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12.33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2130204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事业机构</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128.39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105.29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103.29</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2.00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23.10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10.62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10.62</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10.62</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7"/>
      <w:bookmarkStart w:id="27" w:name="bookmark58"/>
      <w:bookmarkStart w:id="28" w:name="bookmark56"/>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环江毛南族自治县爱山林业试验场</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129.29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126.24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99.42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99.42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34.11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34.11</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2.38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16.18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16.18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12.33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4.93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0.54</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10.62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10.62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印刷费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邮电费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0.32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物业管理费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0.02</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维修（护）费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公务接待费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专用材料费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劳务费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委托业务费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1.05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30299</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0.15</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对个人和家庭的补助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26.82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26.82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退休费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25.42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25.42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30305</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生活补助</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1.40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资本性支出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31003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专用设备购置</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6"/>
      <w:bookmarkStart w:id="30" w:name="bookmark65"/>
      <w:bookmarkStart w:id="31" w:name="bookmark67"/>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环江毛南族自治县爱山林业试验场</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511011</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0.39</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0.39</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环江毛南族自治县爱山林业试验场</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2130204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事业机构</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环江毛南族自治县爱山林业试验场</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环江毛南族自治县爱山林业试验场</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511011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环江毛南族自治县爱山林业试验场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林业有害生物防治经费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2024年开展林业有害生物防治，针对马尾松药物预防马尾松病虫害，清理枯死马尾松</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511011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环江毛南族自治县爱山林业试验场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林场不动产权登记经费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对林场的林地不动产权进行登记。</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511011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环江毛南族自治县爱山林业试验场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2024年被侵占林地回收工作经费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3.25</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于2024年12月31日前完成年度的被侵占林地回收工作任务。</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511011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环江毛南族自治县爱山林业试验场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2024年爱山森林公园项目</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12.74</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通过加强对森林公园森林抚育管理工作，森林质量明显提高，林下卫生明显改善。</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511011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环江毛南族自治县爱山林业试验场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2024年党支部组织生活经费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0.16</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按时完成党支部工作。</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511011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环江毛南族自治县爱山林业试验场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2024年乡村振兴工作经费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1.00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用于乡村振兴工作的正常支出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511011</w:t>
            </w:r>
          </w:p>
        </w:tc>
        <w:tc>
          <w:tcPr>
            <w:tcW w:w="2559"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环江毛南族自治县爱山林业试验场</w:t>
            </w:r>
          </w:p>
        </w:tc>
        <w:tc>
          <w:tcPr>
            <w:tcW w:w="335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2024年森林防火灭火工作经费</w:t>
            </w:r>
          </w:p>
        </w:tc>
        <w:tc>
          <w:tcPr>
            <w:tcW w:w="151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1.90</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right"/>
              <w:rPr>
                <w:rFonts w:ascii="宋体" w:eastAsia="宋体" w:hAnsi="宋体" w:cs="宋体" w:hint="eastAsia"/>
                <w:b/>
                <w:bCs/>
                <w:sz w:val="17"/>
                <w:szCs w:val="17"/>
                <w:lang w:val="en-US" w:eastAsia="zh-CN"/>
              </w:rPr>
            </w:pPr>
            <w:r>
              <w:rPr>
                <w:rFonts w:ascii="宋体" w:eastAsia="宋体" w:hAnsi="宋体" w:cs="宋体" w:hint="eastAsia"/>
                <w:b/>
                <w:bCs/>
                <w:sz w:val="17"/>
                <w:szCs w:val="17"/>
                <w:lang w:val="en-US" w:eastAsia="zh-CN"/>
              </w:rPr>
              <w:t xml:space="preserve">通过深入开展森林防火宣传教育，加强森林安全措施，增加森林防护能力，减少森林安全隐患，提高森林生态质量指标，确保城区人民群众有个休闲安全的养生环境和可持续发展森林资源安全。</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20"/>
          <w:footerReference w:type="default" r:id="rId21"/>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2"/>
      <w:footerReference w:type="default" r:id="rId23"/>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56"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681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664"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682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666"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682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bookmarkStart w:id="19" w:name="_GoBack"/>
    <w:bookmarkEnd w:id="19"/>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posOffset>4538345</wp:posOffset>
              </wp:positionH>
              <wp:positionV relativeFrom="paragraph">
                <wp:posOffset>-151765</wp:posOffset>
              </wp:positionV>
              <wp:extent cx="478790" cy="323215"/>
              <wp:effectExtent l="0" t="0" r="0" b="0"/>
              <wp:wrapNone/>
              <wp:docPr id="3667" name="文本框 9"/>
              <wp:cNvGraphicFramePr>
                <a:graphicFrameLocks noChangeAspect="0"/>
              </wp:cNvGraphicFramePr>
              <a:graphic>
                <a:graphicData uri="http://schemas.microsoft.com/office/word/2010/wordprocessingShape">
                  <wps:wsp>
                    <wps:cNvSpPr/>
                    <wps:spPr>
                      <a:xfrm>
                        <a:off x="0" y="0"/>
                        <a:ext cx="478790" cy="32321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9" o:spid="_x0000_s6824" type="#_x0000_t202" style="height:25.45pt;margin-left:357.35pt;margin-top:-11.95pt;mso-height-relative:page;mso-position-horizontal-relative:margin;mso-width-relative:page;mso-wrap-distance-bottom:0;mso-wrap-distance-left:9pt;mso-wrap-distance-right:9pt;mso-wrap-distance-top:0;mso-wrap-style:square;position:absolute;v-text-anchor:top;width:37.7pt;z-index:251664384"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posOffset>4473575</wp:posOffset>
              </wp:positionH>
              <wp:positionV relativeFrom="paragraph">
                <wp:posOffset>-86360</wp:posOffset>
              </wp:positionV>
              <wp:extent cx="447040" cy="267970"/>
              <wp:effectExtent l="0" t="0" r="0" b="0"/>
              <wp:wrapNone/>
              <wp:docPr id="3668" name="文本框 11"/>
              <wp:cNvGraphicFramePr>
                <a:graphicFrameLocks noChangeAspect="0"/>
              </wp:cNvGraphicFramePr>
              <a:graphic>
                <a:graphicData uri="http://schemas.microsoft.com/office/word/2010/wordprocessingShape">
                  <wps:wsp>
                    <wps:cNvSpPr/>
                    <wps:spPr>
                      <a:xfrm>
                        <a:off x="0" y="0"/>
                        <a:ext cx="447040" cy="26797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11" o:spid="_x0000_s6825" type="#_x0000_t202" style="height:21.1pt;margin-left:352.25pt;margin-top:-6.8pt;mso-height-relative:page;mso-position-horizontal-relative:margin;mso-width-relative:page;mso-wrap-distance-bottom:0;mso-wrap-distance-left:9pt;mso-wrap-distance-right:9pt;mso-wrap-distance-top:0;mso-wrap-style:square;position:absolute;v-text-anchor:top;width:35.2pt;z-index:251665408"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7.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69"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682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Header"/>
    </w:pP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663"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82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665"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682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6.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70"/>
  <w:doNotDisplayPageBoundaries/>
  <w:bordersDoNotSurroundFooter w:val="0"/>
  <w:bordersDoNotSurroundHeader w:val="0"/>
  <w:doNotTrackMoves/>
  <w:documentProtection w:enforcement="1" w:edit="readOnly" w:salt="rVS7za+mxZHTmT96SZHrtw==" w:hash="nH5rhDFSE0EUEaZba09cjXlfp7kYl46c+b3HJ0hfHyWbk7HR8PUq/JqXDEpNLFEgE9/+2RhfOowLXa62L9QChA=="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3.xml" Type="http://schemas.openxmlformats.org/officeDocument/2006/relationships/chart"/><Relationship Id="rId11" Target="charts/chart4.xml" Type="http://schemas.openxmlformats.org/officeDocument/2006/relationships/chart"/><Relationship Id="rId12" Target="charts/chart5.xml" Type="http://schemas.openxmlformats.org/officeDocument/2006/relationships/chart"/><Relationship Id="rId13" Target="charts/chart6.xml" Type="http://schemas.openxmlformats.org/officeDocument/2006/relationships/chart"/><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header6.xml" Type="http://schemas.openxmlformats.org/officeDocument/2006/relationships/header"/><Relationship Id="rId23" Target="footer7.xml" Type="http://schemas.openxmlformats.org/officeDocument/2006/relationships/footer"/><Relationship Id="rId24" Target="theme/theme1.xml" Type="http://schemas.openxmlformats.org/officeDocument/2006/relationships/theme"/><Relationship Id="rId25" Target="styles.xml" Type="http://schemas.openxmlformats.org/officeDocument/2006/relationships/styles"/><Relationship Id="rId26" Target="webSettings.xml" Type="http://schemas.openxmlformats.org/officeDocument/2006/relationships/webSettings"/><Relationship Id="rId27" Target="numbering.xml" Type="http://schemas.openxmlformats.org/officeDocument/2006/relationships/numbering"/><Relationship Id="rId28" Target="fontTable.xml" Type="http://schemas.openxmlformats.org/officeDocument/2006/relationships/fontTable"/><Relationship Id="rId29"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header1.xml" Type="http://schemas.openxmlformats.org/officeDocument/2006/relationships/header"/><Relationship Id="rId6" Target="footer1.xml" Type="http://schemas.openxmlformats.org/officeDocument/2006/relationships/footer"/><Relationship Id="rId7" Target="footer2.xml" Type="http://schemas.openxmlformats.org/officeDocument/2006/relationships/footer"/><Relationship Id="rId8" Target="charts/chart1.xml" Type="http://schemas.openxmlformats.org/officeDocument/2006/relationships/chart"/><Relationship Id="rId9" Target="charts/chart2.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152.4</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ptCount val="4"/>
                <c:pt idx="0">
                  <c:v>1.05</c:v>
                </c:pt>
                <c:pt idx="1">
                  <c:v>12.33</c:v>
                </c:pt>
                <c:pt idx="2">
                  <c:v>128.39</c:v>
                </c:pt>
                <c:pt idx="3">
                  <c:v>10.62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151.36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152.4</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129.3</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23.1</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3.05</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126.24</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126.24</c:v>
                </c:pt>
                <c:pt idx="1">
                  <c:v>3.05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0.39</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2024-03-01T01:22:10Z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22</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A1158A810E2E47C2B7C51B7F68B2B44A_13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22</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2024-03-01T07:51:21Z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A1158A810E2E47C2B7C51B7F68B2B44A_13</vt:lpstr>
  </property>
</Properties>
</file>