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环江毛南族自治县生态移民发展中心</w:t>
      </w:r>
    </w:p>
    <w:p>
      <w:pPr>
        <w:pStyle w:val="Bodytext|5"/>
        <w:jc w:val="center"/>
        <w:rPr>
          <w:rFonts w:eastAsia="宋体" w:eastAsiaTheme="majorEastAsia" w:hint="eastAsia"/>
          <w:sz w:val="56"/>
          <w:szCs w:val="56"/>
          <w:lang w:val="en-US" w:eastAsia="zh-CN"/>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r>
        <w:rPr>
          <w:rFonts w:ascii="宋体" w:eastAsia="宋体" w:hAnsi="宋体" w:asciiTheme="majorEastAsia" w:eastAsiaTheme="majorEastAsia" w:hAnsiTheme="majorEastAsia" w:cs="Times New Roman" w:cstheme="majorEastAsia" w:hint="eastAsia"/>
          <w:sz w:val="56"/>
          <w:szCs w:val="56"/>
          <w:lang w:val="en-US" w:eastAsia="zh-CN"/>
        </w:rPr>
        <w:t xml:space="preserve">公开</w:t>
      </w:r>
    </w:p>
    <w:p>
      <w:pPr>
        <w:pStyle w:val="Heading#1|1"/>
        <w:keepNext/>
        <w:keepLines/>
        <w:spacing w:after="240"/>
        <w:jc w:val="center"/>
      </w:pPr>
      <w:bookmarkStart w:id="0" w:name="bookmark1"/>
      <w:bookmarkStart w:id="1" w:name="bookmark2"/>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环江毛南族自治县生态移民发展中心</w:t>
      </w:r>
      <w:r>
        <w:rPr>
          <w:u w:color="auto"/>
        </w:rPr>
        <w:t xml:space="preserve">单位</w:t>
      </w:r>
      <w:r>
        <w:t xml:space="preserve">概况</w:t>
      </w:r>
    </w:p>
    <w:p>
      <w:pPr>
        <w:pStyle w:val="Bodytext|2"/>
        <w:jc w:val="left"/>
        <w:rPr>
          <w:rFonts w:hint="eastAsia"/>
          <w:b w:val="0"/>
          <w:bCs w:val="0"/>
          <w:lang w:val="en-US" w:eastAsia="zh-CN"/>
        </w:rPr>
      </w:pPr>
      <w:r>
        <w:rPr>
          <w:rFonts w:hint="eastAsia"/>
          <w:b w:val="0"/>
          <w:bCs w:val="0"/>
          <w:lang w:val="en-US" w:eastAsia="zh-CN"/>
        </w:rPr>
        <w:t xml:space="preserve">一、主要职责</w:t>
      </w:r>
    </w:p>
    <w:p>
      <w:pPr>
        <w:pStyle w:val="Bodytext|2"/>
        <w:jc w:val="left"/>
        <w:rPr>
          <w:rFonts w:hint="eastAsia"/>
          <w:b w:val="0"/>
          <w:bCs w:val="0"/>
        </w:rPr>
      </w:pPr>
      <w:r>
        <w:rPr>
          <w:rFonts w:hint="eastAsia"/>
          <w:b w:val="0"/>
          <w:bCs w:val="0"/>
          <w:lang w:val="en-US" w:eastAsia="zh-CN"/>
        </w:rPr>
        <w:t xml:space="preserve">二、</w:t>
      </w:r>
      <w:r>
        <w:rPr>
          <w:rFonts w:hint="eastAsia"/>
          <w:b w:val="0"/>
          <w:bCs w:val="0"/>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环江毛南族自治县生态移民发展中心</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bookmarkStart w:id="3" w:name="_GoBack"/>
      <w:bookmarkEnd w:id="3"/>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环江毛南族自治县生态移民发展中心</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七、一般公共预算“三公”经费支出情况表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4" w:name="bookmark14"/>
      <w:bookmarkStart w:id="5" w:name="bookmark13"/>
      <w:bookmarkStart w:id="6" w:name="bookmark12"/>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环江毛南族自治县生态移民发展中心</w:t>
      </w:r>
      <w:r>
        <w:rPr>
          <w:b/>
          <w:bCs/>
          <w:sz w:val="40"/>
          <w:szCs w:val="40"/>
        </w:rPr>
        <w:t xml:space="preserve">概况</w:t>
      </w:r>
      <w:bookmarkEnd w:id="4"/>
      <w:bookmarkEnd w:id="5"/>
      <w:bookmarkEnd w:id="6"/>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一、.贯彻执行国家、自治区、市水库移民和易地扶贫搬迁工作方针、政策和法律法规。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二、拟定全县水库移民和易地扶贫搬迁工作中长期规划，编制全县水库移民和易地扶贫搬迁移民年度项目计划；制定水库移民和易地扶贫搬迁移民工作管理办法及实施细则并组织实施。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三、负责全县水库移民和易地扶贫搬迁移民项目建设和项目验收评估工作。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四、负责全县水库移民和易地扶贫搬迁移民后期扶持政策的实施工作。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五、负责自治县水库移民和易地扶贫搬迁移民资金的使用和管理相关工作。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六、负责指导全县水库移民和易地扶贫搬迁移民的权益保障及信访维稳工作。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七、承办自治县人民政府交办的其他事项。</w:t>
      </w:r>
    </w:p>
    <w:p>
      <w:pPr>
        <w:pStyle w:val="Bodytext|2"/>
        <w:spacing w:after="0" w:line="619" w:lineRule="exact"/>
        <w:ind w:firstLine="620"/>
        <w:jc w:val="left"/>
        <w:rPr>
          <w:rFonts w:hint="eastAsia"/>
          <w:b/>
          <w:bCs/>
          <w:lang w:val="en-US" w:eastAsia="zh-CN"/>
        </w:rPr>
      </w:pPr>
      <w:bookmarkStart w:id="7" w:name="bookmark24"/>
      <w:r>
        <w:rPr>
          <w:rFonts w:hint="eastAsia"/>
          <w:b/>
          <w:bCs/>
          <w:lang w:val="en-US" w:eastAsia="zh-CN"/>
        </w:rPr>
        <w:t xml:space="preserve">二</w:t>
      </w:r>
      <w:bookmarkEnd w:id="7"/>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无下属单位，共设有办公室、政策宣教规划计划股、移民搬迁后期扶持股三个股室。人员编制总数为11人，其中行政编制0人，事业编制11人，机关后勤服务中心聘用人员控制数0人。实有财政供养人数9人，其中行政在职0人，事业在职9人（其中参公事业9人，全额事业0人），离退休人员0人（其中离休0人）。编外（政府购买人员）在职实有人数3人。</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8" w:name="bookmark69"/>
      <w:bookmarkStart w:id="9" w:name="bookmark70"/>
      <w:bookmarkStart w:id="10" w:name="bookmark68"/>
      <w:bookmarkStart w:id="11" w:name="bookmark28"/>
      <w:bookmarkStart w:id="12" w:name="bookmark27"/>
      <w:bookmarkStart w:id="13"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8"/>
      <w:bookmarkEnd w:id="9"/>
      <w:bookmarkEnd w:id="10"/>
      <w:r>
        <w:rPr>
          <w:rFonts w:hint="eastAsia"/>
          <w:b/>
          <w:bCs/>
          <w:sz w:val="40"/>
          <w:szCs w:val="40"/>
          <w:lang w:eastAsia="zh-CN"/>
        </w:rPr>
        <w:t xml:space="preserve">环江毛南族自治县生态移民发展中心</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4" w:name="bookmark71"/>
      <w:r>
        <w:rPr>
          <w:rFonts w:hint="eastAsia"/>
          <w:b/>
          <w:bCs/>
          <w:lang w:val="en-US" w:eastAsia="zh-CN"/>
        </w:rPr>
        <w:t xml:space="preserve">一</w:t>
      </w:r>
      <w:bookmarkEnd w:id="14"/>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1481.20</w:t>
      </w:r>
      <w:r>
        <w:rPr>
          <w:rFonts w:hint="eastAsia"/>
          <w:b w:val="0"/>
          <w:bCs w:val="0"/>
          <w:sz w:val="28"/>
          <w:szCs w:val="28"/>
        </w:rPr>
        <w:t xml:space="preserve">万元，总支出</w:t>
      </w:r>
      <w:r>
        <w:rPr>
          <w:rFonts w:hint="eastAsia"/>
          <w:sz w:val="28"/>
          <w:szCs w:val="28"/>
          <w:lang w:val="en-US" w:eastAsia="zh-CN"/>
        </w:rPr>
        <w:t xml:space="preserve">1481.20</w:t>
      </w:r>
      <w:r>
        <w:rPr>
          <w:rFonts w:hint="eastAsia"/>
          <w:b w:val="0"/>
          <w:bCs w:val="0"/>
          <w:sz w:val="28"/>
          <w:szCs w:val="28"/>
        </w:rPr>
        <w:t xml:space="preserve">万元。总收入较2023年度预算数</w:t>
      </w:r>
      <w:r>
        <w:rPr>
          <w:rFonts w:hint="eastAsia"/>
          <w:sz w:val="28"/>
          <w:szCs w:val="28"/>
          <w:lang w:val="en-US" w:eastAsia="zh-CN"/>
        </w:rPr>
        <w:t xml:space="preserve">1008.80</w:t>
      </w:r>
      <w:r>
        <w:rPr>
          <w:rFonts w:hint="eastAsia"/>
          <w:b w:val="0"/>
          <w:bCs w:val="0"/>
          <w:sz w:val="28"/>
          <w:szCs w:val="28"/>
        </w:rPr>
        <w:t xml:space="preserve">万元，</w:t>
      </w:r>
      <w:r>
        <w:rPr>
          <w:rFonts w:hint="eastAsia"/>
          <w:sz w:val="28"/>
          <w:szCs w:val="28"/>
        </w:rPr>
        <w:t xml:space="preserve">增加472.40</w:t>
      </w:r>
      <w:r>
        <w:rPr>
          <w:rFonts w:hint="eastAsia"/>
          <w:b w:val="0"/>
          <w:bCs w:val="0"/>
          <w:sz w:val="28"/>
          <w:szCs w:val="28"/>
        </w:rPr>
        <w:t xml:space="preserve">万元，</w:t>
      </w:r>
      <w:r>
        <w:rPr>
          <w:rFonts w:hint="eastAsia"/>
          <w:sz w:val="28"/>
          <w:szCs w:val="28"/>
        </w:rPr>
        <w:t xml:space="preserve">增长46.83%</w:t>
      </w:r>
      <w:r>
        <w:rPr>
          <w:rFonts w:hint="eastAsia"/>
          <w:b w:val="0"/>
          <w:bCs w:val="0"/>
          <w:sz w:val="28"/>
          <w:szCs w:val="28"/>
        </w:rPr>
        <w:t xml:space="preserve">，主要原因是</w:t>
      </w:r>
      <w:r>
        <w:rPr>
          <w:rFonts w:hint="eastAsia"/>
          <w:highlight w:val="none"/>
          <w:lang w:val="en-US" w:eastAsia="zh-CN"/>
        </w:rPr>
        <w:t xml:space="preserve">2024年预算安排的上年结转结余较2023年多552.19万元</w:t>
      </w:r>
      <w:r>
        <w:rPr>
          <w:rFonts w:hint="eastAsia"/>
          <w:b w:val="0"/>
          <w:bCs w:val="0"/>
          <w:sz w:val="28"/>
          <w:szCs w:val="28"/>
        </w:rPr>
        <w:t xml:space="preserve">。总支出较2023年度预算数</w:t>
      </w:r>
      <w:r>
        <w:rPr>
          <w:rFonts w:hint="eastAsia"/>
          <w:sz w:val="28"/>
          <w:szCs w:val="28"/>
          <w:lang w:val="en-US" w:eastAsia="zh-CN"/>
        </w:rPr>
        <w:t xml:space="preserve">1008.80</w:t>
      </w:r>
      <w:r>
        <w:rPr>
          <w:rFonts w:hint="eastAsia"/>
          <w:b w:val="0"/>
          <w:bCs w:val="0"/>
          <w:sz w:val="28"/>
          <w:szCs w:val="28"/>
        </w:rPr>
        <w:t xml:space="preserve">万元，</w:t>
      </w:r>
      <w:r>
        <w:rPr>
          <w:rFonts w:hint="eastAsia"/>
          <w:sz w:val="28"/>
          <w:szCs w:val="28"/>
        </w:rPr>
        <w:t xml:space="preserve">增加472.40</w:t>
      </w:r>
      <w:r>
        <w:rPr>
          <w:rFonts w:hint="eastAsia"/>
          <w:b w:val="0"/>
          <w:bCs w:val="0"/>
          <w:sz w:val="28"/>
          <w:szCs w:val="28"/>
        </w:rPr>
        <w:t xml:space="preserve">万元，</w:t>
      </w:r>
      <w:r>
        <w:rPr>
          <w:rFonts w:hint="eastAsia"/>
          <w:sz w:val="28"/>
          <w:szCs w:val="28"/>
        </w:rPr>
        <w:t xml:space="preserve">增长46.83%</w:t>
      </w:r>
      <w:r>
        <w:rPr>
          <w:rFonts w:hint="eastAsia"/>
          <w:b w:val="0"/>
          <w:bCs w:val="0"/>
          <w:sz w:val="28"/>
          <w:szCs w:val="28"/>
        </w:rPr>
        <w:t xml:space="preserve">，主要原因是</w:t>
      </w:r>
      <w:r>
        <w:rPr>
          <w:rFonts w:hint="eastAsia"/>
          <w:highlight w:val="none"/>
          <w:lang w:val="en-US" w:eastAsia="zh-CN"/>
        </w:rPr>
        <w:t xml:space="preserve">2024年预算安排的上年结转结余较2023年多552.19万元</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1538"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1481.20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1008.80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增加472.40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增长46.83%</w:t>
      </w:r>
      <w:r>
        <w:rPr>
          <w:rFonts w:ascii="宋体" w:eastAsia="宋体" w:hAnsi="宋体" w:cs="宋体" w:hint="eastAsia"/>
          <w:sz w:val="28"/>
          <w:szCs w:val="28"/>
          <w:u w:color="auto"/>
        </w:rPr>
        <w:t xml:space="preserve">，主要原因是</w:t>
      </w:r>
      <w:r>
        <w:rPr>
          <w:rFonts w:hint="eastAsia"/>
          <w:highlight w:val="none"/>
          <w:lang w:val="en-US" w:eastAsia="zh-CN"/>
        </w:rPr>
        <w:t xml:space="preserve">2024年预算安排的上年结转结余较2023年多552.19万元</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1539"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1481.20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1008.80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增加472.40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增长46.83%</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2024年预算安排的上年结转结余较2023年多552.19万元</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一般公共服务支出、社会保障和就业支出、农林水支出、住房保障支出、其他支出</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5</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1453.77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98.15%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增长989.57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增长213.18%</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2024年预算安排的上年结转结余较2023年增多</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14.10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减少502.38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减少97.27%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2024年社保保障和就业支出只有机关养老保险支出，而2023年还有上级安排的水库移民扶助基金支出等</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12.13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0.82%</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增长3.06%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减少14.40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2023年预算安排有预发奖励性补贴14.40万元</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1.21</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0.08%</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减少0.75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减少38.27%</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工会费支出预算减少</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137.06</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9.25%</w:t>
      </w:r>
      <w:r>
        <w:rPr>
          <w:rFonts w:ascii="宋体" w:eastAsia="宋体" w:hAnsi="宋体" w:cs="宋体"/>
          <w:sz w:val="28"/>
          <w:u w:color="auto"/>
        </w:rPr>
        <w:t xml:space="preserve">,比上年</w:t>
      </w:r>
      <w:r>
        <w:rPr>
          <w:rFonts w:ascii="宋体" w:eastAsia="宋体" w:hAnsi="宋体" w:cs="宋体"/>
          <w:sz w:val="28"/>
          <w:u w:color="auto"/>
        </w:rPr>
        <w:t xml:space="preserve">减少66.98</w:t>
      </w:r>
      <w:r>
        <w:rPr>
          <w:rFonts w:ascii="宋体" w:eastAsia="宋体" w:hAnsi="宋体" w:cs="宋体"/>
          <w:sz w:val="28"/>
          <w:u w:color="auto"/>
        </w:rPr>
        <w:t xml:space="preserve">万元，</w:t>
      </w:r>
      <w:r>
        <w:rPr>
          <w:rFonts w:ascii="宋体" w:eastAsia="宋体" w:hAnsi="宋体" w:cs="宋体"/>
          <w:sz w:val="28"/>
          <w:u w:color="auto"/>
        </w:rPr>
        <w:t xml:space="preserve">减少32.83%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123.43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90.06%</w:t>
      </w:r>
      <w:r>
        <w:rPr>
          <w:rFonts w:ascii="宋体" w:eastAsia="宋体" w:hAnsi="宋体" w:cs="宋体" w:hint="eastAsia"/>
          <w:sz w:val="28"/>
          <w:szCs w:val="28"/>
        </w:rPr>
        <w:t xml:space="preserve">,比上年</w:t>
      </w:r>
      <w:r>
        <w:rPr>
          <w:rFonts w:ascii="宋体" w:eastAsia="宋体" w:hAnsi="宋体" w:cs="宋体"/>
          <w:sz w:val="28"/>
          <w:u w:color="auto"/>
        </w:rPr>
        <w:t xml:space="preserve">减少65.89</w:t>
      </w:r>
      <w:r>
        <w:rPr>
          <w:rFonts w:ascii="宋体" w:eastAsia="宋体" w:hAnsi="宋体" w:cs="宋体"/>
          <w:sz w:val="28"/>
          <w:u w:color="auto"/>
        </w:rPr>
        <w:t xml:space="preserve">万元，</w:t>
      </w:r>
      <w:r>
        <w:rPr>
          <w:rFonts w:ascii="宋体" w:eastAsia="宋体" w:hAnsi="宋体" w:cs="宋体"/>
          <w:sz w:val="28"/>
          <w:u w:color="auto"/>
        </w:rPr>
        <w:t xml:space="preserve">减少34.80%</w:t>
      </w:r>
      <w:r>
        <w:rPr>
          <w:rFonts w:ascii="宋体" w:eastAsia="宋体" w:hAnsi="宋体" w:cs="宋体"/>
          <w:sz w:val="28"/>
          <w:u w:color="auto"/>
        </w:rPr>
        <w:t xml:space="preserve">,主要原因是：服务中心编制划归城西街道办</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13.63</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9.94%</w:t>
      </w:r>
      <w:r>
        <w:rPr>
          <w:rFonts w:ascii="宋体" w:eastAsia="宋体" w:hAnsi="宋体" w:cs="宋体" w:hint="eastAsia"/>
          <w:sz w:val="28"/>
          <w:szCs w:val="28"/>
        </w:rPr>
        <w:t xml:space="preserve">,比上年</w:t>
      </w:r>
      <w:r>
        <w:rPr>
          <w:rFonts w:ascii="宋体" w:eastAsia="宋体" w:hAnsi="宋体" w:cs="宋体"/>
          <w:sz w:val="28"/>
          <w:u w:color="auto"/>
        </w:rPr>
        <w:t xml:space="preserve">减少1.09</w:t>
      </w:r>
      <w:r>
        <w:rPr>
          <w:rFonts w:ascii="宋体" w:eastAsia="宋体" w:hAnsi="宋体" w:cs="宋体"/>
          <w:sz w:val="28"/>
          <w:u w:color="auto"/>
        </w:rPr>
        <w:t xml:space="preserve">万元，</w:t>
      </w:r>
      <w:r>
        <w:rPr>
          <w:rFonts w:ascii="宋体" w:eastAsia="宋体" w:hAnsi="宋体" w:cs="宋体"/>
          <w:sz w:val="28"/>
          <w:u w:color="auto"/>
        </w:rPr>
        <w:t xml:space="preserve">减少7.40%</w:t>
      </w:r>
      <w:r>
        <w:rPr>
          <w:rFonts w:ascii="宋体" w:eastAsia="宋体" w:hAnsi="宋体" w:cs="宋体"/>
          <w:sz w:val="28"/>
          <w:u w:color="auto"/>
        </w:rPr>
        <w:t xml:space="preserve">,主要原因是：一是工会经费预算减少；二是服务中心编制划归城西街道办</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1344.14</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90.75%</w:t>
      </w:r>
      <w:r>
        <w:rPr>
          <w:rFonts w:ascii="宋体" w:eastAsia="宋体" w:hAnsi="宋体" w:cs="宋体" w:hint="eastAsia"/>
          <w:sz w:val="28"/>
          <w:szCs w:val="28"/>
        </w:rPr>
        <w:t xml:space="preserve">,比上年</w:t>
      </w:r>
      <w:r>
        <w:rPr>
          <w:rFonts w:ascii="宋体" w:eastAsia="宋体" w:hAnsi="宋体" w:cs="宋体"/>
          <w:sz w:val="28"/>
          <w:u w:color="auto"/>
        </w:rPr>
        <w:t xml:space="preserve">增长539.38</w:t>
      </w:r>
      <w:r>
        <w:rPr>
          <w:rFonts w:ascii="宋体" w:eastAsia="宋体" w:hAnsi="宋体" w:cs="宋体" w:hint="eastAsia"/>
          <w:sz w:val="28"/>
          <w:szCs w:val="28"/>
        </w:rPr>
        <w:t xml:space="preserve">万元，</w:t>
      </w:r>
      <w:r>
        <w:rPr>
          <w:rFonts w:ascii="宋体" w:eastAsia="宋体" w:hAnsi="宋体" w:cs="宋体"/>
          <w:sz w:val="28"/>
          <w:u w:color="auto"/>
        </w:rPr>
        <w:t xml:space="preserve">增长67.02%</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10.85</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0.81%</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减少12.76</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减少54.04%</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县城2个安置区工作经费项目由城西街道办预算</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51.81</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3.85%</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减少22.23</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减少30.02%</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上年结转结余数减少</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1281.48</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95.34%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增长574.37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增长81.23%</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上年结转结余数增加</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1540"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1481.20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1481.20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1008.80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增加472.40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增长46.83%</w:t>
      </w:r>
      <w:r>
        <w:rPr>
          <w:rFonts w:ascii="宋体" w:eastAsia="宋体" w:hAnsi="宋体" w:cs="宋体" w:hint="eastAsia"/>
          <w:sz w:val="28"/>
          <w:szCs w:val="28"/>
        </w:rPr>
        <w:t xml:space="preserve">，主要原因是</w:t>
      </w:r>
      <w:r>
        <w:rPr>
          <w:rFonts w:hint="eastAsia"/>
          <w:highlight w:val="none"/>
          <w:lang w:val="en-US" w:eastAsia="zh-CN"/>
        </w:rPr>
        <w:t xml:space="preserve">2024年预算安排的上年结转结余较2023年多552.19万元</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1008.80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增加472.40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增长46.83%</w:t>
      </w:r>
      <w:r>
        <w:rPr>
          <w:rFonts w:ascii="宋体" w:eastAsia="宋体" w:hAnsi="宋体" w:cs="宋体" w:hint="eastAsia"/>
          <w:sz w:val="28"/>
          <w:szCs w:val="28"/>
        </w:rPr>
        <w:t xml:space="preserve">，主要原因是</w:t>
      </w:r>
      <w:r>
        <w:rPr>
          <w:rFonts w:hint="eastAsia"/>
          <w:highlight w:val="none"/>
          <w:lang w:val="en-US" w:eastAsia="zh-CN"/>
        </w:rPr>
        <w:t xml:space="preserve">2024年预算安排的上年结转结余较2023年多552.19万元</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1541"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322.04</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367.92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减少45.88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下降12.47%</w:t>
      </w:r>
      <w:r>
        <w:rPr>
          <w:rFonts w:ascii="宋体" w:eastAsia="宋体" w:hAnsi="宋体" w:cs="宋体" w:hint="eastAsia"/>
          <w:sz w:val="28"/>
          <w:szCs w:val="28"/>
        </w:rPr>
        <w:t xml:space="preserve">，主要原因是</w:t>
      </w:r>
      <w:r>
        <w:rPr>
          <w:rFonts w:hint="eastAsia"/>
          <w:highlight w:val="none"/>
          <w:lang w:val="en-US" w:eastAsia="zh-CN"/>
        </w:rPr>
        <w:t xml:space="preserve">一是服务中心编制划归城西街道办；二是上年结转结余数减少</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1.21</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1.96</w:t>
      </w:r>
      <w:r>
        <w:rPr>
          <w:rFonts w:ascii="宋体" w:eastAsia="宋体" w:hAnsi="宋体" w:cs="宋体" w:hint="eastAsia"/>
          <w:sz w:val="28"/>
          <w:szCs w:val="28"/>
        </w:rPr>
        <w:t xml:space="preserve">万元，</w:t>
      </w:r>
      <w:r>
        <w:rPr>
          <w:rFonts w:ascii="宋体" w:eastAsia="宋体" w:hAnsi="宋体" w:cs="宋体"/>
          <w:sz w:val="28"/>
          <w:u w:color="auto"/>
        </w:rPr>
        <w:t xml:space="preserve">减少0.75</w:t>
      </w:r>
      <w:r>
        <w:rPr>
          <w:rFonts w:ascii="宋体" w:eastAsia="宋体" w:hAnsi="宋体" w:cs="宋体" w:hint="eastAsia"/>
          <w:sz w:val="28"/>
          <w:szCs w:val="28"/>
        </w:rPr>
        <w:t xml:space="preserve">万元，</w:t>
      </w:r>
      <w:r>
        <w:rPr>
          <w:rFonts w:ascii="宋体" w:eastAsia="宋体" w:hAnsi="宋体" w:cs="宋体"/>
          <w:sz w:val="28"/>
          <w:u w:color="auto"/>
        </w:rPr>
        <w:t xml:space="preserve">减少38.27%</w:t>
      </w:r>
      <w:r>
        <w:rPr>
          <w:rFonts w:ascii="宋体" w:eastAsia="宋体" w:hAnsi="宋体" w:cs="宋体" w:hint="eastAsia"/>
          <w:sz w:val="28"/>
          <w:szCs w:val="28"/>
        </w:rPr>
        <w:t xml:space="preserve">，主要原因是：</w:t>
      </w:r>
      <w:r>
        <w:rPr>
          <w:rFonts w:hint="eastAsia"/>
          <w:highlight w:val="none"/>
        </w:rPr>
        <w:t xml:space="preserve">工会经费预算减少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12.13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3.77%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11.77</w:t>
      </w:r>
      <w:r>
        <w:rPr>
          <w:rFonts w:ascii="宋体" w:eastAsia="宋体" w:hAnsi="宋体" w:cs="宋体" w:hint="eastAsia"/>
          <w:sz w:val="28"/>
          <w:szCs w:val="28"/>
        </w:rPr>
        <w:t xml:space="preserve">万元，</w:t>
      </w:r>
      <w:r>
        <w:rPr>
          <w:rFonts w:ascii="宋体" w:eastAsia="宋体" w:hAnsi="宋体" w:cs="宋体"/>
          <w:sz w:val="28"/>
          <w:u w:color="auto"/>
        </w:rPr>
        <w:t xml:space="preserve">增长0.36</w:t>
      </w:r>
      <w:r>
        <w:rPr>
          <w:rFonts w:ascii="宋体" w:eastAsia="宋体" w:hAnsi="宋体" w:cs="宋体" w:hint="eastAsia"/>
          <w:sz w:val="28"/>
          <w:szCs w:val="28"/>
        </w:rPr>
        <w:t xml:space="preserve">万元，</w:t>
      </w:r>
      <w:r>
        <w:rPr>
          <w:rFonts w:ascii="宋体" w:eastAsia="宋体" w:hAnsi="宋体" w:cs="宋体"/>
          <w:sz w:val="28"/>
          <w:u w:color="auto"/>
        </w:rPr>
        <w:t xml:space="preserve">增长3.06%</w:t>
      </w:r>
      <w:r>
        <w:rPr>
          <w:rFonts w:ascii="宋体" w:eastAsia="宋体" w:hAnsi="宋体" w:cs="宋体" w:hint="eastAsia"/>
          <w:sz w:val="28"/>
          <w:szCs w:val="28"/>
        </w:rPr>
        <w:t xml:space="preserve">，主要原因是：</w:t>
      </w:r>
      <w:r>
        <w:rPr>
          <w:rFonts w:hint="eastAsia"/>
          <w:highlight w:val="none"/>
        </w:rPr>
        <w:t xml:space="preserve">基数调整</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14.40</w:t>
      </w:r>
      <w:r>
        <w:rPr>
          <w:rFonts w:ascii="宋体" w:eastAsia="宋体" w:hAnsi="宋体" w:cs="宋体" w:hint="eastAsia"/>
          <w:sz w:val="28"/>
          <w:szCs w:val="28"/>
        </w:rPr>
        <w:t xml:space="preserve">万元，</w:t>
      </w:r>
      <w:r>
        <w:rPr>
          <w:rFonts w:ascii="宋体" w:eastAsia="宋体" w:hAnsi="宋体" w:cs="宋体"/>
          <w:sz w:val="28"/>
          <w:u w:color="auto"/>
        </w:rPr>
        <w:t xml:space="preserve">减少14.40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2023年有预发奖励性津贴预算14.40万元</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294.60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91.48%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324.11</w:t>
      </w:r>
      <w:r>
        <w:rPr>
          <w:rFonts w:ascii="宋体" w:eastAsia="宋体" w:hAnsi="宋体" w:cs="宋体" w:hint="eastAsia"/>
          <w:sz w:val="28"/>
          <w:szCs w:val="28"/>
        </w:rPr>
        <w:t xml:space="preserve">万元，</w:t>
      </w:r>
      <w:r>
        <w:rPr>
          <w:rFonts w:ascii="宋体" w:eastAsia="宋体" w:hAnsi="宋体" w:cs="宋体"/>
          <w:sz w:val="28"/>
          <w:u w:color="auto"/>
        </w:rPr>
        <w:t xml:space="preserve">减少29.51</w:t>
      </w:r>
      <w:r>
        <w:rPr>
          <w:rFonts w:ascii="宋体" w:eastAsia="宋体" w:hAnsi="宋体" w:cs="宋体" w:hint="eastAsia"/>
          <w:sz w:val="28"/>
          <w:szCs w:val="28"/>
        </w:rPr>
        <w:t xml:space="preserve">万元，</w:t>
      </w:r>
      <w:r>
        <w:rPr>
          <w:rFonts w:ascii="宋体" w:eastAsia="宋体" w:hAnsi="宋体" w:cs="宋体"/>
          <w:sz w:val="28"/>
          <w:u w:color="auto"/>
        </w:rPr>
        <w:t xml:space="preserve">减少9.10%</w:t>
      </w:r>
      <w:r>
        <w:rPr>
          <w:rFonts w:ascii="宋体" w:eastAsia="宋体" w:hAnsi="宋体" w:cs="宋体" w:hint="eastAsia"/>
          <w:sz w:val="28"/>
          <w:szCs w:val="28"/>
        </w:rPr>
        <w:t xml:space="preserve">，主要原因是：</w:t>
      </w:r>
      <w:r>
        <w:rPr>
          <w:rFonts w:hint="eastAsia"/>
          <w:highlight w:val="none"/>
        </w:rPr>
        <w:t xml:space="preserve">一是服务中心编制划归城西街道办；二是上年结转结余数减少</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14.10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4.38%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15.69</w:t>
      </w:r>
      <w:r>
        <w:rPr>
          <w:rFonts w:ascii="宋体" w:eastAsia="宋体" w:hAnsi="宋体" w:cs="宋体" w:hint="eastAsia"/>
          <w:sz w:val="28"/>
          <w:szCs w:val="28"/>
        </w:rPr>
        <w:t xml:space="preserve">万元，</w:t>
      </w:r>
      <w:r>
        <w:rPr>
          <w:rFonts w:ascii="宋体" w:eastAsia="宋体" w:hAnsi="宋体" w:cs="宋体"/>
          <w:sz w:val="28"/>
          <w:u w:color="auto"/>
        </w:rPr>
        <w:t xml:space="preserve">减少1.59</w:t>
      </w:r>
      <w:r>
        <w:rPr>
          <w:rFonts w:ascii="宋体" w:eastAsia="宋体" w:hAnsi="宋体" w:cs="宋体" w:hint="eastAsia"/>
          <w:sz w:val="28"/>
          <w:szCs w:val="28"/>
        </w:rPr>
        <w:t xml:space="preserve">万元，</w:t>
      </w:r>
      <w:r>
        <w:rPr>
          <w:rFonts w:ascii="宋体" w:eastAsia="宋体" w:hAnsi="宋体" w:cs="宋体"/>
          <w:sz w:val="28"/>
          <w:u w:color="auto"/>
        </w:rPr>
        <w:t xml:space="preserve">减少10.13%</w:t>
      </w:r>
      <w:r>
        <w:rPr>
          <w:rFonts w:ascii="宋体" w:eastAsia="宋体" w:hAnsi="宋体" w:cs="宋体" w:hint="eastAsia"/>
          <w:sz w:val="28"/>
          <w:szCs w:val="28"/>
        </w:rPr>
        <w:t xml:space="preserve">，主要原因是：</w:t>
      </w:r>
      <w:r>
        <w:rPr>
          <w:rFonts w:hint="eastAsia"/>
          <w:highlight w:val="none"/>
        </w:rPr>
        <w:t xml:space="preserve">一是基数调整；二是服务中心编制划归城西街道办</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1542"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137.06</w:t>
      </w:r>
      <w:r>
        <w:rPr>
          <w:rFonts w:hint="eastAsia"/>
        </w:rPr>
        <w:t xml:space="preserve">万元，较2023年度预算数</w:t>
      </w:r>
      <w:r>
        <w:rPr>
          <w:rFonts w:hint="eastAsia"/>
          <w:lang w:val="en-US" w:eastAsia="zh-CN"/>
        </w:rPr>
        <w:t xml:space="preserve">204.04</w:t>
      </w:r>
      <w:r>
        <w:rPr>
          <w:rFonts w:hint="eastAsia"/>
        </w:rPr>
        <w:t xml:space="preserve">万元</w:t>
      </w:r>
      <w:r>
        <w:rPr>
          <w:rFonts w:hint="eastAsia"/>
          <w:lang w:val="en-US" w:eastAsia="zh-CN"/>
        </w:rPr>
        <w:t xml:space="preserve">,</w:t>
      </w:r>
      <w:r>
        <w:rPr>
          <w:u w:color="auto"/>
        </w:rPr>
        <w:t xml:space="preserve">减少66.98</w:t>
      </w:r>
      <w:r>
        <w:rPr>
          <w:rFonts w:hint="eastAsia"/>
        </w:rPr>
        <w:t xml:space="preserve">万元，</w:t>
      </w:r>
      <w:r>
        <w:rPr>
          <w:rFonts w:hint="eastAsia"/>
          <w:lang w:val="en-US" w:eastAsia="zh-CN"/>
        </w:rPr>
        <w:t xml:space="preserve">下降32.83%</w:t>
      </w:r>
      <w:r>
        <w:rPr>
          <w:rFonts w:hint="eastAsia"/>
        </w:rPr>
        <w:t xml:space="preserve">，主要原因是</w:t>
      </w:r>
      <w:r>
        <w:rPr>
          <w:rFonts w:hint="eastAsia"/>
          <w:highlight w:val="none"/>
          <w:lang w:val="en-US" w:eastAsia="zh-CN"/>
        </w:rPr>
        <w:t xml:space="preserve">服务中心编制划归城西街道办</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123.43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90.06%</w:t>
      </w:r>
      <w:r>
        <w:rPr>
          <w:rFonts w:hint="eastAsia"/>
        </w:rPr>
        <w:t xml:space="preserve">，较2023年度预算数</w:t>
      </w:r>
      <w:r>
        <w:rPr>
          <w:rFonts w:hint="eastAsia"/>
          <w:lang w:val="en-US" w:eastAsia="zh-CN"/>
        </w:rPr>
        <w:t xml:space="preserve">189.32</w:t>
      </w:r>
      <w:r>
        <w:rPr>
          <w:rFonts w:hint="eastAsia"/>
        </w:rPr>
        <w:t xml:space="preserve">万元，</w:t>
      </w:r>
      <w:r>
        <w:rPr>
          <w:rFonts w:hint="eastAsia"/>
          <w:lang w:val="en-US" w:eastAsia="zh-CN"/>
        </w:rPr>
        <w:t xml:space="preserve">减少65.89</w:t>
      </w:r>
      <w:r>
        <w:rPr>
          <w:rFonts w:hint="eastAsia"/>
        </w:rPr>
        <w:t xml:space="preserve">万元，</w:t>
      </w:r>
      <w:r>
        <w:rPr>
          <w:rFonts w:hint="eastAsia"/>
          <w:lang w:val="en-US" w:eastAsia="zh-CN"/>
        </w:rPr>
        <w:t xml:space="preserve">减少34.80%</w:t>
      </w:r>
      <w:r>
        <w:rPr>
          <w:rFonts w:hint="eastAsia"/>
        </w:rPr>
        <w:t xml:space="preserve">，主要原因是：</w:t>
      </w:r>
      <w:r>
        <w:rPr>
          <w:rFonts w:hint="eastAsia"/>
          <w:highlight w:val="none"/>
        </w:rPr>
        <w:t xml:space="preserve">服务中心编制划归城西街道办</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13.63</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9.94%</w:t>
      </w:r>
      <w:r>
        <w:rPr>
          <w:rFonts w:hint="eastAsia"/>
        </w:rPr>
        <w:t xml:space="preserve">，较2023年度预算数</w:t>
      </w:r>
      <w:r>
        <w:rPr>
          <w:rFonts w:hint="eastAsia"/>
          <w:lang w:val="en-US" w:eastAsia="zh-CN"/>
        </w:rPr>
        <w:t xml:space="preserve">14.72</w:t>
      </w:r>
      <w:r>
        <w:rPr>
          <w:rFonts w:hint="eastAsia"/>
        </w:rPr>
        <w:t xml:space="preserve">万元，</w:t>
      </w:r>
      <w:r>
        <w:rPr>
          <w:rFonts w:hint="eastAsia"/>
          <w:lang w:val="en-US" w:eastAsia="zh-CN"/>
        </w:rPr>
        <w:t xml:space="preserve">减少1.09</w:t>
      </w:r>
      <w:r>
        <w:rPr>
          <w:rFonts w:hint="eastAsia"/>
        </w:rPr>
        <w:t xml:space="preserve">万元，</w:t>
      </w:r>
      <w:r>
        <w:rPr>
          <w:rFonts w:hint="eastAsia"/>
          <w:lang w:val="en-US" w:eastAsia="zh-CN"/>
        </w:rPr>
        <w:t xml:space="preserve">减少7.40%</w:t>
      </w:r>
      <w:r>
        <w:rPr>
          <w:rFonts w:hint="eastAsia"/>
        </w:rPr>
        <w:t xml:space="preserve">，主要原因是：</w:t>
      </w:r>
      <w:r>
        <w:rPr>
          <w:rFonts w:hint="eastAsia"/>
          <w:highlight w:val="none"/>
        </w:rPr>
        <w:t xml:space="preserve">服务中心编制划归城西街道办</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1543"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本单位无因公出国（境）活动安排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本单位无公务接待活动安排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公车改革后，本单位不再保留有公车</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公车改革后，本单位不再保留有公车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1159.16</w:t>
      </w:r>
      <w:r>
        <w:rPr>
          <w:rFonts w:hint="eastAsia"/>
          <w:sz w:val="28"/>
          <w:szCs w:val="28"/>
        </w:rPr>
        <w:t xml:space="preserve">万元，较2023年度预算数</w:t>
      </w:r>
      <w:r>
        <w:rPr>
          <w:rFonts w:hint="eastAsia"/>
          <w:b w:val="0"/>
          <w:bCs w:val="0"/>
          <w:sz w:val="28"/>
          <w:szCs w:val="28"/>
          <w:lang w:eastAsia="zh-CN"/>
        </w:rPr>
        <w:t xml:space="preserve">640.88</w:t>
      </w:r>
      <w:r>
        <w:rPr>
          <w:rFonts w:hint="eastAsia"/>
          <w:sz w:val="28"/>
          <w:szCs w:val="28"/>
        </w:rPr>
        <w:t xml:space="preserve">万元，</w:t>
      </w:r>
      <w:r>
        <w:rPr>
          <w:rFonts w:hint="eastAsia"/>
          <w:b w:val="0"/>
          <w:bCs w:val="0"/>
          <w:sz w:val="28"/>
          <w:szCs w:val="28"/>
          <w:lang w:eastAsia="zh-CN"/>
        </w:rPr>
        <w:t xml:space="preserve">增加518.28</w:t>
      </w:r>
      <w:r>
        <w:rPr>
          <w:rFonts w:hint="eastAsia"/>
          <w:sz w:val="28"/>
          <w:szCs w:val="28"/>
        </w:rPr>
        <w:t xml:space="preserve">万元，</w:t>
      </w:r>
      <w:r>
        <w:rPr>
          <w:rFonts w:hint="eastAsia"/>
          <w:b w:val="0"/>
          <w:bCs w:val="0"/>
          <w:sz w:val="28"/>
          <w:szCs w:val="28"/>
          <w:lang w:eastAsia="zh-CN"/>
        </w:rPr>
        <w:t xml:space="preserve">增长80.87%</w:t>
      </w:r>
      <w:r>
        <w:rPr>
          <w:rFonts w:hint="eastAsia"/>
          <w:sz w:val="28"/>
          <w:szCs w:val="28"/>
        </w:rPr>
        <w:t xml:space="preserve">，主要原因是</w:t>
      </w:r>
      <w:r>
        <w:rPr>
          <w:rFonts w:hint="eastAsia"/>
          <w:sz w:val="28"/>
          <w:szCs w:val="28"/>
          <w:highlight w:val="none"/>
          <w:lang w:val="en-US" w:eastAsia="zh-CN"/>
        </w:rPr>
        <w:t xml:space="preserve">2024年上年结转结余数较2023年增多</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我单位2024年部门预算无国有资本经营预算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13.63</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14.72</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减少1.09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下降7.40%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减少了工会费支出。机关运行经费主要指的是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主要用于：购买办公用纸等办公耗材。</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17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1344.14</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名称：库区维稳工作经费，预算资金15100元，2024年度绩效目标为：通过对库区的维稳，给库区提供了一个安全的生产生活环境，促进了库区群众的经济发展。设1条数量指标：下点检查数量大于或等于1次；设1条质量指标：经费支出合规性（合规）；设1条时效指标：项目完成时间（2024年12月底前）；设1条成本指标：项目总成本小于或等于15100元；设一条社会效益指标：对促进库区稳定的改善或影响程度（改善程度较高）；设1条满意度指标：服务对象满意度大于或等于98%。</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1"/>
      <w:bookmarkEnd w:id="12"/>
      <w:bookmarkEnd w:id="13"/>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环江毛南族自治县生态移民发展中心</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31"/>
      <w:bookmarkStart w:id="18" w:name="bookmark30"/>
      <w:bookmarkStart w:id="19" w:name="bookmark29"/>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cantSplit/>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环江毛南族自治县生态移民发展中心</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cantSplit/>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147.86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147.86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14.10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1453.77</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12.13</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147.86</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1481.20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1333.34</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cantSplit/>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1481.20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1481.20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环江毛南族自治县生态移民发展中心</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Height w:val="90"/>
        </w:trPr>
        <w:tc>
          <w:tcPr>
            <w:tcW w:w="1636"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510001</w:t>
            </w:r>
          </w:p>
        </w:tc>
        <w:tc>
          <w:tcPr>
            <w:tcW w:w="1279" w:type="dxa"/>
          </w:tcPr>
          <w:p>
            <w:pPr>
              <w:pStyle w:val="Other|1"/>
              <w:spacing w:line="326" w:lineRule="exact"/>
              <w:ind w:firstLine="0" w:firstLineChars="0"/>
              <w:jc w:val="lef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1481.20</w:t>
            </w:r>
          </w:p>
        </w:tc>
        <w:tc>
          <w:tcPr>
            <w:tcW w:w="926"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147.86</w:t>
            </w:r>
          </w:p>
        </w:tc>
        <w:tc>
          <w:tcPr>
            <w:tcW w:w="909"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147.86</w:t>
            </w:r>
          </w:p>
        </w:tc>
        <w:tc>
          <w:tcPr>
            <w:tcW w:w="968"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1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1333.34</w:t>
            </w:r>
          </w:p>
        </w:tc>
        <w:tc>
          <w:tcPr>
            <w:tcW w:w="1011"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174.18</w:t>
            </w:r>
          </w:p>
        </w:tc>
        <w:tc>
          <w:tcPr>
            <w:tcW w:w="859"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1159.16</w:t>
            </w:r>
          </w:p>
        </w:tc>
        <w:tc>
          <w:tcPr>
            <w:tcW w:w="1094" w:type="dxa"/>
            <w:gridSpan w:val="2"/>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37" w:type="dxa"/>
            <w:vAlign w:val="center"/>
          </w:tcPr>
          <w:p>
            <w:pPr>
              <w:spacing w:line="240" w:lineRule="auto"/>
              <w:ind w:firstLine="0" w:firstLineChars="0"/>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c>
          <w:tcPr>
            <w:tcW w:w="989" w:type="dxa"/>
            <w:vAlign w:val="center"/>
          </w:tcPr>
          <w:p>
            <w:pPr>
              <w:spacing w:line="240" w:lineRule="auto"/>
              <w:jc w:val="right"/>
              <w:rPr>
                <w:rFonts w:ascii="宋体" w:eastAsia="宋体" w:hAnsi="宋体" w:cs="宋体" w:hint="eastAsia"/>
                <w:b w:val="0"/>
                <w:bCs w:val="0"/>
                <w:sz w:val="17"/>
                <w:szCs w:val="17"/>
                <w:vertAlign w:val="baseline"/>
                <w:lang w:val="en-US" w:eastAsia="zh-CN"/>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cantSplit/>
        </w:trPr>
        <w:tc>
          <w:tcPr>
            <w:tcW w:w="15557" w:type="dxa"/>
            <w:gridSpan w:val="16"/>
            <w:tcBorders>
              <w:left w:val="nil"/>
              <w:bottom w:val="nil"/>
              <w:right w:val="nil"/>
            </w:tcBorders>
          </w:tcPr>
          <w:p>
            <w:pPr>
              <w:pStyle w:val="Tablecaption|1"/>
              <w:jc w:val="left"/>
              <w:rPr>
                <w:rFonts w:eastAsia="宋体" w:hint="eastAsia"/>
                <w:sz w:val="17"/>
                <w:szCs w:val="17"/>
                <w:vertAlign w:val="baseline"/>
                <w:lang w:val="en-US" w:eastAsia="zh-CN"/>
              </w:rPr>
            </w:pPr>
            <w:r>
              <w:rPr>
                <w:sz w:val="17"/>
                <w:szCs w:val="17"/>
              </w:rP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rPr>
          <w:cantSplit/>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环江毛南族自治县生态移民发展中心</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1481.20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137.06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1344.14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1481.20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137.06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1344.14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14.10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2130321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大中型水库移民后期扶持专项支出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19.14</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19.14</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2130334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水利建设征地及移民支出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154.99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154.99</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2130599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其他巩固脱贫攻坚成果衔接乡村振兴支出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0.05</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2136601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基础设施建设和经济发展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31.20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2137202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基础设施建设和经济发展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1112.96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1112.96</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2137302</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基础设施建设和经济发展</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15.00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2139999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其他农林水支出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120.42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109.62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10.80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12.13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w:t>
            </w:r>
          </w:p>
        </w:tc>
      </w:tr>
    </w:tbl>
    <w:p>
      <w:pPr>
        <w:pStyle w:val="Tablecaption|1"/>
        <w:ind w:left="672"/>
        <w:jc w:val="left"/>
      </w:pPr>
      <w:r>
        <w:rPr>
          <w:b w:val="0"/>
          <w:bCs w:val="0"/>
        </w:rPr>
        <w:t xml:space="preserve">注：本报表金额单位转换时可能存在四舍五入尾数误差。</w:t>
      </w:r>
      <w:r>
        <w:br w:type="page"/>
      </w:r>
    </w:p>
    <w:p>
      <w:pPr>
        <w:pStyle w:val="Heading#2|1"/>
        <w:keepNext/>
        <w:keepLines/>
        <w:spacing w:after="240"/>
        <w:jc w:val="center"/>
      </w:pPr>
      <w:bookmarkStart w:id="23" w:name="bookmark44"/>
      <w:bookmarkStart w:id="24" w:name="bookmark46"/>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cantSplit/>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环江毛南族自治县生态移民发展中心</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147.86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147.86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14.10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1453.77</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12.13</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147.86</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1481.20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1333.34</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cantSplit/>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1481.20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1481.20</w:t>
            </w:r>
          </w:p>
        </w:tc>
      </w:tr>
      <w:tr>
        <w:tblPrEx>
          <w:tblW w:w="0" w:type="auto"/>
          <w:tblInd w:w="0" w:type="dxa"/>
          <w:tblLayout w:type="fixed"/>
          <w:tblCellMar>
            <w:top w:w="0" w:type="dxa"/>
            <w:left w:w="10" w:type="dxa"/>
            <w:bottom w:w="0" w:type="dxa"/>
            <w:right w:w="10" w:type="dxa"/>
          </w:tblCellMar>
        </w:tblPrEx>
        <w:trPr>
          <w:cantSplit/>
          <w:trHeight w:hRule="exact" w:val="352"/>
        </w:trPr>
        <w:tc>
          <w:tcPr>
            <w:tcW w:w="15342" w:type="dxa"/>
            <w:gridSpan w:val="6"/>
            <w:tcBorders>
              <w:top w:val="single" w:sz="4" w:space="0" w:color="auto"/>
            </w:tcBorders>
            <w:shd w:val="clear" w:color="auto" w:fill="FFFFFF"/>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cantSplit/>
          <w:trHeight w:hRule="exact" w:val="274"/>
        </w:trPr>
        <w:tc>
          <w:tcPr>
            <w:tcW w:w="15342" w:type="dxa"/>
            <w:gridSpan w:val="6"/>
            <w:shd w:val="clear" w:color="auto" w:fill="FFFFFF"/>
            <w:vAlign w:val="bottom"/>
          </w:tcPr>
          <w:p>
            <w:pPr>
              <w:jc w:val="left"/>
              <w:rPr>
                <w:rFonts w:ascii="宋体" w:eastAsia="宋体" w:hAnsi="宋体" w:cs="宋体" w:hint="eastAsia"/>
                <w:sz w:val="17"/>
                <w:szCs w:val="17"/>
                <w:lang w:eastAsia="zh-CN"/>
              </w:rPr>
            </w:pPr>
            <w:r>
              <w:rPr>
                <w:rFonts w:ascii="宋体" w:eastAsia="宋体" w:hAnsi="宋体" w:cs="宋体" w:hint="eastAsia"/>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05"/>
        <w:gridCol w:w="1636"/>
        <w:gridCol w:w="1615"/>
        <w:gridCol w:w="1713"/>
        <w:gridCol w:w="1879"/>
        <w:gridCol w:w="1846"/>
        <w:gridCol w:w="1718"/>
        <w:gridCol w:w="72"/>
        <w:gridCol w:w="1686"/>
        <w:gridCol w:w="1687"/>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环江毛南族自治县生态移民发展中心</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510001</w:t>
            </w: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322.04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137.06</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123.43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13.63</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184.98</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2012999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1.21</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2080505</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14.10</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14.10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2130321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大中型水库移民后期扶持专项支出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19.14</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19.14</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2130334</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水利建设征地及移民支出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154.99</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154.99</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2130599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其他巩固脱贫攻坚成果衔接乡村振兴支出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0.05</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0.05</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2139999</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其他农林水支出</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120.42</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109.62</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97.21</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12.41</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10.80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715"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2210201</w:t>
            </w:r>
          </w:p>
        </w:tc>
        <w:tc>
          <w:tcPr>
            <w:tcW w:w="1676"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p>
        </w:tc>
        <w:tc>
          <w:tcPr>
            <w:tcW w:w="1662" w:type="dxa"/>
            <w:vAlign w:val="center"/>
          </w:tcPr>
          <w:p>
            <w:pPr>
              <w:pStyle w:val="Other|1"/>
              <w:spacing w:line="240" w:lineRule="auto"/>
              <w:ind w:firstLine="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12.13</w:t>
            </w:r>
          </w:p>
        </w:tc>
        <w:tc>
          <w:tcPr>
            <w:tcW w:w="1879" w:type="dxa"/>
            <w:vAlign w:val="center"/>
          </w:tcPr>
          <w:p>
            <w:pPr>
              <w:pStyle w:val="Other|1"/>
              <w:spacing w:line="240" w:lineRule="auto"/>
              <w:ind w:left="13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12.13</w:t>
            </w:r>
          </w:p>
        </w:tc>
        <w:tc>
          <w:tcPr>
            <w:tcW w:w="1729" w:type="dxa"/>
            <w:vAlign w:val="center"/>
          </w:tcPr>
          <w:p>
            <w:pPr>
              <w:pStyle w:val="Other|1"/>
              <w:spacing w:line="240" w:lineRule="auto"/>
              <w:ind w:left="112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12.13</w:t>
            </w:r>
          </w:p>
        </w:tc>
        <w:tc>
          <w:tcPr>
            <w:tcW w:w="1790" w:type="dxa"/>
            <w:gridSpan w:val="2"/>
            <w:vAlign w:val="center"/>
          </w:tcPr>
          <w:p>
            <w:pPr>
              <w:pStyle w:val="Other|1"/>
              <w:spacing w:line="240" w:lineRule="auto"/>
              <w:ind w:left="1060" w:firstLine="0" w:leftChars="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1694"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10"/>
            <w:tcBorders>
              <w:left w:val="nil"/>
              <w:bottom w:val="nil"/>
              <w:right w:val="nil"/>
            </w:tcBorders>
          </w:tcPr>
          <w:p>
            <w:pPr>
              <w:jc w:val="left"/>
              <w:rPr>
                <w:rFonts w:hint="eastAsia"/>
                <w:sz w:val="17"/>
                <w:szCs w:val="17"/>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blHeader/>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环江毛南族自治县生态移民发展中心</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blHeader/>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blHeader/>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合计</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137.06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123.43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123.43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123.43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基本工资</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35.38</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35.38</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津贴补贴</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22.36</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22.36</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奖金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30.02</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30108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14.10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5.64</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5.64</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0.09</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30113</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住房公积金</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12.13</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30199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其他工资福利支出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3.71</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13.63</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13.63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办公费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30202</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印刷费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水费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0.20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30206</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30207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邮电费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1.89</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1.89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30211</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差旅费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30227</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委托业务费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30228</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工会经费</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1.21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30239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其他交通费用</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8.82</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8.82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30299</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资本性支出</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blHeader/>
        </w:trPr>
        <w:tc>
          <w:tcPr>
            <w:tcW w:w="3110" w:type="dxa"/>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31005</w:t>
            </w:r>
          </w:p>
        </w:tc>
        <w:tc>
          <w:tcPr>
            <w:tcW w:w="3111" w:type="dxa"/>
            <w:vAlign w:val="center"/>
          </w:tcPr>
          <w:p>
            <w:pPr>
              <w:pStyle w:val="Other|1"/>
              <w:spacing w:line="240" w:lineRule="auto"/>
              <w:ind w:firstLine="0" w:firstLineChars="0"/>
              <w:jc w:val="lef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基础设施建设</w:t>
            </w:r>
          </w:p>
        </w:tc>
        <w:tc>
          <w:tcPr>
            <w:tcW w:w="3111"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2"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c>
          <w:tcPr>
            <w:tcW w:w="3113" w:type="dxa"/>
            <w:vAlign w:val="center"/>
          </w:tcPr>
          <w:p>
            <w:pPr>
              <w:pStyle w:val="Other|1"/>
              <w:spacing w:line="240" w:lineRule="auto"/>
              <w:ind w:firstLine="0" w:firstLineChars="0"/>
              <w:jc w:val="right"/>
              <w:rPr>
                <w:rFonts w:ascii="宋体" w:eastAsia="宋体" w:hAnsi="宋体" w:cs="宋体" w:hint="eastAsia"/>
                <w:b w:val="0"/>
                <w:bCs w:val="0"/>
                <w:vertAlign w:val="baseline"/>
                <w:lang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blHeader/>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rFonts w:ascii="宋体" w:eastAsia="宋体" w:hAnsi="宋体" w:cs="宋体" w:hint="eastAsia"/>
                <w:sz w:val="17"/>
                <w:szCs w:val="17"/>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6"/>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环江毛南族自治县生态移民发展中心</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296"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510001</w:t>
            </w:r>
          </w:p>
        </w:tc>
        <w:tc>
          <w:tcPr>
            <w:tcW w:w="1918" w:type="dxa"/>
            <w:vAlign w:val="center"/>
          </w:tcPr>
          <w:p>
            <w:pPr>
              <w:pStyle w:val="Other|1"/>
              <w:spacing w:line="240" w:lineRule="auto"/>
              <w:ind w:firstLine="0" w:firstLineChars="0"/>
              <w:jc w:val="left"/>
              <w:rPr>
                <w:rFonts w:ascii="宋体" w:eastAsia="宋体" w:hAnsi="宋体" w:cs="宋体" w:hint="eastAsia"/>
                <w:b w:val="0"/>
                <w:bCs w:val="0"/>
                <w:vertAlign w:val="baseline"/>
                <w:lang w:val="en-US" w:eastAsia="zh-CN"/>
              </w:rPr>
            </w:pPr>
          </w:p>
        </w:tc>
        <w:tc>
          <w:tcPr>
            <w:tcW w:w="1884"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5"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8"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0"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c>
          <w:tcPr>
            <w:tcW w:w="1889" w:type="dxa"/>
            <w:vAlign w:val="center"/>
          </w:tcPr>
          <w:p>
            <w:pPr>
              <w:pStyle w:val="Other|1"/>
              <w:spacing w:line="240" w:lineRule="auto"/>
              <w:ind w:firstLine="0" w:firstLineChars="0"/>
              <w:jc w:val="right"/>
              <w:rPr>
                <w:rFonts w:ascii="宋体" w:eastAsia="宋体" w:hAnsi="宋体" w:cs="宋体" w:hint="eastAsia"/>
                <w:b w:val="0"/>
                <w:bCs w:val="0"/>
                <w:vertAlign w:val="baseline"/>
                <w:lang w:val="en-US" w:eastAsia="zh-CN"/>
              </w:rPr>
            </w:pPr>
            <w:r>
              <w:rPr>
                <w:rFonts w:ascii="宋体" w:eastAsia="宋体" w:hAnsi="宋体" w:cs="宋体" w:hint="eastAsia"/>
                <w:b w:val="0"/>
                <w:bCs w:val="0"/>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7"/>
                <w:szCs w:val="17"/>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环江毛南族自治县生态移民发展中心</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510001</w:t>
            </w: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1159.16</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1159.16</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2136601</w:t>
            </w: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基础设施建设和经济发展</w:t>
            </w: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31.20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31.20</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2137202</w:t>
            </w: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基础设施建设和经济发展</w:t>
            </w: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1112.96</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1112.96</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Height w:val="135"/>
        </w:trPr>
        <w:tc>
          <w:tcPr>
            <w:tcW w:w="2527"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2137302</w:t>
            </w:r>
          </w:p>
        </w:tc>
        <w:tc>
          <w:tcPr>
            <w:tcW w:w="2161"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p>
        </w:tc>
        <w:tc>
          <w:tcPr>
            <w:tcW w:w="2162" w:type="dxa"/>
            <w:vAlign w:val="center"/>
          </w:tcPr>
          <w:p>
            <w:pPr>
              <w:pStyle w:val="Other|1"/>
              <w:spacing w:line="240" w:lineRule="auto"/>
              <w:ind w:firstLine="0" w:firstLineChars="0"/>
              <w:jc w:val="lef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基础设施建设和经济发展</w:t>
            </w:r>
          </w:p>
        </w:tc>
        <w:tc>
          <w:tcPr>
            <w:tcW w:w="2222" w:type="dxa"/>
            <w:vAlign w:val="center"/>
          </w:tcPr>
          <w:p>
            <w:pPr>
              <w:pStyle w:val="Other|1"/>
              <w:spacing w:line="240" w:lineRule="auto"/>
              <w:ind w:left="1060" w:firstLine="0" w:leftChars="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15.00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15.00</w:t>
            </w:r>
          </w:p>
        </w:tc>
        <w:tc>
          <w:tcPr>
            <w:tcW w:w="2163" w:type="dxa"/>
            <w:vAlign w:val="center"/>
          </w:tcPr>
          <w:p>
            <w:pPr>
              <w:pStyle w:val="Other|1"/>
              <w:spacing w:line="240" w:lineRule="auto"/>
              <w:ind w:firstLine="0" w:firstLineChars="0"/>
              <w:jc w:val="right"/>
              <w:rPr>
                <w:rFonts w:ascii="宋体" w:eastAsia="宋体" w:hAnsi="宋体" w:cs="宋体" w:hint="eastAsia"/>
                <w:b w:val="0"/>
                <w:bCs w:val="0"/>
                <w:sz w:val="17"/>
                <w:szCs w:val="17"/>
                <w:vertAlign w:val="baseline"/>
              </w:rPr>
            </w:pPr>
            <w:r>
              <w:rPr>
                <w:rFonts w:ascii="宋体" w:eastAsia="宋体" w:hAnsi="宋体" w:cs="宋体"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bidi w:val="0"/>
              <w:jc w:val="both"/>
              <w:rPr>
                <w:vertAlign w:val="baseline"/>
              </w:rPr>
            </w:pPr>
            <w:r>
              <w:rPr>
                <w:b w:val="0"/>
                <w:bCs w:val="0"/>
              </w:rP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环江毛南族自治县生态移民发展中心</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cantSplit/>
        </w:trPr>
        <w:tc>
          <w:tcPr>
            <w:tcW w:w="15557" w:type="dxa"/>
            <w:gridSpan w:val="7"/>
            <w:tcBorders>
              <w:left w:val="nil"/>
              <w:bottom w:val="nil"/>
              <w:right w:val="nil"/>
            </w:tcBorders>
          </w:tcPr>
          <w:p>
            <w:pPr>
              <w:pStyle w:val="Tablecaption|1"/>
              <w:spacing w:line="302" w:lineRule="exact"/>
              <w:ind w:left="672"/>
              <w:jc w:val="left"/>
              <w:rPr>
                <w:rFonts w:ascii="宋体" w:eastAsia="宋体" w:hAnsi="宋体" w:cs="宋体" w:hint="eastAsia"/>
                <w:b w:val="0"/>
                <w:bCs w:val="0"/>
              </w:rPr>
            </w:pPr>
            <w:r>
              <w:rPr>
                <w:rFonts w:ascii="宋体" w:eastAsia="宋体" w:hAnsi="宋体" w:cs="宋体" w:hint="eastAsia"/>
                <w:b w:val="0"/>
                <w:bCs w:val="0"/>
              </w:rPr>
              <w:t xml:space="preserve">注：本报表金额单位转换时可能存在四舍五入尾数误差。本部门</w:t>
            </w:r>
            <w:r>
              <w:rPr>
                <w:rFonts w:ascii="宋体" w:eastAsia="宋体" w:hAnsi="宋体" w:cs="宋体" w:hint="eastAsia"/>
                <w:b w:val="0"/>
                <w:bCs w:val="0"/>
                <w:lang w:eastAsia="zh-CN"/>
              </w:rPr>
              <w:t xml:space="preserve">2024</w:t>
            </w:r>
            <w:r>
              <w:rPr>
                <w:rFonts w:ascii="宋体" w:eastAsia="宋体" w:hAnsi="宋体" w:cs="宋体"/>
                <w:u w:color="auto"/>
              </w:rPr>
              <w:t xml:space="preserve">年</w:t>
            </w:r>
            <w:r>
              <w:rPr>
                <w:rFonts w:ascii="宋体" w:eastAsia="宋体" w:hAnsi="宋体" w:cs="宋体" w:hint="eastAsia"/>
                <w:b w:val="0"/>
                <w:bCs w:val="0"/>
              </w:rP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cantSplit/>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环江毛南族自治县生态移民发展中心</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cantSplit/>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库区维稳工作经费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因工作需要，继续开展库区维稳工作。</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中央水库移民扶持基金预算资金项目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51.81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中央水库移民扶持基金预算资金项目</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桂财农【2022】64号2022年第二批中央水库移民资金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258.90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桂财农【2022】64号2022年第二批中央水库移民资金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中央水库移民扶持(基础设施建设)</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中央水库移民扶持(基础设施建设)</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桂整合【2022】4号2022年自治区库区移民发展专项资金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51.01</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桂整合【2022】4号2022年自治区库区移民发展专项资金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2022年第一批大中型水库库区基金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31.20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2022年第一批大中型水库库区基金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2022年第一批小型水库移民扶助基金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15.00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2022年第一批小型水库移民扶助基金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大中型水库移民后期扶持基金(资金)(农林水支出)</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19.14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桂财农【2022】110号2023年大中型水库移民后期扶持基金（资金）（农林水支出）</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大中型水库移民后期扶持基金(资金)(基础设施建设和经济发展)</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44.25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桂财农【2022】110号2023年大中型水库移民后期扶持基金（资金）（基础设施建设和经济发展）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2023年库区移民发展专项资金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103.98</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2023年库区移民发展专项资金</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乡村振兴项目前期工作激励资金专项暨农村公共照明、安置点综合管理项目投</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桂财农〔2023〕20号2022年乡村振兴项目前期工作激励资金专项暨农村公共照明、安置点综合管理项目投</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2023年第二批中央水库移民扶持基金</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756.00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严格按照资金使用要求组织项目实施</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易地安置管理工作经费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对全县9个安置点易地安置占群众进行政策和法制宣传等方面的管理。</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党支部组织生活工作经费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0.09</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按有关文件要求开展党支部组织生活活动。</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干捞水电站移民安置工作工作经费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按项目进度管理要求，年内完成各项工作任务。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全县水库移民后期扶持政策实施工作经费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按项目进度要求，年内完成水库移民后期政策实施工作任务。</w:t>
            </w:r>
          </w:p>
        </w:tc>
      </w:tr>
      <w:tr>
        <w:tblPrEx>
          <w:tblW w:w="0" w:type="auto"/>
          <w:tblInd w:w="0" w:type="dxa"/>
          <w:tblLayout w:type="fixed"/>
          <w:tblCellMar>
            <w:top w:w="0" w:type="dxa"/>
            <w:left w:w="10" w:type="dxa"/>
            <w:bottom w:w="0" w:type="dxa"/>
            <w:right w:w="10" w:type="dxa"/>
          </w:tblCellMar>
        </w:tblPrEx>
        <w:trPr>
          <w:cantSplit/>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510001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环江毛南族自治县生态移民发展中心</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水库移民项目前期实施工作经费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6.20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val="0"/>
                <w:bCs w:val="0"/>
                <w:sz w:val="17"/>
                <w:szCs w:val="17"/>
                <w:lang w:val="en-US" w:eastAsia="zh-CN"/>
              </w:rPr>
            </w:pPr>
            <w:r>
              <w:rPr>
                <w:rFonts w:ascii="宋体" w:eastAsia="宋体" w:hAnsi="宋体" w:cs="宋体" w:hint="eastAsia"/>
                <w:b w:val="0"/>
                <w:bCs w:val="0"/>
                <w:sz w:val="17"/>
                <w:szCs w:val="17"/>
                <w:lang w:val="en-US" w:eastAsia="zh-CN"/>
              </w:rPr>
              <w:t xml:space="preserve">按项目进度要求实施，年内完成水库移民前期各项工作任务。</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4"/>
      <w:bookmarkStart w:id="33" w:name="bookmark96"/>
      <w:bookmarkStart w:id="34" w:name="bookmark95"/>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37"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345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1545"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345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1547"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345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1548"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3456"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1549"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3457"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50"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345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44"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5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154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345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nGqdF1JcMVlRzsS4md1InQ==" w:hash="ez/1a9Ol1ncDe/hjL9Smi+gTPq/DSW1dIV4UK8UZztgDo1N81z/wc+fVTEpAT1RGjlo7FSPeJVVD42ZE93Mfe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Sheet1!$A$2:$A$3</c:f>
              <c:strCache>
                <c:ptCount val="2"/>
                <c:pt idx="0">
                  <c:v>一般公共预算拨款</c:v>
                </c:pt>
                <c:pt idx="1">
                  <c:v>政府性基金预算拨款</c:v>
                </c:pt>
              </c:strCache>
            </c:strRef>
          </c:cat>
          <c:val>
            <c:numRef>
              <c:f>Sheet1!$B$2:$B$3</c:f>
              <c:numCache>
                <c:ptCount val="2"/>
                <c:pt idx="0">
                  <c:v>322.04</c:v>
                </c:pt>
                <c:pt idx="1">
                  <c:v>1159.16</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1.21</c:v>
                </c:pt>
                <c:pt idx="1">
                  <c:v>14.1</c:v>
                </c:pt>
                <c:pt idx="2">
                  <c:v>120.42</c:v>
                </c:pt>
                <c:pt idx="3">
                  <c:v>12.13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1008.8</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1481.2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137.06</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10.8</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13.63</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123.43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123.43</c:v>
                </c:pt>
                <c:pt idx="1">
                  <c:v>13.63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2024-03-01T08:17:38Z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17</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4E3C581BBF724D7C94F9FADCFB18DEB4_13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17</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2024-03-01T10:24:43Z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4E3C581BBF724D7C94F9FADCFB18DEB4_13</vt:lpstr>
  </property>
</Properties>
</file>