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lang w:eastAsia="zh-CN"/>
        </w:rPr>
      </w:pPr>
      <w:r>
        <w:rPr>
          <w:rFonts w:hint="eastAsia"/>
          <w:lang w:eastAsia="zh-CN"/>
        </w:rPr>
        <w:t>环江毛南族自治县农业机械化服务中心</w:t>
      </w:r>
    </w:p>
    <w:p>
      <w:pPr>
        <w:pStyle w:val="10"/>
        <w:jc w:val="center"/>
        <w:sectPr>
          <w:pgSz w:w="11900" w:h="16840"/>
          <w:pgMar w:top="4713" w:right="1913" w:bottom="4713" w:left="2020" w:header="4285" w:footer="4285" w:gutter="0"/>
          <w:pgBorders>
            <w:top w:val="none" w:sz="0" w:space="0"/>
            <w:left w:val="none" w:sz="0" w:space="0"/>
            <w:bottom w:val="none" w:sz="0" w:space="0"/>
            <w:right w:val="none" w:sz="0" w:space="0"/>
          </w:pgBorders>
          <w:pgNumType w:start="1"/>
          <w:cols w:space="720" w:num="1"/>
          <w:docGrid w:linePitch="360" w:charSpace="0"/>
        </w:sectPr>
      </w:pPr>
      <w:r>
        <w:rPr>
          <w:rFonts w:hint="eastAsia"/>
          <w:lang w:eastAsia="zh-CN"/>
        </w:rPr>
        <w:t>2024</w:t>
      </w:r>
      <w:r>
        <w:rPr>
          <w:rFonts w:ascii="Times New Roman" w:hAnsi="Times New Roman" w:eastAsia="Times New Roman" w:cs="Times New Roman"/>
          <w:sz w:val="56"/>
          <w:u w:color="auto"/>
        </w:rPr>
        <w:t>年</w:t>
      </w:r>
      <w:r>
        <w:t>度部门预算</w:t>
      </w:r>
      <w:bookmarkStart w:id="43" w:name="_GoBack"/>
      <w:bookmarkEnd w:id="43"/>
    </w:p>
    <w:p>
      <w:pPr>
        <w:pStyle w:val="12"/>
        <w:keepNext/>
        <w:keepLines/>
        <w:spacing w:after="240"/>
        <w:jc w:val="center"/>
      </w:pPr>
      <w:bookmarkStart w:id="0" w:name="bookmark2"/>
      <w:bookmarkStart w:id="1" w:name="bookmark0"/>
      <w:bookmarkStart w:id="2" w:name="bookmark1"/>
      <w:r>
        <w:t>目录</w:t>
      </w:r>
      <w:bookmarkEnd w:id="0"/>
      <w:bookmarkEnd w:id="1"/>
      <w:bookmarkEnd w:id="2"/>
    </w:p>
    <w:p>
      <w:pPr>
        <w:pStyle w:val="16"/>
        <w:ind w:left="0" w:leftChars="0" w:firstLine="320" w:firstLineChars="100"/>
        <w:jc w:val="left"/>
      </w:pPr>
      <w:r>
        <w:t>第一部分</w:t>
      </w:r>
      <w:r>
        <w:rPr>
          <w:rFonts w:hint="eastAsia"/>
          <w:lang w:eastAsia="zh-CN"/>
        </w:rPr>
        <w:t>：</w:t>
      </w:r>
      <w:r>
        <w:rPr>
          <w:u w:color="auto"/>
        </w:rPr>
        <w:t>环江毛南族自治县农业机械化服务中心单位</w:t>
      </w:r>
      <w:r>
        <w:t>概况</w:t>
      </w:r>
    </w:p>
    <w:p>
      <w:pPr>
        <w:pStyle w:val="16"/>
        <w:jc w:val="left"/>
      </w:pPr>
      <w:r>
        <w:rPr>
          <w:lang w:val="en-US" w:eastAsia="zh-CN" w:bidi="en-US"/>
        </w:rPr>
        <w:t>—</w:t>
      </w:r>
      <w:r>
        <w:t>、主要职责</w:t>
      </w:r>
    </w:p>
    <w:p>
      <w:pPr>
        <w:pStyle w:val="16"/>
        <w:jc w:val="left"/>
        <w:rPr>
          <w:rFonts w:hint="eastAsia"/>
        </w:rPr>
      </w:pPr>
      <w:r>
        <w:rPr>
          <w:rFonts w:hint="eastAsia"/>
          <w:lang w:val="en-US" w:eastAsia="zh-CN"/>
        </w:rPr>
        <w:t>二、</w:t>
      </w:r>
      <w:r>
        <w:rPr>
          <w:rFonts w:hint="eastAsia"/>
        </w:rPr>
        <w:t>机构设置情况</w:t>
      </w:r>
    </w:p>
    <w:p>
      <w:pPr>
        <w:pStyle w:val="16"/>
        <w:ind w:left="0" w:leftChars="0" w:firstLine="320" w:firstLineChars="100"/>
        <w:jc w:val="left"/>
      </w:pPr>
      <w:r>
        <w:t>第二部分</w:t>
      </w:r>
      <w:r>
        <w:rPr>
          <w:rFonts w:hint="eastAsia"/>
          <w:lang w:eastAsia="zh-CN"/>
        </w:rPr>
        <w:t>：</w:t>
      </w:r>
      <w:r>
        <w:rPr>
          <w:u w:color="auto"/>
        </w:rPr>
        <w:t>环江毛南族自治县农业机械化服务中心2024</w:t>
      </w:r>
      <w:r>
        <w:t>部门预算情况说明</w:t>
      </w:r>
    </w:p>
    <w:p>
      <w:pPr>
        <w:pStyle w:val="16"/>
        <w:numPr>
          <w:ilvl w:val="0"/>
          <w:numId w:val="0"/>
        </w:numPr>
        <w:ind w:firstLine="640" w:firstLineChars="200"/>
        <w:jc w:val="left"/>
        <w:rPr>
          <w:rFonts w:hint="eastAsia"/>
        </w:rPr>
      </w:pPr>
      <w:r>
        <w:rPr>
          <w:rFonts w:hint="eastAsia"/>
        </w:rPr>
        <w:t>一、部门收支总体情况说明</w:t>
      </w:r>
    </w:p>
    <w:p>
      <w:pPr>
        <w:pStyle w:val="16"/>
        <w:numPr>
          <w:ilvl w:val="0"/>
          <w:numId w:val="0"/>
        </w:numPr>
        <w:ind w:firstLine="640" w:firstLineChars="200"/>
        <w:jc w:val="left"/>
        <w:rPr>
          <w:rFonts w:hint="eastAsia"/>
        </w:rPr>
      </w:pPr>
      <w:r>
        <w:rPr>
          <w:rFonts w:hint="eastAsia"/>
        </w:rPr>
        <w:t>二、部门收入总体情况说明</w:t>
      </w:r>
    </w:p>
    <w:p>
      <w:pPr>
        <w:pStyle w:val="16"/>
        <w:numPr>
          <w:ilvl w:val="0"/>
          <w:numId w:val="0"/>
        </w:numPr>
        <w:ind w:firstLine="640" w:firstLineChars="200"/>
        <w:jc w:val="left"/>
        <w:rPr>
          <w:rFonts w:hint="eastAsia"/>
        </w:rPr>
      </w:pPr>
      <w:r>
        <w:rPr>
          <w:rFonts w:hint="eastAsia"/>
        </w:rPr>
        <w:t>三、部门支出总体情况说明</w:t>
      </w:r>
    </w:p>
    <w:p>
      <w:pPr>
        <w:pStyle w:val="16"/>
        <w:numPr>
          <w:ilvl w:val="0"/>
          <w:numId w:val="0"/>
        </w:numPr>
        <w:ind w:firstLine="640" w:firstLineChars="200"/>
        <w:jc w:val="left"/>
        <w:rPr>
          <w:rFonts w:hint="eastAsia"/>
        </w:rPr>
      </w:pPr>
      <w:r>
        <w:rPr>
          <w:rFonts w:hint="eastAsia"/>
        </w:rPr>
        <w:t>四、财政拨款收支总体情况说明</w:t>
      </w:r>
    </w:p>
    <w:p>
      <w:pPr>
        <w:pStyle w:val="16"/>
        <w:numPr>
          <w:ilvl w:val="0"/>
          <w:numId w:val="0"/>
        </w:numPr>
        <w:ind w:firstLine="640" w:firstLineChars="200"/>
        <w:jc w:val="left"/>
        <w:rPr>
          <w:rFonts w:hint="eastAsia"/>
        </w:rPr>
      </w:pPr>
      <w:r>
        <w:rPr>
          <w:rFonts w:hint="eastAsia"/>
        </w:rPr>
        <w:t>五、一般公共预算支出情况说明</w:t>
      </w:r>
    </w:p>
    <w:p>
      <w:pPr>
        <w:pStyle w:val="16"/>
        <w:numPr>
          <w:ilvl w:val="0"/>
          <w:numId w:val="0"/>
        </w:numPr>
        <w:ind w:firstLine="640" w:firstLineChars="200"/>
        <w:jc w:val="left"/>
        <w:rPr>
          <w:rFonts w:hint="eastAsia"/>
        </w:rPr>
      </w:pPr>
      <w:r>
        <w:rPr>
          <w:rFonts w:hint="eastAsia"/>
        </w:rPr>
        <w:t>六、一般公共预算基本支出情况说明</w:t>
      </w:r>
    </w:p>
    <w:p>
      <w:pPr>
        <w:pStyle w:val="16"/>
        <w:numPr>
          <w:ilvl w:val="0"/>
          <w:numId w:val="0"/>
        </w:numPr>
        <w:ind w:firstLine="640" w:firstLineChars="200"/>
        <w:jc w:val="left"/>
        <w:rPr>
          <w:rFonts w:hint="eastAsia"/>
        </w:rPr>
      </w:pPr>
      <w:r>
        <w:rPr>
          <w:rFonts w:hint="eastAsia"/>
        </w:rPr>
        <w:t>七、一般公共预算“三公”经费支出情况说明</w:t>
      </w:r>
    </w:p>
    <w:p>
      <w:pPr>
        <w:pStyle w:val="16"/>
        <w:numPr>
          <w:ilvl w:val="0"/>
          <w:numId w:val="0"/>
        </w:numPr>
        <w:ind w:firstLine="640" w:firstLineChars="200"/>
        <w:jc w:val="left"/>
        <w:rPr>
          <w:rFonts w:hint="eastAsia"/>
        </w:rPr>
      </w:pPr>
      <w:r>
        <w:rPr>
          <w:rFonts w:hint="eastAsia"/>
        </w:rPr>
        <w:t>八、政府性基金预算支出情况说明</w:t>
      </w:r>
    </w:p>
    <w:p>
      <w:pPr>
        <w:pStyle w:val="16"/>
        <w:numPr>
          <w:ilvl w:val="0"/>
          <w:numId w:val="0"/>
        </w:numPr>
        <w:ind w:firstLine="640" w:firstLineChars="200"/>
        <w:jc w:val="left"/>
        <w:rPr>
          <w:rFonts w:hint="eastAsia"/>
        </w:rPr>
      </w:pPr>
      <w:r>
        <w:rPr>
          <w:rFonts w:hint="eastAsia"/>
        </w:rPr>
        <w:t>九、国有资本经营预算支出情况说明</w:t>
      </w:r>
    </w:p>
    <w:p>
      <w:pPr>
        <w:pStyle w:val="16"/>
        <w:numPr>
          <w:ilvl w:val="0"/>
          <w:numId w:val="0"/>
        </w:numPr>
        <w:ind w:firstLine="640" w:firstLineChars="200"/>
        <w:jc w:val="left"/>
      </w:pPr>
      <w:r>
        <w:rPr>
          <w:rFonts w:hint="eastAsia"/>
        </w:rPr>
        <w:t>十、其他重要事项情况说明</w:t>
      </w:r>
    </w:p>
    <w:p>
      <w:pPr>
        <w:pStyle w:val="16"/>
        <w:ind w:left="0" w:leftChars="0" w:firstLine="320" w:firstLineChars="100"/>
        <w:jc w:val="left"/>
      </w:pPr>
      <w:r>
        <w:t>第三部分</w:t>
      </w:r>
      <w:r>
        <w:rPr>
          <w:rFonts w:hint="eastAsia"/>
          <w:lang w:eastAsia="zh-CN"/>
        </w:rPr>
        <w:t>：</w:t>
      </w:r>
      <w:r>
        <w:rPr>
          <w:u w:color="auto"/>
        </w:rPr>
        <w:t>环江毛南族自治县农业机械化服务中心2024</w:t>
      </w:r>
      <w:r>
        <w:rPr>
          <w:rFonts w:ascii="Times New Roman" w:hAnsi="Times New Roman" w:cs="Times New Roman"/>
          <w:u w:color="auto"/>
        </w:rPr>
        <w:t>年</w:t>
      </w:r>
      <w:r>
        <w:t>部门预算</w:t>
      </w:r>
      <w:r>
        <w:rPr>
          <w:rFonts w:hint="eastAsia"/>
          <w:lang w:val="en-US" w:eastAsia="zh-CN"/>
        </w:rPr>
        <w:t>相关报</w:t>
      </w:r>
      <w:r>
        <w:t>表</w:t>
      </w:r>
    </w:p>
    <w:p>
      <w:pPr>
        <w:pStyle w:val="16"/>
        <w:jc w:val="left"/>
        <w:rPr>
          <w:rFonts w:hint="eastAsia"/>
        </w:rPr>
      </w:pPr>
      <w:r>
        <w:rPr>
          <w:rFonts w:hint="eastAsia"/>
        </w:rPr>
        <w:t>一、部门收支总体情况表</w:t>
      </w:r>
    </w:p>
    <w:p>
      <w:pPr>
        <w:pStyle w:val="16"/>
        <w:jc w:val="left"/>
        <w:rPr>
          <w:rFonts w:hint="eastAsia"/>
        </w:rPr>
      </w:pPr>
      <w:r>
        <w:rPr>
          <w:rFonts w:hint="eastAsia"/>
        </w:rPr>
        <w:t>二、部门收入总体情况表</w:t>
      </w:r>
    </w:p>
    <w:p>
      <w:pPr>
        <w:pStyle w:val="16"/>
        <w:jc w:val="left"/>
        <w:rPr>
          <w:rFonts w:hint="eastAsia"/>
        </w:rPr>
      </w:pPr>
      <w:r>
        <w:rPr>
          <w:rFonts w:hint="eastAsia"/>
        </w:rPr>
        <w:t>三、部门支出总体情况表</w:t>
      </w:r>
    </w:p>
    <w:p>
      <w:pPr>
        <w:pStyle w:val="16"/>
        <w:jc w:val="left"/>
        <w:rPr>
          <w:rFonts w:hint="eastAsia"/>
        </w:rPr>
      </w:pPr>
      <w:r>
        <w:rPr>
          <w:rFonts w:hint="eastAsia"/>
        </w:rPr>
        <w:t>四、财政拨款收支总体情况表</w:t>
      </w:r>
    </w:p>
    <w:p>
      <w:pPr>
        <w:pStyle w:val="16"/>
        <w:jc w:val="left"/>
        <w:rPr>
          <w:rFonts w:hint="eastAsia"/>
        </w:rPr>
      </w:pPr>
      <w:r>
        <w:rPr>
          <w:rFonts w:hint="eastAsia"/>
        </w:rPr>
        <w:t>五、一般公共预算支出情况表</w:t>
      </w:r>
    </w:p>
    <w:p>
      <w:pPr>
        <w:pStyle w:val="16"/>
        <w:jc w:val="left"/>
        <w:rPr>
          <w:rFonts w:hint="eastAsia"/>
        </w:rPr>
      </w:pPr>
      <w:r>
        <w:rPr>
          <w:rFonts w:hint="eastAsia"/>
        </w:rPr>
        <w:t>六、一般公共预算基本支出情况表</w:t>
      </w:r>
    </w:p>
    <w:p>
      <w:pPr>
        <w:pStyle w:val="16"/>
        <w:jc w:val="left"/>
        <w:rPr>
          <w:rFonts w:hint="eastAsia"/>
        </w:rPr>
      </w:pPr>
      <w:r>
        <w:rPr>
          <w:rFonts w:hint="eastAsia"/>
        </w:rPr>
        <w:t>七、一般公开预算“三公”经费支出情况表</w:t>
      </w:r>
    </w:p>
    <w:p>
      <w:pPr>
        <w:pStyle w:val="16"/>
        <w:jc w:val="left"/>
        <w:rPr>
          <w:rFonts w:hint="eastAsia"/>
        </w:rPr>
      </w:pPr>
      <w:r>
        <w:rPr>
          <w:rFonts w:hint="eastAsia"/>
        </w:rPr>
        <w:t>八、政府性基金预算支出情况表</w:t>
      </w:r>
    </w:p>
    <w:p>
      <w:pPr>
        <w:pStyle w:val="16"/>
        <w:jc w:val="left"/>
        <w:rPr>
          <w:rFonts w:hint="eastAsia"/>
        </w:rPr>
      </w:pPr>
      <w:r>
        <w:rPr>
          <w:rFonts w:hint="eastAsia"/>
        </w:rPr>
        <w:t>九、国有资本经营预算支出情况表</w:t>
      </w:r>
    </w:p>
    <w:p>
      <w:pPr>
        <w:pStyle w:val="16"/>
        <w:jc w:val="left"/>
        <w:rPr>
          <w:rFonts w:hint="eastAsia" w:eastAsia="宋体"/>
          <w:lang w:eastAsia="zh-CN"/>
        </w:rPr>
      </w:pPr>
      <w:r>
        <w:rPr>
          <w:rFonts w:hint="eastAsia"/>
        </w:rPr>
        <w:t>十、2024年度预算项目绩效目标公开表</w:t>
      </w:r>
    </w:p>
    <w:p>
      <w:pPr>
        <w:pStyle w:val="16"/>
        <w:ind w:left="0" w:leftChars="0" w:firstLine="320" w:firstLineChars="100"/>
        <w:jc w:val="left"/>
        <w:rPr>
          <w:rFonts w:hint="eastAsia" w:eastAsia="宋体"/>
          <w:lang w:eastAsia="zh-CN"/>
        </w:rPr>
        <w:sectPr>
          <w:footerReference r:id="rId3" w:type="default"/>
          <w:pgSz w:w="11900" w:h="16840"/>
          <w:pgMar w:top="1508" w:right="1674" w:bottom="1508" w:left="1851" w:header="1080" w:footer="3" w:gutter="0"/>
          <w:pgBorders>
            <w:top w:val="none" w:sz="0" w:space="0"/>
            <w:left w:val="none" w:sz="0" w:space="0"/>
            <w:bottom w:val="none" w:sz="0" w:space="0"/>
            <w:right w:val="none" w:sz="0" w:space="0"/>
          </w:pgBorders>
          <w:cols w:space="720" w:num="1"/>
          <w:docGrid w:linePitch="360" w:charSpace="0"/>
        </w:sectPr>
      </w:pPr>
      <w:r>
        <w:t>第四部分</w:t>
      </w:r>
      <w:r>
        <w:rPr>
          <w:rFonts w:hint="eastAsia"/>
          <w:lang w:eastAsia="zh-CN"/>
        </w:rPr>
        <w:t>：</w:t>
      </w:r>
      <w:r>
        <w:t>名词</w:t>
      </w:r>
      <w:r>
        <w:rPr>
          <w:rFonts w:hint="eastAsia"/>
          <w:lang w:val="en-US" w:eastAsia="zh-CN"/>
        </w:rPr>
        <w:t>解释</w:t>
      </w:r>
    </w:p>
    <w:p>
      <w:pPr>
        <w:pStyle w:val="12"/>
        <w:keepNext/>
        <w:keepLines/>
        <w:spacing w:after="560"/>
        <w:jc w:val="both"/>
      </w:pPr>
      <w:bookmarkStart w:id="3" w:name="bookmark14"/>
      <w:bookmarkStart w:id="4" w:name="bookmark12"/>
      <w:bookmarkStart w:id="5" w:name="bookmark13"/>
    </w:p>
    <w:p>
      <w:pPr>
        <w:pStyle w:val="12"/>
        <w:keepNext/>
        <w:keepLines/>
        <w:spacing w:after="560"/>
        <w:jc w:val="center"/>
        <w:rPr>
          <w:b/>
          <w:bCs/>
          <w:sz w:val="40"/>
          <w:szCs w:val="40"/>
        </w:rPr>
      </w:pPr>
      <w:r>
        <w:rPr>
          <w:b/>
          <w:bCs/>
          <w:sz w:val="40"/>
          <w:szCs w:val="40"/>
        </w:rPr>
        <w:t>第一部分</w:t>
      </w:r>
      <w:r>
        <w:rPr>
          <w:rFonts w:hint="eastAsia"/>
          <w:b/>
          <w:bCs/>
          <w:sz w:val="40"/>
          <w:szCs w:val="40"/>
          <w:lang w:eastAsia="zh-CN"/>
        </w:rPr>
        <w:t>：</w:t>
      </w:r>
      <w:r>
        <w:rPr>
          <w:b/>
          <w:sz w:val="40"/>
          <w:u w:color="auto"/>
        </w:rPr>
        <w:t>环江毛南族自治县农业机械化服务中心</w:t>
      </w:r>
      <w:r>
        <w:rPr>
          <w:b/>
          <w:bCs/>
          <w:sz w:val="40"/>
          <w:szCs w:val="40"/>
        </w:rPr>
        <w:t>概况</w:t>
      </w:r>
      <w:bookmarkEnd w:id="3"/>
      <w:bookmarkEnd w:id="4"/>
      <w:bookmarkEnd w:id="5"/>
    </w:p>
    <w:p>
      <w:pPr>
        <w:pStyle w:val="16"/>
        <w:spacing w:after="0" w:line="619" w:lineRule="exact"/>
        <w:ind w:firstLine="620"/>
        <w:jc w:val="left"/>
        <w:rPr>
          <w:b/>
          <w:bCs/>
        </w:rPr>
      </w:pPr>
      <w:r>
        <w:rPr>
          <w:rFonts w:hint="eastAsia"/>
          <w:b/>
          <w:bCs/>
          <w:lang w:val="en-US" w:eastAsia="zh-CN"/>
        </w:rPr>
        <w:t>一、</w:t>
      </w:r>
      <w:r>
        <w:rPr>
          <w:b/>
          <w:bCs/>
        </w:rPr>
        <w:t>主要职责</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环江毛南族自治县农业机械化服务中心是农业农村局的下属机构，主要职责是：</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(1).贯彻执行国家、自治区人民政府有关农业机械管理法律、法规、政策和规定,并对执行情况进行监督、总结汇报。</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(2).拟定并组织实施农业机械化发展区划、发展规划、组织指导农业机械投入农田作业,抢险救灾,农机扶贫开发和社会化服务,指导农业机械服务体系建设。</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(3).负责组织推广适合环江实际的农业机械新机具、新技术和先进的管理方法,宣传和参与并开发适合本县农业和农村发展的各种农业机械科技项目,负责农机购置补贴的审核和发放。</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(4).负责农业机械化事业的统计和资金物资的管理工作。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(5).负责法律、法规规定的其他职责。</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(6).承办自治县人民政府和上级有关部门交办的其他工作任务。</w:t>
      </w:r>
    </w:p>
    <w:p>
      <w:pPr>
        <w:pStyle w:val="16"/>
        <w:tabs>
          <w:tab w:val="left" w:pos="1369"/>
        </w:tabs>
        <w:spacing w:after="0" w:line="623" w:lineRule="exact"/>
        <w:ind w:firstLine="620"/>
        <w:jc w:val="left"/>
        <w:rPr>
          <w:b/>
          <w:bCs/>
        </w:rPr>
      </w:pPr>
      <w:bookmarkStart w:id="6" w:name="bookmark24"/>
      <w:r>
        <w:rPr>
          <w:b/>
          <w:bCs/>
        </w:rPr>
        <w:t>二</w:t>
      </w:r>
      <w:bookmarkEnd w:id="6"/>
      <w:r>
        <w:rPr>
          <w:b/>
          <w:bCs/>
        </w:rPr>
        <w:t>、</w:t>
      </w:r>
      <w:r>
        <w:rPr>
          <w:b/>
          <w:bCs/>
        </w:rPr>
        <w:tab/>
      </w:r>
      <w:r>
        <w:rPr>
          <w:rFonts w:hint="eastAsia"/>
          <w:b/>
          <w:bCs/>
        </w:rPr>
        <w:t>机构设置情况</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我单位由1个参照公务员法管理事业单位（农机服务中心机关），1个财政全额拨款事业单位（农机推广站）组成。</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人员编制总数为28人，其中参公编制7人，全额事业编制21人。实有财政供养人数28人，其中参公7人，事业在职21人，离退休30人（其中离休0人）。无编外在职人员。</w:t>
      </w:r>
    </w:p>
    <w:p>
      <w:pPr>
        <w:pStyle w:val="18"/>
        <w:spacing w:line="623" w:lineRule="exact"/>
        <w:ind w:firstLine="1018" w:firstLineChars="0"/>
        <w:jc w:val="left"/>
        <w:rPr>
          <w:rFonts w:hint="eastAsia"/>
          <w:highlight w:val="none"/>
          <w:lang w:val="en-US" w:eastAsia="zh-CN"/>
        </w:rPr>
      </w:pPr>
    </w:p>
    <w:p>
      <w:pPr>
        <w:pStyle w:val="18"/>
        <w:spacing w:line="623" w:lineRule="exact"/>
        <w:ind w:firstLine="1018" w:firstLineChars="0"/>
        <w:jc w:val="left"/>
        <w:rPr>
          <w:rFonts w:hint="eastAsia"/>
          <w:highlight w:val="none"/>
          <w:lang w:val="en-US" w:eastAsia="zh-CN"/>
        </w:rPr>
      </w:pPr>
    </w:p>
    <w:p>
      <w:r>
        <w:br w:type="page"/>
      </w:r>
    </w:p>
    <w:p>
      <w:pPr>
        <w:pStyle w:val="12"/>
        <w:keepNext/>
        <w:keepLines/>
        <w:spacing w:before="120" w:after="0" w:line="629" w:lineRule="exact"/>
        <w:jc w:val="center"/>
        <w:rPr>
          <w:b/>
          <w:bCs/>
          <w:sz w:val="40"/>
          <w:szCs w:val="40"/>
        </w:rPr>
      </w:pPr>
      <w:bookmarkStart w:id="7" w:name="bookmark68"/>
      <w:bookmarkStart w:id="8" w:name="bookmark69"/>
      <w:bookmarkStart w:id="9" w:name="bookmark70"/>
      <w:bookmarkStart w:id="10" w:name="bookmark28"/>
      <w:bookmarkStart w:id="11" w:name="bookmark27"/>
      <w:bookmarkStart w:id="12" w:name="bookmark26"/>
      <w:r>
        <w:rPr>
          <w:b/>
          <w:bCs/>
          <w:sz w:val="40"/>
          <w:szCs w:val="40"/>
        </w:rPr>
        <w:t>第</w:t>
      </w:r>
      <w:r>
        <w:rPr>
          <w:rFonts w:hint="eastAsia"/>
          <w:b/>
          <w:bCs/>
          <w:sz w:val="40"/>
          <w:szCs w:val="40"/>
          <w:lang w:val="en-US" w:eastAsia="zh-CN"/>
        </w:rPr>
        <w:t>二</w:t>
      </w:r>
      <w:r>
        <w:rPr>
          <w:b/>
          <w:bCs/>
          <w:sz w:val="40"/>
          <w:szCs w:val="40"/>
        </w:rPr>
        <w:t>部分</w:t>
      </w:r>
      <w:r>
        <w:rPr>
          <w:rFonts w:hint="eastAsia"/>
          <w:b/>
          <w:bCs/>
          <w:sz w:val="40"/>
          <w:szCs w:val="40"/>
          <w:lang w:eastAsia="zh-CN"/>
        </w:rPr>
        <w:t>：</w:t>
      </w:r>
      <w:bookmarkEnd w:id="7"/>
      <w:bookmarkEnd w:id="8"/>
      <w:bookmarkEnd w:id="9"/>
      <w:r>
        <w:rPr>
          <w:rFonts w:hint="eastAsia"/>
          <w:b/>
          <w:bCs/>
          <w:sz w:val="40"/>
          <w:szCs w:val="40"/>
          <w:lang w:eastAsia="zh-CN"/>
        </w:rPr>
        <w:t>环江毛南族自治县农业机械化服务中心</w:t>
      </w:r>
      <w:r>
        <w:rPr>
          <w:b/>
          <w:sz w:val="40"/>
          <w:u w:color="auto"/>
        </w:rPr>
        <w:t>2024年部门预算情况说明</w:t>
      </w:r>
    </w:p>
    <w:p>
      <w:pPr>
        <w:pStyle w:val="16"/>
        <w:tabs>
          <w:tab w:val="left" w:pos="1235"/>
        </w:tabs>
        <w:spacing w:after="0" w:line="624" w:lineRule="exact"/>
        <w:ind w:firstLine="580"/>
        <w:jc w:val="left"/>
        <w:rPr>
          <w:b/>
          <w:bCs/>
        </w:rPr>
      </w:pPr>
      <w:bookmarkStart w:id="13" w:name="bookmark71"/>
      <w:r>
        <w:rPr>
          <w:b/>
          <w:bCs/>
        </w:rPr>
        <w:t>一</w:t>
      </w:r>
      <w:bookmarkEnd w:id="13"/>
      <w:r>
        <w:rPr>
          <w:b/>
          <w:bCs/>
        </w:rPr>
        <w:t>、</w:t>
      </w:r>
      <w:r>
        <w:rPr>
          <w:b/>
          <w:bCs/>
        </w:rPr>
        <w:tab/>
      </w:r>
      <w:r>
        <w:rPr>
          <w:b/>
          <w:bCs/>
        </w:rPr>
        <w:t>部门预算收支总体情况说明</w:t>
      </w:r>
    </w:p>
    <w:p>
      <w:pPr>
        <w:pStyle w:val="18"/>
        <w:spacing w:line="623" w:lineRule="exact"/>
        <w:ind w:left="0" w:leftChars="0" w:firstLine="560" w:firstLineChars="200"/>
        <w:jc w:val="left"/>
        <w:rPr>
          <w:rFonts w:ascii="Times New Roman" w:hAnsi="Times New Roman" w:cs="Times New Roman"/>
          <w:b/>
          <w:bCs/>
          <w:sz w:val="28"/>
          <w:szCs w:val="28"/>
          <w:lang w:val="en-US" w:eastAsia="zh-CN"/>
        </w:rPr>
      </w:pPr>
      <w:r>
        <w:rPr>
          <w:rFonts w:hint="eastAsia"/>
          <w:b w:val="0"/>
          <w:bCs w:val="0"/>
          <w:sz w:val="28"/>
          <w:szCs w:val="28"/>
        </w:rPr>
        <w:t>我部门总收入</w:t>
      </w:r>
      <w:r>
        <w:rPr>
          <w:rFonts w:hint="eastAsia"/>
          <w:sz w:val="28"/>
          <w:szCs w:val="28"/>
          <w:lang w:val="en-US" w:eastAsia="zh-CN"/>
        </w:rPr>
        <w:t>538.89</w:t>
      </w:r>
      <w:r>
        <w:rPr>
          <w:rFonts w:hint="eastAsia"/>
          <w:b w:val="0"/>
          <w:bCs w:val="0"/>
          <w:sz w:val="28"/>
          <w:szCs w:val="28"/>
        </w:rPr>
        <w:t>万元，总支出</w:t>
      </w:r>
      <w:r>
        <w:rPr>
          <w:rFonts w:hint="eastAsia"/>
          <w:sz w:val="28"/>
          <w:szCs w:val="28"/>
          <w:lang w:val="en-US" w:eastAsia="zh-CN"/>
        </w:rPr>
        <w:t>538.89</w:t>
      </w:r>
      <w:r>
        <w:rPr>
          <w:rFonts w:hint="eastAsia"/>
          <w:b w:val="0"/>
          <w:bCs w:val="0"/>
          <w:sz w:val="28"/>
          <w:szCs w:val="28"/>
        </w:rPr>
        <w:t>万元。总收入较2023年度预算数</w:t>
      </w:r>
      <w:r>
        <w:rPr>
          <w:rFonts w:hint="eastAsia"/>
          <w:sz w:val="28"/>
          <w:szCs w:val="28"/>
          <w:lang w:val="en-US" w:eastAsia="zh-CN"/>
        </w:rPr>
        <w:t>636.91</w:t>
      </w:r>
      <w:r>
        <w:rPr>
          <w:rFonts w:hint="eastAsia"/>
          <w:b w:val="0"/>
          <w:bCs w:val="0"/>
          <w:sz w:val="28"/>
          <w:szCs w:val="28"/>
        </w:rPr>
        <w:t>万元，</w:t>
      </w:r>
      <w:r>
        <w:rPr>
          <w:rFonts w:hint="eastAsia"/>
          <w:sz w:val="28"/>
          <w:szCs w:val="28"/>
        </w:rPr>
        <w:t>减少98.02</w:t>
      </w:r>
      <w:r>
        <w:rPr>
          <w:rFonts w:hint="eastAsia"/>
          <w:b w:val="0"/>
          <w:bCs w:val="0"/>
          <w:sz w:val="28"/>
          <w:szCs w:val="28"/>
        </w:rPr>
        <w:t>万元，</w:t>
      </w:r>
      <w:r>
        <w:rPr>
          <w:rFonts w:hint="eastAsia"/>
          <w:sz w:val="28"/>
          <w:szCs w:val="28"/>
        </w:rPr>
        <w:t>下降15.39%</w:t>
      </w:r>
      <w:r>
        <w:rPr>
          <w:rFonts w:hint="eastAsia"/>
          <w:b w:val="0"/>
          <w:bCs w:val="0"/>
          <w:sz w:val="28"/>
          <w:szCs w:val="28"/>
        </w:rPr>
        <w:t>，主要原因是</w:t>
      </w:r>
      <w:r>
        <w:rPr>
          <w:rFonts w:hint="eastAsia"/>
          <w:highlight w:val="none"/>
          <w:lang w:val="en-US" w:eastAsia="zh-CN"/>
        </w:rPr>
        <w:t>2024年比2023年的上年结转结余数少</w:t>
      </w:r>
      <w:r>
        <w:rPr>
          <w:rFonts w:hint="eastAsia"/>
          <w:b w:val="0"/>
          <w:bCs w:val="0"/>
          <w:sz w:val="28"/>
          <w:szCs w:val="28"/>
        </w:rPr>
        <w:t>。总支出较2023年度预算数</w:t>
      </w:r>
      <w:r>
        <w:rPr>
          <w:rFonts w:hint="eastAsia"/>
          <w:sz w:val="28"/>
          <w:szCs w:val="28"/>
          <w:lang w:val="en-US" w:eastAsia="zh-CN"/>
        </w:rPr>
        <w:t>636.91</w:t>
      </w:r>
      <w:r>
        <w:rPr>
          <w:rFonts w:hint="eastAsia"/>
          <w:b w:val="0"/>
          <w:bCs w:val="0"/>
          <w:sz w:val="28"/>
          <w:szCs w:val="28"/>
        </w:rPr>
        <w:t>万元，</w:t>
      </w:r>
      <w:r>
        <w:rPr>
          <w:rFonts w:hint="eastAsia"/>
          <w:sz w:val="28"/>
          <w:szCs w:val="28"/>
        </w:rPr>
        <w:t>减少98.02</w:t>
      </w:r>
      <w:r>
        <w:rPr>
          <w:rFonts w:hint="eastAsia"/>
          <w:b w:val="0"/>
          <w:bCs w:val="0"/>
          <w:sz w:val="28"/>
          <w:szCs w:val="28"/>
        </w:rPr>
        <w:t>万元，</w:t>
      </w:r>
      <w:r>
        <w:rPr>
          <w:rFonts w:hint="eastAsia"/>
          <w:sz w:val="28"/>
          <w:szCs w:val="28"/>
        </w:rPr>
        <w:t>下降15.39%</w:t>
      </w:r>
      <w:r>
        <w:rPr>
          <w:rFonts w:hint="eastAsia"/>
          <w:b w:val="0"/>
          <w:bCs w:val="0"/>
          <w:sz w:val="28"/>
          <w:szCs w:val="28"/>
        </w:rPr>
        <w:t>，主要原因是</w:t>
      </w:r>
      <w:r>
        <w:rPr>
          <w:rFonts w:hint="eastAsia"/>
          <w:highlight w:val="none"/>
          <w:lang w:val="en-US" w:eastAsia="zh-CN"/>
        </w:rPr>
        <w:t>2024年比2023年的上年结转结余数少</w:t>
      </w:r>
      <w:r>
        <w:rPr>
          <w:rFonts w:hint="eastAsia"/>
          <w:b w:val="0"/>
          <w:bCs w:val="0"/>
          <w:sz w:val="28"/>
          <w:szCs w:val="28"/>
        </w:rPr>
        <w:t>。</w:t>
      </w:r>
    </w:p>
    <w:p>
      <w:pPr>
        <w:pStyle w:val="16"/>
        <w:tabs>
          <w:tab w:val="left" w:pos="1235"/>
        </w:tabs>
        <w:spacing w:after="0" w:line="624" w:lineRule="exact"/>
        <w:ind w:firstLine="580"/>
        <w:jc w:val="left"/>
        <w:rPr>
          <w:b/>
          <w:bCs/>
          <w:lang w:val="en-US" w:eastAsia="zh-CN"/>
        </w:rPr>
      </w:pPr>
      <w:r>
        <w:rPr>
          <w:rFonts w:hint="eastAsia"/>
          <w:b/>
          <w:bCs/>
          <w:lang w:val="en-US" w:eastAsia="zh-CN"/>
        </w:rPr>
        <w:t>二、</w:t>
      </w:r>
      <w:r>
        <w:rPr>
          <w:b/>
          <w:bCs/>
        </w:rPr>
        <w:t>部门收入总体情况说明</w:t>
      </w:r>
    </w:p>
    <w:p>
      <w:pPr>
        <w:pStyle w:val="18"/>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770"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u w:color="auto"/>
          <w:lang w:eastAsia="zh-CN"/>
        </w:rPr>
        <w:t>2024</w:t>
      </w:r>
      <w:r>
        <w:rPr>
          <w:rFonts w:hint="eastAsia" w:ascii="宋体" w:hAnsi="宋体" w:eastAsia="宋体" w:cs="宋体"/>
          <w:sz w:val="28"/>
          <w:szCs w:val="28"/>
          <w:u w:color="auto"/>
        </w:rPr>
        <w:t>年我部门总收入</w:t>
      </w:r>
      <w:r>
        <w:rPr>
          <w:rFonts w:hint="eastAsia" w:ascii="宋体" w:hAnsi="宋体" w:eastAsia="宋体" w:cs="宋体"/>
          <w:sz w:val="28"/>
          <w:szCs w:val="28"/>
          <w:lang w:val="en-US" w:eastAsia="zh-CN"/>
        </w:rPr>
        <w:t>538.89</w:t>
      </w:r>
      <w:r>
        <w:rPr>
          <w:rFonts w:hint="eastAsia" w:ascii="宋体" w:hAnsi="宋体" w:eastAsia="宋体" w:cs="宋体"/>
          <w:sz w:val="28"/>
          <w:szCs w:val="28"/>
          <w:u w:color="auto"/>
        </w:rPr>
        <w:t>万元，较2023年度预算数</w:t>
      </w:r>
      <w:r>
        <w:rPr>
          <w:rFonts w:hint="eastAsia" w:ascii="宋体" w:hAnsi="宋体" w:eastAsia="宋体" w:cs="宋体"/>
          <w:sz w:val="28"/>
          <w:szCs w:val="28"/>
          <w:lang w:val="en-US" w:eastAsia="zh-CN"/>
        </w:rPr>
        <w:t>636.91</w:t>
      </w:r>
      <w:r>
        <w:rPr>
          <w:rFonts w:hint="eastAsia" w:ascii="宋体" w:hAnsi="宋体" w:eastAsia="宋体" w:cs="宋体"/>
          <w:sz w:val="28"/>
          <w:szCs w:val="28"/>
          <w:u w:color="auto"/>
        </w:rPr>
        <w:t>万元，</w:t>
      </w:r>
      <w:r>
        <w:rPr>
          <w:rFonts w:hint="eastAsia" w:ascii="宋体" w:hAnsi="宋体" w:eastAsia="宋体" w:cs="宋体"/>
          <w:sz w:val="28"/>
          <w:szCs w:val="28"/>
        </w:rPr>
        <w:t>减少98.02</w:t>
      </w:r>
      <w:r>
        <w:rPr>
          <w:rFonts w:hint="eastAsia" w:ascii="宋体" w:hAnsi="宋体" w:eastAsia="宋体" w:cs="宋体"/>
          <w:sz w:val="28"/>
          <w:szCs w:val="28"/>
          <w:u w:color="auto"/>
        </w:rPr>
        <w:t>万元，</w:t>
      </w:r>
      <w:r>
        <w:rPr>
          <w:rFonts w:hint="eastAsia" w:ascii="宋体" w:hAnsi="宋体" w:eastAsia="宋体" w:cs="宋体"/>
          <w:sz w:val="28"/>
          <w:szCs w:val="28"/>
        </w:rPr>
        <w:t>下降15.39%</w:t>
      </w:r>
      <w:r>
        <w:rPr>
          <w:rFonts w:hint="eastAsia" w:ascii="宋体" w:hAnsi="宋体" w:eastAsia="宋体" w:cs="宋体"/>
          <w:sz w:val="28"/>
          <w:szCs w:val="28"/>
          <w:u w:color="auto"/>
        </w:rPr>
        <w:t>，主要原因是</w:t>
      </w:r>
      <w:r>
        <w:rPr>
          <w:rFonts w:hint="eastAsia"/>
          <w:highlight w:val="none"/>
          <w:lang w:val="en-US" w:eastAsia="zh-CN"/>
        </w:rPr>
        <w:t>2024年比2023年的上年结转结余数少</w:t>
      </w:r>
      <w:r>
        <w:rPr>
          <w:rFonts w:hint="eastAsia" w:ascii="宋体" w:hAnsi="宋体" w:eastAsia="宋体" w:cs="宋体"/>
          <w:sz w:val="28"/>
          <w:szCs w:val="28"/>
          <w:u w:color="auto"/>
        </w:rPr>
        <w:t>。</w:t>
      </w:r>
    </w:p>
    <w:p>
      <w:pPr>
        <w:pStyle w:val="16"/>
        <w:tabs>
          <w:tab w:val="left" w:pos="1235"/>
        </w:tabs>
        <w:spacing w:after="0" w:line="624" w:lineRule="exact"/>
        <w:ind w:firstLine="580"/>
        <w:jc w:val="left"/>
        <w:rPr>
          <w:b/>
          <w:bCs/>
        </w:rPr>
      </w:pPr>
      <w:r>
        <w:rPr>
          <w:rFonts w:hint="eastAsia"/>
          <w:b/>
          <w:bCs/>
          <w:lang w:val="en-US" w:eastAsia="zh-CN"/>
        </w:rPr>
        <w:t>三、</w:t>
      </w:r>
      <w:r>
        <w:rPr>
          <w:b/>
          <w:bCs/>
        </w:rPr>
        <w:t>部门支出总体情况说明</w:t>
      </w:r>
    </w:p>
    <w:p>
      <w:pPr>
        <w:pStyle w:val="18"/>
        <w:spacing w:line="240" w:lineRule="auto"/>
        <w:ind w:firstLine="0"/>
        <w:jc w:val="left"/>
        <w:rPr>
          <w:rFonts w:ascii="Times New Roman" w:hAnsi="Times New Roman" w:eastAsia="Times New Roman" w:cs="Times New Roman"/>
          <w:sz w:val="30"/>
          <w:szCs w:val="30"/>
        </w:rPr>
      </w:pPr>
      <w:r>
        <w:rPr>
          <w:rFonts w:ascii="Times New Roman" w:hAnsi="Times New Roman" w:eastAsia="Times New Roman" w:cs="Times New Roman"/>
          <w:sz w:val="30"/>
          <w:szCs w:val="30"/>
        </w:rPr>
        <w:drawing>
          <wp:inline distT="0" distB="0" distL="114300" distR="114300">
            <wp:extent cx="5080000" cy="3810000"/>
            <wp:effectExtent l="4445" t="4445" r="20955" b="14605"/>
            <wp:docPr id="771"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18"/>
        <w:spacing w:line="623" w:lineRule="exact"/>
        <w:ind w:left="0" w:leftChars="0" w:firstLine="560" w:firstLineChars="200"/>
        <w:jc w:val="left"/>
        <w:rPr>
          <w:rFonts w:hint="eastAsia" w:ascii="Times New Roman" w:hAnsi="Times New Roman" w:cs="Times New Roman"/>
          <w:sz w:val="30"/>
          <w:szCs w:val="30"/>
          <w:lang w:eastAsia="zh-CN"/>
        </w:rPr>
      </w:pPr>
      <w:r>
        <w:rPr>
          <w:rFonts w:hint="eastAsia" w:ascii="宋体" w:hAnsi="宋体" w:eastAsia="宋体" w:cs="宋体"/>
          <w:sz w:val="28"/>
          <w:szCs w:val="28"/>
          <w:lang w:eastAsia="zh-CN"/>
        </w:rPr>
        <w:t>2024</w:t>
      </w:r>
      <w:r>
        <w:rPr>
          <w:rFonts w:ascii="宋体" w:hAnsi="宋体" w:eastAsia="宋体" w:cs="宋体"/>
          <w:sz w:val="28"/>
          <w:u w:color="auto"/>
        </w:rPr>
        <w:t>年我部门总支出</w:t>
      </w:r>
      <w:r>
        <w:rPr>
          <w:rFonts w:hint="eastAsia" w:ascii="宋体" w:hAnsi="宋体" w:eastAsia="宋体" w:cs="宋体"/>
          <w:sz w:val="28"/>
          <w:szCs w:val="28"/>
          <w:lang w:val="en-US" w:eastAsia="zh-CN"/>
        </w:rPr>
        <w:t>538.89</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636.91</w:t>
      </w:r>
      <w:r>
        <w:rPr>
          <w:rFonts w:hint="eastAsia" w:ascii="宋体" w:hAnsi="宋体" w:eastAsia="宋体" w:cs="宋体"/>
          <w:sz w:val="28"/>
          <w:szCs w:val="28"/>
          <w:lang w:eastAsia="zh-CN"/>
        </w:rPr>
        <w:t>万元，</w:t>
      </w:r>
      <w:r>
        <w:rPr>
          <w:rFonts w:hint="eastAsia" w:ascii="宋体" w:hAnsi="宋体" w:eastAsia="宋体" w:cs="宋体"/>
          <w:sz w:val="28"/>
          <w:szCs w:val="28"/>
        </w:rPr>
        <w:t>减少98.02</w:t>
      </w:r>
      <w:r>
        <w:rPr>
          <w:rFonts w:hint="eastAsia" w:ascii="宋体" w:hAnsi="宋体" w:eastAsia="宋体" w:cs="宋体"/>
          <w:sz w:val="28"/>
          <w:szCs w:val="28"/>
          <w:lang w:eastAsia="zh-CN"/>
        </w:rPr>
        <w:t>万元，</w:t>
      </w:r>
      <w:r>
        <w:rPr>
          <w:rFonts w:hint="eastAsia" w:ascii="宋体" w:hAnsi="宋体" w:eastAsia="宋体" w:cs="宋体"/>
          <w:sz w:val="28"/>
          <w:szCs w:val="28"/>
        </w:rPr>
        <w:t>下降15.39%</w:t>
      </w:r>
      <w:r>
        <w:rPr>
          <w:rFonts w:hint="eastAsia" w:ascii="宋体" w:hAnsi="宋体" w:eastAsia="宋体" w:cs="宋体"/>
          <w:sz w:val="28"/>
          <w:szCs w:val="28"/>
          <w:lang w:eastAsia="zh-CN"/>
        </w:rPr>
        <w:t>，主要原因是</w:t>
      </w:r>
      <w:r>
        <w:rPr>
          <w:rFonts w:hint="eastAsia"/>
          <w:highlight w:val="none"/>
          <w:lang w:val="en-US" w:eastAsia="zh-CN"/>
        </w:rPr>
        <w:t>2024年比2023年的上年结转结余数少</w:t>
      </w:r>
      <w:r>
        <w:rPr>
          <w:rFonts w:hint="eastAsia" w:ascii="Times New Roman" w:hAnsi="Times New Roman" w:cs="Times New Roman"/>
          <w:sz w:val="30"/>
          <w:szCs w:val="30"/>
          <w:lang w:eastAsia="zh-CN"/>
        </w:rPr>
        <w:t>。主要包括：</w:t>
      </w:r>
      <w:r>
        <w:rPr>
          <w:rFonts w:hint="eastAsia"/>
          <w:highlight w:val="none"/>
          <w:lang w:val="en-US" w:eastAsia="zh-CN"/>
        </w:rPr>
        <w:t>上年结转结余89.11万元</w:t>
      </w:r>
      <w:r>
        <w:rPr>
          <w:rFonts w:hint="eastAsia" w:ascii="Times New Roman" w:hAnsi="Times New Roman" w:cs="Times New Roman"/>
          <w:sz w:val="30"/>
          <w:szCs w:val="30"/>
          <w:lang w:eastAsia="zh-CN"/>
        </w:rPr>
        <w:t>。</w:t>
      </w:r>
    </w:p>
    <w:p>
      <w:pPr>
        <w:pStyle w:val="18"/>
        <w:spacing w:after="140" w:line="240" w:lineRule="auto"/>
        <w:ind w:firstLine="0"/>
        <w:jc w:val="left"/>
      </w:pPr>
      <w:r>
        <w:t>（一）按支出功能分类科目划分，共分为</w:t>
      </w:r>
      <w:r>
        <w:rPr>
          <w:rFonts w:hint="eastAsia"/>
          <w:lang w:val="en-US" w:eastAsia="zh-CN"/>
        </w:rPr>
        <w:t>4</w:t>
      </w:r>
      <w:r>
        <w:t>类，其中:</w:t>
      </w:r>
    </w:p>
    <w:p>
      <w:pPr>
        <w:pStyle w:val="18"/>
        <w:spacing w:line="623" w:lineRule="exact"/>
        <w:ind w:left="0" w:leftChars="0" w:firstLine="560" w:firstLineChars="200"/>
        <w:jc w:val="left"/>
        <w:rPr>
          <w:rFonts w:hint="eastAsia"/>
        </w:rPr>
      </w:pPr>
      <w:r>
        <w:rPr>
          <w:rFonts w:hint="eastAsia"/>
        </w:rPr>
        <w:t>(</w:t>
      </w:r>
      <w:r>
        <w:rPr>
          <w:u w:color="auto"/>
        </w:rPr>
        <w:t>1)农林水支出</w:t>
      </w:r>
      <w:r>
        <w:rPr>
          <w:rFonts w:hint="eastAsia"/>
          <w:lang w:val="en-US" w:eastAsia="zh-CN"/>
        </w:rPr>
        <w:t>449.70</w:t>
      </w:r>
      <w:r>
        <w:rPr>
          <w:rFonts w:hint="eastAsia"/>
        </w:rPr>
        <w:t>万元，占支出总预算</w:t>
      </w:r>
      <w:r>
        <w:rPr>
          <w:rFonts w:hint="eastAsia"/>
          <w:lang w:val="en-US" w:eastAsia="zh-CN"/>
        </w:rPr>
        <w:t>83.45%</w:t>
      </w:r>
      <w:r>
        <w:rPr>
          <w:rFonts w:hint="eastAsia"/>
        </w:rPr>
        <w:t>,比上年</w:t>
      </w:r>
      <w:r>
        <w:rPr>
          <w:rFonts w:hint="eastAsia"/>
          <w:lang w:val="en-US" w:eastAsia="zh-CN"/>
        </w:rPr>
        <w:t>减少97.14</w:t>
      </w:r>
      <w:r>
        <w:rPr>
          <w:rFonts w:hint="eastAsia"/>
        </w:rPr>
        <w:t>万元，</w:t>
      </w:r>
      <w:r>
        <w:rPr>
          <w:rFonts w:hint="eastAsia"/>
          <w:lang w:val="en-US" w:eastAsia="zh-CN"/>
        </w:rPr>
        <w:t>减少17.76%</w:t>
      </w:r>
      <w:r>
        <w:rPr>
          <w:rFonts w:hint="eastAsia"/>
        </w:rPr>
        <w:t>,</w:t>
      </w:r>
      <w:r>
        <w:rPr>
          <w:rFonts w:hint="eastAsia"/>
          <w:highlight w:val="none"/>
        </w:rPr>
        <w:t>主要原因是：</w:t>
      </w:r>
      <w:r>
        <w:rPr>
          <w:rFonts w:hint="eastAsia"/>
          <w:highlight w:val="none"/>
          <w:lang w:val="en-US" w:eastAsia="zh-CN"/>
        </w:rPr>
        <w:t>2024年比2023年的上年结转结余数少</w:t>
      </w:r>
      <w:r>
        <w:rPr>
          <w:rFonts w:hint="eastAsia"/>
          <w:highlight w:val="none"/>
        </w:rPr>
        <w:t>。</w:t>
      </w:r>
    </w:p>
    <w:p>
      <w:pPr>
        <w:pStyle w:val="18"/>
        <w:spacing w:line="623" w:lineRule="exact"/>
        <w:ind w:left="0" w:leftChars="0" w:firstLine="560" w:firstLineChars="200"/>
        <w:jc w:val="left"/>
        <w:rPr>
          <w:rFonts w:hint="eastAsia"/>
        </w:rPr>
      </w:pPr>
      <w:r>
        <w:rPr>
          <w:rFonts w:hint="eastAsia"/>
        </w:rPr>
        <w:t>(</w:t>
      </w:r>
      <w:r>
        <w:rPr>
          <w:u w:color="auto"/>
        </w:rPr>
        <w:t>2)一般公共服务支出</w:t>
      </w:r>
      <w:r>
        <w:rPr>
          <w:rFonts w:hint="eastAsia"/>
          <w:lang w:val="en-US" w:eastAsia="zh-CN"/>
        </w:rPr>
        <w:t>4.03</w:t>
      </w:r>
      <w:r>
        <w:rPr>
          <w:rFonts w:hint="eastAsia"/>
        </w:rPr>
        <w:t>万元，占支出总预算</w:t>
      </w:r>
      <w:r>
        <w:rPr>
          <w:rFonts w:hint="eastAsia"/>
          <w:lang w:val="en-US" w:eastAsia="zh-CN"/>
        </w:rPr>
        <w:t>0.75%</w:t>
      </w:r>
      <w:r>
        <w:rPr>
          <w:rFonts w:hint="eastAsia"/>
        </w:rPr>
        <w:t>,比上年</w:t>
      </w:r>
      <w:r>
        <w:rPr>
          <w:rFonts w:hint="eastAsia"/>
          <w:lang w:val="en-US" w:eastAsia="zh-CN"/>
        </w:rPr>
        <w:t>减少1.97</w:t>
      </w:r>
      <w:r>
        <w:rPr>
          <w:rFonts w:hint="eastAsia"/>
        </w:rPr>
        <w:t>万元，</w:t>
      </w:r>
      <w:r>
        <w:rPr>
          <w:rFonts w:hint="eastAsia"/>
          <w:lang w:val="en-US" w:eastAsia="zh-CN"/>
        </w:rPr>
        <w:t>减少32.83%</w:t>
      </w:r>
      <w:r>
        <w:rPr>
          <w:rFonts w:hint="eastAsia"/>
        </w:rPr>
        <w:t>,</w:t>
      </w:r>
      <w:r>
        <w:rPr>
          <w:rFonts w:hint="eastAsia"/>
          <w:highlight w:val="none"/>
        </w:rPr>
        <w:t>主要原因是：</w:t>
      </w:r>
      <w:r>
        <w:rPr>
          <w:rFonts w:hint="eastAsia"/>
          <w:highlight w:val="none"/>
          <w:lang w:val="en-US" w:eastAsia="zh-CN"/>
        </w:rPr>
        <w:t>上级部门控制、压缩经费</w:t>
      </w:r>
      <w:r>
        <w:rPr>
          <w:rFonts w:hint="eastAsia"/>
          <w:highlight w:val="none"/>
        </w:rPr>
        <w:t>。</w:t>
      </w:r>
    </w:p>
    <w:p>
      <w:pPr>
        <w:pStyle w:val="18"/>
        <w:spacing w:line="623" w:lineRule="exact"/>
        <w:ind w:left="0" w:leftChars="0" w:firstLine="560" w:firstLineChars="200"/>
        <w:jc w:val="left"/>
        <w:rPr>
          <w:rFonts w:hint="eastAsia"/>
        </w:rPr>
      </w:pPr>
      <w:r>
        <w:rPr>
          <w:rFonts w:hint="eastAsia"/>
        </w:rPr>
        <w:t>(</w:t>
      </w:r>
      <w:r>
        <w:rPr>
          <w:u w:color="auto"/>
        </w:rPr>
        <w:t>3)住房保障支出</w:t>
      </w:r>
      <w:r>
        <w:rPr>
          <w:rFonts w:hint="eastAsia"/>
          <w:lang w:val="en-US" w:eastAsia="zh-CN"/>
        </w:rPr>
        <w:t>39.25</w:t>
      </w:r>
      <w:r>
        <w:rPr>
          <w:rFonts w:hint="eastAsia"/>
        </w:rPr>
        <w:t>万元，占支出总预算</w:t>
      </w:r>
      <w:r>
        <w:rPr>
          <w:rFonts w:hint="eastAsia"/>
          <w:lang w:val="en-US" w:eastAsia="zh-CN"/>
        </w:rPr>
        <w:t>7.28%</w:t>
      </w:r>
      <w:r>
        <w:rPr>
          <w:rFonts w:hint="eastAsia"/>
        </w:rPr>
        <w:t>,比上年</w:t>
      </w:r>
      <w:r>
        <w:rPr>
          <w:rFonts w:hint="eastAsia"/>
          <w:lang w:val="en-US" w:eastAsia="zh-CN"/>
        </w:rPr>
        <w:t>增长3.22</w:t>
      </w:r>
      <w:r>
        <w:rPr>
          <w:rFonts w:hint="eastAsia"/>
        </w:rPr>
        <w:t>万元，</w:t>
      </w:r>
      <w:r>
        <w:rPr>
          <w:rFonts w:hint="eastAsia"/>
          <w:lang w:val="en-US" w:eastAsia="zh-CN"/>
        </w:rPr>
        <w:t>增长8.94%</w:t>
      </w:r>
      <w:r>
        <w:rPr>
          <w:rFonts w:hint="eastAsia"/>
        </w:rPr>
        <w:t>,</w:t>
      </w:r>
      <w:r>
        <w:rPr>
          <w:rFonts w:hint="eastAsia"/>
          <w:highlight w:val="none"/>
        </w:rPr>
        <w:t>主要原因是：</w:t>
      </w:r>
      <w:r>
        <w:rPr>
          <w:rFonts w:hint="eastAsia"/>
          <w:highlight w:val="none"/>
          <w:lang w:val="en-US" w:eastAsia="zh-CN"/>
        </w:rPr>
        <w:t>每年调整的薪资收入增加，故申报基数增加，费用跟着增长</w:t>
      </w:r>
      <w:r>
        <w:rPr>
          <w:rFonts w:hint="eastAsia"/>
          <w:highlight w:val="none"/>
        </w:rPr>
        <w:t>。</w:t>
      </w:r>
    </w:p>
    <w:p>
      <w:pPr>
        <w:pStyle w:val="18"/>
        <w:spacing w:line="623" w:lineRule="exact"/>
        <w:ind w:left="0" w:leftChars="0" w:firstLine="560" w:firstLineChars="200"/>
        <w:jc w:val="left"/>
        <w:rPr>
          <w:rFonts w:hint="eastAsia"/>
        </w:rPr>
      </w:pPr>
      <w:r>
        <w:rPr>
          <w:rFonts w:hint="eastAsia"/>
        </w:rPr>
        <w:t>(</w:t>
      </w:r>
      <w:r>
        <w:rPr>
          <w:u w:color="auto"/>
        </w:rPr>
        <w:t>4)社会保障和就业支出</w:t>
      </w:r>
      <w:r>
        <w:rPr>
          <w:rFonts w:hint="eastAsia"/>
          <w:lang w:val="en-US" w:eastAsia="zh-CN"/>
        </w:rPr>
        <w:t>45.90</w:t>
      </w:r>
      <w:r>
        <w:rPr>
          <w:rFonts w:hint="eastAsia"/>
        </w:rPr>
        <w:t>万元，占支出总预算</w:t>
      </w:r>
      <w:r>
        <w:rPr>
          <w:rFonts w:hint="eastAsia"/>
          <w:lang w:val="en-US" w:eastAsia="zh-CN"/>
        </w:rPr>
        <w:t>8.52%</w:t>
      </w:r>
      <w:r>
        <w:rPr>
          <w:rFonts w:hint="eastAsia"/>
        </w:rPr>
        <w:t>,比上年</w:t>
      </w:r>
      <w:r>
        <w:rPr>
          <w:rFonts w:hint="eastAsia"/>
          <w:lang w:val="en-US" w:eastAsia="zh-CN"/>
        </w:rPr>
        <w:t>减少2.14</w:t>
      </w:r>
      <w:r>
        <w:rPr>
          <w:rFonts w:hint="eastAsia"/>
        </w:rPr>
        <w:t>万元，</w:t>
      </w:r>
      <w:r>
        <w:rPr>
          <w:rFonts w:hint="eastAsia"/>
          <w:lang w:val="en-US" w:eastAsia="zh-CN"/>
        </w:rPr>
        <w:t>减少4.45%</w:t>
      </w:r>
      <w:r>
        <w:rPr>
          <w:rFonts w:hint="eastAsia"/>
        </w:rPr>
        <w:t>,</w:t>
      </w:r>
      <w:r>
        <w:rPr>
          <w:rFonts w:hint="eastAsia"/>
          <w:highlight w:val="none"/>
        </w:rPr>
        <w:t>主要原因是：</w:t>
      </w:r>
      <w:r>
        <w:rPr>
          <w:rFonts w:hint="eastAsia"/>
          <w:highlight w:val="none"/>
          <w:lang w:val="en-US" w:eastAsia="zh-CN"/>
        </w:rPr>
        <w:t>2024年预算的控制数下调，职工所发放的奖金不准纳入养老保险基数中，故减少</w:t>
      </w:r>
      <w:r>
        <w:rPr>
          <w:rFonts w:hint="eastAsia"/>
          <w:highlight w:val="none"/>
        </w:rPr>
        <w:t>。</w:t>
      </w:r>
    </w:p>
    <w:p>
      <w:pPr>
        <w:pStyle w:val="18"/>
        <w:spacing w:line="635" w:lineRule="exact"/>
        <w:ind w:firstLine="740"/>
        <w:jc w:val="left"/>
      </w:pPr>
      <w:r>
        <w:t>(二)按支出结构分类划分，分为基本支出预算和项目支出预算。</w:t>
      </w:r>
    </w:p>
    <w:p>
      <w:pPr>
        <w:pStyle w:val="18"/>
        <w:spacing w:line="635" w:lineRule="exact"/>
        <w:ind w:firstLine="600"/>
        <w:jc w:val="left"/>
      </w:pPr>
      <w:r>
        <w:rPr>
          <w:rFonts w:ascii="Times New Roman" w:hAnsi="Times New Roman" w:eastAsia="Times New Roman" w:cs="Times New Roman"/>
          <w:sz w:val="30"/>
          <w:szCs w:val="30"/>
        </w:rPr>
        <w:t>1</w:t>
      </w:r>
      <w:r>
        <w:t>.基本支出预算。</w:t>
      </w:r>
    </w:p>
    <w:p>
      <w:pPr>
        <w:pStyle w:val="18"/>
        <w:spacing w:line="619" w:lineRule="exact"/>
        <w:ind w:firstLine="600"/>
        <w:jc w:val="left"/>
        <w:rPr>
          <w:rFonts w:hint="eastAsia"/>
          <w:lang w:val="en-US" w:eastAsia="zh-CN"/>
        </w:rPr>
      </w:pPr>
      <w:r>
        <w:rPr>
          <w:rFonts w:hint="eastAsia"/>
        </w:rPr>
        <w:t>基本支出预算</w:t>
      </w:r>
      <w:r>
        <w:rPr>
          <w:rFonts w:hint="eastAsia"/>
          <w:lang w:val="en-US" w:eastAsia="zh-CN"/>
        </w:rPr>
        <w:t>439.51</w:t>
      </w:r>
      <w:r>
        <w:rPr>
          <w:rFonts w:hint="eastAsia"/>
        </w:rPr>
        <w:t>万元，占支出预算</w:t>
      </w:r>
      <w:r>
        <w:rPr>
          <w:u w:color="auto"/>
        </w:rPr>
        <w:t>81.56%,比上年增长33.66万元，增长8.29%</w:t>
      </w:r>
      <w:r>
        <w:t>。</w:t>
      </w:r>
      <w:r>
        <w:rPr>
          <w:rFonts w:hint="eastAsia"/>
          <w:lang w:val="en-US" w:eastAsia="zh-CN"/>
        </w:rPr>
        <w:t>其中：</w:t>
      </w:r>
    </w:p>
    <w:p>
      <w:pPr>
        <w:pStyle w:val="30"/>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1)工资福利支出</w:t>
      </w:r>
      <w:r>
        <w:rPr>
          <w:rFonts w:hint="eastAsia" w:ascii="宋体" w:hAnsi="宋体" w:eastAsia="宋体" w:cs="宋体"/>
          <w:sz w:val="28"/>
          <w:szCs w:val="28"/>
          <w:lang w:val="en-US" w:eastAsia="zh-CN"/>
        </w:rPr>
        <w:t>379.68</w:t>
      </w:r>
      <w:r>
        <w:rPr>
          <w:rFonts w:hint="eastAsia" w:ascii="宋体" w:hAnsi="宋体" w:eastAsia="宋体" w:cs="宋体"/>
          <w:sz w:val="28"/>
          <w:szCs w:val="28"/>
        </w:rPr>
        <w:t>万</w:t>
      </w:r>
      <w:r>
        <w:rPr>
          <w:rFonts w:ascii="宋体" w:hAnsi="宋体" w:eastAsia="宋体" w:cs="宋体"/>
          <w:sz w:val="28"/>
          <w:szCs w:val="28"/>
        </w:rPr>
        <w:t>元，占基本支出总预算</w:t>
      </w:r>
      <w:r>
        <w:rPr>
          <w:rFonts w:hint="eastAsia" w:ascii="宋体" w:hAnsi="宋体" w:eastAsia="宋体" w:cs="宋体"/>
          <w:sz w:val="28"/>
          <w:szCs w:val="28"/>
          <w:lang w:val="en-US" w:eastAsia="zh-CN"/>
        </w:rPr>
        <w:t>86.39%</w:t>
      </w:r>
      <w:r>
        <w:rPr>
          <w:rFonts w:hint="eastAsia"/>
        </w:rPr>
        <w:t>,</w:t>
      </w:r>
      <w:r>
        <w:t>比上年</w:t>
      </w:r>
      <w:r>
        <w:rPr>
          <w:rFonts w:hint="eastAsia"/>
        </w:rPr>
        <w:t>增长24.56</w:t>
      </w:r>
      <w:r>
        <w:t>万元，</w:t>
      </w:r>
      <w:r>
        <w:rPr>
          <w:rFonts w:hint="eastAsia"/>
        </w:rPr>
        <w:t>增长6.92%</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把行政参公人员的基础绩效奖,事业编人员的基础性绩效工资增量纳入到2024年预算中</w:t>
      </w:r>
      <w:r>
        <w:rPr>
          <w:rFonts w:hint="eastAsia"/>
          <w:highlight w:val="none"/>
          <w:lang w:val="en-US" w:eastAsia="zh-CN"/>
        </w:rPr>
        <w:t>。</w:t>
      </w:r>
    </w:p>
    <w:p>
      <w:pPr>
        <w:pStyle w:val="30"/>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2)商品和服务支出</w:t>
      </w:r>
      <w:r>
        <w:rPr>
          <w:rFonts w:hint="eastAsia" w:ascii="宋体" w:hAnsi="宋体" w:eastAsia="宋体" w:cs="宋体"/>
          <w:sz w:val="28"/>
          <w:szCs w:val="28"/>
          <w:lang w:val="en-US" w:eastAsia="zh-CN"/>
        </w:rPr>
        <w:t>25.22</w:t>
      </w:r>
      <w:r>
        <w:rPr>
          <w:rFonts w:hint="eastAsia" w:ascii="宋体" w:hAnsi="宋体" w:eastAsia="宋体" w:cs="宋体"/>
          <w:sz w:val="28"/>
          <w:szCs w:val="28"/>
        </w:rPr>
        <w:t>万</w:t>
      </w:r>
      <w:r>
        <w:rPr>
          <w:rFonts w:ascii="宋体" w:hAnsi="宋体" w:eastAsia="宋体" w:cs="宋体"/>
          <w:sz w:val="28"/>
          <w:szCs w:val="28"/>
        </w:rPr>
        <w:t>元，占基本支出总预算</w:t>
      </w:r>
      <w:r>
        <w:rPr>
          <w:rFonts w:hint="eastAsia" w:ascii="宋体" w:hAnsi="宋体" w:eastAsia="宋体" w:cs="宋体"/>
          <w:sz w:val="28"/>
          <w:szCs w:val="28"/>
          <w:lang w:val="en-US" w:eastAsia="zh-CN"/>
        </w:rPr>
        <w:t>5.74%</w:t>
      </w:r>
      <w:r>
        <w:rPr>
          <w:rFonts w:hint="eastAsia"/>
        </w:rPr>
        <w:t>,</w:t>
      </w:r>
      <w:r>
        <w:t>比上年</w:t>
      </w:r>
      <w:r>
        <w:rPr>
          <w:rFonts w:hint="eastAsia"/>
        </w:rPr>
        <w:t>减少3.63</w:t>
      </w:r>
      <w:r>
        <w:t>万元，</w:t>
      </w:r>
      <w:r>
        <w:rPr>
          <w:rFonts w:hint="eastAsia"/>
        </w:rPr>
        <w:t>减少12.58%</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上级部门控制、压缩经费</w:t>
      </w:r>
      <w:r>
        <w:rPr>
          <w:rFonts w:hint="eastAsia"/>
          <w:highlight w:val="none"/>
          <w:lang w:val="en-US" w:eastAsia="zh-CN"/>
        </w:rPr>
        <w:t>。</w:t>
      </w:r>
    </w:p>
    <w:p>
      <w:pPr>
        <w:pStyle w:val="30"/>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3)对个人和家庭的补助</w:t>
      </w:r>
      <w:r>
        <w:rPr>
          <w:rFonts w:hint="eastAsia" w:ascii="宋体" w:hAnsi="宋体" w:eastAsia="宋体" w:cs="宋体"/>
          <w:sz w:val="28"/>
          <w:szCs w:val="28"/>
          <w:lang w:val="en-US" w:eastAsia="zh-CN"/>
        </w:rPr>
        <w:t>34.61</w:t>
      </w:r>
      <w:r>
        <w:rPr>
          <w:rFonts w:hint="eastAsia" w:ascii="宋体" w:hAnsi="宋体" w:eastAsia="宋体" w:cs="宋体"/>
          <w:sz w:val="28"/>
          <w:szCs w:val="28"/>
        </w:rPr>
        <w:t>万</w:t>
      </w:r>
      <w:r>
        <w:rPr>
          <w:rFonts w:ascii="宋体" w:hAnsi="宋体" w:eastAsia="宋体" w:cs="宋体"/>
          <w:sz w:val="28"/>
          <w:szCs w:val="28"/>
        </w:rPr>
        <w:t>元，占基本支出总预算</w:t>
      </w:r>
      <w:r>
        <w:rPr>
          <w:rFonts w:hint="eastAsia" w:ascii="宋体" w:hAnsi="宋体" w:eastAsia="宋体" w:cs="宋体"/>
          <w:sz w:val="28"/>
          <w:szCs w:val="28"/>
          <w:lang w:val="en-US" w:eastAsia="zh-CN"/>
        </w:rPr>
        <w:t>7.87%</w:t>
      </w:r>
      <w:r>
        <w:rPr>
          <w:rFonts w:hint="eastAsia"/>
        </w:rPr>
        <w:t>,</w:t>
      </w:r>
      <w:r>
        <w:t>比上年</w:t>
      </w:r>
      <w:r>
        <w:rPr>
          <w:rFonts w:hint="eastAsia"/>
        </w:rPr>
        <w:t>增长12.73</w:t>
      </w:r>
      <w:r>
        <w:t>万元，</w:t>
      </w:r>
      <w:r>
        <w:rPr>
          <w:rFonts w:hint="eastAsia"/>
        </w:rPr>
        <w:t>增长58.18%</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基本支出中对个人和家庭的补助是退休人员生活补助及遗属补助等，2024年该费用标准有所提高</w:t>
      </w:r>
      <w:r>
        <w:rPr>
          <w:rFonts w:hint="eastAsia"/>
          <w:highlight w:val="none"/>
          <w:lang w:val="en-US" w:eastAsia="zh-CN"/>
        </w:rPr>
        <w:t>。</w:t>
      </w:r>
    </w:p>
    <w:p>
      <w:pPr>
        <w:pStyle w:val="18"/>
        <w:numPr>
          <w:ilvl w:val="0"/>
          <w:numId w:val="1"/>
        </w:numPr>
        <w:spacing w:line="614" w:lineRule="exact"/>
        <w:ind w:firstLine="600"/>
        <w:jc w:val="left"/>
      </w:pPr>
      <w:r>
        <w:t>项目支出预算。</w:t>
      </w:r>
    </w:p>
    <w:p>
      <w:pPr>
        <w:pStyle w:val="18"/>
        <w:spacing w:line="619" w:lineRule="exact"/>
        <w:ind w:firstLine="600"/>
        <w:jc w:val="left"/>
        <w:rPr>
          <w:rFonts w:hint="eastAsia"/>
          <w:lang w:val="en-US" w:eastAsia="zh-CN"/>
        </w:rPr>
      </w:pPr>
      <w:r>
        <w:rPr>
          <w:rFonts w:hint="eastAsia"/>
        </w:rPr>
        <w:t>项目支出预算</w:t>
      </w:r>
      <w:r>
        <w:rPr>
          <w:rFonts w:hint="eastAsia"/>
          <w:lang w:val="en-US" w:eastAsia="zh-CN"/>
        </w:rPr>
        <w:t>99.38</w:t>
      </w:r>
      <w:r>
        <w:rPr>
          <w:rFonts w:hint="eastAsia"/>
        </w:rPr>
        <w:t>万元，占支出预算</w:t>
      </w:r>
      <w:r>
        <w:rPr>
          <w:u w:color="auto"/>
        </w:rPr>
        <w:t>18.44%</w:t>
      </w:r>
      <w:r>
        <w:rPr>
          <w:rFonts w:hint="eastAsia"/>
        </w:rPr>
        <w:t>,比上年</w:t>
      </w:r>
      <w:r>
        <w:rPr>
          <w:u w:color="auto"/>
        </w:rPr>
        <w:t>减少131.67</w:t>
      </w:r>
      <w:r>
        <w:rPr>
          <w:rFonts w:hint="eastAsia"/>
        </w:rPr>
        <w:t>万元，</w:t>
      </w:r>
      <w:r>
        <w:rPr>
          <w:u w:color="auto"/>
        </w:rPr>
        <w:t>减少56.99%</w:t>
      </w:r>
      <w:r>
        <w:t>。</w:t>
      </w:r>
      <w:r>
        <w:rPr>
          <w:rFonts w:hint="eastAsia"/>
          <w:lang w:val="en-US" w:eastAsia="zh-CN"/>
        </w:rPr>
        <w:t>其中：</w:t>
      </w:r>
    </w:p>
    <w:p>
      <w:pPr>
        <w:pStyle w:val="30"/>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1)商品和服务支出</w:t>
      </w:r>
      <w:r>
        <w:rPr>
          <w:rFonts w:hint="eastAsia" w:ascii="宋体" w:hAnsi="宋体" w:eastAsia="宋体" w:cs="宋体"/>
          <w:sz w:val="28"/>
          <w:szCs w:val="28"/>
          <w:lang w:val="en-US" w:eastAsia="zh-CN"/>
        </w:rPr>
        <w:t>12.52</w:t>
      </w:r>
      <w:r>
        <w:rPr>
          <w:rFonts w:hint="eastAsia" w:ascii="宋体" w:hAnsi="宋体" w:eastAsia="宋体" w:cs="宋体"/>
          <w:sz w:val="28"/>
          <w:szCs w:val="28"/>
        </w:rPr>
        <w:t>万</w:t>
      </w:r>
      <w:r>
        <w:rPr>
          <w:rFonts w:ascii="宋体" w:hAnsi="宋体" w:eastAsia="宋体" w:cs="宋体"/>
          <w:sz w:val="28"/>
          <w:szCs w:val="28"/>
        </w:rPr>
        <w:t>元，占</w:t>
      </w:r>
      <w:r>
        <w:rPr>
          <w:rFonts w:hint="eastAsia"/>
        </w:rPr>
        <w:t>项目</w:t>
      </w:r>
      <w:r>
        <w:rPr>
          <w:rFonts w:ascii="宋体" w:hAnsi="宋体" w:eastAsia="宋体" w:cs="宋体"/>
          <w:sz w:val="28"/>
          <w:szCs w:val="28"/>
        </w:rPr>
        <w:t>支出总预算</w:t>
      </w:r>
      <w:r>
        <w:rPr>
          <w:rFonts w:hint="eastAsia" w:ascii="宋体" w:hAnsi="宋体" w:eastAsia="宋体" w:cs="宋体"/>
          <w:sz w:val="28"/>
          <w:szCs w:val="28"/>
          <w:lang w:val="en-US" w:eastAsia="zh-CN"/>
        </w:rPr>
        <w:t>12.60%</w:t>
      </w:r>
      <w:r>
        <w:t>,比上年</w:t>
      </w:r>
      <w:r>
        <w:rPr>
          <w:rFonts w:hint="eastAsia"/>
        </w:rPr>
        <w:t>减少25.71</w:t>
      </w:r>
      <w:r>
        <w:t>万元，</w:t>
      </w:r>
      <w:r>
        <w:rPr>
          <w:rFonts w:hint="eastAsia"/>
        </w:rPr>
        <w:t>减少67.25%</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压减控制数</w:t>
      </w:r>
      <w:r>
        <w:rPr>
          <w:rFonts w:hint="eastAsia"/>
          <w:highlight w:val="none"/>
          <w:lang w:val="en-US" w:eastAsia="zh-CN"/>
        </w:rPr>
        <w:t>。</w:t>
      </w:r>
    </w:p>
    <w:p>
      <w:pPr>
        <w:pStyle w:val="30"/>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2)对个人和家庭的补助</w:t>
      </w:r>
      <w:r>
        <w:rPr>
          <w:rFonts w:hint="eastAsia" w:ascii="宋体" w:hAnsi="宋体" w:eastAsia="宋体" w:cs="宋体"/>
          <w:sz w:val="28"/>
          <w:szCs w:val="28"/>
          <w:lang w:val="en-US" w:eastAsia="zh-CN"/>
        </w:rPr>
        <w:t>86.86</w:t>
      </w:r>
      <w:r>
        <w:rPr>
          <w:rFonts w:hint="eastAsia" w:ascii="宋体" w:hAnsi="宋体" w:eastAsia="宋体" w:cs="宋体"/>
          <w:sz w:val="28"/>
          <w:szCs w:val="28"/>
        </w:rPr>
        <w:t>万</w:t>
      </w:r>
      <w:r>
        <w:rPr>
          <w:rFonts w:ascii="宋体" w:hAnsi="宋体" w:eastAsia="宋体" w:cs="宋体"/>
          <w:sz w:val="28"/>
          <w:szCs w:val="28"/>
        </w:rPr>
        <w:t>元，占</w:t>
      </w:r>
      <w:r>
        <w:rPr>
          <w:rFonts w:hint="eastAsia"/>
        </w:rPr>
        <w:t>项目</w:t>
      </w:r>
      <w:r>
        <w:rPr>
          <w:rFonts w:ascii="宋体" w:hAnsi="宋体" w:eastAsia="宋体" w:cs="宋体"/>
          <w:sz w:val="28"/>
          <w:szCs w:val="28"/>
        </w:rPr>
        <w:t>支出总预算</w:t>
      </w:r>
      <w:r>
        <w:rPr>
          <w:rFonts w:hint="eastAsia" w:ascii="宋体" w:hAnsi="宋体" w:eastAsia="宋体" w:cs="宋体"/>
          <w:sz w:val="28"/>
          <w:szCs w:val="28"/>
          <w:lang w:val="en-US" w:eastAsia="zh-CN"/>
        </w:rPr>
        <w:t>87.40%</w:t>
      </w:r>
      <w:r>
        <w:t>,比上年</w:t>
      </w:r>
      <w:r>
        <w:rPr>
          <w:rFonts w:hint="eastAsia"/>
        </w:rPr>
        <w:t>减少105.96</w:t>
      </w:r>
      <w:r>
        <w:t>万元，</w:t>
      </w:r>
      <w:r>
        <w:rPr>
          <w:rFonts w:hint="eastAsia"/>
        </w:rPr>
        <w:t>减少54.95%</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项目经费中对个人和家庭的补助是中央农机购置补贴资金，改资金本不纳入预算中，只因上年有结转结余，故提现在预算中，2024年的上年结余数比2023年少</w:t>
      </w:r>
      <w:r>
        <w:rPr>
          <w:rFonts w:hint="eastAsia"/>
          <w:highlight w:val="none"/>
          <w:lang w:val="en-US" w:eastAsia="zh-CN"/>
        </w:rPr>
        <w:t>。</w:t>
      </w:r>
    </w:p>
    <w:p>
      <w:pPr>
        <w:pStyle w:val="16"/>
        <w:numPr>
          <w:ilvl w:val="0"/>
          <w:numId w:val="0"/>
        </w:numPr>
        <w:tabs>
          <w:tab w:val="left" w:pos="1238"/>
        </w:tabs>
        <w:spacing w:after="0" w:line="625" w:lineRule="exact"/>
        <w:jc w:val="left"/>
        <w:rPr>
          <w:b/>
          <w:bCs/>
        </w:rPr>
      </w:pPr>
    </w:p>
    <w:p>
      <w:pPr>
        <w:pStyle w:val="16"/>
        <w:tabs>
          <w:tab w:val="left" w:pos="1235"/>
        </w:tabs>
        <w:spacing w:after="0" w:line="624" w:lineRule="exact"/>
        <w:ind w:firstLine="580"/>
        <w:jc w:val="left"/>
        <w:rPr>
          <w:b/>
          <w:bCs/>
        </w:rPr>
      </w:pPr>
      <w:r>
        <w:rPr>
          <w:rFonts w:hint="eastAsia"/>
          <w:b/>
          <w:bCs/>
          <w:lang w:val="en-US" w:eastAsia="zh-CN"/>
        </w:rPr>
        <w:t>四、</w:t>
      </w:r>
      <w:r>
        <w:rPr>
          <w:b/>
          <w:bCs/>
        </w:rPr>
        <w:t>财政拨款收支总体情况说明</w:t>
      </w:r>
    </w:p>
    <w:p>
      <w:pPr>
        <w:pStyle w:val="18"/>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20955" b="14605"/>
            <wp:docPr id="772"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18"/>
        <w:spacing w:line="624" w:lineRule="exact"/>
        <w:ind w:firstLine="600"/>
        <w:jc w:val="left"/>
        <w:rPr>
          <w:rFonts w:hint="eastAsia" w:ascii="宋体" w:hAnsi="宋体" w:eastAsia="宋体" w:cs="宋体"/>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u w:color="auto"/>
        </w:rPr>
        <w:t>年</w:t>
      </w:r>
      <w:r>
        <w:rPr>
          <w:rFonts w:hint="eastAsia" w:ascii="宋体" w:hAnsi="宋体" w:eastAsia="宋体" w:cs="宋体"/>
          <w:sz w:val="28"/>
          <w:szCs w:val="28"/>
        </w:rPr>
        <w:t>财政拨款收入我部门财政拨款总收入</w:t>
      </w:r>
      <w:r>
        <w:rPr>
          <w:rFonts w:hint="eastAsia" w:ascii="宋体" w:hAnsi="宋体" w:eastAsia="宋体" w:cs="宋体"/>
          <w:sz w:val="28"/>
          <w:szCs w:val="28"/>
          <w:lang w:val="en-US" w:eastAsia="zh-CN" w:bidi="en-US"/>
        </w:rPr>
        <w:t>538.89</w:t>
      </w:r>
      <w:r>
        <w:rPr>
          <w:rFonts w:hint="eastAsia" w:ascii="宋体" w:hAnsi="宋体" w:eastAsia="宋体" w:cs="宋体"/>
          <w:sz w:val="28"/>
          <w:szCs w:val="28"/>
        </w:rPr>
        <w:t>万元，总支出</w:t>
      </w:r>
      <w:r>
        <w:rPr>
          <w:rFonts w:hint="eastAsia" w:ascii="宋体" w:hAnsi="宋体" w:eastAsia="宋体" w:cs="宋体"/>
          <w:sz w:val="28"/>
          <w:szCs w:val="28"/>
          <w:lang w:val="en-US" w:eastAsia="zh-CN" w:bidi="en-US"/>
        </w:rPr>
        <w:t>538.89</w:t>
      </w:r>
      <w:r>
        <w:rPr>
          <w:rFonts w:hint="eastAsia" w:ascii="宋体" w:hAnsi="宋体" w:eastAsia="宋体" w:cs="宋体"/>
          <w:sz w:val="28"/>
          <w:szCs w:val="28"/>
        </w:rPr>
        <w:t>万元。财政拨款总收入较2023年度预算数</w:t>
      </w:r>
      <w:r>
        <w:rPr>
          <w:rFonts w:hint="eastAsia" w:ascii="宋体" w:hAnsi="宋体" w:eastAsia="宋体" w:cs="宋体"/>
          <w:sz w:val="28"/>
          <w:szCs w:val="28"/>
          <w:lang w:val="en-US" w:eastAsia="zh-CN" w:bidi="en-US"/>
        </w:rPr>
        <w:t>636.91</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减少98.02</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下降15.39%</w:t>
      </w:r>
      <w:r>
        <w:rPr>
          <w:rFonts w:hint="eastAsia" w:ascii="宋体" w:hAnsi="宋体" w:eastAsia="宋体" w:cs="宋体"/>
          <w:sz w:val="28"/>
          <w:szCs w:val="28"/>
        </w:rPr>
        <w:t>，主要原因是</w:t>
      </w:r>
      <w:r>
        <w:rPr>
          <w:rFonts w:hint="eastAsia"/>
          <w:highlight w:val="none"/>
          <w:lang w:val="en-US" w:eastAsia="zh-CN"/>
        </w:rPr>
        <w:t>2024年比2023年的上年结转结余数少</w:t>
      </w:r>
      <w:r>
        <w:rPr>
          <w:rFonts w:hint="eastAsia" w:ascii="宋体" w:hAnsi="宋体" w:eastAsia="宋体" w:cs="宋体"/>
          <w:sz w:val="28"/>
          <w:szCs w:val="28"/>
        </w:rPr>
        <w:t>。财政拨款总支出较2023年度预算数</w:t>
      </w:r>
      <w:r>
        <w:rPr>
          <w:rFonts w:hint="eastAsia" w:ascii="宋体" w:hAnsi="宋体" w:eastAsia="宋体" w:cs="宋体"/>
          <w:sz w:val="28"/>
          <w:szCs w:val="28"/>
          <w:lang w:val="en-US" w:eastAsia="zh-CN" w:bidi="en-US"/>
        </w:rPr>
        <w:t>636.91</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减少98.02</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下降15.39%</w:t>
      </w:r>
      <w:r>
        <w:rPr>
          <w:rFonts w:hint="eastAsia" w:ascii="宋体" w:hAnsi="宋体" w:eastAsia="宋体" w:cs="宋体"/>
          <w:sz w:val="28"/>
          <w:szCs w:val="28"/>
        </w:rPr>
        <w:t>，主要原因是</w:t>
      </w:r>
      <w:r>
        <w:rPr>
          <w:rFonts w:hint="eastAsia"/>
          <w:highlight w:val="none"/>
          <w:lang w:val="en-US" w:eastAsia="zh-CN"/>
        </w:rPr>
        <w:t>2024年比2023年的上年结转结余数少</w:t>
      </w:r>
      <w:r>
        <w:rPr>
          <w:rFonts w:hint="eastAsia" w:ascii="宋体" w:hAnsi="宋体" w:eastAsia="宋体" w:cs="宋体"/>
          <w:sz w:val="28"/>
          <w:szCs w:val="28"/>
        </w:rPr>
        <w:t>。</w:t>
      </w:r>
    </w:p>
    <w:p>
      <w:pPr>
        <w:pStyle w:val="16"/>
        <w:numPr>
          <w:ilvl w:val="0"/>
          <w:numId w:val="0"/>
        </w:numPr>
        <w:tabs>
          <w:tab w:val="left" w:pos="1238"/>
        </w:tabs>
        <w:spacing w:after="0" w:line="625" w:lineRule="exact"/>
        <w:ind w:firstLine="560" w:firstLineChars="200"/>
        <w:jc w:val="left"/>
        <w:rPr>
          <w:rFonts w:hint="eastAsia"/>
          <w:sz w:val="28"/>
          <w:szCs w:val="28"/>
        </w:rPr>
      </w:pPr>
    </w:p>
    <w:p>
      <w:pPr>
        <w:pStyle w:val="16"/>
        <w:tabs>
          <w:tab w:val="left" w:pos="1235"/>
        </w:tabs>
        <w:spacing w:after="0" w:line="624" w:lineRule="exact"/>
        <w:ind w:firstLine="580"/>
        <w:jc w:val="left"/>
        <w:rPr>
          <w:b/>
          <w:bCs/>
        </w:rPr>
      </w:pPr>
      <w:r>
        <w:rPr>
          <w:rFonts w:hint="eastAsia"/>
          <w:b/>
          <w:bCs/>
          <w:lang w:val="en-US" w:eastAsia="zh-CN"/>
        </w:rPr>
        <w:t>五、</w:t>
      </w:r>
      <w:r>
        <w:rPr>
          <w:b/>
          <w:bCs/>
        </w:rPr>
        <w:t>一般公共预算支出情况说明</w:t>
      </w:r>
    </w:p>
    <w:p>
      <w:pPr>
        <w:pStyle w:val="18"/>
        <w:spacing w:line="240" w:lineRule="auto"/>
        <w:ind w:firstLine="0"/>
        <w:jc w:val="left"/>
        <w:rPr>
          <w:lang w:eastAsia="zh-CN"/>
        </w:rPr>
      </w:pPr>
      <w:r>
        <w:rPr>
          <w:lang w:eastAsia="zh-CN"/>
        </w:rPr>
        <w:drawing>
          <wp:inline distT="0" distB="0" distL="114300" distR="114300">
            <wp:extent cx="5080000" cy="3810000"/>
            <wp:effectExtent l="4445" t="4445" r="20955" b="14605"/>
            <wp:docPr id="773"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lang w:val="en-US" w:eastAsia="zh-CN"/>
        </w:rPr>
        <w:t>年</w:t>
      </w:r>
      <w:r>
        <w:rPr>
          <w:rFonts w:hint="eastAsia" w:ascii="宋体" w:hAnsi="宋体" w:eastAsia="宋体" w:cs="宋体"/>
          <w:sz w:val="28"/>
          <w:szCs w:val="28"/>
        </w:rPr>
        <w:t>一般公共预算支出共</w:t>
      </w:r>
      <w:r>
        <w:rPr>
          <w:rFonts w:hint="eastAsia" w:ascii="宋体" w:hAnsi="宋体" w:eastAsia="宋体" w:cs="宋体"/>
          <w:sz w:val="28"/>
          <w:szCs w:val="28"/>
          <w:lang w:val="en-US" w:eastAsia="zh-CN"/>
        </w:rPr>
        <w:t>538.89</w:t>
      </w:r>
      <w:r>
        <w:rPr>
          <w:rFonts w:hint="eastAsia" w:ascii="宋体" w:hAnsi="宋体" w:eastAsia="宋体" w:cs="宋体"/>
          <w:sz w:val="28"/>
          <w:szCs w:val="28"/>
        </w:rPr>
        <w:t>万元，较2023年度预算数</w:t>
      </w:r>
      <w:r>
        <w:rPr>
          <w:rFonts w:hint="eastAsia" w:ascii="宋体" w:hAnsi="宋体" w:eastAsia="宋体" w:cs="宋体"/>
          <w:sz w:val="28"/>
          <w:szCs w:val="28"/>
          <w:lang w:val="en-US" w:eastAsia="zh-CN"/>
        </w:rPr>
        <w:t>636.91</w:t>
      </w:r>
      <w:r>
        <w:rPr>
          <w:rFonts w:hint="eastAsia" w:ascii="宋体" w:hAnsi="宋体" w:eastAsia="宋体" w:cs="宋体"/>
          <w:sz w:val="28"/>
          <w:szCs w:val="28"/>
        </w:rPr>
        <w:t>万元，</w:t>
      </w:r>
      <w:r>
        <w:rPr>
          <w:rFonts w:hint="eastAsia" w:ascii="宋体" w:hAnsi="宋体" w:eastAsia="宋体" w:cs="宋体"/>
          <w:sz w:val="28"/>
          <w:szCs w:val="28"/>
          <w:lang w:val="en-US" w:eastAsia="zh-CN"/>
        </w:rPr>
        <w:t>减少98.02</w:t>
      </w:r>
      <w:r>
        <w:rPr>
          <w:rFonts w:hint="eastAsia" w:ascii="宋体" w:hAnsi="宋体" w:eastAsia="宋体" w:cs="宋体"/>
          <w:sz w:val="28"/>
          <w:szCs w:val="28"/>
        </w:rPr>
        <w:t>万元，</w:t>
      </w:r>
      <w:r>
        <w:rPr>
          <w:rFonts w:hint="eastAsia" w:ascii="宋体" w:hAnsi="宋体" w:eastAsia="宋体" w:cs="宋体"/>
          <w:sz w:val="28"/>
          <w:szCs w:val="28"/>
          <w:lang w:val="en-US" w:eastAsia="zh-CN"/>
        </w:rPr>
        <w:t>下降15.39%</w:t>
      </w:r>
      <w:r>
        <w:rPr>
          <w:rFonts w:hint="eastAsia" w:ascii="宋体" w:hAnsi="宋体" w:eastAsia="宋体" w:cs="宋体"/>
          <w:sz w:val="28"/>
          <w:szCs w:val="28"/>
        </w:rPr>
        <w:t>，主要原因是</w:t>
      </w:r>
      <w:r>
        <w:rPr>
          <w:rFonts w:hint="eastAsia"/>
          <w:highlight w:val="none"/>
          <w:lang w:val="en-US" w:eastAsia="zh-CN"/>
        </w:rPr>
        <w:t>2024年比2023年的上年结转结余数少</w:t>
      </w:r>
      <w:r>
        <w:rPr>
          <w:rFonts w:hint="eastAsia" w:ascii="宋体" w:hAnsi="宋体" w:eastAsia="宋体" w:cs="宋体"/>
          <w:sz w:val="28"/>
          <w:szCs w:val="28"/>
        </w:rPr>
        <w:t>。中央提前下达2024年一般公共预算转移支付资金安排的支出</w:t>
      </w:r>
      <w:r>
        <w:rPr>
          <w:rFonts w:hint="eastAsia" w:ascii="宋体" w:hAnsi="宋体" w:eastAsia="宋体" w:cs="宋体"/>
          <w:sz w:val="28"/>
          <w:szCs w:val="28"/>
          <w:lang w:val="en-US" w:eastAsia="zh-CN"/>
        </w:rPr>
        <w:t>0.00</w:t>
      </w:r>
      <w:r>
        <w:rPr>
          <w:rFonts w:hint="eastAsia" w:ascii="宋体" w:hAnsi="宋体" w:eastAsia="宋体" w:cs="宋体"/>
          <w:sz w:val="28"/>
          <w:szCs w:val="28"/>
        </w:rPr>
        <w:t>万元。具体情况为：</w:t>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一般公共服务支出（类）支出</w:t>
      </w:r>
      <w:r>
        <w:rPr>
          <w:rFonts w:ascii="宋体" w:hAnsi="宋体" w:eastAsia="宋体" w:cs="宋体"/>
          <w:sz w:val="28"/>
          <w:u w:color="auto"/>
        </w:rPr>
        <w:t>4.03</w:t>
      </w:r>
      <w:r>
        <w:rPr>
          <w:rFonts w:hint="eastAsia" w:ascii="宋体" w:hAnsi="宋体" w:eastAsia="宋体" w:cs="宋体"/>
          <w:sz w:val="28"/>
          <w:szCs w:val="28"/>
        </w:rPr>
        <w:t>万元，占支出总预算的</w:t>
      </w:r>
      <w:r>
        <w:rPr>
          <w:rFonts w:ascii="宋体" w:hAnsi="宋体" w:eastAsia="宋体" w:cs="宋体"/>
          <w:sz w:val="28"/>
          <w:u w:color="auto"/>
        </w:rPr>
        <w:t>0.75%</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6.00</w:t>
      </w:r>
      <w:r>
        <w:rPr>
          <w:rFonts w:hint="eastAsia" w:ascii="宋体" w:hAnsi="宋体" w:eastAsia="宋体" w:cs="宋体"/>
          <w:sz w:val="28"/>
          <w:szCs w:val="28"/>
        </w:rPr>
        <w:t>万元，</w:t>
      </w:r>
      <w:r>
        <w:rPr>
          <w:rFonts w:ascii="宋体" w:hAnsi="宋体" w:eastAsia="宋体" w:cs="宋体"/>
          <w:sz w:val="28"/>
          <w:u w:color="auto"/>
        </w:rPr>
        <w:t>减少1.97</w:t>
      </w:r>
      <w:r>
        <w:rPr>
          <w:rFonts w:hint="eastAsia" w:ascii="宋体" w:hAnsi="宋体" w:eastAsia="宋体" w:cs="宋体"/>
          <w:sz w:val="28"/>
          <w:szCs w:val="28"/>
        </w:rPr>
        <w:t>万元，</w:t>
      </w:r>
      <w:r>
        <w:rPr>
          <w:rFonts w:ascii="宋体" w:hAnsi="宋体" w:eastAsia="宋体" w:cs="宋体"/>
          <w:sz w:val="28"/>
          <w:u w:color="auto"/>
        </w:rPr>
        <w:t>减少32.83%</w:t>
      </w:r>
      <w:r>
        <w:rPr>
          <w:rFonts w:hint="eastAsia" w:ascii="宋体" w:hAnsi="宋体" w:eastAsia="宋体" w:cs="宋体"/>
          <w:sz w:val="28"/>
          <w:szCs w:val="28"/>
        </w:rPr>
        <w:t>，主要原因是：</w:t>
      </w:r>
      <w:r>
        <w:rPr>
          <w:rFonts w:hint="eastAsia"/>
          <w:highlight w:val="none"/>
        </w:rPr>
        <w:t>上级部门控制、压缩经费</w:t>
      </w:r>
      <w:r>
        <w:rPr>
          <w:rFonts w:hint="eastAsia" w:ascii="宋体" w:hAnsi="宋体" w:eastAsia="宋体" w:cs="宋体"/>
          <w:sz w:val="28"/>
          <w:szCs w:val="28"/>
        </w:rPr>
        <w:t>。</w:t>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住房保障支出（类）支出</w:t>
      </w:r>
      <w:r>
        <w:rPr>
          <w:rFonts w:ascii="宋体" w:hAnsi="宋体" w:eastAsia="宋体" w:cs="宋体"/>
          <w:sz w:val="28"/>
          <w:u w:color="auto"/>
        </w:rPr>
        <w:t>39.25</w:t>
      </w:r>
      <w:r>
        <w:rPr>
          <w:rFonts w:hint="eastAsia" w:ascii="宋体" w:hAnsi="宋体" w:eastAsia="宋体" w:cs="宋体"/>
          <w:sz w:val="28"/>
          <w:szCs w:val="28"/>
        </w:rPr>
        <w:t>万元，占支出总预算的</w:t>
      </w:r>
      <w:r>
        <w:rPr>
          <w:rFonts w:ascii="宋体" w:hAnsi="宋体" w:eastAsia="宋体" w:cs="宋体"/>
          <w:sz w:val="28"/>
          <w:u w:color="auto"/>
        </w:rPr>
        <w:t>7.28%</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36.03</w:t>
      </w:r>
      <w:r>
        <w:rPr>
          <w:rFonts w:hint="eastAsia" w:ascii="宋体" w:hAnsi="宋体" w:eastAsia="宋体" w:cs="宋体"/>
          <w:sz w:val="28"/>
          <w:szCs w:val="28"/>
        </w:rPr>
        <w:t>万元，</w:t>
      </w:r>
      <w:r>
        <w:rPr>
          <w:rFonts w:ascii="宋体" w:hAnsi="宋体" w:eastAsia="宋体" w:cs="宋体"/>
          <w:sz w:val="28"/>
          <w:u w:color="auto"/>
        </w:rPr>
        <w:t>增长3.22</w:t>
      </w:r>
      <w:r>
        <w:rPr>
          <w:rFonts w:hint="eastAsia" w:ascii="宋体" w:hAnsi="宋体" w:eastAsia="宋体" w:cs="宋体"/>
          <w:sz w:val="28"/>
          <w:szCs w:val="28"/>
        </w:rPr>
        <w:t>万元，</w:t>
      </w:r>
      <w:r>
        <w:rPr>
          <w:rFonts w:ascii="宋体" w:hAnsi="宋体" w:eastAsia="宋体" w:cs="宋体"/>
          <w:sz w:val="28"/>
          <w:u w:color="auto"/>
        </w:rPr>
        <w:t>增长8.94%</w:t>
      </w:r>
      <w:r>
        <w:rPr>
          <w:rFonts w:hint="eastAsia" w:ascii="宋体" w:hAnsi="宋体" w:eastAsia="宋体" w:cs="宋体"/>
          <w:sz w:val="28"/>
          <w:szCs w:val="28"/>
        </w:rPr>
        <w:t>，主要原因是：</w:t>
      </w:r>
      <w:r>
        <w:rPr>
          <w:rFonts w:hint="eastAsia"/>
          <w:highlight w:val="none"/>
        </w:rPr>
        <w:t>每年调整的薪资收入增加，故申报基数增加，费用跟着增长</w:t>
      </w:r>
      <w:r>
        <w:rPr>
          <w:rFonts w:hint="eastAsia" w:ascii="宋体" w:hAnsi="宋体" w:eastAsia="宋体" w:cs="宋体"/>
          <w:sz w:val="28"/>
          <w:szCs w:val="28"/>
        </w:rPr>
        <w:t>。</w:t>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农林水支出（类）支出</w:t>
      </w:r>
      <w:r>
        <w:rPr>
          <w:rFonts w:ascii="宋体" w:hAnsi="宋体" w:eastAsia="宋体" w:cs="宋体"/>
          <w:sz w:val="28"/>
          <w:u w:color="auto"/>
        </w:rPr>
        <w:t>449.70</w:t>
      </w:r>
      <w:r>
        <w:rPr>
          <w:rFonts w:hint="eastAsia" w:ascii="宋体" w:hAnsi="宋体" w:eastAsia="宋体" w:cs="宋体"/>
          <w:sz w:val="28"/>
          <w:szCs w:val="28"/>
        </w:rPr>
        <w:t>万元，占支出总预算的</w:t>
      </w:r>
      <w:r>
        <w:rPr>
          <w:rFonts w:ascii="宋体" w:hAnsi="宋体" w:eastAsia="宋体" w:cs="宋体"/>
          <w:sz w:val="28"/>
          <w:u w:color="auto"/>
        </w:rPr>
        <w:t>83.45%</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546.84</w:t>
      </w:r>
      <w:r>
        <w:rPr>
          <w:rFonts w:hint="eastAsia" w:ascii="宋体" w:hAnsi="宋体" w:eastAsia="宋体" w:cs="宋体"/>
          <w:sz w:val="28"/>
          <w:szCs w:val="28"/>
        </w:rPr>
        <w:t>万元，</w:t>
      </w:r>
      <w:r>
        <w:rPr>
          <w:rFonts w:ascii="宋体" w:hAnsi="宋体" w:eastAsia="宋体" w:cs="宋体"/>
          <w:sz w:val="28"/>
          <w:u w:color="auto"/>
        </w:rPr>
        <w:t>减少97.14</w:t>
      </w:r>
      <w:r>
        <w:rPr>
          <w:rFonts w:hint="eastAsia" w:ascii="宋体" w:hAnsi="宋体" w:eastAsia="宋体" w:cs="宋体"/>
          <w:sz w:val="28"/>
          <w:szCs w:val="28"/>
        </w:rPr>
        <w:t>万元，</w:t>
      </w:r>
      <w:r>
        <w:rPr>
          <w:rFonts w:ascii="宋体" w:hAnsi="宋体" w:eastAsia="宋体" w:cs="宋体"/>
          <w:sz w:val="28"/>
          <w:u w:color="auto"/>
        </w:rPr>
        <w:t>减少17.76%</w:t>
      </w:r>
      <w:r>
        <w:rPr>
          <w:rFonts w:hint="eastAsia" w:ascii="宋体" w:hAnsi="宋体" w:eastAsia="宋体" w:cs="宋体"/>
          <w:sz w:val="28"/>
          <w:szCs w:val="28"/>
        </w:rPr>
        <w:t>，主要原因是：</w:t>
      </w:r>
      <w:r>
        <w:rPr>
          <w:rFonts w:hint="eastAsia"/>
          <w:highlight w:val="none"/>
        </w:rPr>
        <w:t>2024年比2023年的上年结转结余数少</w:t>
      </w:r>
      <w:r>
        <w:rPr>
          <w:rFonts w:hint="eastAsia" w:ascii="宋体" w:hAnsi="宋体" w:eastAsia="宋体" w:cs="宋体"/>
          <w:sz w:val="28"/>
          <w:szCs w:val="28"/>
        </w:rPr>
        <w:t>。</w:t>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社会保障和就业支出（类）支出</w:t>
      </w:r>
      <w:r>
        <w:rPr>
          <w:rFonts w:ascii="宋体" w:hAnsi="宋体" w:eastAsia="宋体" w:cs="宋体"/>
          <w:sz w:val="28"/>
          <w:u w:color="auto"/>
        </w:rPr>
        <w:t>45.90</w:t>
      </w:r>
      <w:r>
        <w:rPr>
          <w:rFonts w:hint="eastAsia" w:ascii="宋体" w:hAnsi="宋体" w:eastAsia="宋体" w:cs="宋体"/>
          <w:sz w:val="28"/>
          <w:szCs w:val="28"/>
        </w:rPr>
        <w:t>万元，占支出总预算的</w:t>
      </w:r>
      <w:r>
        <w:rPr>
          <w:rFonts w:ascii="宋体" w:hAnsi="宋体" w:eastAsia="宋体" w:cs="宋体"/>
          <w:sz w:val="28"/>
          <w:u w:color="auto"/>
        </w:rPr>
        <w:t>8.52%</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48.04</w:t>
      </w:r>
      <w:r>
        <w:rPr>
          <w:rFonts w:hint="eastAsia" w:ascii="宋体" w:hAnsi="宋体" w:eastAsia="宋体" w:cs="宋体"/>
          <w:sz w:val="28"/>
          <w:szCs w:val="28"/>
        </w:rPr>
        <w:t>万元，</w:t>
      </w:r>
      <w:r>
        <w:rPr>
          <w:rFonts w:ascii="宋体" w:hAnsi="宋体" w:eastAsia="宋体" w:cs="宋体"/>
          <w:sz w:val="28"/>
          <w:u w:color="auto"/>
        </w:rPr>
        <w:t>减少2.14</w:t>
      </w:r>
      <w:r>
        <w:rPr>
          <w:rFonts w:hint="eastAsia" w:ascii="宋体" w:hAnsi="宋体" w:eastAsia="宋体" w:cs="宋体"/>
          <w:sz w:val="28"/>
          <w:szCs w:val="28"/>
        </w:rPr>
        <w:t>万元，</w:t>
      </w:r>
      <w:r>
        <w:rPr>
          <w:rFonts w:ascii="宋体" w:hAnsi="宋体" w:eastAsia="宋体" w:cs="宋体"/>
          <w:sz w:val="28"/>
          <w:u w:color="auto"/>
        </w:rPr>
        <w:t>减少4.45%</w:t>
      </w:r>
      <w:r>
        <w:rPr>
          <w:rFonts w:hint="eastAsia" w:ascii="宋体" w:hAnsi="宋体" w:eastAsia="宋体" w:cs="宋体"/>
          <w:sz w:val="28"/>
          <w:szCs w:val="28"/>
        </w:rPr>
        <w:t>，主要原因是：</w:t>
      </w:r>
      <w:r>
        <w:rPr>
          <w:rFonts w:hint="eastAsia"/>
          <w:highlight w:val="none"/>
        </w:rPr>
        <w:t>2024年预算的控制数下调，职工所发放的奖金不准纳入养老保险基数中</w:t>
      </w:r>
      <w:r>
        <w:rPr>
          <w:rFonts w:hint="eastAsia" w:ascii="宋体" w:hAnsi="宋体" w:eastAsia="宋体" w:cs="宋体"/>
          <w:sz w:val="28"/>
          <w:szCs w:val="28"/>
        </w:rPr>
        <w:t>。</w:t>
      </w:r>
    </w:p>
    <w:p>
      <w:pPr>
        <w:pStyle w:val="16"/>
        <w:tabs>
          <w:tab w:val="left" w:pos="1235"/>
        </w:tabs>
        <w:spacing w:after="0" w:line="624" w:lineRule="exact"/>
        <w:ind w:firstLine="580"/>
        <w:jc w:val="left"/>
        <w:rPr>
          <w:b/>
          <w:bCs/>
        </w:rPr>
      </w:pPr>
      <w:r>
        <w:rPr>
          <w:rFonts w:hint="eastAsia"/>
          <w:b/>
          <w:bCs/>
          <w:lang w:val="en-US" w:eastAsia="zh-CN"/>
        </w:rPr>
        <w:t>六、</w:t>
      </w:r>
      <w:r>
        <w:rPr>
          <w:b/>
          <w:bCs/>
        </w:rPr>
        <w:t>一般公共预算基本支出情况说明</w:t>
      </w:r>
    </w:p>
    <w:p>
      <w:pPr>
        <w:pStyle w:val="16"/>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774"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18"/>
        <w:spacing w:line="623" w:lineRule="exact"/>
        <w:ind w:left="0" w:leftChars="0" w:firstLine="560" w:firstLineChars="200"/>
        <w:jc w:val="left"/>
        <w:rPr>
          <w:rFonts w:hint="eastAsia"/>
          <w:lang w:val="en-US" w:eastAsia="zh-CN"/>
        </w:rPr>
      </w:pPr>
      <w:r>
        <w:rPr>
          <w:rFonts w:hint="eastAsia"/>
          <w:lang w:val="en-US" w:eastAsia="zh-CN"/>
        </w:rPr>
        <w:t>2024</w:t>
      </w:r>
      <w:r>
        <w:rPr>
          <w:u w:color="auto"/>
        </w:rPr>
        <w:t>年</w:t>
      </w:r>
      <w:r>
        <w:rPr>
          <w:rFonts w:hint="eastAsia"/>
        </w:rPr>
        <w:t>一般公共预算基本支出共</w:t>
      </w:r>
      <w:r>
        <w:rPr>
          <w:rFonts w:hint="eastAsia"/>
          <w:lang w:val="en-US" w:eastAsia="zh-CN"/>
        </w:rPr>
        <w:t>439.51</w:t>
      </w:r>
      <w:r>
        <w:rPr>
          <w:rFonts w:hint="eastAsia"/>
        </w:rPr>
        <w:t>万元，较2023年度预算数</w:t>
      </w:r>
      <w:r>
        <w:rPr>
          <w:rFonts w:hint="eastAsia"/>
          <w:lang w:val="en-US" w:eastAsia="zh-CN"/>
        </w:rPr>
        <w:t>405.85</w:t>
      </w:r>
      <w:r>
        <w:rPr>
          <w:rFonts w:hint="eastAsia"/>
        </w:rPr>
        <w:t>万元</w:t>
      </w:r>
      <w:r>
        <w:rPr>
          <w:rFonts w:hint="eastAsia"/>
          <w:lang w:val="en-US" w:eastAsia="zh-CN"/>
        </w:rPr>
        <w:t>,</w:t>
      </w:r>
      <w:r>
        <w:rPr>
          <w:u w:color="auto"/>
        </w:rPr>
        <w:t>增加33.66</w:t>
      </w:r>
      <w:r>
        <w:rPr>
          <w:rFonts w:hint="eastAsia"/>
        </w:rPr>
        <w:t>万元，</w:t>
      </w:r>
      <w:r>
        <w:rPr>
          <w:rFonts w:hint="eastAsia"/>
          <w:lang w:val="en-US" w:eastAsia="zh-CN"/>
        </w:rPr>
        <w:t>增长8.29%</w:t>
      </w:r>
      <w:r>
        <w:rPr>
          <w:rFonts w:hint="eastAsia"/>
        </w:rPr>
        <w:t>，主要原因是</w:t>
      </w:r>
      <w:r>
        <w:rPr>
          <w:rFonts w:hint="eastAsia"/>
          <w:highlight w:val="none"/>
          <w:lang w:val="en-US" w:eastAsia="zh-CN"/>
        </w:rPr>
        <w:t>把行政参公人员的基础绩效奖,事业编人员的基础性绩效工资增量纳入到2024年预算中</w:t>
      </w:r>
      <w:r>
        <w:rPr>
          <w:rFonts w:hint="eastAsia"/>
        </w:rPr>
        <w:t>。具体情况为：</w:t>
      </w:r>
    </w:p>
    <w:p>
      <w:pPr>
        <w:pStyle w:val="18"/>
        <w:spacing w:line="626" w:lineRule="exact"/>
        <w:ind w:firstLine="600"/>
        <w:jc w:val="left"/>
        <w:rPr>
          <w:rFonts w:hint="default"/>
          <w:lang w:val="en-US" w:eastAsia="zh-CN"/>
        </w:rPr>
      </w:pPr>
      <w:r>
        <w:rPr>
          <w:rFonts w:hint="eastAsia"/>
          <w:lang w:val="en-US" w:eastAsia="zh-CN"/>
        </w:rPr>
        <w:t>工资福利支出</w:t>
      </w:r>
      <w:r>
        <w:rPr>
          <w:rFonts w:hint="eastAsia"/>
        </w:rPr>
        <w:t>支出预算</w:t>
      </w:r>
      <w:r>
        <w:rPr>
          <w:rFonts w:hint="eastAsia"/>
          <w:lang w:val="en-US" w:eastAsia="zh-CN"/>
        </w:rPr>
        <w:t>379.68</w:t>
      </w:r>
      <w:r>
        <w:t>万元</w:t>
      </w:r>
      <w:r>
        <w:rPr>
          <w:rFonts w:hint="eastAsia"/>
          <w:lang w:eastAsia="zh-CN"/>
        </w:rPr>
        <w:t>，</w:t>
      </w:r>
      <w:r>
        <w:rPr>
          <w:rFonts w:hint="eastAsia"/>
        </w:rPr>
        <w:t>占基本支出预算的</w:t>
      </w:r>
      <w:r>
        <w:rPr>
          <w:rFonts w:hint="eastAsia"/>
          <w:lang w:val="en-US" w:eastAsia="zh-CN"/>
        </w:rPr>
        <w:t>86.39%</w:t>
      </w:r>
      <w:r>
        <w:rPr>
          <w:rFonts w:hint="eastAsia"/>
        </w:rPr>
        <w:t>，较2023年度预算数</w:t>
      </w:r>
      <w:r>
        <w:rPr>
          <w:rFonts w:hint="eastAsia"/>
          <w:lang w:val="en-US" w:eastAsia="zh-CN"/>
        </w:rPr>
        <w:t>355.12</w:t>
      </w:r>
      <w:r>
        <w:rPr>
          <w:rFonts w:hint="eastAsia"/>
        </w:rPr>
        <w:t>万元，</w:t>
      </w:r>
      <w:r>
        <w:rPr>
          <w:rFonts w:hint="eastAsia"/>
          <w:lang w:val="en-US" w:eastAsia="zh-CN"/>
        </w:rPr>
        <w:t>增长24.56</w:t>
      </w:r>
      <w:r>
        <w:rPr>
          <w:rFonts w:hint="eastAsia"/>
        </w:rPr>
        <w:t>万元，</w:t>
      </w:r>
      <w:r>
        <w:rPr>
          <w:rFonts w:hint="eastAsia"/>
          <w:lang w:val="en-US" w:eastAsia="zh-CN"/>
        </w:rPr>
        <w:t>增长6.92%</w:t>
      </w:r>
      <w:r>
        <w:rPr>
          <w:rFonts w:hint="eastAsia"/>
        </w:rPr>
        <w:t>，主要原因是：</w:t>
      </w:r>
      <w:r>
        <w:rPr>
          <w:rFonts w:hint="eastAsia"/>
          <w:highlight w:val="none"/>
        </w:rPr>
        <w:t>把行政参公人员的基础绩效奖,事业编人员的基础性绩效工资增量纳入到2024年预算中</w:t>
      </w:r>
      <w:r>
        <w:rPr>
          <w:rFonts w:hint="eastAsia"/>
          <w:highlight w:val="none"/>
          <w:lang w:val="en-US" w:eastAsia="zh-CN"/>
        </w:rPr>
        <w:t>。</w:t>
      </w:r>
    </w:p>
    <w:p>
      <w:pPr>
        <w:pStyle w:val="18"/>
        <w:spacing w:line="626" w:lineRule="exact"/>
        <w:ind w:firstLine="600"/>
        <w:jc w:val="left"/>
        <w:rPr>
          <w:rFonts w:hint="default"/>
          <w:lang w:val="en-US" w:eastAsia="zh-CN"/>
        </w:rPr>
      </w:pPr>
      <w:r>
        <w:rPr>
          <w:rFonts w:hint="eastAsia"/>
          <w:lang w:val="en-US" w:eastAsia="zh-CN"/>
        </w:rPr>
        <w:t>商品和服务支出</w:t>
      </w:r>
      <w:r>
        <w:rPr>
          <w:rFonts w:hint="eastAsia"/>
        </w:rPr>
        <w:t>支出预算</w:t>
      </w:r>
      <w:r>
        <w:rPr>
          <w:rFonts w:hint="eastAsia"/>
          <w:lang w:val="en-US" w:eastAsia="zh-CN"/>
        </w:rPr>
        <w:t>25.22</w:t>
      </w:r>
      <w:r>
        <w:t>万元</w:t>
      </w:r>
      <w:r>
        <w:rPr>
          <w:rFonts w:hint="eastAsia"/>
          <w:lang w:eastAsia="zh-CN"/>
        </w:rPr>
        <w:t>，</w:t>
      </w:r>
      <w:r>
        <w:rPr>
          <w:rFonts w:hint="eastAsia"/>
        </w:rPr>
        <w:t>占基本支出预算的</w:t>
      </w:r>
      <w:r>
        <w:rPr>
          <w:rFonts w:hint="eastAsia"/>
          <w:lang w:val="en-US" w:eastAsia="zh-CN"/>
        </w:rPr>
        <w:t>5.74%</w:t>
      </w:r>
      <w:r>
        <w:rPr>
          <w:rFonts w:hint="eastAsia"/>
        </w:rPr>
        <w:t>，较2023年度预算数</w:t>
      </w:r>
      <w:r>
        <w:rPr>
          <w:rFonts w:hint="eastAsia"/>
          <w:lang w:val="en-US" w:eastAsia="zh-CN"/>
        </w:rPr>
        <w:t>28.85</w:t>
      </w:r>
      <w:r>
        <w:rPr>
          <w:rFonts w:hint="eastAsia"/>
        </w:rPr>
        <w:t>万元，</w:t>
      </w:r>
      <w:r>
        <w:rPr>
          <w:rFonts w:hint="eastAsia"/>
          <w:lang w:val="en-US" w:eastAsia="zh-CN"/>
        </w:rPr>
        <w:t>减少3.63</w:t>
      </w:r>
      <w:r>
        <w:rPr>
          <w:rFonts w:hint="eastAsia"/>
        </w:rPr>
        <w:t>万元，</w:t>
      </w:r>
      <w:r>
        <w:rPr>
          <w:rFonts w:hint="eastAsia"/>
          <w:lang w:val="en-US" w:eastAsia="zh-CN"/>
        </w:rPr>
        <w:t>减少12.58%</w:t>
      </w:r>
      <w:r>
        <w:rPr>
          <w:rFonts w:hint="eastAsia"/>
        </w:rPr>
        <w:t>，主要原因是：</w:t>
      </w:r>
      <w:r>
        <w:rPr>
          <w:rFonts w:hint="eastAsia"/>
          <w:highlight w:val="none"/>
        </w:rPr>
        <w:t>压减控制数</w:t>
      </w:r>
      <w:r>
        <w:rPr>
          <w:rFonts w:hint="eastAsia"/>
          <w:highlight w:val="none"/>
          <w:lang w:val="en-US" w:eastAsia="zh-CN"/>
        </w:rPr>
        <w:t>。</w:t>
      </w:r>
    </w:p>
    <w:p>
      <w:pPr>
        <w:pStyle w:val="18"/>
        <w:spacing w:line="626" w:lineRule="exact"/>
        <w:ind w:firstLine="600"/>
        <w:jc w:val="left"/>
        <w:rPr>
          <w:rFonts w:hint="default"/>
          <w:lang w:val="en-US" w:eastAsia="zh-CN"/>
        </w:rPr>
      </w:pPr>
      <w:r>
        <w:rPr>
          <w:rFonts w:hint="eastAsia"/>
          <w:lang w:val="en-US" w:eastAsia="zh-CN"/>
        </w:rPr>
        <w:t>对个人和家庭的补助</w:t>
      </w:r>
      <w:r>
        <w:rPr>
          <w:rFonts w:hint="eastAsia"/>
        </w:rPr>
        <w:t>支出预算</w:t>
      </w:r>
      <w:r>
        <w:rPr>
          <w:rFonts w:hint="eastAsia"/>
          <w:lang w:val="en-US" w:eastAsia="zh-CN"/>
        </w:rPr>
        <w:t>34.61</w:t>
      </w:r>
      <w:r>
        <w:t>万元</w:t>
      </w:r>
      <w:r>
        <w:rPr>
          <w:rFonts w:hint="eastAsia"/>
          <w:lang w:eastAsia="zh-CN"/>
        </w:rPr>
        <w:t>，</w:t>
      </w:r>
      <w:r>
        <w:rPr>
          <w:rFonts w:hint="eastAsia"/>
        </w:rPr>
        <w:t>占基本支出预算的</w:t>
      </w:r>
      <w:r>
        <w:rPr>
          <w:rFonts w:hint="eastAsia"/>
          <w:lang w:val="en-US" w:eastAsia="zh-CN"/>
        </w:rPr>
        <w:t>7.87%</w:t>
      </w:r>
      <w:r>
        <w:rPr>
          <w:rFonts w:hint="eastAsia"/>
        </w:rPr>
        <w:t>，较2023年度预算数</w:t>
      </w:r>
      <w:r>
        <w:rPr>
          <w:rFonts w:hint="eastAsia"/>
          <w:lang w:val="en-US" w:eastAsia="zh-CN"/>
        </w:rPr>
        <w:t>21.88</w:t>
      </w:r>
      <w:r>
        <w:rPr>
          <w:rFonts w:hint="eastAsia"/>
        </w:rPr>
        <w:t>万元，</w:t>
      </w:r>
      <w:r>
        <w:rPr>
          <w:rFonts w:hint="eastAsia"/>
          <w:lang w:val="en-US" w:eastAsia="zh-CN"/>
        </w:rPr>
        <w:t>增长12.73</w:t>
      </w:r>
      <w:r>
        <w:rPr>
          <w:rFonts w:hint="eastAsia"/>
        </w:rPr>
        <w:t>万元，</w:t>
      </w:r>
      <w:r>
        <w:rPr>
          <w:rFonts w:hint="eastAsia"/>
          <w:lang w:val="en-US" w:eastAsia="zh-CN"/>
        </w:rPr>
        <w:t>增长58.18%</w:t>
      </w:r>
      <w:r>
        <w:rPr>
          <w:rFonts w:hint="eastAsia"/>
        </w:rPr>
        <w:t>，主要原因是：</w:t>
      </w:r>
      <w:r>
        <w:rPr>
          <w:rFonts w:hint="eastAsia"/>
          <w:highlight w:val="none"/>
        </w:rPr>
        <w:t>基本支出中对个人和家庭的补助是退休人员生活补助及遗属补助等，2024年该费用标准有所提高</w:t>
      </w:r>
      <w:r>
        <w:rPr>
          <w:rFonts w:hint="eastAsia"/>
          <w:highlight w:val="none"/>
          <w:lang w:val="en-US" w:eastAsia="zh-CN"/>
        </w:rPr>
        <w:t>。</w:t>
      </w:r>
    </w:p>
    <w:p>
      <w:pPr>
        <w:pStyle w:val="16"/>
        <w:tabs>
          <w:tab w:val="left" w:pos="1235"/>
        </w:tabs>
        <w:spacing w:after="0" w:line="624" w:lineRule="exact"/>
        <w:ind w:firstLine="580"/>
        <w:jc w:val="left"/>
        <w:rPr>
          <w:rFonts w:hint="eastAsia"/>
          <w:b/>
          <w:bCs/>
        </w:rPr>
      </w:pPr>
      <w:r>
        <w:rPr>
          <w:rFonts w:hint="eastAsia"/>
          <w:b/>
          <w:bCs/>
          <w:lang w:val="en-US" w:eastAsia="zh-CN"/>
        </w:rPr>
        <w:t>七、</w:t>
      </w:r>
      <w:r>
        <w:rPr>
          <w:b/>
          <w:bCs/>
        </w:rPr>
        <w:t>一般公共预算</w:t>
      </w:r>
      <w:r>
        <w:rPr>
          <w:b/>
          <w:bCs/>
          <w:lang w:val="zh-CN" w:eastAsia="zh-CN" w:bidi="zh-CN"/>
        </w:rPr>
        <w:t>“三</w:t>
      </w:r>
      <w:r>
        <w:rPr>
          <w:b/>
          <w:bCs/>
        </w:rPr>
        <w:t>公”</w:t>
      </w:r>
      <w:r>
        <w:rPr>
          <w:rFonts w:hint="eastAsia"/>
          <w:b/>
          <w:bCs/>
        </w:rPr>
        <w:t>经费支出情况说明</w:t>
      </w:r>
    </w:p>
    <w:p>
      <w:pPr>
        <w:pStyle w:val="16"/>
        <w:numPr>
          <w:ilvl w:val="0"/>
          <w:numId w:val="0"/>
        </w:numPr>
        <w:spacing w:after="0"/>
        <w:jc w:val="left"/>
        <w:rPr>
          <w:rFonts w:hint="eastAsia"/>
          <w:b/>
          <w:bCs/>
        </w:rPr>
      </w:pPr>
    </w:p>
    <w:p>
      <w:pPr>
        <w:pStyle w:val="16"/>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775"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16"/>
        <w:tabs>
          <w:tab w:val="left" w:pos="1253"/>
        </w:tabs>
        <w:spacing w:after="0" w:line="629" w:lineRule="exact"/>
        <w:ind w:firstLine="600"/>
        <w:jc w:val="left"/>
        <w:rPr>
          <w:rFonts w:hint="eastAsia"/>
          <w:b w:val="0"/>
          <w:bCs w:val="0"/>
          <w:sz w:val="28"/>
          <w:szCs w:val="28"/>
          <w:lang w:eastAsia="zh-CN"/>
        </w:rPr>
      </w:pPr>
      <w:bookmarkStart w:id="14" w:name="bookmark90"/>
      <w:r>
        <w:rPr>
          <w:rFonts w:hint="eastAsia"/>
          <w:b w:val="0"/>
          <w:bCs w:val="0"/>
          <w:sz w:val="28"/>
          <w:szCs w:val="28"/>
          <w:lang w:eastAsia="zh-CN"/>
        </w:rPr>
        <w:t>（</w:t>
      </w:r>
      <w:r>
        <w:rPr>
          <w:rFonts w:hint="eastAsia"/>
          <w:b w:val="0"/>
          <w:bCs w:val="0"/>
          <w:sz w:val="28"/>
          <w:szCs w:val="28"/>
          <w:lang w:val="en-US" w:eastAsia="zh-CN"/>
        </w:rPr>
        <w:t>一</w:t>
      </w:r>
      <w:r>
        <w:rPr>
          <w:rFonts w:hint="eastAsia"/>
          <w:b w:val="0"/>
          <w:bCs w:val="0"/>
          <w:sz w:val="28"/>
          <w:szCs w:val="28"/>
          <w:lang w:eastAsia="zh-CN"/>
        </w:rPr>
        <w:t>）</w:t>
      </w:r>
      <w:r>
        <w:rPr>
          <w:sz w:val="28"/>
          <w:u w:color="auto"/>
        </w:rPr>
        <w:t>2024年部门预算共安排</w:t>
      </w:r>
      <w:r>
        <w:rPr>
          <w:rFonts w:hint="eastAsia"/>
          <w:b w:val="0"/>
          <w:bCs w:val="0"/>
          <w:sz w:val="28"/>
          <w:szCs w:val="28"/>
          <w:lang w:val="zh-CN" w:eastAsia="zh-CN"/>
        </w:rPr>
        <w:t>“三公</w:t>
      </w:r>
      <w:r>
        <w:rPr>
          <w:rFonts w:hint="eastAsia"/>
          <w:b w:val="0"/>
          <w:bCs w:val="0"/>
          <w:sz w:val="28"/>
          <w:szCs w:val="28"/>
          <w:lang w:val="en-US" w:eastAsia="zh-CN"/>
        </w:rPr>
        <w:t>"</w:t>
      </w:r>
      <w:r>
        <w:rPr>
          <w:rFonts w:hint="eastAsia"/>
          <w:b w:val="0"/>
          <w:bCs w:val="0"/>
          <w:sz w:val="28"/>
          <w:szCs w:val="28"/>
          <w:lang w:eastAsia="zh-CN"/>
        </w:rPr>
        <w:t>经费支出预算</w:t>
      </w:r>
      <w:r>
        <w:rPr>
          <w:rFonts w:hint="eastAsia"/>
          <w:b w:val="0"/>
          <w:bCs w:val="0"/>
          <w:sz w:val="28"/>
          <w:szCs w:val="28"/>
          <w:lang w:val="en-US" w:eastAsia="zh-CN"/>
        </w:rPr>
        <w:t>7.29</w:t>
      </w:r>
      <w:r>
        <w:rPr>
          <w:rFonts w:hint="eastAsia"/>
          <w:b w:val="0"/>
          <w:bCs w:val="0"/>
          <w:sz w:val="28"/>
          <w:szCs w:val="28"/>
          <w:lang w:eastAsia="zh-CN"/>
        </w:rPr>
        <w:t>万元（全口径），其中：因公出国（境）经费支出预算</w:t>
      </w:r>
      <w:r>
        <w:rPr>
          <w:rFonts w:hint="eastAsia"/>
          <w:b w:val="0"/>
          <w:bCs w:val="0"/>
          <w:sz w:val="28"/>
          <w:szCs w:val="28"/>
          <w:lang w:val="en-US" w:eastAsia="zh-CN"/>
        </w:rPr>
        <w:t>0.00</w:t>
      </w:r>
      <w:r>
        <w:rPr>
          <w:rFonts w:hint="eastAsia"/>
          <w:b w:val="0"/>
          <w:bCs w:val="0"/>
          <w:sz w:val="28"/>
          <w:szCs w:val="28"/>
          <w:lang w:eastAsia="zh-CN"/>
        </w:rPr>
        <w:t>万元，公务接待费支出预算</w:t>
      </w:r>
      <w:r>
        <w:rPr>
          <w:rFonts w:hint="eastAsia"/>
          <w:b w:val="0"/>
          <w:bCs w:val="0"/>
          <w:sz w:val="28"/>
          <w:szCs w:val="28"/>
          <w:lang w:val="en-US" w:eastAsia="zh-CN"/>
        </w:rPr>
        <w:t>0.50</w:t>
      </w:r>
      <w:r>
        <w:rPr>
          <w:rFonts w:hint="eastAsia"/>
          <w:b w:val="0"/>
          <w:bCs w:val="0"/>
          <w:sz w:val="28"/>
          <w:szCs w:val="28"/>
          <w:lang w:eastAsia="zh-CN"/>
        </w:rPr>
        <w:t>万元，公务用车购置及运行费支出预算</w:t>
      </w:r>
      <w:r>
        <w:rPr>
          <w:rFonts w:hint="eastAsia"/>
          <w:b w:val="0"/>
          <w:bCs w:val="0"/>
          <w:sz w:val="28"/>
          <w:szCs w:val="28"/>
          <w:lang w:val="en-US" w:eastAsia="zh-CN"/>
        </w:rPr>
        <w:t>6.79</w:t>
      </w:r>
      <w:r>
        <w:rPr>
          <w:rFonts w:hint="eastAsia"/>
          <w:b w:val="0"/>
          <w:bCs w:val="0"/>
          <w:sz w:val="28"/>
          <w:szCs w:val="28"/>
          <w:lang w:eastAsia="zh-CN"/>
        </w:rPr>
        <w:t>万元（公务用车购置费</w:t>
      </w:r>
      <w:r>
        <w:rPr>
          <w:rFonts w:hint="eastAsia"/>
          <w:b w:val="0"/>
          <w:bCs w:val="0"/>
          <w:sz w:val="28"/>
          <w:szCs w:val="28"/>
          <w:lang w:val="en-US" w:eastAsia="zh-CN"/>
        </w:rPr>
        <w:t>0.00</w:t>
      </w:r>
      <w:r>
        <w:rPr>
          <w:rFonts w:hint="eastAsia"/>
          <w:b w:val="0"/>
          <w:bCs w:val="0"/>
          <w:sz w:val="28"/>
          <w:szCs w:val="28"/>
          <w:lang w:eastAsia="zh-CN"/>
        </w:rPr>
        <w:t>万元,公务用车运行维护费</w:t>
      </w:r>
      <w:r>
        <w:rPr>
          <w:rFonts w:hint="eastAsia"/>
          <w:b w:val="0"/>
          <w:bCs w:val="0"/>
          <w:sz w:val="28"/>
          <w:szCs w:val="28"/>
          <w:lang w:val="en-US" w:eastAsia="zh-CN"/>
        </w:rPr>
        <w:t>6.79</w:t>
      </w:r>
      <w:r>
        <w:rPr>
          <w:rFonts w:hint="eastAsia"/>
          <w:b w:val="0"/>
          <w:bCs w:val="0"/>
          <w:sz w:val="28"/>
          <w:szCs w:val="28"/>
          <w:lang w:eastAsia="zh-CN"/>
        </w:rPr>
        <w:t>万元）。</w:t>
      </w:r>
    </w:p>
    <w:p>
      <w:pPr>
        <w:pStyle w:val="16"/>
        <w:tabs>
          <w:tab w:val="left" w:pos="1253"/>
        </w:tabs>
        <w:spacing w:after="0" w:line="629" w:lineRule="exact"/>
        <w:ind w:firstLine="600"/>
        <w:jc w:val="left"/>
        <w:rPr>
          <w:rFonts w:hint="eastAsia"/>
          <w:b w:val="0"/>
          <w:bCs w:val="0"/>
          <w:sz w:val="28"/>
          <w:szCs w:val="28"/>
        </w:rPr>
      </w:pPr>
      <w:r>
        <w:rPr>
          <w:rFonts w:hint="eastAsia"/>
          <w:b w:val="0"/>
          <w:bCs w:val="0"/>
          <w:sz w:val="28"/>
          <w:szCs w:val="28"/>
          <w:lang w:eastAsia="zh-CN"/>
        </w:rPr>
        <w:t>（</w:t>
      </w:r>
      <w:r>
        <w:rPr>
          <w:rFonts w:hint="eastAsia"/>
          <w:b w:val="0"/>
          <w:bCs w:val="0"/>
          <w:sz w:val="28"/>
          <w:szCs w:val="28"/>
          <w:lang w:val="en-US" w:eastAsia="zh-CN"/>
        </w:rPr>
        <w:t>二</w:t>
      </w:r>
      <w:r>
        <w:rPr>
          <w:rFonts w:hint="eastAsia"/>
          <w:b w:val="0"/>
          <w:bCs w:val="0"/>
          <w:sz w:val="28"/>
          <w:szCs w:val="28"/>
          <w:lang w:eastAsia="zh-CN"/>
        </w:rPr>
        <w:t>）</w:t>
      </w:r>
      <w:r>
        <w:rPr>
          <w:sz w:val="28"/>
          <w:u w:color="auto"/>
        </w:rPr>
        <w:t>2024</w:t>
      </w:r>
      <w:r>
        <w:rPr>
          <w:rFonts w:hint="eastAsia"/>
          <w:b w:val="0"/>
          <w:bCs w:val="0"/>
          <w:sz w:val="28"/>
          <w:szCs w:val="28"/>
        </w:rPr>
        <w:t>年一般公共预算安排的“三公”经费支出预算</w:t>
      </w:r>
      <w:r>
        <w:rPr>
          <w:rFonts w:hint="eastAsia"/>
          <w:b w:val="0"/>
          <w:bCs w:val="0"/>
          <w:sz w:val="28"/>
          <w:szCs w:val="28"/>
          <w:lang w:val="en-US" w:eastAsia="zh-CN"/>
        </w:rPr>
        <w:t>7.29</w:t>
      </w:r>
      <w:r>
        <w:rPr>
          <w:rFonts w:hint="eastAsia"/>
          <w:b w:val="0"/>
          <w:bCs w:val="0"/>
          <w:sz w:val="28"/>
          <w:szCs w:val="28"/>
        </w:rPr>
        <w:t>万元，同口径较2023年度预算数</w:t>
      </w:r>
      <w:r>
        <w:rPr>
          <w:rFonts w:hint="eastAsia"/>
          <w:b w:val="0"/>
          <w:bCs w:val="0"/>
          <w:sz w:val="28"/>
          <w:szCs w:val="28"/>
          <w:lang w:val="en-US" w:eastAsia="zh-CN"/>
        </w:rPr>
        <w:t>6.79</w:t>
      </w:r>
      <w:r>
        <w:rPr>
          <w:rFonts w:hint="eastAsia"/>
          <w:b w:val="0"/>
          <w:bCs w:val="0"/>
          <w:sz w:val="28"/>
          <w:szCs w:val="28"/>
        </w:rPr>
        <w:t>万元，</w:t>
      </w:r>
      <w:r>
        <w:rPr>
          <w:rFonts w:hint="eastAsia"/>
          <w:b w:val="0"/>
          <w:bCs w:val="0"/>
          <w:sz w:val="28"/>
          <w:szCs w:val="28"/>
          <w:lang w:val="en-US" w:eastAsia="zh-CN"/>
        </w:rPr>
        <w:t>增长0.50</w:t>
      </w:r>
      <w:r>
        <w:rPr>
          <w:rFonts w:hint="eastAsia"/>
          <w:b w:val="0"/>
          <w:bCs w:val="0"/>
          <w:sz w:val="28"/>
          <w:szCs w:val="28"/>
        </w:rPr>
        <w:t>万元，</w:t>
      </w:r>
      <w:r>
        <w:rPr>
          <w:rFonts w:hint="eastAsia"/>
          <w:b w:val="0"/>
          <w:bCs w:val="0"/>
          <w:sz w:val="28"/>
          <w:szCs w:val="28"/>
          <w:lang w:val="en-US" w:eastAsia="zh-CN"/>
        </w:rPr>
        <w:t>增长7.36%</w:t>
      </w:r>
      <w:r>
        <w:rPr>
          <w:rFonts w:hint="eastAsia"/>
          <w:b w:val="0"/>
          <w:bCs w:val="0"/>
          <w:sz w:val="28"/>
          <w:szCs w:val="28"/>
        </w:rPr>
        <w:t>，具体如下：</w:t>
      </w:r>
    </w:p>
    <w:p>
      <w:pPr>
        <w:pStyle w:val="16"/>
        <w:tabs>
          <w:tab w:val="left" w:pos="1253"/>
        </w:tabs>
        <w:spacing w:after="0" w:line="629" w:lineRule="exact"/>
        <w:ind w:firstLine="600"/>
        <w:jc w:val="left"/>
        <w:rPr>
          <w:rFonts w:hint="eastAsia" w:eastAsia="宋体"/>
          <w:b w:val="0"/>
          <w:bCs w:val="0"/>
          <w:sz w:val="28"/>
          <w:szCs w:val="28"/>
          <w:lang w:eastAsia="zh-CN"/>
        </w:rPr>
      </w:pPr>
      <w:r>
        <w:rPr>
          <w:rFonts w:hint="eastAsia"/>
          <w:b w:val="0"/>
          <w:bCs w:val="0"/>
          <w:sz w:val="28"/>
          <w:szCs w:val="28"/>
        </w:rPr>
        <w:t>1.因公出国（境）费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highlight w:val="none"/>
          <w:lang w:val="en-US" w:eastAsia="zh-CN"/>
        </w:rPr>
        <w:t>我单位无因公出国（境）费</w:t>
      </w:r>
      <w:r>
        <w:rPr>
          <w:rFonts w:hint="eastAsia"/>
          <w:b w:val="0"/>
          <w:bCs w:val="0"/>
          <w:sz w:val="28"/>
          <w:szCs w:val="28"/>
        </w:rPr>
        <w:t>。</w:t>
      </w:r>
    </w:p>
    <w:p>
      <w:pPr>
        <w:pStyle w:val="16"/>
        <w:tabs>
          <w:tab w:val="left" w:pos="1253"/>
        </w:tabs>
        <w:spacing w:after="0" w:line="629" w:lineRule="exact"/>
        <w:ind w:firstLine="600"/>
        <w:jc w:val="left"/>
        <w:rPr>
          <w:rFonts w:hint="eastAsia" w:eastAsia="宋体"/>
          <w:b w:val="0"/>
          <w:bCs w:val="0"/>
          <w:sz w:val="28"/>
          <w:szCs w:val="28"/>
          <w:lang w:eastAsia="zh-CN"/>
        </w:rPr>
      </w:pPr>
      <w:r>
        <w:rPr>
          <w:rFonts w:hint="eastAsia"/>
          <w:b w:val="0"/>
          <w:bCs w:val="0"/>
          <w:sz w:val="28"/>
          <w:szCs w:val="28"/>
        </w:rPr>
        <w:t>2.公务接待费</w:t>
      </w:r>
      <w:r>
        <w:rPr>
          <w:rFonts w:hint="eastAsia"/>
          <w:b w:val="0"/>
          <w:bCs w:val="0"/>
          <w:sz w:val="28"/>
          <w:szCs w:val="28"/>
          <w:lang w:eastAsia="zh-CN"/>
        </w:rPr>
        <w:t>2024</w:t>
      </w:r>
      <w:r>
        <w:rPr>
          <w:rFonts w:hint="eastAsia"/>
          <w:b w:val="0"/>
          <w:bCs w:val="0"/>
          <w:sz w:val="28"/>
          <w:szCs w:val="28"/>
        </w:rPr>
        <w:t>年预算安排</w:t>
      </w:r>
      <w:r>
        <w:rPr>
          <w:sz w:val="28"/>
          <w:u w:color="auto"/>
        </w:rPr>
        <w:t>0.50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增长0.50</w:t>
      </w:r>
      <w:r>
        <w:rPr>
          <w:rFonts w:hint="eastAsia"/>
          <w:b w:val="0"/>
          <w:bCs w:val="0"/>
          <w:sz w:val="28"/>
          <w:szCs w:val="28"/>
        </w:rPr>
        <w:t>万元，</w:t>
      </w:r>
      <w:r>
        <w:rPr>
          <w:sz w:val="28"/>
          <w:u w:color="auto"/>
        </w:rPr>
        <w:t>增长100%</w:t>
      </w:r>
      <w:r>
        <w:rPr>
          <w:rFonts w:hint="eastAsia"/>
          <w:b w:val="0"/>
          <w:bCs w:val="0"/>
          <w:sz w:val="28"/>
          <w:szCs w:val="28"/>
        </w:rPr>
        <w:t>，主要原因是</w:t>
      </w:r>
      <w:r>
        <w:rPr>
          <w:rFonts w:hint="eastAsia"/>
          <w:highlight w:val="none"/>
          <w:lang w:val="en-US" w:eastAsia="zh-CN"/>
        </w:rPr>
        <w:t>2023年预算中漏记公务接待费</w:t>
      </w:r>
      <w:r>
        <w:rPr>
          <w:rFonts w:hint="eastAsia"/>
          <w:b w:val="0"/>
          <w:bCs w:val="0"/>
          <w:sz w:val="28"/>
          <w:szCs w:val="28"/>
        </w:rPr>
        <w:t>。</w:t>
      </w:r>
    </w:p>
    <w:p>
      <w:pPr>
        <w:pStyle w:val="16"/>
        <w:tabs>
          <w:tab w:val="left" w:pos="1253"/>
        </w:tabs>
        <w:spacing w:after="0" w:line="629" w:lineRule="exact"/>
        <w:ind w:firstLine="600"/>
        <w:jc w:val="left"/>
        <w:rPr>
          <w:rFonts w:hint="eastAsia"/>
          <w:b w:val="0"/>
          <w:bCs w:val="0"/>
          <w:sz w:val="28"/>
          <w:szCs w:val="28"/>
        </w:rPr>
      </w:pPr>
      <w:r>
        <w:rPr>
          <w:rFonts w:hint="eastAsia"/>
          <w:b w:val="0"/>
          <w:bCs w:val="0"/>
          <w:sz w:val="28"/>
          <w:szCs w:val="28"/>
        </w:rPr>
        <w:t>3.公务用车购置及运行费</w:t>
      </w:r>
      <w:r>
        <w:rPr>
          <w:rFonts w:hint="eastAsia"/>
          <w:b w:val="0"/>
          <w:bCs w:val="0"/>
          <w:sz w:val="28"/>
          <w:szCs w:val="28"/>
          <w:lang w:eastAsia="zh-CN"/>
        </w:rPr>
        <w:t>2024</w:t>
      </w:r>
      <w:r>
        <w:rPr>
          <w:rFonts w:hint="eastAsia"/>
          <w:b w:val="0"/>
          <w:bCs w:val="0"/>
          <w:sz w:val="28"/>
          <w:szCs w:val="28"/>
        </w:rPr>
        <w:t>年预算安排</w:t>
      </w:r>
      <w:r>
        <w:rPr>
          <w:sz w:val="28"/>
          <w:u w:color="auto"/>
        </w:rPr>
        <w:t>6.79</w:t>
      </w:r>
      <w:r>
        <w:rPr>
          <w:rFonts w:hint="eastAsia"/>
          <w:b w:val="0"/>
          <w:bCs w:val="0"/>
          <w:sz w:val="28"/>
          <w:szCs w:val="28"/>
        </w:rPr>
        <w:t>万元，较2023年度预算数</w:t>
      </w:r>
      <w:r>
        <w:rPr>
          <w:sz w:val="28"/>
          <w:u w:color="auto"/>
        </w:rPr>
        <w:t>6.79</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增长0.00%</w:t>
      </w:r>
      <w:r>
        <w:rPr>
          <w:rFonts w:hint="eastAsia"/>
          <w:b w:val="0"/>
          <w:bCs w:val="0"/>
          <w:sz w:val="28"/>
          <w:szCs w:val="28"/>
        </w:rPr>
        <w:t>，其中：</w:t>
      </w:r>
    </w:p>
    <w:p>
      <w:pPr>
        <w:pStyle w:val="16"/>
        <w:tabs>
          <w:tab w:val="left" w:pos="1253"/>
        </w:tabs>
        <w:spacing w:after="0" w:line="629" w:lineRule="exact"/>
        <w:ind w:firstLine="600"/>
        <w:jc w:val="left"/>
        <w:rPr>
          <w:rFonts w:hint="eastAsia" w:eastAsia="宋体"/>
          <w:b w:val="0"/>
          <w:bCs w:val="0"/>
          <w:sz w:val="28"/>
          <w:szCs w:val="28"/>
          <w:lang w:eastAsia="zh-CN"/>
        </w:rPr>
      </w:pPr>
      <w:r>
        <w:rPr>
          <w:rFonts w:hint="eastAsia"/>
          <w:b w:val="0"/>
          <w:bCs w:val="0"/>
          <w:sz w:val="28"/>
          <w:szCs w:val="28"/>
        </w:rPr>
        <w:t>公务用车购置费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highlight w:val="none"/>
          <w:lang w:val="en-US" w:eastAsia="zh-CN"/>
        </w:rPr>
        <w:t>我单位2023、2024年无公务用车购置费预算</w:t>
      </w:r>
      <w:r>
        <w:rPr>
          <w:rFonts w:hint="eastAsia"/>
          <w:b w:val="0"/>
          <w:bCs w:val="0"/>
          <w:sz w:val="28"/>
          <w:szCs w:val="28"/>
        </w:rPr>
        <w:t>。</w:t>
      </w:r>
    </w:p>
    <w:p>
      <w:pPr>
        <w:pStyle w:val="16"/>
        <w:tabs>
          <w:tab w:val="left" w:pos="1253"/>
        </w:tabs>
        <w:spacing w:after="0" w:line="629" w:lineRule="exact"/>
        <w:ind w:firstLine="600"/>
        <w:jc w:val="left"/>
        <w:rPr>
          <w:rFonts w:hint="eastAsia"/>
          <w:b w:val="0"/>
          <w:bCs w:val="0"/>
          <w:sz w:val="28"/>
          <w:szCs w:val="28"/>
        </w:rPr>
      </w:pPr>
      <w:r>
        <w:rPr>
          <w:rFonts w:hint="eastAsia"/>
          <w:b w:val="0"/>
          <w:bCs w:val="0"/>
          <w:sz w:val="28"/>
          <w:szCs w:val="28"/>
        </w:rPr>
        <w:t>公务用车运行维护费</w:t>
      </w:r>
      <w:r>
        <w:rPr>
          <w:rFonts w:hint="eastAsia"/>
          <w:b w:val="0"/>
          <w:bCs w:val="0"/>
          <w:sz w:val="28"/>
          <w:szCs w:val="28"/>
          <w:lang w:eastAsia="zh-CN"/>
        </w:rPr>
        <w:t>2024</w:t>
      </w:r>
      <w:r>
        <w:rPr>
          <w:rFonts w:hint="eastAsia"/>
          <w:b w:val="0"/>
          <w:bCs w:val="0"/>
          <w:sz w:val="28"/>
          <w:szCs w:val="28"/>
        </w:rPr>
        <w:t>年预算安排</w:t>
      </w:r>
      <w:r>
        <w:rPr>
          <w:sz w:val="28"/>
          <w:u w:color="auto"/>
        </w:rPr>
        <w:t>6.79</w:t>
      </w:r>
      <w:r>
        <w:rPr>
          <w:rFonts w:hint="eastAsia"/>
          <w:b w:val="0"/>
          <w:bCs w:val="0"/>
          <w:sz w:val="28"/>
          <w:szCs w:val="28"/>
        </w:rPr>
        <w:t>万元，较2023年度预算数</w:t>
      </w:r>
      <w:r>
        <w:rPr>
          <w:sz w:val="28"/>
          <w:u w:color="auto"/>
        </w:rPr>
        <w:t>6.79</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增长0.00%</w:t>
      </w:r>
      <w:r>
        <w:rPr>
          <w:rFonts w:hint="eastAsia"/>
          <w:b w:val="0"/>
          <w:bCs w:val="0"/>
          <w:sz w:val="28"/>
          <w:szCs w:val="28"/>
        </w:rPr>
        <w:t>，主要原因是</w:t>
      </w:r>
      <w:r>
        <w:rPr>
          <w:rFonts w:hint="eastAsia"/>
          <w:highlight w:val="none"/>
          <w:lang w:val="en-US" w:eastAsia="zh-CN"/>
        </w:rPr>
        <w:t>2023、2024年车辆数一样，故预算数一样</w:t>
      </w:r>
      <w:r>
        <w:rPr>
          <w:rFonts w:hint="eastAsia"/>
          <w:b w:val="0"/>
          <w:bCs w:val="0"/>
          <w:sz w:val="28"/>
          <w:szCs w:val="28"/>
        </w:rPr>
        <w:t>。</w:t>
      </w:r>
    </w:p>
    <w:p>
      <w:pPr>
        <w:pStyle w:val="16"/>
        <w:tabs>
          <w:tab w:val="left" w:pos="1235"/>
        </w:tabs>
        <w:spacing w:after="0" w:line="624" w:lineRule="exact"/>
        <w:ind w:firstLine="580"/>
        <w:jc w:val="left"/>
        <w:rPr>
          <w:b/>
          <w:bCs/>
        </w:rPr>
      </w:pPr>
      <w:r>
        <w:rPr>
          <w:b/>
          <w:bCs/>
        </w:rPr>
        <w:t>八</w:t>
      </w:r>
      <w:bookmarkEnd w:id="14"/>
      <w:r>
        <w:rPr>
          <w:b/>
          <w:bCs/>
        </w:rPr>
        <w:t>、</w:t>
      </w:r>
      <w:r>
        <w:rPr>
          <w:b/>
          <w:bCs/>
        </w:rPr>
        <w:tab/>
      </w:r>
      <w:r>
        <w:rPr>
          <w:b/>
          <w:bCs/>
        </w:rPr>
        <w:t>政府性基金预算支出情况说明</w:t>
      </w:r>
    </w:p>
    <w:p>
      <w:pPr>
        <w:pStyle w:val="18"/>
        <w:spacing w:line="629" w:lineRule="exact"/>
        <w:ind w:firstLine="600"/>
        <w:jc w:val="left"/>
        <w:rPr>
          <w:rFonts w:hint="eastAsia" w:eastAsia="宋体"/>
          <w:lang w:eastAsia="zh-CN"/>
        </w:rPr>
      </w:pPr>
      <w:r>
        <w:rPr>
          <w:rFonts w:hint="eastAsia"/>
        </w:rPr>
        <w:t>我部门</w:t>
      </w:r>
      <w:r>
        <w:rPr>
          <w:rFonts w:hint="eastAsia"/>
          <w:b w:val="0"/>
          <w:bCs w:val="0"/>
          <w:sz w:val="28"/>
          <w:szCs w:val="28"/>
          <w:lang w:eastAsia="zh-CN"/>
        </w:rPr>
        <w:t>2024</w:t>
      </w:r>
      <w:r>
        <w:rPr>
          <w:rFonts w:hint="eastAsia"/>
        </w:rPr>
        <w:t>年政府性基金预算支出共</w:t>
      </w:r>
      <w:r>
        <w:rPr>
          <w:rFonts w:hint="eastAsia"/>
          <w:b w:val="0"/>
          <w:bCs w:val="0"/>
          <w:sz w:val="28"/>
          <w:szCs w:val="28"/>
          <w:lang w:eastAsia="zh-CN"/>
        </w:rPr>
        <w:t>0.00</w:t>
      </w:r>
      <w:r>
        <w:rPr>
          <w:rFonts w:hint="eastAsia"/>
        </w:rPr>
        <w:t>万元，较2023年度预算数</w:t>
      </w:r>
      <w:r>
        <w:rPr>
          <w:rFonts w:hint="eastAsia"/>
          <w:b w:val="0"/>
          <w:bCs w:val="0"/>
          <w:sz w:val="28"/>
          <w:szCs w:val="28"/>
          <w:lang w:eastAsia="zh-CN"/>
        </w:rPr>
        <w:t>0.00</w:t>
      </w:r>
      <w:r>
        <w:rPr>
          <w:rFonts w:hint="eastAsia"/>
        </w:rPr>
        <w:t>万元，</w:t>
      </w:r>
      <w:r>
        <w:rPr>
          <w:rFonts w:hint="eastAsia"/>
          <w:b w:val="0"/>
          <w:bCs w:val="0"/>
          <w:sz w:val="28"/>
          <w:szCs w:val="28"/>
          <w:lang w:eastAsia="zh-CN"/>
        </w:rPr>
        <w:t>增加0.00</w:t>
      </w:r>
      <w:r>
        <w:rPr>
          <w:rFonts w:hint="eastAsia"/>
        </w:rPr>
        <w:t>万元，</w:t>
      </w:r>
      <w:r>
        <w:rPr>
          <w:rFonts w:hint="eastAsia"/>
          <w:b w:val="0"/>
          <w:bCs w:val="0"/>
          <w:sz w:val="28"/>
          <w:szCs w:val="28"/>
          <w:lang w:eastAsia="zh-CN"/>
        </w:rPr>
        <w:t>增长0%</w:t>
      </w:r>
      <w:r>
        <w:rPr>
          <w:rFonts w:hint="eastAsia"/>
        </w:rPr>
        <w:t>，主要原因是</w:t>
      </w:r>
      <w:r>
        <w:rPr>
          <w:rFonts w:hint="eastAsia"/>
          <w:highlight w:val="none"/>
          <w:lang w:val="en-US" w:eastAsia="zh-CN"/>
        </w:rPr>
        <w:t>我部门2024年无政府性基金预算</w:t>
      </w:r>
      <w:r>
        <w:rPr>
          <w:rFonts w:hint="eastAsia"/>
        </w:rPr>
        <w:t>。</w:t>
      </w:r>
    </w:p>
    <w:p>
      <w:pPr>
        <w:pStyle w:val="16"/>
        <w:tabs>
          <w:tab w:val="left" w:pos="1235"/>
        </w:tabs>
        <w:spacing w:after="0" w:line="624" w:lineRule="exact"/>
        <w:ind w:firstLine="580"/>
        <w:jc w:val="left"/>
        <w:rPr>
          <w:b/>
          <w:bCs/>
        </w:rPr>
      </w:pPr>
      <w:bookmarkStart w:id="15" w:name="bookmark91"/>
      <w:r>
        <w:rPr>
          <w:b/>
          <w:bCs/>
        </w:rPr>
        <w:t>九</w:t>
      </w:r>
      <w:bookmarkEnd w:id="15"/>
      <w:r>
        <w:rPr>
          <w:b/>
          <w:bCs/>
        </w:rPr>
        <w:t>、</w:t>
      </w:r>
      <w:r>
        <w:rPr>
          <w:b/>
          <w:bCs/>
        </w:rPr>
        <w:tab/>
      </w:r>
      <w:r>
        <w:rPr>
          <w:b/>
          <w:bCs/>
        </w:rPr>
        <w:t>国有资本经营预算支出情况说明</w:t>
      </w:r>
    </w:p>
    <w:p>
      <w:pPr>
        <w:pStyle w:val="18"/>
        <w:spacing w:line="437" w:lineRule="auto"/>
        <w:ind w:firstLine="600"/>
        <w:jc w:val="left"/>
        <w:rPr>
          <w:rFonts w:hint="eastAsia" w:eastAsia="宋体"/>
          <w:lang w:eastAsia="zh-CN"/>
        </w:rPr>
      </w:pPr>
      <w:r>
        <w:rPr>
          <w:rFonts w:hint="eastAsia"/>
        </w:rPr>
        <w:t>我部门</w:t>
      </w:r>
      <w:r>
        <w:rPr>
          <w:rFonts w:hint="eastAsia"/>
          <w:lang w:eastAsia="zh-CN"/>
        </w:rPr>
        <w:t>2024</w:t>
      </w:r>
      <w:r>
        <w:rPr>
          <w:rFonts w:hint="eastAsia"/>
        </w:rPr>
        <w:t>年国有资本经营预算支出共</w:t>
      </w:r>
      <w:r>
        <w:rPr>
          <w:rFonts w:hint="eastAsia"/>
          <w:lang w:eastAsia="zh-CN"/>
        </w:rPr>
        <w:t>0.00</w:t>
      </w:r>
      <w:r>
        <w:rPr>
          <w:rFonts w:hint="eastAsia"/>
        </w:rPr>
        <w:t>万元，较2023年度预算数</w:t>
      </w:r>
      <w:r>
        <w:rPr>
          <w:rFonts w:hint="eastAsia"/>
          <w:lang w:eastAsia="zh-CN"/>
        </w:rPr>
        <w:t>0.00</w:t>
      </w:r>
      <w:r>
        <w:rPr>
          <w:rFonts w:hint="eastAsia"/>
        </w:rPr>
        <w:t>万元，</w:t>
      </w:r>
      <w:r>
        <w:rPr>
          <w:rFonts w:hint="eastAsia"/>
          <w:lang w:eastAsia="zh-CN"/>
        </w:rPr>
        <w:t>增加0.00</w:t>
      </w:r>
      <w:r>
        <w:rPr>
          <w:rFonts w:hint="eastAsia"/>
        </w:rPr>
        <w:t>万元，</w:t>
      </w:r>
      <w:r>
        <w:rPr>
          <w:rFonts w:hint="eastAsia"/>
          <w:lang w:eastAsia="zh-CN"/>
        </w:rPr>
        <w:t>增长0%</w:t>
      </w:r>
      <w:r>
        <w:rPr>
          <w:rFonts w:hint="eastAsia"/>
        </w:rPr>
        <w:t>，主要原因是</w:t>
      </w:r>
      <w:r>
        <w:rPr>
          <w:rFonts w:hint="eastAsia"/>
          <w:lang w:val="en-US" w:eastAsia="zh-CN"/>
        </w:rPr>
        <w:t>我部门2024年无国有资本经营预算</w:t>
      </w:r>
      <w:r>
        <w:rPr>
          <w:rFonts w:hint="eastAsia"/>
        </w:rPr>
        <w:t>。</w:t>
      </w:r>
    </w:p>
    <w:p>
      <w:pPr>
        <w:pStyle w:val="16"/>
        <w:tabs>
          <w:tab w:val="left" w:pos="1235"/>
        </w:tabs>
        <w:spacing w:after="0" w:line="624" w:lineRule="exact"/>
        <w:ind w:firstLine="580"/>
        <w:jc w:val="left"/>
        <w:rPr>
          <w:b/>
          <w:bCs/>
        </w:rPr>
      </w:pPr>
      <w:r>
        <w:rPr>
          <w:b/>
          <w:bCs/>
        </w:rPr>
        <w:t>十、其他重要事项</w:t>
      </w:r>
      <w:r>
        <w:rPr>
          <w:rFonts w:hint="eastAsia"/>
          <w:b/>
          <w:bCs/>
          <w:lang w:val="en-US" w:eastAsia="zh-CN"/>
        </w:rPr>
        <w:t>情况</w:t>
      </w:r>
      <w:r>
        <w:rPr>
          <w:b/>
          <w:bCs/>
        </w:rPr>
        <w:t>说明</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（一）机关运行经费安排情况说明</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b w:val="0"/>
          <w:bCs w:val="0"/>
          <w:sz w:val="28"/>
          <w:szCs w:val="28"/>
          <w:lang w:eastAsia="zh-CN"/>
        </w:rPr>
        <w:t>2024</w:t>
      </w:r>
      <w:r>
        <w:rPr>
          <w:rFonts w:hint="eastAsia" w:ascii="宋体" w:hAnsi="宋体" w:eastAsia="宋体" w:cs="宋体"/>
          <w:sz w:val="28"/>
          <w:szCs w:val="28"/>
          <w:lang w:eastAsia="zh-CN"/>
        </w:rPr>
        <w:t>年本部门机关运行经费预算</w:t>
      </w:r>
      <w:r>
        <w:rPr>
          <w:rFonts w:hint="eastAsia" w:ascii="宋体" w:hAnsi="宋体" w:eastAsia="宋体" w:cs="宋体"/>
          <w:sz w:val="28"/>
          <w:szCs w:val="28"/>
          <w:lang w:val="en-US" w:eastAsia="zh-CN"/>
        </w:rPr>
        <w:t>25.22</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28.85</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减少3.63</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下降12.58%</w:t>
      </w:r>
      <w:r>
        <w:rPr>
          <w:rFonts w:hint="eastAsia" w:ascii="宋体" w:hAnsi="宋体" w:eastAsia="宋体" w:cs="宋体"/>
          <w:sz w:val="28"/>
          <w:szCs w:val="28"/>
          <w:lang w:eastAsia="zh-CN"/>
        </w:rPr>
        <w:t>，主要原因是：</w:t>
      </w:r>
      <w:r>
        <w:rPr>
          <w:rFonts w:hint="eastAsia"/>
          <w:highlight w:val="none"/>
          <w:lang w:val="en-US" w:eastAsia="zh-CN"/>
        </w:rPr>
        <w:t>上级部门控制、压缩经费</w:t>
      </w:r>
      <w:r>
        <w:rPr>
          <w:rFonts w:hint="eastAsia" w:ascii="宋体" w:hAnsi="宋体" w:eastAsia="宋体" w:cs="宋体"/>
          <w:sz w:val="28"/>
          <w:szCs w:val="28"/>
          <w:lang w:eastAsia="zh-CN"/>
        </w:rPr>
        <w:t>。</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（二）政府采购预算安排情况说明</w:t>
      </w:r>
    </w:p>
    <w:p>
      <w:pPr>
        <w:pStyle w:val="18"/>
        <w:spacing w:line="624" w:lineRule="exact"/>
        <w:ind w:firstLine="600"/>
        <w:jc w:val="left"/>
        <w:rPr>
          <w:rFonts w:hint="default" w:ascii="宋体" w:hAnsi="宋体" w:eastAsia="宋体" w:cs="宋体"/>
          <w:sz w:val="28"/>
          <w:szCs w:val="28"/>
          <w:lang w:val="en-US" w:eastAsia="zh-CN"/>
        </w:rPr>
      </w:pPr>
      <w:r>
        <w:rPr>
          <w:rFonts w:hint="eastAsia" w:ascii="宋体" w:hAnsi="宋体" w:eastAsia="宋体" w:cs="宋体"/>
          <w:sz w:val="28"/>
          <w:szCs w:val="28"/>
          <w:lang w:eastAsia="zh-CN"/>
        </w:rPr>
        <w:t>我部门2024年政府采购预算总金额</w:t>
      </w:r>
      <w:r>
        <w:rPr>
          <w:rFonts w:hint="eastAsia"/>
          <w:highlight w:val="none"/>
          <w:lang w:val="en-US" w:eastAsia="zh-CN"/>
        </w:rPr>
        <w:t>0</w:t>
      </w:r>
      <w:r>
        <w:rPr>
          <w:rFonts w:hint="eastAsia" w:ascii="宋体" w:hAnsi="宋体" w:eastAsia="宋体" w:cs="宋体"/>
          <w:sz w:val="28"/>
          <w:szCs w:val="28"/>
          <w:lang w:eastAsia="zh-CN"/>
        </w:rPr>
        <w:t>万元。其中：货物类采购</w:t>
      </w:r>
      <w:r>
        <w:rPr>
          <w:rFonts w:hint="eastAsia"/>
          <w:highlight w:val="none"/>
          <w:lang w:val="en-US" w:eastAsia="zh-CN"/>
        </w:rPr>
        <w:t>0</w:t>
      </w:r>
      <w:r>
        <w:rPr>
          <w:rFonts w:hint="eastAsia" w:ascii="宋体" w:hAnsi="宋体" w:eastAsia="宋体" w:cs="宋体"/>
          <w:sz w:val="28"/>
          <w:szCs w:val="28"/>
          <w:lang w:eastAsia="zh-CN"/>
        </w:rPr>
        <w:t>万元、工程类采购</w:t>
      </w:r>
      <w:r>
        <w:rPr>
          <w:rFonts w:hint="eastAsia"/>
          <w:highlight w:val="none"/>
          <w:lang w:val="en-US" w:eastAsia="zh-CN"/>
        </w:rPr>
        <w:t>0</w:t>
      </w:r>
      <w:r>
        <w:rPr>
          <w:rFonts w:hint="eastAsia" w:ascii="宋体" w:hAnsi="宋体" w:eastAsia="宋体" w:cs="宋体"/>
          <w:sz w:val="28"/>
          <w:szCs w:val="28"/>
          <w:lang w:eastAsia="zh-CN"/>
        </w:rPr>
        <w:t>万元、服务类采购</w:t>
      </w:r>
      <w:r>
        <w:rPr>
          <w:rFonts w:hint="eastAsia"/>
          <w:highlight w:val="none"/>
          <w:lang w:val="en-US" w:eastAsia="zh-CN"/>
        </w:rPr>
        <w:t>0</w:t>
      </w:r>
      <w:r>
        <w:rPr>
          <w:rFonts w:hint="eastAsia" w:ascii="宋体" w:hAnsi="宋体" w:eastAsia="宋体" w:cs="宋体"/>
          <w:sz w:val="28"/>
          <w:szCs w:val="28"/>
          <w:lang w:eastAsia="zh-CN"/>
        </w:rPr>
        <w:t>万元。</w:t>
      </w:r>
      <w:r>
        <w:rPr>
          <w:rFonts w:hint="eastAsia" w:cs="宋体"/>
          <w:sz w:val="28"/>
          <w:szCs w:val="28"/>
          <w:lang w:val="en-US" w:eastAsia="zh-CN"/>
        </w:rPr>
        <w:t>主要用于：</w:t>
      </w:r>
      <w:r>
        <w:rPr>
          <w:rFonts w:hint="eastAsia"/>
          <w:highlight w:val="none"/>
          <w:lang w:val="en-US" w:eastAsia="zh-CN"/>
        </w:rPr>
        <w:t>我单位没有服务类采购。</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（三）国有资产占用情况说明</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截至2023年12月31日，本部门共有车辆</w:t>
      </w:r>
      <w:r>
        <w:rPr>
          <w:rFonts w:hint="eastAsia"/>
          <w:highlight w:val="none"/>
          <w:lang w:val="en-US" w:eastAsia="zh-CN"/>
        </w:rPr>
        <w:t>4</w:t>
      </w:r>
      <w:r>
        <w:rPr>
          <w:rFonts w:hint="eastAsia" w:ascii="宋体" w:hAnsi="宋体" w:eastAsia="宋体" w:cs="宋体"/>
          <w:sz w:val="28"/>
          <w:szCs w:val="28"/>
          <w:lang w:eastAsia="zh-CN"/>
        </w:rPr>
        <w:t>辆，其中，应急机要通信用车</w:t>
      </w:r>
      <w:r>
        <w:rPr>
          <w:rFonts w:hint="eastAsia"/>
          <w:highlight w:val="none"/>
          <w:lang w:val="en-US" w:eastAsia="zh-CN"/>
        </w:rPr>
        <w:t>0</w:t>
      </w:r>
      <w:r>
        <w:rPr>
          <w:rFonts w:hint="eastAsia" w:ascii="宋体" w:hAnsi="宋体" w:eastAsia="宋体" w:cs="宋体"/>
          <w:sz w:val="28"/>
          <w:szCs w:val="28"/>
          <w:lang w:eastAsia="zh-CN"/>
        </w:rPr>
        <w:t>辆、一般执法执勤用车</w:t>
      </w:r>
      <w:r>
        <w:rPr>
          <w:rFonts w:hint="eastAsia"/>
          <w:highlight w:val="none"/>
          <w:lang w:val="en-US" w:eastAsia="zh-CN"/>
        </w:rPr>
        <w:t>0</w:t>
      </w:r>
      <w:r>
        <w:rPr>
          <w:rFonts w:hint="eastAsia" w:ascii="宋体" w:hAnsi="宋体" w:eastAsia="宋体" w:cs="宋体"/>
          <w:sz w:val="28"/>
          <w:szCs w:val="28"/>
          <w:lang w:eastAsia="zh-CN"/>
        </w:rPr>
        <w:t>辆、特种专业技术用车</w:t>
      </w:r>
      <w:r>
        <w:rPr>
          <w:rFonts w:hint="eastAsia"/>
          <w:highlight w:val="none"/>
          <w:lang w:val="en-US" w:eastAsia="zh-CN"/>
        </w:rPr>
        <w:t>0</w:t>
      </w:r>
      <w:r>
        <w:rPr>
          <w:rFonts w:hint="eastAsia" w:ascii="宋体" w:hAnsi="宋体" w:eastAsia="宋体" w:cs="宋体"/>
          <w:sz w:val="28"/>
          <w:szCs w:val="28"/>
          <w:lang w:eastAsia="zh-CN"/>
        </w:rPr>
        <w:t>辆、其他用车</w:t>
      </w:r>
      <w:r>
        <w:rPr>
          <w:rFonts w:hint="eastAsia"/>
          <w:highlight w:val="none"/>
          <w:lang w:val="en-US" w:eastAsia="zh-CN"/>
        </w:rPr>
        <w:t>4</w:t>
      </w:r>
      <w:r>
        <w:rPr>
          <w:rFonts w:hint="eastAsia" w:ascii="宋体" w:hAnsi="宋体" w:eastAsia="宋体" w:cs="宋体"/>
          <w:sz w:val="28"/>
          <w:szCs w:val="28"/>
          <w:lang w:eastAsia="zh-CN"/>
        </w:rPr>
        <w:t>辆，单位价值200万元以上大型设备</w:t>
      </w:r>
      <w:r>
        <w:rPr>
          <w:rFonts w:hint="eastAsia"/>
          <w:highlight w:val="none"/>
          <w:lang w:val="en-US" w:eastAsia="zh-CN"/>
        </w:rPr>
        <w:t>0</w:t>
      </w:r>
      <w:r>
        <w:rPr>
          <w:rFonts w:hint="eastAsia" w:ascii="宋体" w:hAnsi="宋体" w:eastAsia="宋体" w:cs="宋体"/>
          <w:sz w:val="28"/>
          <w:szCs w:val="28"/>
          <w:lang w:eastAsia="zh-CN"/>
        </w:rPr>
        <w:t>台（套）。</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（四）预算绩效目标情况说明</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1.我部门2024年所有项目支出全面实施绩效目标管理，涉及项目</w:t>
      </w:r>
      <w:r>
        <w:rPr>
          <w:rFonts w:hint="eastAsia"/>
          <w:highlight w:val="none"/>
          <w:lang w:val="en-US" w:eastAsia="zh-CN"/>
        </w:rPr>
        <w:t>2</w:t>
      </w:r>
      <w:r>
        <w:rPr>
          <w:rFonts w:hint="eastAsia" w:ascii="宋体" w:hAnsi="宋体" w:eastAsia="宋体" w:cs="宋体"/>
          <w:sz w:val="28"/>
          <w:szCs w:val="28"/>
          <w:lang w:eastAsia="zh-CN"/>
        </w:rPr>
        <w:t>个，预算资金</w:t>
      </w:r>
      <w:r>
        <w:rPr>
          <w:rFonts w:hint="eastAsia"/>
          <w:highlight w:val="none"/>
          <w:lang w:val="en-US" w:eastAsia="zh-CN"/>
        </w:rPr>
        <w:t>86.35</w:t>
      </w:r>
      <w:r>
        <w:rPr>
          <w:rFonts w:hint="eastAsia" w:ascii="宋体" w:hAnsi="宋体" w:eastAsia="宋体" w:cs="宋体"/>
          <w:sz w:val="28"/>
          <w:szCs w:val="28"/>
          <w:lang w:eastAsia="zh-CN"/>
        </w:rPr>
        <w:t>万元。绩效目标情况详见报表（日常运转类项目、工资类人员经费项目和涉密项目等除外）。</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2.重点项目预算绩效目标说明。</w:t>
      </w:r>
    </w:p>
    <w:p>
      <w:pPr>
        <w:pStyle w:val="18"/>
        <w:spacing w:line="624" w:lineRule="exact"/>
        <w:ind w:firstLine="600"/>
        <w:jc w:val="left"/>
        <w:rPr>
          <w:rFonts w:hint="eastAsia"/>
          <w:highlight w:val="none"/>
          <w:lang w:val="en-US" w:eastAsia="zh-CN"/>
        </w:rPr>
      </w:pPr>
      <w:r>
        <w:rPr>
          <w:rFonts w:hint="eastAsia"/>
          <w:highlight w:val="none"/>
          <w:lang w:val="en-US" w:eastAsia="zh-CN"/>
        </w:rPr>
        <w:t>重点项目一：项目名称农机购置补贴，预算资金66万元，2024年度绩效目标为：实施农机购置补贴资金结算管理，2024年度安排6万元资金；对高架网床环保猪舍补贴安排60万元。设1条数量指标：农机购置补贴数量机具数≥1台套；设1条质量指标：资金发放准确率（%）≥95%；设1条时效指标：农机购置补贴业务检查指导完成时间在2024年度内；设1条成本指标：补贴资金额度=66万元；设1条社会效益指标：直接受益户数（个）≥1户；设1条可持续影响指标：机具持续使用年度≥3年；设1条满意度指标：购机户、新型经营主体等对项目实施的满意度≥95%。</w:t>
      </w:r>
    </w:p>
    <w:p>
      <w:pPr>
        <w:pStyle w:val="18"/>
        <w:spacing w:line="624" w:lineRule="exact"/>
        <w:ind w:firstLine="600"/>
        <w:jc w:val="left"/>
        <w:rPr>
          <w:rFonts w:hint="eastAsia"/>
          <w:highlight w:val="none"/>
          <w:lang w:val="en-US" w:eastAsia="zh-CN"/>
        </w:rPr>
      </w:pPr>
    </w:p>
    <w:p>
      <w:pPr>
        <w:pStyle w:val="18"/>
        <w:spacing w:line="624" w:lineRule="exact"/>
        <w:ind w:firstLine="600"/>
        <w:jc w:val="left"/>
        <w:rPr>
          <w:rFonts w:hint="default"/>
          <w:highlight w:val="none"/>
          <w:lang w:val="en-US" w:eastAsia="zh-CN"/>
        </w:rPr>
        <w:sectPr>
          <w:headerReference r:id="rId4" w:type="default"/>
          <w:footerReference r:id="rId5" w:type="default"/>
          <w:pgSz w:w="11900" w:h="16840"/>
          <w:pgMar w:top="1440" w:right="1800" w:bottom="1440" w:left="1800" w:header="0" w:footer="3" w:gutter="0"/>
          <w:pgBorders>
            <w:top w:val="none" w:sz="0" w:space="0"/>
            <w:left w:val="none" w:sz="0" w:space="0"/>
            <w:bottom w:val="none" w:sz="0" w:space="0"/>
            <w:right w:val="none" w:sz="0" w:space="0"/>
          </w:pgBorders>
          <w:cols w:space="720" w:num="1"/>
          <w:docGrid w:linePitch="360" w:charSpace="0"/>
        </w:sectPr>
      </w:pPr>
    </w:p>
    <w:bookmarkEnd w:id="10"/>
    <w:bookmarkEnd w:id="11"/>
    <w:bookmarkEnd w:id="12"/>
    <w:p>
      <w:pPr>
        <w:pStyle w:val="12"/>
        <w:keepNext/>
        <w:keepLines/>
        <w:spacing w:after="980"/>
        <w:jc w:val="center"/>
        <w:rPr>
          <w:rFonts w:hint="eastAsia" w:ascii="宋体" w:hAnsi="宋体" w:eastAsia="宋体" w:cs="宋体"/>
          <w:b/>
          <w:bCs/>
          <w:sz w:val="36"/>
          <w:szCs w:val="36"/>
        </w:rPr>
      </w:pPr>
      <w:r>
        <w:rPr>
          <w:rFonts w:hint="eastAsia" w:ascii="宋体" w:hAnsi="宋体" w:eastAsia="宋体" w:cs="宋体"/>
          <w:b/>
          <w:bCs/>
          <w:sz w:val="36"/>
          <w:szCs w:val="36"/>
        </w:rPr>
        <w:t>第</w:t>
      </w:r>
      <w:r>
        <w:rPr>
          <w:rFonts w:hint="eastAsia" w:ascii="宋体" w:hAnsi="宋体" w:eastAsia="宋体" w:cs="宋体"/>
          <w:b/>
          <w:bCs/>
          <w:sz w:val="36"/>
          <w:szCs w:val="36"/>
          <w:lang w:val="en-US" w:eastAsia="zh-CN"/>
        </w:rPr>
        <w:t>三</w:t>
      </w:r>
      <w:r>
        <w:rPr>
          <w:rFonts w:hint="eastAsia" w:ascii="宋体" w:hAnsi="宋体" w:eastAsia="宋体" w:cs="宋体"/>
          <w:b/>
          <w:bCs/>
          <w:sz w:val="36"/>
          <w:szCs w:val="36"/>
        </w:rPr>
        <w:t>部分</w:t>
      </w:r>
      <w:r>
        <w:rPr>
          <w:rFonts w:hint="eastAsia" w:ascii="宋体" w:hAnsi="宋体" w:eastAsia="宋体" w:cs="宋体"/>
          <w:b/>
          <w:bCs/>
          <w:sz w:val="36"/>
          <w:szCs w:val="36"/>
          <w:lang w:eastAsia="zh-CN"/>
        </w:rPr>
        <w:t>环江毛南族自治县农业机械化服务中心</w:t>
      </w:r>
      <w:r>
        <w:rPr>
          <w:rFonts w:ascii="宋体" w:hAnsi="宋体" w:eastAsia="宋体" w:cs="宋体"/>
          <w:b/>
          <w:sz w:val="36"/>
          <w:u w:color="auto"/>
        </w:rPr>
        <w:t>2024年</w:t>
      </w:r>
      <w:r>
        <w:rPr>
          <w:rFonts w:hint="eastAsia" w:ascii="宋体" w:hAnsi="宋体" w:eastAsia="宋体" w:cs="宋体"/>
          <w:b/>
          <w:bCs/>
          <w:sz w:val="36"/>
          <w:szCs w:val="36"/>
        </w:rPr>
        <w:t>部门预算表</w:t>
      </w:r>
    </w:p>
    <w:p>
      <w:pPr>
        <w:pStyle w:val="22"/>
        <w:keepNext/>
        <w:keepLines/>
        <w:spacing w:after="240"/>
        <w:jc w:val="center"/>
      </w:pPr>
      <w:bookmarkStart w:id="16" w:name="bookmark30"/>
      <w:bookmarkStart w:id="17" w:name="bookmark31"/>
      <w:bookmarkStart w:id="18" w:name="bookmark29"/>
      <w:r>
        <w:t>收支总体情况表</w:t>
      </w:r>
      <w:bookmarkEnd w:id="16"/>
      <w:bookmarkEnd w:id="17"/>
      <w:bookmarkEnd w:id="18"/>
    </w:p>
    <w:tbl>
      <w:tblPr>
        <w:tblStyle w:val="4"/>
        <w:tblW w:w="0" w:type="auto"/>
        <w:tblInd w:w="0" w:type="dxa"/>
        <w:tblLayout w:type="fixed"/>
        <w:tblCellMar>
          <w:top w:w="0" w:type="dxa"/>
          <w:left w:w="10" w:type="dxa"/>
          <w:bottom w:w="0" w:type="dxa"/>
          <w:right w:w="10" w:type="dxa"/>
        </w:tblCellMar>
      </w:tblPr>
      <w:tblGrid>
        <w:gridCol w:w="3339"/>
        <w:gridCol w:w="3760"/>
        <w:gridCol w:w="3542"/>
        <w:gridCol w:w="3571"/>
      </w:tblGrid>
      <w:tr>
        <w:tblPrEx>
          <w:tblCellMar>
            <w:top w:w="0" w:type="dxa"/>
            <w:left w:w="10" w:type="dxa"/>
            <w:bottom w:w="0" w:type="dxa"/>
            <w:right w:w="10" w:type="dxa"/>
          </w:tblCellMar>
        </w:tblPrEx>
        <w:trPr>
          <w:trHeight w:val="331" w:hRule="exact"/>
        </w:trPr>
        <w:tc>
          <w:tcPr>
            <w:tcW w:w="10641" w:type="dxa"/>
            <w:gridSpan w:val="3"/>
            <w:tcBorders>
              <w:bottom w:val="single" w:color="auto" w:sz="4" w:space="0"/>
            </w:tcBorders>
            <w:shd w:val="clear" w:color="auto" w:fill="FFFFFF"/>
          </w:tcPr>
          <w:p>
            <w:pPr>
              <w:pStyle w:val="24"/>
              <w:spacing w:line="240" w:lineRule="auto"/>
              <w:ind w:firstLine="0"/>
              <w:jc w:val="left"/>
              <w:rPr>
                <w:sz w:val="17"/>
                <w:szCs w:val="17"/>
              </w:rPr>
            </w:pPr>
            <w:r>
              <w:rPr>
                <w:sz w:val="17"/>
                <w:szCs w:val="17"/>
              </w:rPr>
              <w:t>单位名称：</w:t>
            </w:r>
            <w:r>
              <w:rPr>
                <w:rFonts w:hint="eastAsia"/>
                <w:sz w:val="17"/>
                <w:szCs w:val="17"/>
                <w:lang w:eastAsia="zh-CN"/>
              </w:rPr>
              <w:t>环江毛南族自治县农业机械化服务中心</w:t>
            </w:r>
          </w:p>
        </w:tc>
        <w:tc>
          <w:tcPr>
            <w:tcW w:w="3571" w:type="dxa"/>
            <w:tcBorders>
              <w:bottom w:val="single" w:color="auto" w:sz="4" w:space="0"/>
            </w:tcBorders>
            <w:shd w:val="clear" w:color="auto" w:fill="FFFFFF"/>
          </w:tcPr>
          <w:p>
            <w:pPr>
              <w:pStyle w:val="24"/>
              <w:spacing w:line="240" w:lineRule="auto"/>
              <w:ind w:firstLine="2380" w:firstLineChars="1400"/>
              <w:jc w:val="left"/>
              <w:rPr>
                <w:sz w:val="17"/>
                <w:szCs w:val="17"/>
              </w:rPr>
            </w:pPr>
            <w:r>
              <w:rPr>
                <w:sz w:val="17"/>
                <w:szCs w:val="17"/>
              </w:rPr>
              <w:t>单位：万元</w:t>
            </w:r>
          </w:p>
        </w:tc>
      </w:tr>
      <w:tr>
        <w:tblPrEx>
          <w:tblCellMar>
            <w:top w:w="0" w:type="dxa"/>
            <w:left w:w="10" w:type="dxa"/>
            <w:bottom w:w="0" w:type="dxa"/>
            <w:right w:w="10" w:type="dxa"/>
          </w:tblCellMar>
        </w:tblPrEx>
        <w:trPr>
          <w:trHeight w:val="456" w:hRule="exact"/>
        </w:trPr>
        <w:tc>
          <w:tcPr>
            <w:tcW w:w="70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2890" w:firstLineChars="1700"/>
              <w:jc w:val="both"/>
              <w:rPr>
                <w:sz w:val="17"/>
                <w:szCs w:val="17"/>
              </w:rPr>
            </w:pPr>
            <w:r>
              <w:rPr>
                <w:sz w:val="17"/>
                <w:szCs w:val="17"/>
              </w:rPr>
              <w:t>收入</w:t>
            </w:r>
          </w:p>
        </w:tc>
        <w:tc>
          <w:tcPr>
            <w:tcW w:w="71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right="340" w:firstLine="2890" w:firstLineChars="1700"/>
              <w:jc w:val="both"/>
              <w:rPr>
                <w:sz w:val="17"/>
                <w:szCs w:val="17"/>
              </w:rPr>
            </w:pPr>
            <w:r>
              <w:rPr>
                <w:sz w:val="17"/>
                <w:szCs w:val="17"/>
              </w:rPr>
              <w:t>支出</w:t>
            </w:r>
          </w:p>
        </w:tc>
      </w:tr>
      <w:tr>
        <w:tblPrEx>
          <w:tblCellMar>
            <w:top w:w="0" w:type="dxa"/>
            <w:left w:w="10" w:type="dxa"/>
            <w:bottom w:w="0" w:type="dxa"/>
            <w:right w:w="10" w:type="dxa"/>
          </w:tblCellMar>
        </w:tblPrEx>
        <w:trPr>
          <w:trHeight w:val="432"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sz w:val="17"/>
                <w:szCs w:val="17"/>
              </w:rPr>
            </w:pPr>
            <w:r>
              <w:rPr>
                <w:sz w:val="17"/>
                <w:szCs w:val="17"/>
              </w:rPr>
              <w:t>项目</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sz w:val="17"/>
                <w:szCs w:val="17"/>
              </w:rPr>
            </w:pPr>
            <w:r>
              <w:rPr>
                <w:sz w:val="17"/>
                <w:szCs w:val="17"/>
              </w:rPr>
              <w:t>预算数</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tabs>
                <w:tab w:val="left" w:pos="894"/>
              </w:tabs>
              <w:spacing w:line="240" w:lineRule="auto"/>
              <w:jc w:val="left"/>
              <w:rPr>
                <w:sz w:val="17"/>
                <w:szCs w:val="17"/>
              </w:rPr>
            </w:pPr>
            <w:r>
              <w:rPr>
                <w:sz w:val="17"/>
                <w:szCs w:val="17"/>
              </w:rPr>
              <w:t>项</w:t>
            </w:r>
            <w:r>
              <w:rPr>
                <w:sz w:val="17"/>
                <w:szCs w:val="17"/>
              </w:rPr>
              <w:tab/>
            </w:r>
            <w:r>
              <w:rPr>
                <w:sz w:val="17"/>
                <w:szCs w:val="17"/>
              </w:rPr>
              <w:t>目（按支出功能科目分类）</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sz w:val="17"/>
                <w:szCs w:val="17"/>
              </w:rPr>
            </w:pPr>
            <w:r>
              <w:rPr>
                <w:sz w:val="17"/>
                <w:szCs w:val="17"/>
              </w:rPr>
              <w:t>预算数</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一、一般公共预算拨款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538.89</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一、一般公共服务支出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4.03</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 xml:space="preserve">     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89.11</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二、外交支出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 xml:space="preserve">     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449.78</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三、国防支出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二、政府性基金预算拨款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四、公共安全支出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 xml:space="preserve">     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五、教育支出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 xml:space="preserve">     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六、科学技术支出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三、国有资本经营预算拨款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七、文化旅游体育与传媒支出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八、社会保障和就业支出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45.90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九、卫生健康支出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四、财政专户管理资金收入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十、节能环保支出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五、事业收入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十一、城乡社区支出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六、事业单位经营收入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十二、农林水支出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449.70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七、上级补助收入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十三、交通运输支出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八、附属单位上缴收入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十四、资源勘探工业信息等支出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九、其他收入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十五、商业服务业等支出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十六、金融支出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十七、援助其他地区支出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十八、自然资源海洋气象等支出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十九、住房保障支出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39.25</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二十、粮油物资储备支出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二十一、国有资本经营预算支出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二十二、灾害防治及应急管理支出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二十三、其他支出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二十四、债务还本支出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二十五、债务付息支出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二十六、债务发行费用支出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本年收入合计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538.89</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本年支出合计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538.89</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上年结转结余</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结转下年支出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收入总计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538.89</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支出总计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538.89</w:t>
            </w:r>
          </w:p>
        </w:tc>
      </w:tr>
    </w:tbl>
    <w:p>
      <w:pPr>
        <w:pStyle w:val="26"/>
        <w:ind w:left="101"/>
        <w:jc w:val="left"/>
      </w:pPr>
      <w:r>
        <w:t>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r:id="rId6" w:type="default"/>
          <w:footerReference r:id="rId7" w:type="default"/>
          <w:pgSz w:w="16840" w:h="11900" w:orient="landscape"/>
          <w:pgMar w:top="2397" w:right="761" w:bottom="1966" w:left="739" w:header="0" w:footer="3" w:gutter="0"/>
          <w:pgBorders>
            <w:top w:val="none" w:sz="0" w:space="0"/>
            <w:left w:val="none" w:sz="0" w:space="0"/>
            <w:bottom w:val="none" w:sz="0" w:space="0"/>
            <w:right w:val="none" w:sz="0" w:space="0"/>
          </w:pgBorders>
          <w:cols w:space="720" w:num="1"/>
          <w:docGrid w:linePitch="360" w:charSpace="0"/>
        </w:sectPr>
      </w:pPr>
    </w:p>
    <w:p>
      <w:pPr>
        <w:tabs>
          <w:tab w:val="left" w:pos="859"/>
        </w:tabs>
        <w:jc w:val="left"/>
        <w:rPr>
          <w:rFonts w:eastAsia="宋体"/>
          <w:lang w:eastAsia="zh-CN"/>
        </w:rPr>
      </w:pPr>
    </w:p>
    <w:p>
      <w:pPr>
        <w:tabs>
          <w:tab w:val="left" w:pos="859"/>
        </w:tabs>
        <w:jc w:val="center"/>
        <w:rPr>
          <w:rFonts w:hint="eastAsia" w:eastAsia="宋体"/>
          <w:lang w:val="en-US" w:eastAsia="zh-CN"/>
        </w:rPr>
      </w:pPr>
    </w:p>
    <w:p>
      <w:pPr>
        <w:tabs>
          <w:tab w:val="left" w:pos="859"/>
        </w:tabs>
        <w:jc w:val="center"/>
        <w:rPr>
          <w:rFonts w:hint="eastAsia" w:eastAsia="宋体"/>
          <w:lang w:val="en-US" w:eastAsia="zh-CN"/>
        </w:rPr>
      </w:pPr>
      <w:r>
        <w:rPr>
          <w:rFonts w:hint="eastAsia" w:eastAsia="宋体"/>
          <w:lang w:val="en-US" w:eastAsia="zh-CN"/>
        </w:rPr>
        <w:t>收入总体情况表</w:t>
      </w:r>
    </w:p>
    <w:p>
      <w:pPr>
        <w:tabs>
          <w:tab w:val="left" w:pos="859"/>
        </w:tabs>
        <w:jc w:val="center"/>
        <w:rPr>
          <w:rFonts w:hint="eastAsia" w:eastAsia="宋体"/>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481" w:type="dxa"/>
            <w:gridSpan w:val="13"/>
            <w:tcBorders>
              <w:top w:val="nil"/>
              <w:left w:val="nil"/>
              <w:right w:val="nil"/>
            </w:tcBorders>
          </w:tcPr>
          <w:p>
            <w:pPr>
              <w:pStyle w:val="26"/>
              <w:jc w:val="both"/>
              <w:rPr>
                <w:rFonts w:hint="eastAsia"/>
                <w:lang w:val="en-US" w:eastAsia="zh-CN"/>
              </w:rPr>
            </w:pPr>
            <w:r>
              <w:rPr>
                <w:sz w:val="17"/>
                <w:szCs w:val="17"/>
              </w:rPr>
              <w:t>单位名称：</w:t>
            </w:r>
            <w:r>
              <w:rPr>
                <w:rFonts w:hint="eastAsia"/>
                <w:sz w:val="17"/>
                <w:szCs w:val="17"/>
                <w:lang w:eastAsia="zh-CN"/>
              </w:rPr>
              <w:t>环江毛南族自治县农业机械化服务中心</w:t>
            </w:r>
            <w:r>
              <w:rPr>
                <w:rFonts w:hint="eastAsia"/>
                <w:lang w:val="en-US" w:eastAsia="zh-CN"/>
              </w:rPr>
              <w:t xml:space="preserve">                                                                                  </w:t>
            </w:r>
          </w:p>
        </w:tc>
        <w:tc>
          <w:tcPr>
            <w:tcW w:w="2076" w:type="dxa"/>
            <w:gridSpan w:val="3"/>
            <w:tcBorders>
              <w:top w:val="nil"/>
              <w:left w:val="nil"/>
              <w:right w:val="nil"/>
            </w:tcBorders>
          </w:tcPr>
          <w:p>
            <w:pPr>
              <w:pStyle w:val="26"/>
              <w:ind w:firstLine="340" w:firstLineChars="200"/>
              <w:jc w:val="left"/>
              <w:rPr>
                <w:rFonts w:hint="eastAsia"/>
                <w:lang w:val="en-US" w:eastAsia="zh-CN"/>
              </w:rPr>
            </w:pPr>
            <w:r>
              <w:rPr>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Merge w:val="restart"/>
          </w:tcPr>
          <w:p>
            <w:pPr>
              <w:tabs>
                <w:tab w:val="left" w:pos="859"/>
              </w:tabs>
              <w:jc w:val="both"/>
              <w:rPr>
                <w:rFonts w:hint="eastAsia" w:eastAsia="宋体"/>
                <w:vertAlign w:val="baseline"/>
                <w:lang w:val="en-US" w:eastAsia="zh-CN"/>
              </w:rPr>
            </w:pPr>
            <w:r>
              <w:rPr>
                <w:sz w:val="17"/>
                <w:szCs w:val="17"/>
              </w:rPr>
              <w:t>部门（单位）代码</w:t>
            </w:r>
          </w:p>
        </w:tc>
        <w:tc>
          <w:tcPr>
            <w:tcW w:w="1279" w:type="dxa"/>
            <w:vMerge w:val="restart"/>
          </w:tcPr>
          <w:p>
            <w:pPr>
              <w:tabs>
                <w:tab w:val="left" w:pos="859"/>
              </w:tabs>
              <w:jc w:val="both"/>
              <w:rPr>
                <w:rFonts w:hint="eastAsia" w:eastAsia="宋体"/>
                <w:vertAlign w:val="baseline"/>
                <w:lang w:val="en-US" w:eastAsia="zh-CN"/>
              </w:rPr>
            </w:pPr>
            <w:r>
              <w:rPr>
                <w:sz w:val="17"/>
                <w:szCs w:val="17"/>
              </w:rPr>
              <w:t>部门（单位）名称</w:t>
            </w:r>
          </w:p>
        </w:tc>
        <w:tc>
          <w:tcPr>
            <w:tcW w:w="990" w:type="dxa"/>
            <w:vMerge w:val="restart"/>
          </w:tcPr>
          <w:p>
            <w:pPr>
              <w:pStyle w:val="24"/>
              <w:spacing w:line="240" w:lineRule="auto"/>
              <w:ind w:firstLine="300" w:firstLineChars="0"/>
              <w:jc w:val="left"/>
              <w:rPr>
                <w:rFonts w:hint="eastAsia" w:eastAsia="宋体"/>
                <w:vertAlign w:val="baseline"/>
                <w:lang w:val="en-US" w:eastAsia="zh-CN"/>
              </w:rPr>
            </w:pPr>
            <w:r>
              <w:rPr>
                <w:rFonts w:hint="eastAsia"/>
                <w:sz w:val="17"/>
                <w:szCs w:val="17"/>
                <w:lang w:val="en-US" w:eastAsia="zh-CN"/>
              </w:rPr>
              <w:t>合</w:t>
            </w:r>
            <w:r>
              <w:rPr>
                <w:sz w:val="17"/>
                <w:szCs w:val="17"/>
              </w:rPr>
              <w:t>计</w:t>
            </w:r>
          </w:p>
        </w:tc>
        <w:tc>
          <w:tcPr>
            <w:tcW w:w="4871" w:type="dxa"/>
            <w:gridSpan w:val="5"/>
          </w:tcPr>
          <w:p>
            <w:pPr>
              <w:tabs>
                <w:tab w:val="left" w:pos="859"/>
              </w:tabs>
              <w:jc w:val="both"/>
              <w:rPr>
                <w:rFonts w:hint="eastAsia" w:eastAsia="宋体"/>
                <w:vertAlign w:val="baseline"/>
                <w:lang w:val="en-US" w:eastAsia="zh-CN"/>
              </w:rPr>
            </w:pPr>
            <w:r>
              <w:rPr>
                <w:sz w:val="17"/>
                <w:szCs w:val="17"/>
              </w:rPr>
              <w:t>本年收入</w:t>
            </w:r>
          </w:p>
        </w:tc>
        <w:tc>
          <w:tcPr>
            <w:tcW w:w="6781" w:type="dxa"/>
            <w:gridSpan w:val="8"/>
          </w:tcPr>
          <w:p>
            <w:pPr>
              <w:tabs>
                <w:tab w:val="left" w:pos="859"/>
              </w:tabs>
              <w:jc w:val="both"/>
              <w:rPr>
                <w:rFonts w:hint="eastAsia" w:eastAsia="宋体"/>
                <w:vertAlign w:val="baseline"/>
                <w:lang w:val="en-US" w:eastAsia="zh-CN"/>
              </w:rPr>
            </w:pPr>
            <w:r>
              <w:rPr>
                <w:sz w:val="17"/>
                <w:szCs w:val="17"/>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636" w:type="dxa"/>
            <w:vMerge w:val="continue"/>
          </w:tcPr>
          <w:p>
            <w:pPr>
              <w:tabs>
                <w:tab w:val="left" w:pos="859"/>
              </w:tabs>
              <w:jc w:val="both"/>
              <w:rPr>
                <w:rFonts w:hint="eastAsia" w:eastAsia="宋体"/>
                <w:vertAlign w:val="baseline"/>
                <w:lang w:val="en-US" w:eastAsia="zh-CN"/>
              </w:rPr>
            </w:pPr>
          </w:p>
        </w:tc>
        <w:tc>
          <w:tcPr>
            <w:tcW w:w="1279" w:type="dxa"/>
            <w:vMerge w:val="continue"/>
          </w:tcPr>
          <w:p>
            <w:pPr>
              <w:tabs>
                <w:tab w:val="left" w:pos="859"/>
              </w:tabs>
              <w:jc w:val="both"/>
              <w:rPr>
                <w:rFonts w:hint="eastAsia" w:eastAsia="宋体"/>
                <w:vertAlign w:val="baseline"/>
                <w:lang w:val="en-US" w:eastAsia="zh-CN"/>
              </w:rPr>
            </w:pPr>
          </w:p>
        </w:tc>
        <w:tc>
          <w:tcPr>
            <w:tcW w:w="990" w:type="dxa"/>
            <w:vMerge w:val="continue"/>
            <w:vAlign w:val="center"/>
          </w:tcPr>
          <w:p>
            <w:pPr>
              <w:pStyle w:val="24"/>
              <w:spacing w:line="240" w:lineRule="auto"/>
              <w:ind w:firstLine="300" w:firstLineChars="0"/>
              <w:jc w:val="left"/>
              <w:rPr>
                <w:rFonts w:hint="eastAsia" w:eastAsia="宋体"/>
                <w:vertAlign w:val="baseline"/>
                <w:lang w:val="en-US" w:eastAsia="zh-CN"/>
              </w:rPr>
            </w:pPr>
          </w:p>
        </w:tc>
        <w:tc>
          <w:tcPr>
            <w:tcW w:w="926" w:type="dxa"/>
            <w:vAlign w:val="center"/>
          </w:tcPr>
          <w:p>
            <w:pPr>
              <w:pStyle w:val="24"/>
              <w:spacing w:line="240" w:lineRule="auto"/>
              <w:ind w:firstLine="300" w:firstLineChars="0"/>
              <w:jc w:val="left"/>
              <w:rPr>
                <w:rFonts w:hint="eastAsia" w:eastAsia="宋体"/>
                <w:vertAlign w:val="baseline"/>
                <w:lang w:val="en-US" w:eastAsia="zh-CN"/>
              </w:rPr>
            </w:pPr>
            <w:r>
              <w:rPr>
                <w:sz w:val="17"/>
                <w:szCs w:val="17"/>
              </w:rPr>
              <w:t>小计</w:t>
            </w:r>
          </w:p>
        </w:tc>
        <w:tc>
          <w:tcPr>
            <w:tcW w:w="909"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一般公共预算</w:t>
            </w:r>
          </w:p>
        </w:tc>
        <w:tc>
          <w:tcPr>
            <w:tcW w:w="1161"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政府性基金预算</w:t>
            </w:r>
          </w:p>
        </w:tc>
        <w:tc>
          <w:tcPr>
            <w:tcW w:w="1031"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国有资本经营预算</w:t>
            </w:r>
          </w:p>
        </w:tc>
        <w:tc>
          <w:tcPr>
            <w:tcW w:w="844" w:type="dxa"/>
          </w:tcPr>
          <w:p>
            <w:pPr>
              <w:pStyle w:val="24"/>
              <w:spacing w:line="312" w:lineRule="exact"/>
              <w:ind w:firstLine="0"/>
              <w:jc w:val="left"/>
              <w:rPr>
                <w:sz w:val="17"/>
                <w:szCs w:val="17"/>
              </w:rPr>
            </w:pPr>
            <w:r>
              <w:rPr>
                <w:sz w:val="17"/>
                <w:szCs w:val="17"/>
              </w:rPr>
              <w:t>财政专户管理资金</w:t>
            </w:r>
          </w:p>
          <w:p>
            <w:pPr>
              <w:pStyle w:val="24"/>
              <w:spacing w:line="312" w:lineRule="exact"/>
              <w:ind w:firstLine="0" w:firstLineChars="0"/>
              <w:jc w:val="left"/>
              <w:rPr>
                <w:rFonts w:hint="eastAsia" w:eastAsia="宋体"/>
                <w:vertAlign w:val="baseline"/>
                <w:lang w:val="en-US" w:eastAsia="zh-CN"/>
              </w:rPr>
            </w:pPr>
            <w:r>
              <w:rPr>
                <w:sz w:val="17"/>
                <w:szCs w:val="17"/>
              </w:rPr>
              <w:t>收入</w:t>
            </w:r>
          </w:p>
        </w:tc>
        <w:tc>
          <w:tcPr>
            <w:tcW w:w="856" w:type="dxa"/>
            <w:vAlign w:val="center"/>
          </w:tcPr>
          <w:p>
            <w:pPr>
              <w:pStyle w:val="24"/>
              <w:spacing w:line="240" w:lineRule="auto"/>
              <w:ind w:firstLine="0" w:firstLineChars="0"/>
              <w:jc w:val="left"/>
              <w:rPr>
                <w:rFonts w:hint="eastAsia" w:eastAsia="宋体"/>
                <w:vertAlign w:val="baseline"/>
                <w:lang w:val="en-US" w:eastAsia="zh-CN"/>
              </w:rPr>
            </w:pPr>
            <w:r>
              <w:rPr>
                <w:sz w:val="17"/>
                <w:szCs w:val="17"/>
              </w:rPr>
              <w:t>单位资金</w:t>
            </w:r>
          </w:p>
        </w:tc>
        <w:tc>
          <w:tcPr>
            <w:tcW w:w="1035" w:type="dxa"/>
            <w:vAlign w:val="center"/>
          </w:tcPr>
          <w:p>
            <w:pPr>
              <w:pStyle w:val="24"/>
              <w:spacing w:line="240" w:lineRule="auto"/>
              <w:ind w:firstLine="300" w:firstLineChars="0"/>
              <w:jc w:val="left"/>
              <w:rPr>
                <w:rFonts w:hint="eastAsia" w:eastAsia="宋体"/>
                <w:vertAlign w:val="baseline"/>
                <w:lang w:val="en-US" w:eastAsia="zh-CN"/>
              </w:rPr>
            </w:pPr>
            <w:r>
              <w:rPr>
                <w:sz w:val="17"/>
                <w:szCs w:val="17"/>
              </w:rPr>
              <w:t>小计</w:t>
            </w:r>
          </w:p>
        </w:tc>
        <w:tc>
          <w:tcPr>
            <w:tcW w:w="1011"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一般公共预算</w:t>
            </w:r>
          </w:p>
        </w:tc>
        <w:tc>
          <w:tcPr>
            <w:tcW w:w="859"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政府性基金预算</w:t>
            </w:r>
          </w:p>
        </w:tc>
        <w:tc>
          <w:tcPr>
            <w:tcW w:w="1094" w:type="dxa"/>
            <w:gridSpan w:val="2"/>
            <w:vAlign w:val="center"/>
          </w:tcPr>
          <w:p>
            <w:pPr>
              <w:pStyle w:val="24"/>
              <w:spacing w:line="317" w:lineRule="exact"/>
              <w:ind w:firstLine="0" w:firstLineChars="0"/>
              <w:jc w:val="left"/>
              <w:rPr>
                <w:rFonts w:hint="eastAsia" w:eastAsia="宋体"/>
                <w:vertAlign w:val="baseline"/>
                <w:lang w:val="en-US" w:eastAsia="zh-CN"/>
              </w:rPr>
            </w:pPr>
            <w:r>
              <w:rPr>
                <w:sz w:val="17"/>
                <w:szCs w:val="17"/>
              </w:rPr>
              <w:t>国有资本经营预算</w:t>
            </w:r>
          </w:p>
        </w:tc>
        <w:tc>
          <w:tcPr>
            <w:tcW w:w="872" w:type="dxa"/>
          </w:tcPr>
          <w:p>
            <w:pPr>
              <w:pStyle w:val="24"/>
              <w:spacing w:line="312" w:lineRule="exact"/>
              <w:ind w:firstLine="0"/>
              <w:jc w:val="left"/>
              <w:rPr>
                <w:sz w:val="17"/>
                <w:szCs w:val="17"/>
              </w:rPr>
            </w:pPr>
            <w:r>
              <w:rPr>
                <w:sz w:val="17"/>
                <w:szCs w:val="17"/>
              </w:rPr>
              <w:t>财政专户管理资金</w:t>
            </w:r>
          </w:p>
          <w:p>
            <w:pPr>
              <w:pStyle w:val="24"/>
              <w:spacing w:line="312" w:lineRule="exact"/>
              <w:ind w:right="280" w:rightChars="0" w:firstLine="0" w:firstLineChars="0"/>
              <w:jc w:val="left"/>
              <w:rPr>
                <w:rFonts w:hint="eastAsia" w:eastAsia="宋体"/>
                <w:vertAlign w:val="baseline"/>
                <w:lang w:val="en-US" w:eastAsia="zh-CN"/>
              </w:rPr>
            </w:pPr>
            <w:r>
              <w:rPr>
                <w:sz w:val="17"/>
                <w:szCs w:val="17"/>
              </w:rPr>
              <w:t>收入</w:t>
            </w:r>
          </w:p>
        </w:tc>
        <w:tc>
          <w:tcPr>
            <w:tcW w:w="1054" w:type="dxa"/>
            <w:vAlign w:val="center"/>
          </w:tcPr>
          <w:p>
            <w:pPr>
              <w:pStyle w:val="24"/>
              <w:spacing w:line="240" w:lineRule="auto"/>
              <w:ind w:firstLine="140" w:firstLineChars="0"/>
              <w:jc w:val="left"/>
              <w:rPr>
                <w:rFonts w:hint="eastAsia" w:eastAsia="宋体"/>
                <w:vertAlign w:val="baseline"/>
                <w:lang w:val="en-US" w:eastAsia="zh-CN"/>
              </w:rPr>
            </w:pPr>
            <w:r>
              <w:rPr>
                <w:sz w:val="17"/>
                <w:szCs w:val="17"/>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tcPr>
          <w:p>
            <w:pPr>
              <w:tabs>
                <w:tab w:val="left" w:pos="859"/>
              </w:tabs>
              <w:jc w:val="both"/>
              <w:rPr>
                <w:rFonts w:hint="eastAsia" w:eastAsia="宋体"/>
                <w:vertAlign w:val="baseline"/>
                <w:lang w:val="en-US" w:eastAsia="zh-CN"/>
              </w:rPr>
            </w:pPr>
          </w:p>
        </w:tc>
        <w:tc>
          <w:tcPr>
            <w:tcW w:w="1279" w:type="dxa"/>
          </w:tcPr>
          <w:p>
            <w:pPr>
              <w:tabs>
                <w:tab w:val="left" w:pos="859"/>
              </w:tabs>
              <w:jc w:val="both"/>
              <w:rPr>
                <w:rFonts w:hint="eastAsia" w:eastAsia="宋体"/>
                <w:vertAlign w:val="baseline"/>
                <w:lang w:val="en-US" w:eastAsia="zh-CN"/>
              </w:rPr>
            </w:pPr>
          </w:p>
        </w:tc>
        <w:tc>
          <w:tcPr>
            <w:tcW w:w="990"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w:t>
            </w:r>
          </w:p>
        </w:tc>
        <w:tc>
          <w:tcPr>
            <w:tcW w:w="926"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2</w:t>
            </w:r>
          </w:p>
        </w:tc>
        <w:tc>
          <w:tcPr>
            <w:tcW w:w="909"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3</w:t>
            </w:r>
          </w:p>
        </w:tc>
        <w:tc>
          <w:tcPr>
            <w:tcW w:w="1161" w:type="dxa"/>
            <w:vAlign w:val="center"/>
          </w:tcPr>
          <w:p>
            <w:pPr>
              <w:pStyle w:val="24"/>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4</w:t>
            </w:r>
          </w:p>
        </w:tc>
        <w:tc>
          <w:tcPr>
            <w:tcW w:w="1031" w:type="dxa"/>
            <w:vAlign w:val="center"/>
          </w:tcPr>
          <w:p>
            <w:pPr>
              <w:pStyle w:val="24"/>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5</w:t>
            </w:r>
          </w:p>
        </w:tc>
        <w:tc>
          <w:tcPr>
            <w:tcW w:w="844" w:type="dxa"/>
            <w:vAlign w:val="center"/>
          </w:tcPr>
          <w:p>
            <w:pPr>
              <w:pStyle w:val="24"/>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6</w:t>
            </w:r>
          </w:p>
        </w:tc>
        <w:tc>
          <w:tcPr>
            <w:tcW w:w="856" w:type="dxa"/>
            <w:vAlign w:val="center"/>
          </w:tcPr>
          <w:p>
            <w:pPr>
              <w:pStyle w:val="24"/>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7</w:t>
            </w:r>
          </w:p>
        </w:tc>
        <w:tc>
          <w:tcPr>
            <w:tcW w:w="1035" w:type="dxa"/>
            <w:vAlign w:val="center"/>
          </w:tcPr>
          <w:p>
            <w:pPr>
              <w:pStyle w:val="24"/>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8</w:t>
            </w:r>
          </w:p>
        </w:tc>
        <w:tc>
          <w:tcPr>
            <w:tcW w:w="1011" w:type="dxa"/>
            <w:vAlign w:val="center"/>
          </w:tcPr>
          <w:p>
            <w:pPr>
              <w:pStyle w:val="24"/>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9</w:t>
            </w:r>
          </w:p>
        </w:tc>
        <w:tc>
          <w:tcPr>
            <w:tcW w:w="859" w:type="dxa"/>
            <w:vAlign w:val="center"/>
          </w:tcPr>
          <w:p>
            <w:pPr>
              <w:pStyle w:val="24"/>
              <w:spacing w:line="240" w:lineRule="auto"/>
              <w:ind w:right="36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10</w:t>
            </w:r>
          </w:p>
        </w:tc>
        <w:tc>
          <w:tcPr>
            <w:tcW w:w="1094" w:type="dxa"/>
            <w:gridSpan w:val="2"/>
            <w:vAlign w:val="center"/>
          </w:tcPr>
          <w:p>
            <w:pPr>
              <w:pStyle w:val="24"/>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11</w:t>
            </w:r>
          </w:p>
        </w:tc>
        <w:tc>
          <w:tcPr>
            <w:tcW w:w="872" w:type="dxa"/>
            <w:vAlign w:val="center"/>
          </w:tcPr>
          <w:p>
            <w:pPr>
              <w:pStyle w:val="24"/>
              <w:spacing w:line="240" w:lineRule="auto"/>
              <w:ind w:right="38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12</w:t>
            </w:r>
          </w:p>
        </w:tc>
        <w:tc>
          <w:tcPr>
            <w:tcW w:w="1054" w:type="dxa"/>
            <w:vAlign w:val="center"/>
          </w:tcPr>
          <w:p>
            <w:pPr>
              <w:pStyle w:val="24"/>
              <w:spacing w:line="240" w:lineRule="auto"/>
              <w:ind w:right="42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rPr>
              <w:t xml:space="preserve"> </w:t>
            </w:r>
          </w:p>
        </w:tc>
        <w:tc>
          <w:tcPr>
            <w:tcW w:w="1279" w:type="dxa"/>
          </w:tcPr>
          <w:p>
            <w:pPr>
              <w:pStyle w:val="24"/>
              <w:spacing w:line="326" w:lineRule="exact"/>
              <w:ind w:firstLine="0" w:firstLineChars="0"/>
              <w:jc w:val="left"/>
              <w:rPr>
                <w:rFonts w:hint="eastAsia" w:eastAsia="宋体"/>
                <w:vertAlign w:val="baseline"/>
                <w:lang w:val="en-US" w:eastAsia="zh-CN"/>
              </w:rPr>
            </w:pPr>
            <w:r>
              <w:rPr>
                <w:rFonts w:hint="eastAsia"/>
                <w:sz w:val="17"/>
                <w:szCs w:val="17"/>
                <w:lang w:val="en-US" w:eastAsia="zh-CN"/>
              </w:rPr>
              <w:t>合计</w:t>
            </w:r>
          </w:p>
        </w:tc>
        <w:tc>
          <w:tcPr>
            <w:tcW w:w="990" w:type="dxa"/>
            <w:vAlign w:val="center"/>
          </w:tcPr>
          <w:p>
            <w:pPr>
              <w:pStyle w:val="24"/>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538.89</w:t>
            </w:r>
          </w:p>
        </w:tc>
        <w:tc>
          <w:tcPr>
            <w:tcW w:w="926" w:type="dxa"/>
            <w:vAlign w:val="center"/>
          </w:tcPr>
          <w:p>
            <w:pPr>
              <w:pStyle w:val="24"/>
              <w:spacing w:line="240" w:lineRule="auto"/>
              <w:ind w:firstLine="300" w:firstLineChars="0"/>
              <w:jc w:val="left"/>
              <w:rPr>
                <w:rFonts w:hint="eastAsia" w:eastAsia="宋体"/>
                <w:vertAlign w:val="baseline"/>
                <w:lang w:val="en-US" w:eastAsia="zh-CN"/>
              </w:rPr>
            </w:pPr>
            <w:r>
              <w:rPr>
                <w:rFonts w:hint="eastAsia"/>
                <w:sz w:val="17"/>
                <w:szCs w:val="17"/>
                <w:lang w:val="en-US" w:eastAsia="zh-CN"/>
              </w:rPr>
              <w:t>538.89</w:t>
            </w:r>
          </w:p>
        </w:tc>
        <w:tc>
          <w:tcPr>
            <w:tcW w:w="909" w:type="dxa"/>
            <w:vAlign w:val="center"/>
          </w:tcPr>
          <w:p>
            <w:pPr>
              <w:pStyle w:val="24"/>
              <w:spacing w:line="240" w:lineRule="auto"/>
              <w:ind w:firstLine="2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538.89</w:t>
            </w:r>
          </w:p>
        </w:tc>
        <w:tc>
          <w:tcPr>
            <w:tcW w:w="1161" w:type="dxa"/>
            <w:vAlign w:val="center"/>
          </w:tcPr>
          <w:p>
            <w:pPr>
              <w:pStyle w:val="24"/>
              <w:spacing w:line="240" w:lineRule="auto"/>
              <w:ind w:firstLine="520" w:firstLineChars="0"/>
              <w:jc w:val="left"/>
              <w:rPr>
                <w:rFonts w:hint="eastAsia" w:eastAsia="宋体"/>
                <w:vertAlign w:val="baseline"/>
                <w:lang w:val="en-US" w:eastAsia="zh-CN"/>
              </w:rPr>
            </w:pPr>
            <w:r>
              <w:rPr>
                <w:rFonts w:hint="eastAsia"/>
                <w:sz w:val="17"/>
                <w:szCs w:val="17"/>
                <w:lang w:val="en-US" w:eastAsia="zh-CN"/>
              </w:rPr>
              <w:t>0.00</w:t>
            </w:r>
          </w:p>
        </w:tc>
        <w:tc>
          <w:tcPr>
            <w:tcW w:w="1031" w:type="dxa"/>
            <w:vAlign w:val="center"/>
          </w:tcPr>
          <w:p>
            <w:pPr>
              <w:pStyle w:val="24"/>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44"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56"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1035" w:type="dxa"/>
            <w:vAlign w:val="center"/>
          </w:tcPr>
          <w:p>
            <w:pPr>
              <w:pStyle w:val="24"/>
              <w:spacing w:line="240" w:lineRule="auto"/>
              <w:ind w:firstLine="52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11" w:type="dxa"/>
            <w:vAlign w:val="center"/>
          </w:tcPr>
          <w:p>
            <w:pPr>
              <w:pStyle w:val="24"/>
              <w:spacing w:line="240" w:lineRule="auto"/>
              <w:ind w:firstLine="4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59"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94" w:type="dxa"/>
            <w:gridSpan w:val="2"/>
            <w:vAlign w:val="center"/>
          </w:tcPr>
          <w:p>
            <w:pPr>
              <w:pStyle w:val="24"/>
              <w:spacing w:line="240" w:lineRule="auto"/>
              <w:ind w:firstLine="5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72"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54" w:type="dxa"/>
            <w:vAlign w:val="center"/>
          </w:tcPr>
          <w:p>
            <w:pPr>
              <w:pStyle w:val="24"/>
              <w:spacing w:line="240" w:lineRule="auto"/>
              <w:ind w:firstLine="54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rPr>
              <w:t>506001</w:t>
            </w:r>
          </w:p>
        </w:tc>
        <w:tc>
          <w:tcPr>
            <w:tcW w:w="1279" w:type="dxa"/>
          </w:tcPr>
          <w:p>
            <w:pPr>
              <w:pStyle w:val="24"/>
              <w:spacing w:line="326" w:lineRule="exact"/>
              <w:ind w:firstLine="0" w:firstLineChars="0"/>
              <w:jc w:val="left"/>
              <w:rPr>
                <w:rFonts w:hint="eastAsia" w:eastAsia="宋体"/>
                <w:vertAlign w:val="baseline"/>
                <w:lang w:val="en-US" w:eastAsia="zh-CN"/>
              </w:rPr>
            </w:pPr>
          </w:p>
        </w:tc>
        <w:tc>
          <w:tcPr>
            <w:tcW w:w="990" w:type="dxa"/>
            <w:vAlign w:val="center"/>
          </w:tcPr>
          <w:p>
            <w:pPr>
              <w:pStyle w:val="24"/>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538.89</w:t>
            </w:r>
          </w:p>
        </w:tc>
        <w:tc>
          <w:tcPr>
            <w:tcW w:w="926" w:type="dxa"/>
            <w:vAlign w:val="center"/>
          </w:tcPr>
          <w:p>
            <w:pPr>
              <w:pStyle w:val="24"/>
              <w:spacing w:line="240" w:lineRule="auto"/>
              <w:ind w:firstLine="300" w:firstLineChars="0"/>
              <w:jc w:val="left"/>
              <w:rPr>
                <w:rFonts w:hint="eastAsia" w:eastAsia="宋体"/>
                <w:vertAlign w:val="baseline"/>
                <w:lang w:val="en-US" w:eastAsia="zh-CN"/>
              </w:rPr>
            </w:pPr>
            <w:r>
              <w:rPr>
                <w:rFonts w:hint="eastAsia"/>
                <w:sz w:val="17"/>
                <w:szCs w:val="17"/>
                <w:lang w:val="en-US" w:eastAsia="zh-CN"/>
              </w:rPr>
              <w:t>538.89</w:t>
            </w:r>
          </w:p>
        </w:tc>
        <w:tc>
          <w:tcPr>
            <w:tcW w:w="909" w:type="dxa"/>
            <w:vAlign w:val="center"/>
          </w:tcPr>
          <w:p>
            <w:pPr>
              <w:pStyle w:val="24"/>
              <w:spacing w:line="240" w:lineRule="auto"/>
              <w:ind w:firstLine="2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538.89</w:t>
            </w:r>
          </w:p>
        </w:tc>
        <w:tc>
          <w:tcPr>
            <w:tcW w:w="1161" w:type="dxa"/>
            <w:vAlign w:val="center"/>
          </w:tcPr>
          <w:p>
            <w:pPr>
              <w:pStyle w:val="24"/>
              <w:spacing w:line="240" w:lineRule="auto"/>
              <w:ind w:firstLine="520" w:firstLineChars="0"/>
              <w:jc w:val="left"/>
              <w:rPr>
                <w:rFonts w:hint="eastAsia" w:eastAsia="宋体"/>
                <w:vertAlign w:val="baseline"/>
                <w:lang w:val="en-US" w:eastAsia="zh-CN"/>
              </w:rPr>
            </w:pPr>
            <w:r>
              <w:rPr>
                <w:rFonts w:hint="eastAsia"/>
                <w:sz w:val="17"/>
                <w:szCs w:val="17"/>
                <w:lang w:val="en-US" w:eastAsia="zh-CN"/>
              </w:rPr>
              <w:t>0.00</w:t>
            </w:r>
          </w:p>
        </w:tc>
        <w:tc>
          <w:tcPr>
            <w:tcW w:w="1031" w:type="dxa"/>
            <w:vAlign w:val="center"/>
          </w:tcPr>
          <w:p>
            <w:pPr>
              <w:pStyle w:val="24"/>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44"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56"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1035" w:type="dxa"/>
            <w:vAlign w:val="center"/>
          </w:tcPr>
          <w:p>
            <w:pPr>
              <w:pStyle w:val="24"/>
              <w:spacing w:line="240" w:lineRule="auto"/>
              <w:ind w:firstLine="52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11" w:type="dxa"/>
            <w:vAlign w:val="center"/>
          </w:tcPr>
          <w:p>
            <w:pPr>
              <w:pStyle w:val="24"/>
              <w:spacing w:line="240" w:lineRule="auto"/>
              <w:ind w:firstLine="4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59"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94" w:type="dxa"/>
            <w:gridSpan w:val="2"/>
            <w:vAlign w:val="center"/>
          </w:tcPr>
          <w:p>
            <w:pPr>
              <w:pStyle w:val="24"/>
              <w:spacing w:line="240" w:lineRule="auto"/>
              <w:ind w:firstLine="5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72"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54" w:type="dxa"/>
            <w:vAlign w:val="center"/>
          </w:tcPr>
          <w:p>
            <w:pPr>
              <w:pStyle w:val="24"/>
              <w:spacing w:line="240" w:lineRule="auto"/>
              <w:ind w:firstLine="54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16"/>
            <w:tcBorders>
              <w:left w:val="nil"/>
              <w:bottom w:val="nil"/>
              <w:right w:val="nil"/>
            </w:tcBorders>
          </w:tcPr>
          <w:p>
            <w:pPr>
              <w:pStyle w:val="26"/>
              <w:jc w:val="left"/>
              <w:rPr>
                <w:rFonts w:hint="eastAsia" w:eastAsia="宋体"/>
                <w:vertAlign w:val="baseline"/>
                <w:lang w:val="en-US" w:eastAsia="zh-CN"/>
              </w:rPr>
            </w:pPr>
            <w:r>
              <w:t>注：本报表金额单位转换时可能存在四舍五入尾数误差。</w:t>
            </w:r>
          </w:p>
        </w:tc>
      </w:tr>
    </w:tbl>
    <w:p>
      <w:pPr>
        <w:tabs>
          <w:tab w:val="left" w:pos="859"/>
        </w:tabs>
        <w:jc w:val="both"/>
        <w:rPr>
          <w:rFonts w:hint="eastAsia" w:eastAsia="宋体"/>
          <w:lang w:val="en-US" w:eastAsia="zh-CN"/>
        </w:rPr>
      </w:pPr>
    </w:p>
    <w:p>
      <w:pPr>
        <w:tabs>
          <w:tab w:val="left" w:pos="859"/>
        </w:tabs>
        <w:jc w:val="center"/>
        <w:rPr>
          <w:rFonts w:hint="eastAsia" w:eastAsia="宋体"/>
          <w:lang w:val="en-US" w:eastAsia="zh-CN"/>
        </w:rPr>
      </w:pPr>
    </w:p>
    <w:p>
      <w:pPr>
        <w:tabs>
          <w:tab w:val="left" w:pos="859"/>
        </w:tabs>
        <w:jc w:val="both"/>
        <w:rPr>
          <w:rFonts w:hint="eastAsia" w:eastAsia="宋体"/>
          <w:lang w:val="en-US" w:eastAsia="zh-CN"/>
        </w:rPr>
      </w:pPr>
    </w:p>
    <w:p>
      <w:pPr>
        <w:spacing w:line="1" w:lineRule="exact"/>
        <w:jc w:val="left"/>
        <w:rPr>
          <w:lang w:eastAsia="zh-CN"/>
        </w:rPr>
        <w:sectPr>
          <w:headerReference r:id="rId8" w:type="default"/>
          <w:footerReference r:id="rId9" w:type="default"/>
          <w:pgSz w:w="16840" w:h="11900" w:orient="landscape"/>
          <w:pgMar w:top="2709" w:right="764" w:bottom="2709" w:left="735" w:header="2281" w:footer="3" w:gutter="0"/>
          <w:pgBorders>
            <w:top w:val="none" w:sz="0" w:space="0"/>
            <w:left w:val="none" w:sz="0" w:space="0"/>
            <w:bottom w:val="none" w:sz="0" w:space="0"/>
            <w:right w:val="none" w:sz="0" w:space="0"/>
          </w:pgBorders>
          <w:cols w:space="720" w:num="1"/>
          <w:docGrid w:linePitch="360" w:charSpace="0"/>
        </w:sectPr>
      </w:pPr>
    </w:p>
    <w:p>
      <w:pPr>
        <w:pStyle w:val="22"/>
        <w:keepNext/>
        <w:keepLines/>
        <w:spacing w:after="240"/>
        <w:jc w:val="center"/>
      </w:pPr>
      <w:bookmarkStart w:id="19" w:name="bookmark42"/>
      <w:bookmarkStart w:id="20" w:name="bookmark41"/>
      <w:bookmarkStart w:id="21" w:name="bookmark43"/>
      <w:r>
        <w:t>支出总体情况表</w:t>
      </w:r>
      <w:bookmarkEnd w:id="19"/>
      <w:bookmarkEnd w:id="20"/>
      <w:bookmarkEnd w:id="21"/>
    </w:p>
    <w:tbl>
      <w:tblPr>
        <w:tblStyle w:val="4"/>
        <w:tblW w:w="0" w:type="auto"/>
        <w:tblInd w:w="0" w:type="dxa"/>
        <w:tblLayout w:type="fixed"/>
        <w:tblCellMar>
          <w:top w:w="0" w:type="dxa"/>
          <w:left w:w="10" w:type="dxa"/>
          <w:bottom w:w="0" w:type="dxa"/>
          <w:right w:w="10" w:type="dxa"/>
        </w:tblCellMar>
      </w:tblPr>
      <w:tblGrid>
        <w:gridCol w:w="1843"/>
        <w:gridCol w:w="1934"/>
        <w:gridCol w:w="2390"/>
        <w:gridCol w:w="2280"/>
        <w:gridCol w:w="2299"/>
        <w:gridCol w:w="2222"/>
        <w:gridCol w:w="2371"/>
      </w:tblGrid>
      <w:tr>
        <w:tblPrEx>
          <w:tblCellMar>
            <w:top w:w="0" w:type="dxa"/>
            <w:left w:w="10" w:type="dxa"/>
            <w:bottom w:w="0" w:type="dxa"/>
            <w:right w:w="10" w:type="dxa"/>
          </w:tblCellMar>
        </w:tblPrEx>
        <w:trPr>
          <w:trHeight w:val="346" w:hRule="exact"/>
        </w:trPr>
        <w:tc>
          <w:tcPr>
            <w:tcW w:w="12968" w:type="dxa"/>
            <w:gridSpan w:val="6"/>
            <w:shd w:val="clear" w:color="auto" w:fill="FFFFFF"/>
          </w:tcPr>
          <w:p>
            <w:pPr>
              <w:pStyle w:val="24"/>
              <w:spacing w:line="240" w:lineRule="auto"/>
              <w:ind w:firstLine="0"/>
              <w:jc w:val="left"/>
              <w:rPr>
                <w:sz w:val="17"/>
                <w:szCs w:val="17"/>
              </w:rPr>
            </w:pPr>
            <w:r>
              <w:rPr>
                <w:sz w:val="17"/>
                <w:szCs w:val="17"/>
              </w:rPr>
              <w:t>单位名称：</w:t>
            </w:r>
            <w:r>
              <w:rPr>
                <w:rFonts w:hint="eastAsia"/>
                <w:sz w:val="17"/>
                <w:szCs w:val="17"/>
                <w:lang w:eastAsia="zh-CN"/>
              </w:rPr>
              <w:t>环江毛南族自治县农业机械化服务中心</w:t>
            </w:r>
          </w:p>
        </w:tc>
        <w:tc>
          <w:tcPr>
            <w:tcW w:w="2371" w:type="dxa"/>
            <w:shd w:val="clear" w:color="auto" w:fill="FFFFFF"/>
          </w:tcPr>
          <w:p>
            <w:pPr>
              <w:pStyle w:val="24"/>
              <w:spacing w:line="240" w:lineRule="auto"/>
              <w:ind w:firstLine="1190" w:firstLineChars="700"/>
              <w:jc w:val="left"/>
              <w:rPr>
                <w:sz w:val="17"/>
                <w:szCs w:val="17"/>
              </w:rPr>
            </w:pPr>
            <w:r>
              <w:rPr>
                <w:sz w:val="17"/>
                <w:szCs w:val="17"/>
              </w:rPr>
              <w:t>单位：万元</w:t>
            </w:r>
          </w:p>
        </w:tc>
      </w:tr>
      <w:tr>
        <w:tblPrEx>
          <w:tblCellMar>
            <w:top w:w="0" w:type="dxa"/>
            <w:left w:w="10" w:type="dxa"/>
            <w:bottom w:w="0" w:type="dxa"/>
            <w:right w:w="10" w:type="dxa"/>
          </w:tblCellMar>
        </w:tblPrEx>
        <w:trPr>
          <w:trHeight w:val="854" w:hRule="exact"/>
        </w:trPr>
        <w:tc>
          <w:tcPr>
            <w:tcW w:w="184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科目编码</w:t>
            </w:r>
          </w:p>
        </w:tc>
        <w:tc>
          <w:tcPr>
            <w:tcW w:w="1934"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40"/>
              <w:jc w:val="left"/>
              <w:rPr>
                <w:sz w:val="17"/>
                <w:szCs w:val="17"/>
              </w:rPr>
            </w:pPr>
            <w:r>
              <w:rPr>
                <w:sz w:val="17"/>
                <w:szCs w:val="17"/>
              </w:rPr>
              <w:t>部门（单位）代码</w:t>
            </w:r>
          </w:p>
        </w:tc>
        <w:tc>
          <w:tcPr>
            <w:tcW w:w="2390" w:type="dxa"/>
            <w:tcBorders>
              <w:top w:val="single" w:color="auto" w:sz="4" w:space="0"/>
              <w:left w:val="single" w:color="auto" w:sz="4" w:space="0"/>
              <w:bottom w:val="single" w:color="auto" w:sz="4" w:space="0"/>
            </w:tcBorders>
            <w:shd w:val="clear" w:color="auto" w:fill="FFFFFF"/>
            <w:vAlign w:val="center"/>
          </w:tcPr>
          <w:p>
            <w:pPr>
              <w:pStyle w:val="24"/>
              <w:spacing w:after="120" w:line="240" w:lineRule="auto"/>
              <w:ind w:firstLine="0"/>
              <w:jc w:val="left"/>
              <w:rPr>
                <w:sz w:val="17"/>
                <w:szCs w:val="17"/>
              </w:rPr>
            </w:pPr>
            <w:r>
              <w:rPr>
                <w:sz w:val="17"/>
                <w:szCs w:val="17"/>
              </w:rPr>
              <w:t>部门（单位）名称</w:t>
            </w:r>
          </w:p>
          <w:p>
            <w:pPr>
              <w:pStyle w:val="24"/>
              <w:spacing w:line="240" w:lineRule="auto"/>
              <w:ind w:firstLine="0"/>
              <w:jc w:val="left"/>
              <w:rPr>
                <w:sz w:val="17"/>
                <w:szCs w:val="17"/>
              </w:rPr>
            </w:pPr>
            <w:r>
              <w:rPr>
                <w:sz w:val="17"/>
                <w:szCs w:val="17"/>
              </w:rPr>
              <w:t>（功能分类科目名称）</w:t>
            </w:r>
          </w:p>
        </w:tc>
        <w:tc>
          <w:tcPr>
            <w:tcW w:w="228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合计</w:t>
            </w:r>
          </w:p>
        </w:tc>
        <w:tc>
          <w:tcPr>
            <w:tcW w:w="2299"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基本支出</w:t>
            </w:r>
          </w:p>
        </w:tc>
        <w:tc>
          <w:tcPr>
            <w:tcW w:w="222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项目支出</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sz w:val="17"/>
                <w:szCs w:val="17"/>
              </w:rPr>
            </w:pPr>
            <w:r>
              <w:rPr>
                <w:sz w:val="17"/>
                <w:szCs w:val="17"/>
              </w:rPr>
              <w:t>结转下年支出</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 xml:space="preserve"> </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 xml:space="preserve"> </w:t>
            </w: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合计</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538.89</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439.51</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99.38</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506001</w:t>
            </w: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538.89</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439.51</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99.38</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2012999</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其他群众团体事务支出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4.03</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4.03</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2080505</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机关事业单位基本养老保险缴费支出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45.90</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45.90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2130104</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事业运行</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350.32</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350.32</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2130106</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科技转化与推广服务</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3.85</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3.85</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2130122</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农业生产发展</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86.86</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86.86</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2130199</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其他农业农村支出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8.67</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8.67</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2210201</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住房公积金</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39.25</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39.25</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bl>
    <w:p>
      <w:pPr>
        <w:pStyle w:val="26"/>
        <w:ind w:left="672"/>
        <w:jc w:val="left"/>
      </w:pPr>
      <w:r>
        <w:t>注：本报表金额单位转换时可能存在四舍五入尾数误差。</w:t>
      </w:r>
      <w:r>
        <w:br w:type="page"/>
      </w:r>
    </w:p>
    <w:p>
      <w:pPr>
        <w:pStyle w:val="22"/>
        <w:keepNext/>
        <w:keepLines/>
        <w:spacing w:after="240"/>
        <w:jc w:val="center"/>
      </w:pPr>
      <w:bookmarkStart w:id="22" w:name="bookmark46"/>
      <w:bookmarkStart w:id="23" w:name="bookmark44"/>
      <w:bookmarkStart w:id="24" w:name="bookmark45"/>
      <w:r>
        <w:t>财政拨款收支总体情况表</w:t>
      </w:r>
      <w:bookmarkEnd w:id="22"/>
      <w:bookmarkEnd w:id="23"/>
      <w:bookmarkEnd w:id="24"/>
    </w:p>
    <w:tbl>
      <w:tblPr>
        <w:tblStyle w:val="4"/>
        <w:tblW w:w="0" w:type="auto"/>
        <w:tblInd w:w="0" w:type="dxa"/>
        <w:tblLayout w:type="fixed"/>
        <w:tblCellMar>
          <w:top w:w="0" w:type="dxa"/>
          <w:left w:w="10" w:type="dxa"/>
          <w:bottom w:w="0" w:type="dxa"/>
          <w:right w:w="10" w:type="dxa"/>
        </w:tblCellMar>
      </w:tblPr>
      <w:tblGrid>
        <w:gridCol w:w="2885"/>
        <w:gridCol w:w="955"/>
        <w:gridCol w:w="3830"/>
        <w:gridCol w:w="3826"/>
        <w:gridCol w:w="3845"/>
        <w:gridCol w:w="1"/>
      </w:tblGrid>
      <w:tr>
        <w:tblPrEx>
          <w:tblCellMar>
            <w:top w:w="0" w:type="dxa"/>
            <w:left w:w="10" w:type="dxa"/>
            <w:bottom w:w="0" w:type="dxa"/>
            <w:right w:w="10" w:type="dxa"/>
          </w:tblCellMar>
        </w:tblPrEx>
        <w:trPr>
          <w:gridAfter w:val="1"/>
          <w:wAfter w:w="1" w:type="dxa"/>
          <w:trHeight w:val="346" w:hRule="exact"/>
        </w:trPr>
        <w:tc>
          <w:tcPr>
            <w:tcW w:w="11496" w:type="dxa"/>
            <w:gridSpan w:val="4"/>
            <w:shd w:val="clear" w:color="auto" w:fill="FFFFFF"/>
          </w:tcPr>
          <w:p>
            <w:pPr>
              <w:pStyle w:val="24"/>
              <w:spacing w:line="240" w:lineRule="auto"/>
              <w:ind w:firstLine="0"/>
              <w:jc w:val="left"/>
              <w:rPr>
                <w:rFonts w:hint="default"/>
                <w:sz w:val="17"/>
                <w:szCs w:val="17"/>
                <w:lang w:val="en-US"/>
              </w:rPr>
            </w:pPr>
            <w:r>
              <w:rPr>
                <w:sz w:val="17"/>
                <w:szCs w:val="17"/>
              </w:rPr>
              <w:t>单位名称：</w:t>
            </w:r>
            <w:r>
              <w:rPr>
                <w:rFonts w:hint="eastAsia"/>
                <w:sz w:val="17"/>
                <w:szCs w:val="17"/>
                <w:lang w:eastAsia="zh-CN"/>
              </w:rPr>
              <w:t>环江毛南族自治县农业机械化服务中心</w:t>
            </w:r>
            <w:r>
              <w:rPr>
                <w:rFonts w:hint="eastAsia"/>
                <w:sz w:val="17"/>
                <w:szCs w:val="17"/>
                <w:lang w:val="en-US" w:eastAsia="zh-CN"/>
              </w:rPr>
              <w:t xml:space="preserve">                         </w:t>
            </w:r>
          </w:p>
        </w:tc>
        <w:tc>
          <w:tcPr>
            <w:tcW w:w="3845" w:type="dxa"/>
            <w:shd w:val="clear" w:color="auto" w:fill="FFFFFF"/>
          </w:tcPr>
          <w:p>
            <w:pPr>
              <w:pStyle w:val="24"/>
              <w:spacing w:line="240" w:lineRule="auto"/>
              <w:jc w:val="left"/>
              <w:rPr>
                <w:sz w:val="17"/>
                <w:szCs w:val="17"/>
              </w:rPr>
            </w:pPr>
            <w:r>
              <w:rPr>
                <w:sz w:val="17"/>
                <w:szCs w:val="17"/>
              </w:rPr>
              <w:t>单位：万元</w:t>
            </w:r>
          </w:p>
        </w:tc>
      </w:tr>
      <w:tr>
        <w:tblPrEx>
          <w:tblCellMar>
            <w:top w:w="0" w:type="dxa"/>
            <w:left w:w="10" w:type="dxa"/>
            <w:bottom w:w="0" w:type="dxa"/>
            <w:right w:w="10" w:type="dxa"/>
          </w:tblCellMar>
        </w:tblPrEx>
        <w:trPr>
          <w:gridAfter w:val="1"/>
          <w:wAfter w:w="1" w:type="dxa"/>
          <w:trHeight w:val="437" w:hRule="exact"/>
        </w:trPr>
        <w:tc>
          <w:tcPr>
            <w:tcW w:w="2885" w:type="dxa"/>
            <w:tcBorders>
              <w:top w:val="single" w:color="auto" w:sz="4" w:space="0"/>
              <w:left w:val="single" w:color="auto" w:sz="4" w:space="0"/>
            </w:tcBorders>
            <w:shd w:val="clear" w:color="auto" w:fill="FFFFFF"/>
          </w:tcPr>
          <w:p>
            <w:pPr>
              <w:jc w:val="left"/>
              <w:rPr>
                <w:sz w:val="10"/>
                <w:szCs w:val="10"/>
              </w:rPr>
            </w:pPr>
          </w:p>
        </w:tc>
        <w:tc>
          <w:tcPr>
            <w:tcW w:w="955" w:type="dxa"/>
            <w:tcBorders>
              <w:top w:val="single" w:color="auto" w:sz="4" w:space="0"/>
            </w:tcBorders>
            <w:shd w:val="clear" w:color="auto" w:fill="FFFFFF"/>
            <w:vAlign w:val="center"/>
          </w:tcPr>
          <w:p>
            <w:pPr>
              <w:pStyle w:val="24"/>
              <w:spacing w:line="240" w:lineRule="auto"/>
              <w:ind w:firstLine="0"/>
              <w:jc w:val="left"/>
              <w:rPr>
                <w:sz w:val="17"/>
                <w:szCs w:val="17"/>
              </w:rPr>
            </w:pPr>
            <w:r>
              <w:rPr>
                <w:sz w:val="17"/>
                <w:szCs w:val="17"/>
              </w:rPr>
              <w:t>收</w:t>
            </w:r>
          </w:p>
        </w:tc>
        <w:tc>
          <w:tcPr>
            <w:tcW w:w="3830" w:type="dxa"/>
            <w:tcBorders>
              <w:top w:val="single" w:color="auto" w:sz="4" w:space="0"/>
            </w:tcBorders>
            <w:shd w:val="clear" w:color="auto" w:fill="FFFFFF"/>
            <w:vAlign w:val="center"/>
          </w:tcPr>
          <w:p>
            <w:pPr>
              <w:pStyle w:val="24"/>
              <w:spacing w:line="240" w:lineRule="auto"/>
              <w:ind w:firstLine="340"/>
              <w:jc w:val="left"/>
              <w:rPr>
                <w:sz w:val="17"/>
                <w:szCs w:val="17"/>
              </w:rPr>
            </w:pPr>
            <w:r>
              <w:rPr>
                <w:sz w:val="17"/>
                <w:szCs w:val="17"/>
              </w:rPr>
              <w:t>入</w:t>
            </w:r>
          </w:p>
        </w:tc>
        <w:tc>
          <w:tcPr>
            <w:tcW w:w="3826" w:type="dxa"/>
            <w:tcBorders>
              <w:top w:val="single" w:color="auto" w:sz="4" w:space="0"/>
              <w:left w:val="single" w:color="auto" w:sz="4" w:space="0"/>
            </w:tcBorders>
            <w:shd w:val="clear" w:color="auto" w:fill="FFFFFF"/>
            <w:vAlign w:val="center"/>
          </w:tcPr>
          <w:p>
            <w:pPr>
              <w:pStyle w:val="24"/>
              <w:spacing w:line="240" w:lineRule="auto"/>
              <w:ind w:right="340" w:firstLine="2720" w:firstLineChars="1600"/>
              <w:jc w:val="left"/>
              <w:rPr>
                <w:sz w:val="17"/>
                <w:szCs w:val="17"/>
              </w:rPr>
            </w:pPr>
            <w:r>
              <w:rPr>
                <w:sz w:val="17"/>
                <w:szCs w:val="17"/>
              </w:rPr>
              <w:t>支</w:t>
            </w:r>
          </w:p>
        </w:tc>
        <w:tc>
          <w:tcPr>
            <w:tcW w:w="3845" w:type="dxa"/>
            <w:tcBorders>
              <w:top w:val="single" w:color="auto" w:sz="4" w:space="0"/>
              <w:right w:val="single" w:color="auto" w:sz="4" w:space="0"/>
            </w:tcBorders>
            <w:shd w:val="clear" w:color="auto" w:fill="FFFFFF"/>
            <w:vAlign w:val="center"/>
          </w:tcPr>
          <w:p>
            <w:pPr>
              <w:pStyle w:val="24"/>
              <w:spacing w:line="240" w:lineRule="auto"/>
              <w:ind w:firstLine="935" w:firstLineChars="550"/>
              <w:jc w:val="left"/>
              <w:rPr>
                <w:sz w:val="17"/>
                <w:szCs w:val="17"/>
              </w:rPr>
            </w:pPr>
            <w:r>
              <w:rPr>
                <w:sz w:val="17"/>
                <w:szCs w:val="17"/>
              </w:rPr>
              <w:t>出</w:t>
            </w:r>
          </w:p>
        </w:tc>
      </w:tr>
      <w:tr>
        <w:tblPrEx>
          <w:tblCellMar>
            <w:top w:w="0" w:type="dxa"/>
            <w:left w:w="10" w:type="dxa"/>
            <w:bottom w:w="0" w:type="dxa"/>
            <w:right w:w="10" w:type="dxa"/>
          </w:tblCellMar>
        </w:tblPrEx>
        <w:trPr>
          <w:gridAfter w:val="1"/>
          <w:wAfter w:w="1" w:type="dxa"/>
          <w:trHeight w:val="451" w:hRule="exact"/>
        </w:trPr>
        <w:tc>
          <w:tcPr>
            <w:tcW w:w="3840" w:type="dxa"/>
            <w:gridSpan w:val="2"/>
            <w:tcBorders>
              <w:top w:val="single" w:color="auto" w:sz="4" w:space="0"/>
              <w:left w:val="single" w:color="auto" w:sz="4" w:space="0"/>
            </w:tcBorders>
            <w:shd w:val="clear" w:color="auto" w:fill="FFFFFF"/>
            <w:vAlign w:val="center"/>
          </w:tcPr>
          <w:p>
            <w:pPr>
              <w:pStyle w:val="24"/>
              <w:spacing w:line="240" w:lineRule="auto"/>
              <w:ind w:firstLine="0"/>
              <w:jc w:val="center"/>
              <w:rPr>
                <w:sz w:val="17"/>
                <w:szCs w:val="17"/>
              </w:rPr>
            </w:pPr>
            <w:r>
              <w:rPr>
                <w:sz w:val="17"/>
                <w:szCs w:val="17"/>
              </w:rPr>
              <w:t>项目</w:t>
            </w:r>
          </w:p>
        </w:tc>
        <w:tc>
          <w:tcPr>
            <w:tcW w:w="3830" w:type="dxa"/>
            <w:tcBorders>
              <w:top w:val="single" w:color="auto" w:sz="4" w:space="0"/>
              <w:left w:val="single" w:color="auto" w:sz="4" w:space="0"/>
            </w:tcBorders>
            <w:shd w:val="clear" w:color="auto" w:fill="FFFFFF"/>
            <w:vAlign w:val="center"/>
          </w:tcPr>
          <w:p>
            <w:pPr>
              <w:pStyle w:val="24"/>
              <w:spacing w:line="240" w:lineRule="auto"/>
              <w:ind w:firstLine="0"/>
              <w:jc w:val="center"/>
              <w:rPr>
                <w:sz w:val="17"/>
                <w:szCs w:val="17"/>
              </w:rPr>
            </w:pPr>
            <w:r>
              <w:rPr>
                <w:sz w:val="17"/>
                <w:szCs w:val="17"/>
              </w:rPr>
              <w:t>预算数</w:t>
            </w:r>
          </w:p>
        </w:tc>
        <w:tc>
          <w:tcPr>
            <w:tcW w:w="3826" w:type="dxa"/>
            <w:tcBorders>
              <w:top w:val="single" w:color="auto" w:sz="4" w:space="0"/>
              <w:left w:val="single" w:color="auto" w:sz="4" w:space="0"/>
            </w:tcBorders>
            <w:shd w:val="clear" w:color="auto" w:fill="FFFFFF"/>
            <w:vAlign w:val="center"/>
          </w:tcPr>
          <w:p>
            <w:pPr>
              <w:pStyle w:val="24"/>
              <w:tabs>
                <w:tab w:val="left" w:pos="1034"/>
              </w:tabs>
              <w:spacing w:line="240" w:lineRule="auto"/>
              <w:ind w:firstLine="540"/>
              <w:jc w:val="center"/>
              <w:rPr>
                <w:sz w:val="17"/>
                <w:szCs w:val="17"/>
              </w:rPr>
            </w:pPr>
            <w:r>
              <w:rPr>
                <w:sz w:val="17"/>
                <w:szCs w:val="17"/>
              </w:rPr>
              <w:t>项</w:t>
            </w:r>
            <w:r>
              <w:rPr>
                <w:sz w:val="17"/>
                <w:szCs w:val="17"/>
              </w:rPr>
              <w:tab/>
            </w:r>
            <w:r>
              <w:rPr>
                <w:sz w:val="17"/>
                <w:szCs w:val="17"/>
              </w:rPr>
              <w:t>目（按支出功能科目分类）</w:t>
            </w:r>
          </w:p>
        </w:tc>
        <w:tc>
          <w:tcPr>
            <w:tcW w:w="3845"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jc w:val="center"/>
              <w:rPr>
                <w:sz w:val="17"/>
                <w:szCs w:val="17"/>
              </w:rPr>
            </w:pPr>
            <w:r>
              <w:rPr>
                <w:sz w:val="17"/>
                <w:szCs w:val="17"/>
              </w:rPr>
              <w:t>预算数</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一、一般公共预算拨款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538.89</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一、一般公共服务支出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4.03</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89.11</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二、外交支出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449.78</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三、国防支出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二、政府性基金预算拨款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四、公共安全支出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五、教育支出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六、科学技术支出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三、国有资本经营预算拨款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七、文化旅游体育与传媒支出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八、社会保障和就业支出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45.90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九、卫生健康支出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十、节能环保支出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十一、城乡社区支出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十二、农林水支出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449.70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十三、交通运输支出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十四、资源勘探工业信息等支出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十五、商业服务业等支出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十六、金融支出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十七、援助其他地区支出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十八、自然资源海洋气象等支出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十九、住房保障支出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39.25</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二十、粮油物资储备支出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二十一、国有资本经营预算支出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二十二、灾害防治及应急管理支出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二十三、其他支出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二十四、债务还本支出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二十五、债务付息支出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二十六、债务发行费用支出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本年收入合计</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538.89</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本年支出合计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538.89</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上年结转结余</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结转下年支出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收入总计</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538.89</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支出总计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538.89</w:t>
            </w:r>
          </w:p>
        </w:tc>
      </w:tr>
      <w:tr>
        <w:tblPrEx>
          <w:tblCellMar>
            <w:top w:w="0" w:type="dxa"/>
            <w:left w:w="10" w:type="dxa"/>
            <w:bottom w:w="0" w:type="dxa"/>
            <w:right w:w="10" w:type="dxa"/>
          </w:tblCellMar>
        </w:tblPrEx>
        <w:trPr>
          <w:trHeight w:val="352" w:hRule="exact"/>
        </w:trPr>
        <w:tc>
          <w:tcPr>
            <w:tcW w:w="15342" w:type="dxa"/>
            <w:gridSpan w:val="6"/>
            <w:tcBorders>
              <w:top w:val="single" w:color="auto" w:sz="4" w:space="0"/>
            </w:tcBorders>
            <w:shd w:val="clear" w:color="auto" w:fill="FFFFFF"/>
          </w:tcPr>
          <w:p>
            <w:pPr>
              <w:jc w:val="left"/>
              <w:rPr>
                <w:sz w:val="10"/>
                <w:szCs w:val="10"/>
                <w:lang w:eastAsia="zh-CN"/>
              </w:rPr>
            </w:pPr>
            <w:r>
              <w:rPr>
                <w:sz w:val="17"/>
                <w:szCs w:val="17"/>
              </w:rPr>
              <w:t>注：表中功能分类科目，根据各部门实际预算编制情况编列。</w:t>
            </w:r>
          </w:p>
        </w:tc>
      </w:tr>
      <w:tr>
        <w:tblPrEx>
          <w:tblCellMar>
            <w:top w:w="0" w:type="dxa"/>
            <w:left w:w="10" w:type="dxa"/>
            <w:bottom w:w="0" w:type="dxa"/>
            <w:right w:w="10" w:type="dxa"/>
          </w:tblCellMar>
        </w:tblPrEx>
        <w:trPr>
          <w:trHeight w:val="274" w:hRule="exact"/>
        </w:trPr>
        <w:tc>
          <w:tcPr>
            <w:tcW w:w="15342" w:type="dxa"/>
            <w:gridSpan w:val="6"/>
            <w:shd w:val="clear" w:color="auto" w:fill="FFFFFF"/>
            <w:vAlign w:val="bottom"/>
          </w:tcPr>
          <w:p>
            <w:pPr>
              <w:jc w:val="left"/>
              <w:rPr>
                <w:sz w:val="10"/>
                <w:szCs w:val="10"/>
                <w:lang w:eastAsia="zh-CN"/>
              </w:rPr>
            </w:pPr>
            <w:r>
              <w:rPr>
                <w:sz w:val="17"/>
                <w:szCs w:val="17"/>
              </w:rPr>
              <w:t>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一般公共预算支出情况表</w:t>
      </w:r>
    </w:p>
    <w:p>
      <w:pPr>
        <w:jc w:val="center"/>
        <w:rPr>
          <w:rFonts w:hint="eastAsia"/>
          <w:lang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1600"/>
        <w:gridCol w:w="1574"/>
        <w:gridCol w:w="1744"/>
        <w:gridCol w:w="2050"/>
        <w:gridCol w:w="1804"/>
        <w:gridCol w:w="1712"/>
        <w:gridCol w:w="71"/>
        <w:gridCol w:w="1679"/>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6" w:type="dxa"/>
            <w:gridSpan w:val="7"/>
            <w:tcBorders>
              <w:top w:val="nil"/>
              <w:left w:val="nil"/>
              <w:right w:val="nil"/>
            </w:tcBorders>
          </w:tcPr>
          <w:p>
            <w:pPr>
              <w:jc w:val="left"/>
              <w:rPr>
                <w:rFonts w:hint="eastAsia"/>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环江毛南族自治县农业机械化服务中心                                                            </w:t>
            </w: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hint="eastAsia" w:ascii="宋体" w:hAnsi="宋体" w:eastAsia="宋体" w:cs="宋体"/>
                <w:sz w:val="16"/>
                <w:szCs w:val="16"/>
                <w:vertAlign w:val="baseline"/>
                <w:lang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Merge w:val="restart"/>
          </w:tcPr>
          <w:p>
            <w:pPr>
              <w:jc w:val="center"/>
              <w:rPr>
                <w:rFonts w:hint="eastAsia"/>
                <w:vertAlign w:val="baseline"/>
                <w:lang w:eastAsia="zh-CN"/>
              </w:rPr>
            </w:pPr>
            <w:r>
              <w:rPr>
                <w:sz w:val="17"/>
                <w:szCs w:val="17"/>
              </w:rPr>
              <w:t>科目编码</w:t>
            </w:r>
          </w:p>
        </w:tc>
        <w:tc>
          <w:tcPr>
            <w:tcW w:w="1676" w:type="dxa"/>
            <w:vMerge w:val="restart"/>
          </w:tcPr>
          <w:p>
            <w:pPr>
              <w:jc w:val="center"/>
              <w:rPr>
                <w:rFonts w:hint="eastAsia"/>
                <w:vertAlign w:val="baseline"/>
                <w:lang w:eastAsia="zh-CN"/>
              </w:rPr>
            </w:pPr>
            <w:r>
              <w:rPr>
                <w:sz w:val="17"/>
                <w:szCs w:val="17"/>
              </w:rPr>
              <w:t>部门（单位）代码</w:t>
            </w:r>
          </w:p>
        </w:tc>
        <w:tc>
          <w:tcPr>
            <w:tcW w:w="1662" w:type="dxa"/>
            <w:vMerge w:val="restart"/>
          </w:tcPr>
          <w:p>
            <w:pPr>
              <w:pStyle w:val="24"/>
              <w:spacing w:after="120" w:line="240" w:lineRule="auto"/>
              <w:ind w:firstLine="0"/>
              <w:jc w:val="center"/>
              <w:rPr>
                <w:sz w:val="17"/>
                <w:szCs w:val="17"/>
              </w:rPr>
            </w:pPr>
            <w:r>
              <w:rPr>
                <w:sz w:val="17"/>
                <w:szCs w:val="17"/>
              </w:rPr>
              <w:t>部门（单位）名称</w:t>
            </w:r>
          </w:p>
          <w:p>
            <w:pPr>
              <w:jc w:val="center"/>
              <w:rPr>
                <w:rFonts w:hint="eastAsia"/>
                <w:vertAlign w:val="baseline"/>
                <w:lang w:eastAsia="zh-CN"/>
              </w:rPr>
            </w:pPr>
            <w:r>
              <w:rPr>
                <w:sz w:val="17"/>
                <w:szCs w:val="17"/>
              </w:rPr>
              <w:t>（功能分类科目名称）</w:t>
            </w:r>
          </w:p>
        </w:tc>
        <w:tc>
          <w:tcPr>
            <w:tcW w:w="1717" w:type="dxa"/>
            <w:vMerge w:val="restart"/>
          </w:tcPr>
          <w:p>
            <w:pPr>
              <w:jc w:val="center"/>
              <w:rPr>
                <w:rFonts w:hint="eastAsia"/>
                <w:vertAlign w:val="baseline"/>
                <w:lang w:eastAsia="zh-CN"/>
              </w:rPr>
            </w:pPr>
            <w:r>
              <w:rPr>
                <w:sz w:val="17"/>
                <w:szCs w:val="17"/>
              </w:rPr>
              <w:t>合计</w:t>
            </w:r>
          </w:p>
        </w:tc>
        <w:tc>
          <w:tcPr>
            <w:tcW w:w="5398" w:type="dxa"/>
            <w:gridSpan w:val="4"/>
          </w:tcPr>
          <w:p>
            <w:pPr>
              <w:jc w:val="center"/>
              <w:rPr>
                <w:rFonts w:hint="eastAsia"/>
                <w:vertAlign w:val="baseline"/>
                <w:lang w:eastAsia="zh-CN"/>
              </w:rPr>
            </w:pPr>
            <w:r>
              <w:rPr>
                <w:sz w:val="17"/>
                <w:szCs w:val="17"/>
              </w:rPr>
              <w:t>基本支出</w:t>
            </w:r>
          </w:p>
        </w:tc>
        <w:tc>
          <w:tcPr>
            <w:tcW w:w="1694" w:type="dxa"/>
            <w:vMerge w:val="restart"/>
          </w:tcPr>
          <w:p>
            <w:pPr>
              <w:jc w:val="center"/>
              <w:rPr>
                <w:rFonts w:hint="eastAsia"/>
                <w:vertAlign w:val="baseline"/>
                <w:lang w:eastAsia="zh-CN"/>
              </w:rPr>
            </w:pPr>
            <w:r>
              <w:rPr>
                <w:sz w:val="17"/>
                <w:szCs w:val="17"/>
              </w:rPr>
              <w:t>项目支出</w:t>
            </w:r>
          </w:p>
        </w:tc>
        <w:tc>
          <w:tcPr>
            <w:tcW w:w="1695" w:type="dxa"/>
            <w:vMerge w:val="restart"/>
          </w:tcPr>
          <w:p>
            <w:pPr>
              <w:jc w:val="center"/>
              <w:rPr>
                <w:rFonts w:hint="eastAsia"/>
                <w:vertAlign w:val="baseline"/>
                <w:lang w:eastAsia="zh-CN"/>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Merge w:val="continue"/>
          </w:tcPr>
          <w:p>
            <w:pPr>
              <w:jc w:val="center"/>
              <w:rPr>
                <w:rFonts w:hint="eastAsia"/>
                <w:vertAlign w:val="baseline"/>
                <w:lang w:eastAsia="zh-CN"/>
              </w:rPr>
            </w:pPr>
          </w:p>
        </w:tc>
        <w:tc>
          <w:tcPr>
            <w:tcW w:w="1676" w:type="dxa"/>
            <w:vMerge w:val="continue"/>
          </w:tcPr>
          <w:p>
            <w:pPr>
              <w:jc w:val="center"/>
              <w:rPr>
                <w:rFonts w:hint="eastAsia"/>
                <w:vertAlign w:val="baseline"/>
                <w:lang w:eastAsia="zh-CN"/>
              </w:rPr>
            </w:pPr>
          </w:p>
        </w:tc>
        <w:tc>
          <w:tcPr>
            <w:tcW w:w="1662" w:type="dxa"/>
            <w:vMerge w:val="continue"/>
          </w:tcPr>
          <w:p>
            <w:pPr>
              <w:jc w:val="center"/>
              <w:rPr>
                <w:rFonts w:hint="eastAsia"/>
                <w:vertAlign w:val="baseline"/>
                <w:lang w:eastAsia="zh-CN"/>
              </w:rPr>
            </w:pPr>
          </w:p>
        </w:tc>
        <w:tc>
          <w:tcPr>
            <w:tcW w:w="1717" w:type="dxa"/>
            <w:vMerge w:val="continue"/>
          </w:tcPr>
          <w:p>
            <w:pPr>
              <w:jc w:val="center"/>
              <w:rPr>
                <w:rFonts w:hint="eastAsia"/>
                <w:vertAlign w:val="baseline"/>
                <w:lang w:eastAsia="zh-CN"/>
              </w:rPr>
            </w:pPr>
          </w:p>
        </w:tc>
        <w:tc>
          <w:tcPr>
            <w:tcW w:w="1879" w:type="dxa"/>
            <w:vAlign w:val="center"/>
          </w:tcPr>
          <w:p>
            <w:pPr>
              <w:pStyle w:val="24"/>
              <w:spacing w:line="240" w:lineRule="auto"/>
              <w:ind w:firstLine="0" w:firstLineChars="0"/>
              <w:jc w:val="center"/>
              <w:rPr>
                <w:rFonts w:hint="eastAsia"/>
                <w:vertAlign w:val="baseline"/>
                <w:lang w:eastAsia="zh-CN"/>
              </w:rPr>
            </w:pPr>
            <w:r>
              <w:rPr>
                <w:sz w:val="17"/>
                <w:szCs w:val="17"/>
              </w:rPr>
              <w:t>小计</w:t>
            </w:r>
          </w:p>
        </w:tc>
        <w:tc>
          <w:tcPr>
            <w:tcW w:w="1729" w:type="dxa"/>
            <w:vAlign w:val="center"/>
          </w:tcPr>
          <w:p>
            <w:pPr>
              <w:pStyle w:val="24"/>
              <w:spacing w:line="240" w:lineRule="auto"/>
              <w:ind w:firstLine="0" w:firstLineChars="0"/>
              <w:jc w:val="center"/>
              <w:rPr>
                <w:rFonts w:hint="eastAsia"/>
                <w:vertAlign w:val="baseline"/>
                <w:lang w:eastAsia="zh-CN"/>
              </w:rPr>
            </w:pPr>
            <w:r>
              <w:rPr>
                <w:sz w:val="17"/>
                <w:szCs w:val="17"/>
              </w:rPr>
              <w:t>人员经费</w:t>
            </w:r>
          </w:p>
        </w:tc>
        <w:tc>
          <w:tcPr>
            <w:tcW w:w="1790" w:type="dxa"/>
            <w:gridSpan w:val="2"/>
            <w:vAlign w:val="center"/>
          </w:tcPr>
          <w:p>
            <w:pPr>
              <w:pStyle w:val="24"/>
              <w:spacing w:line="240" w:lineRule="auto"/>
              <w:ind w:firstLine="440" w:firstLineChars="0"/>
              <w:jc w:val="center"/>
              <w:rPr>
                <w:rFonts w:hint="eastAsia"/>
                <w:vertAlign w:val="baseline"/>
                <w:lang w:eastAsia="zh-CN"/>
              </w:rPr>
            </w:pPr>
            <w:r>
              <w:rPr>
                <w:sz w:val="17"/>
                <w:szCs w:val="17"/>
              </w:rPr>
              <w:t>公用经费</w:t>
            </w:r>
          </w:p>
        </w:tc>
        <w:tc>
          <w:tcPr>
            <w:tcW w:w="1694" w:type="dxa"/>
            <w:vMerge w:val="continue"/>
          </w:tcPr>
          <w:p>
            <w:pPr>
              <w:jc w:val="center"/>
              <w:rPr>
                <w:rFonts w:hint="eastAsia"/>
                <w:vertAlign w:val="baseline"/>
                <w:lang w:eastAsia="zh-CN"/>
              </w:rPr>
            </w:pPr>
          </w:p>
        </w:tc>
        <w:tc>
          <w:tcPr>
            <w:tcW w:w="1695" w:type="dxa"/>
            <w:vMerge w:val="continue"/>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1</w:t>
            </w:r>
          </w:p>
        </w:tc>
        <w:tc>
          <w:tcPr>
            <w:tcW w:w="1879" w:type="dxa"/>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2</w:t>
            </w:r>
          </w:p>
        </w:tc>
        <w:tc>
          <w:tcPr>
            <w:tcW w:w="1729" w:type="dxa"/>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3</w:t>
            </w:r>
          </w:p>
        </w:tc>
        <w:tc>
          <w:tcPr>
            <w:tcW w:w="1790" w:type="dxa"/>
            <w:gridSpan w:val="2"/>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4</w:t>
            </w:r>
          </w:p>
        </w:tc>
        <w:tc>
          <w:tcPr>
            <w:tcW w:w="1694" w:type="dxa"/>
            <w:vAlign w:val="center"/>
          </w:tcPr>
          <w:p>
            <w:pPr>
              <w:pStyle w:val="24"/>
              <w:spacing w:line="240" w:lineRule="auto"/>
              <w:ind w:firstLine="660" w:firstLineChars="0"/>
              <w:jc w:val="center"/>
              <w:rPr>
                <w:rFonts w:hint="eastAsia"/>
                <w:vertAlign w:val="baseline"/>
                <w:lang w:eastAsia="zh-CN"/>
              </w:rPr>
            </w:pPr>
            <w:r>
              <w:rPr>
                <w:rFonts w:ascii="Times New Roman" w:hAnsi="Times New Roman" w:eastAsia="Times New Roman" w:cs="Times New Roman"/>
                <w:b/>
                <w:bCs/>
                <w:sz w:val="17"/>
                <w:szCs w:val="17"/>
              </w:rPr>
              <w:t>5</w:t>
            </w:r>
          </w:p>
        </w:tc>
        <w:tc>
          <w:tcPr>
            <w:tcW w:w="1695" w:type="dxa"/>
            <w:vAlign w:val="center"/>
          </w:tcPr>
          <w:p>
            <w:pPr>
              <w:pStyle w:val="24"/>
              <w:spacing w:line="240" w:lineRule="auto"/>
              <w:ind w:right="700" w:rightChars="0" w:firstLine="0" w:firstLineChars="0"/>
              <w:jc w:val="center"/>
              <w:rPr>
                <w:rFonts w:hint="eastAsia"/>
                <w:vertAlign w:val="baseline"/>
                <w:lang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p>
        </w:tc>
        <w:tc>
          <w:tcPr>
            <w:tcW w:w="1676"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506001</w:t>
            </w:r>
          </w:p>
        </w:tc>
        <w:tc>
          <w:tcPr>
            <w:tcW w:w="1662" w:type="dxa"/>
            <w:vAlign w:val="center"/>
          </w:tcPr>
          <w:p>
            <w:pPr>
              <w:pStyle w:val="24"/>
              <w:spacing w:line="240" w:lineRule="auto"/>
              <w:ind w:firstLine="0" w:firstLineChars="0"/>
              <w:jc w:val="center"/>
              <w:rPr>
                <w:rFonts w:hint="eastAsia"/>
                <w:vertAlign w:val="baseline"/>
                <w:lang w:eastAsia="zh-CN"/>
              </w:rPr>
            </w:pP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538.89</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439.51</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414.29</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25.22</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99.38</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2012999</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其他群众团体事务支出</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4.03</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4.03</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4.03</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2080505</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机关事业单位基本养老保险缴费支出</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45.90</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45.90</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45.90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2130104</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事业运行</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350.32</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350.32</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329.14</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21.18</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2130106</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科技转化与推广服务</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3.85</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0.00</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3.85</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2130122</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农业生产发展</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86.86</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0.00</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86.86</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2130199</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其他农业农村支出</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8.67</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0.00</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8.67</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2210201</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住房公积金</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39.25</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39.25</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39.25</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10"/>
            <w:tcBorders>
              <w:left w:val="nil"/>
              <w:bottom w:val="nil"/>
              <w:right w:val="nil"/>
            </w:tcBorders>
          </w:tcPr>
          <w:p>
            <w:pPr>
              <w:jc w:val="left"/>
              <w:rPr>
                <w:rFonts w:hint="eastAsia"/>
                <w:vertAlign w:val="baseline"/>
                <w:lang w:eastAsia="zh-CN"/>
              </w:rPr>
            </w:pPr>
            <w:r>
              <w:rPr>
                <w:sz w:val="16"/>
                <w:szCs w:val="16"/>
              </w:rPr>
              <w:t>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22"/>
        <w:keepNext/>
        <w:keepLines/>
        <w:spacing w:after="240"/>
        <w:jc w:val="center"/>
      </w:pPr>
      <w:bookmarkStart w:id="25" w:name="bookmark57"/>
      <w:bookmarkStart w:id="26" w:name="bookmark56"/>
      <w:bookmarkStart w:id="27" w:name="bookmark58"/>
      <w:r>
        <w:t>一般公共预算基本支出情况表</w:t>
      </w:r>
      <w:bookmarkEnd w:id="25"/>
      <w:bookmarkEnd w:id="26"/>
      <w:bookmarkEnd w:id="27"/>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0"/>
        <w:gridCol w:w="3111"/>
        <w:gridCol w:w="3111"/>
        <w:gridCol w:w="3112"/>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4" w:type="dxa"/>
            <w:gridSpan w:val="4"/>
            <w:tcBorders>
              <w:top w:val="nil"/>
              <w:left w:val="nil"/>
              <w:right w:val="nil"/>
            </w:tcBorders>
          </w:tcPr>
          <w:p>
            <w:pPr>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环江毛南族自治县农业机械化服务中心                                                          </w:t>
            </w: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221" w:type="dxa"/>
            <w:gridSpan w:val="2"/>
          </w:tcPr>
          <w:p>
            <w:pPr>
              <w:jc w:val="left"/>
              <w:rPr>
                <w:vertAlign w:val="baseline"/>
                <w:lang w:eastAsia="zh-CN"/>
              </w:rPr>
            </w:pPr>
            <w:r>
              <w:rPr>
                <w:sz w:val="17"/>
                <w:szCs w:val="17"/>
              </w:rPr>
              <w:t>部门预算支出经济分类科目</w:t>
            </w:r>
          </w:p>
        </w:tc>
        <w:tc>
          <w:tcPr>
            <w:tcW w:w="9336" w:type="dxa"/>
            <w:gridSpan w:val="3"/>
          </w:tcPr>
          <w:p>
            <w:pPr>
              <w:jc w:val="left"/>
              <w:rPr>
                <w:vertAlign w:val="baseline"/>
                <w:lang w:eastAsia="zh-CN"/>
              </w:rPr>
            </w:pPr>
            <w:r>
              <w:rPr>
                <w:sz w:val="17"/>
                <w:szCs w:val="17"/>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10" w:type="dxa"/>
            <w:vAlign w:val="center"/>
          </w:tcPr>
          <w:p>
            <w:pPr>
              <w:pStyle w:val="24"/>
              <w:spacing w:line="240" w:lineRule="auto"/>
              <w:ind w:firstLine="0" w:firstLineChars="0"/>
              <w:jc w:val="center"/>
              <w:rPr>
                <w:vertAlign w:val="baseline"/>
                <w:lang w:eastAsia="zh-CN"/>
              </w:rPr>
            </w:pPr>
            <w:r>
              <w:rPr>
                <w:sz w:val="17"/>
                <w:szCs w:val="17"/>
              </w:rPr>
              <w:t>科目编码</w:t>
            </w:r>
          </w:p>
        </w:tc>
        <w:tc>
          <w:tcPr>
            <w:tcW w:w="3111" w:type="dxa"/>
            <w:vAlign w:val="center"/>
          </w:tcPr>
          <w:p>
            <w:pPr>
              <w:pStyle w:val="24"/>
              <w:spacing w:line="240" w:lineRule="auto"/>
              <w:ind w:firstLine="0" w:firstLineChars="0"/>
              <w:jc w:val="center"/>
              <w:rPr>
                <w:vertAlign w:val="baseline"/>
                <w:lang w:eastAsia="zh-CN"/>
              </w:rPr>
            </w:pPr>
            <w:r>
              <w:rPr>
                <w:sz w:val="17"/>
                <w:szCs w:val="17"/>
              </w:rPr>
              <w:t>科目名称</w:t>
            </w:r>
          </w:p>
        </w:tc>
        <w:tc>
          <w:tcPr>
            <w:tcW w:w="3111" w:type="dxa"/>
            <w:vAlign w:val="center"/>
          </w:tcPr>
          <w:p>
            <w:pPr>
              <w:pStyle w:val="24"/>
              <w:spacing w:line="240" w:lineRule="auto"/>
              <w:ind w:firstLine="0" w:firstLineChars="0"/>
              <w:jc w:val="center"/>
              <w:rPr>
                <w:vertAlign w:val="baseline"/>
                <w:lang w:eastAsia="zh-CN"/>
              </w:rPr>
            </w:pPr>
            <w:r>
              <w:rPr>
                <w:sz w:val="17"/>
                <w:szCs w:val="17"/>
              </w:rPr>
              <w:t>合计</w:t>
            </w:r>
          </w:p>
        </w:tc>
        <w:tc>
          <w:tcPr>
            <w:tcW w:w="3112" w:type="dxa"/>
            <w:vAlign w:val="center"/>
          </w:tcPr>
          <w:p>
            <w:pPr>
              <w:pStyle w:val="24"/>
              <w:spacing w:line="240" w:lineRule="auto"/>
              <w:ind w:firstLine="0" w:firstLineChars="0"/>
              <w:jc w:val="center"/>
              <w:rPr>
                <w:vertAlign w:val="baseline"/>
                <w:lang w:eastAsia="zh-CN"/>
              </w:rPr>
            </w:pPr>
            <w:r>
              <w:rPr>
                <w:sz w:val="17"/>
                <w:szCs w:val="17"/>
              </w:rPr>
              <w:t>人员经费</w:t>
            </w:r>
          </w:p>
        </w:tc>
        <w:tc>
          <w:tcPr>
            <w:tcW w:w="3113" w:type="dxa"/>
            <w:vAlign w:val="center"/>
          </w:tcPr>
          <w:p>
            <w:pPr>
              <w:pStyle w:val="24"/>
              <w:spacing w:line="240" w:lineRule="auto"/>
              <w:ind w:firstLine="0" w:firstLineChars="0"/>
              <w:jc w:val="center"/>
              <w:rPr>
                <w:vertAlign w:val="baseline"/>
                <w:lang w:eastAsia="zh-CN"/>
              </w:rPr>
            </w:pPr>
            <w:r>
              <w:rPr>
                <w:sz w:val="17"/>
                <w:szCs w:val="17"/>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 xml:space="preserve"> </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合计</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439.51</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414.29</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工资福利支出</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379.68</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379.68</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基本工资</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129.97</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129.97</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津贴补贴</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27.43</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27.43</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30103</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奖金</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73.63</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73.63</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30107</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绩效工资</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43.60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43.60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30108</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机关事业单位基本养老保险缴费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45.90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45.90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30110</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职工基本医疗保险缴费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18.36</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18.36</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其他社会保障缴费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1.55</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1.55</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30113</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住房公积金</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39.25</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39.25</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商品和服务支出</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25.22</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办公费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7.00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印刷费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30205</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30206</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电费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30207</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邮电费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1.09</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差旅费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30216</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培训费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30217</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公务接待费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30228</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工会经费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4.03</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30231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公务用车运行维护费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6.79</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30239</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其他交通费用</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6.30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对个人和家庭的补助</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34.61</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34.61</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30302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退休费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32.11</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32.11</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30305</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生活补助</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2.48</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2.48</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30310</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个人农业生产补贴</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30399</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其他对个人和家庭的补助</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0.02</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0.02</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22"/>
        <w:keepNext/>
        <w:keepLines/>
        <w:spacing w:after="240"/>
        <w:jc w:val="center"/>
        <w:rPr>
          <w:rFonts w:hint="default"/>
          <w:sz w:val="28"/>
          <w:szCs w:val="28"/>
          <w:lang w:val="en-US" w:eastAsia="zh-CN"/>
        </w:rPr>
      </w:pPr>
      <w:bookmarkStart w:id="28" w:name="bookmark65"/>
      <w:bookmarkStart w:id="29" w:name="bookmark66"/>
      <w:bookmarkStart w:id="30" w:name="bookmark67"/>
      <w:r>
        <w:rPr>
          <w:rFonts w:hint="default"/>
          <w:sz w:val="28"/>
          <w:szCs w:val="28"/>
          <w:lang w:val="en-US" w:eastAsia="zh-CN"/>
        </w:rPr>
        <w:t>一般公共预算“三公”经费预算表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6"/>
        <w:gridCol w:w="1918"/>
        <w:gridCol w:w="1884"/>
        <w:gridCol w:w="1895"/>
        <w:gridCol w:w="1888"/>
        <w:gridCol w:w="1890"/>
        <w:gridCol w:w="1895"/>
        <w:gridCol w:w="2"/>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6" w:type="dxa"/>
            <w:gridSpan w:val="7"/>
            <w:tcBorders>
              <w:top w:val="nil"/>
              <w:left w:val="nil"/>
              <w:right w:val="nil"/>
            </w:tcBorders>
          </w:tcPr>
          <w:p>
            <w:pPr>
              <w:pStyle w:val="26"/>
              <w:bidi w:val="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环江毛南族自治县农业机械化服务中心                                           </w:t>
            </w:r>
            <w:r>
              <w:rPr>
                <w:rFonts w:hint="eastAsia"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1891" w:type="dxa"/>
            <w:gridSpan w:val="2"/>
            <w:tcBorders>
              <w:top w:val="nil"/>
              <w:left w:val="nil"/>
              <w:right w:val="nil"/>
            </w:tcBorders>
          </w:tcPr>
          <w:p>
            <w:pPr>
              <w:pStyle w:val="26"/>
              <w:bidi w:val="0"/>
              <w:ind w:firstLine="480" w:firstLineChars="30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restart"/>
          </w:tcPr>
          <w:p>
            <w:pPr>
              <w:pStyle w:val="26"/>
              <w:bidi w:val="0"/>
              <w:jc w:val="center"/>
              <w:rPr>
                <w:rFonts w:hint="eastAsia"/>
                <w:vertAlign w:val="baseline"/>
                <w:lang w:val="en-US" w:eastAsia="zh-CN"/>
              </w:rPr>
            </w:pPr>
            <w:r>
              <w:rPr>
                <w:sz w:val="17"/>
                <w:szCs w:val="17"/>
              </w:rPr>
              <w:t>门（单位）代码</w:t>
            </w:r>
          </w:p>
        </w:tc>
        <w:tc>
          <w:tcPr>
            <w:tcW w:w="1918" w:type="dxa"/>
            <w:vMerge w:val="restart"/>
          </w:tcPr>
          <w:p>
            <w:pPr>
              <w:pStyle w:val="26"/>
              <w:bidi w:val="0"/>
              <w:jc w:val="center"/>
              <w:rPr>
                <w:rFonts w:hint="eastAsia"/>
                <w:vertAlign w:val="baseline"/>
                <w:lang w:val="en-US" w:eastAsia="zh-CN"/>
              </w:rPr>
            </w:pPr>
            <w:r>
              <w:rPr>
                <w:sz w:val="17"/>
                <w:szCs w:val="17"/>
              </w:rPr>
              <w:t>部门（单位）名称</w:t>
            </w:r>
          </w:p>
        </w:tc>
        <w:tc>
          <w:tcPr>
            <w:tcW w:w="11343" w:type="dxa"/>
            <w:gridSpan w:val="7"/>
          </w:tcPr>
          <w:p>
            <w:pPr>
              <w:pStyle w:val="26"/>
              <w:bidi w:val="0"/>
              <w:jc w:val="center"/>
              <w:rPr>
                <w:rFonts w:hint="eastAsia"/>
                <w:vertAlign w:val="baseline"/>
                <w:lang w:val="en-US" w:eastAsia="zh-CN"/>
              </w:rPr>
            </w:pPr>
            <w:r>
              <w:rPr>
                <w:sz w:val="17"/>
                <w:szCs w:val="17"/>
                <w:lang w:val="zh-CN" w:eastAsia="zh-CN" w:bidi="zh-CN"/>
              </w:rPr>
              <w:t>“三</w:t>
            </w:r>
            <w:r>
              <w:rPr>
                <w:sz w:val="17"/>
                <w:szCs w:val="17"/>
              </w:rPr>
              <w:t>公”经费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continue"/>
          </w:tcPr>
          <w:p>
            <w:pPr>
              <w:pStyle w:val="26"/>
              <w:bidi w:val="0"/>
              <w:jc w:val="center"/>
              <w:rPr>
                <w:rFonts w:hint="eastAsia"/>
                <w:vertAlign w:val="baseline"/>
                <w:lang w:val="en-US" w:eastAsia="zh-CN"/>
              </w:rPr>
            </w:pPr>
          </w:p>
        </w:tc>
        <w:tc>
          <w:tcPr>
            <w:tcW w:w="1918" w:type="dxa"/>
            <w:vMerge w:val="continue"/>
          </w:tcPr>
          <w:p>
            <w:pPr>
              <w:pStyle w:val="26"/>
              <w:bidi w:val="0"/>
              <w:jc w:val="center"/>
              <w:rPr>
                <w:rFonts w:hint="eastAsia"/>
                <w:vertAlign w:val="baseline"/>
                <w:lang w:val="en-US" w:eastAsia="zh-CN"/>
              </w:rPr>
            </w:pPr>
          </w:p>
        </w:tc>
        <w:tc>
          <w:tcPr>
            <w:tcW w:w="1884" w:type="dxa"/>
            <w:vMerge w:val="restart"/>
          </w:tcPr>
          <w:p>
            <w:pPr>
              <w:pStyle w:val="26"/>
              <w:bidi w:val="0"/>
              <w:jc w:val="center"/>
              <w:rPr>
                <w:rFonts w:hint="eastAsia"/>
                <w:vertAlign w:val="baseline"/>
                <w:lang w:val="en-US" w:eastAsia="zh-CN"/>
              </w:rPr>
            </w:pPr>
            <w:r>
              <w:rPr>
                <w:sz w:val="17"/>
                <w:szCs w:val="17"/>
              </w:rPr>
              <w:t>合计</w:t>
            </w:r>
          </w:p>
        </w:tc>
        <w:tc>
          <w:tcPr>
            <w:tcW w:w="1895" w:type="dxa"/>
            <w:vMerge w:val="restart"/>
          </w:tcPr>
          <w:p>
            <w:pPr>
              <w:pStyle w:val="26"/>
              <w:bidi w:val="0"/>
              <w:jc w:val="center"/>
              <w:rPr>
                <w:rFonts w:hint="eastAsia"/>
                <w:vertAlign w:val="baseline"/>
                <w:lang w:val="en-US" w:eastAsia="zh-CN"/>
              </w:rPr>
            </w:pPr>
            <w:r>
              <w:rPr>
                <w:sz w:val="17"/>
                <w:szCs w:val="17"/>
              </w:rPr>
              <w:t>因公出国（境）费</w:t>
            </w:r>
          </w:p>
        </w:tc>
        <w:tc>
          <w:tcPr>
            <w:tcW w:w="5675" w:type="dxa"/>
            <w:gridSpan w:val="4"/>
          </w:tcPr>
          <w:p>
            <w:pPr>
              <w:pStyle w:val="26"/>
              <w:bidi w:val="0"/>
              <w:jc w:val="center"/>
              <w:rPr>
                <w:rFonts w:hint="eastAsia"/>
                <w:vertAlign w:val="baseline"/>
                <w:lang w:val="en-US" w:eastAsia="zh-CN"/>
              </w:rPr>
            </w:pPr>
            <w:r>
              <w:rPr>
                <w:sz w:val="17"/>
                <w:szCs w:val="17"/>
              </w:rPr>
              <w:t>公务用车购置及运行维护费</w:t>
            </w:r>
          </w:p>
        </w:tc>
        <w:tc>
          <w:tcPr>
            <w:tcW w:w="1889" w:type="dxa"/>
            <w:vMerge w:val="restart"/>
          </w:tcPr>
          <w:p>
            <w:pPr>
              <w:pStyle w:val="26"/>
              <w:bidi w:val="0"/>
              <w:jc w:val="center"/>
              <w:rPr>
                <w:rFonts w:hint="eastAsia"/>
                <w:vertAlign w:val="baseline"/>
                <w:lang w:val="en-US" w:eastAsia="zh-CN"/>
              </w:rPr>
            </w:pPr>
            <w:r>
              <w:rPr>
                <w:sz w:val="17"/>
                <w:szCs w:val="17"/>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continue"/>
          </w:tcPr>
          <w:p>
            <w:pPr>
              <w:pStyle w:val="26"/>
              <w:bidi w:val="0"/>
              <w:jc w:val="center"/>
              <w:rPr>
                <w:rFonts w:hint="eastAsia"/>
                <w:vertAlign w:val="baseline"/>
                <w:lang w:val="en-US" w:eastAsia="zh-CN"/>
              </w:rPr>
            </w:pPr>
          </w:p>
        </w:tc>
        <w:tc>
          <w:tcPr>
            <w:tcW w:w="1918" w:type="dxa"/>
            <w:vMerge w:val="continue"/>
          </w:tcPr>
          <w:p>
            <w:pPr>
              <w:pStyle w:val="26"/>
              <w:bidi w:val="0"/>
              <w:jc w:val="center"/>
              <w:rPr>
                <w:rFonts w:hint="eastAsia"/>
                <w:vertAlign w:val="baseline"/>
                <w:lang w:val="en-US" w:eastAsia="zh-CN"/>
              </w:rPr>
            </w:pPr>
          </w:p>
        </w:tc>
        <w:tc>
          <w:tcPr>
            <w:tcW w:w="1884" w:type="dxa"/>
            <w:vMerge w:val="continue"/>
          </w:tcPr>
          <w:p>
            <w:pPr>
              <w:pStyle w:val="26"/>
              <w:bidi w:val="0"/>
              <w:jc w:val="center"/>
              <w:rPr>
                <w:rFonts w:hint="eastAsia"/>
                <w:vertAlign w:val="baseline"/>
                <w:lang w:val="en-US" w:eastAsia="zh-CN"/>
              </w:rPr>
            </w:pPr>
          </w:p>
        </w:tc>
        <w:tc>
          <w:tcPr>
            <w:tcW w:w="1895" w:type="dxa"/>
            <w:vMerge w:val="continue"/>
          </w:tcPr>
          <w:p>
            <w:pPr>
              <w:pStyle w:val="26"/>
              <w:bidi w:val="0"/>
              <w:jc w:val="center"/>
              <w:rPr>
                <w:rFonts w:hint="eastAsia"/>
                <w:vertAlign w:val="baseline"/>
                <w:lang w:val="en-US" w:eastAsia="zh-CN"/>
              </w:rPr>
            </w:pPr>
          </w:p>
        </w:tc>
        <w:tc>
          <w:tcPr>
            <w:tcW w:w="1888" w:type="dxa"/>
            <w:vAlign w:val="center"/>
          </w:tcPr>
          <w:p>
            <w:pPr>
              <w:pStyle w:val="24"/>
              <w:spacing w:line="240" w:lineRule="auto"/>
              <w:ind w:firstLine="0" w:firstLineChars="0"/>
              <w:jc w:val="center"/>
              <w:rPr>
                <w:rFonts w:hint="eastAsia"/>
                <w:vertAlign w:val="baseline"/>
                <w:lang w:val="en-US" w:eastAsia="zh-CN"/>
              </w:rPr>
            </w:pPr>
            <w:r>
              <w:rPr>
                <w:sz w:val="17"/>
                <w:szCs w:val="17"/>
              </w:rPr>
              <w:t>小计</w:t>
            </w:r>
          </w:p>
        </w:tc>
        <w:tc>
          <w:tcPr>
            <w:tcW w:w="1890" w:type="dxa"/>
            <w:vAlign w:val="center"/>
          </w:tcPr>
          <w:p>
            <w:pPr>
              <w:pStyle w:val="24"/>
              <w:spacing w:line="240" w:lineRule="auto"/>
              <w:ind w:firstLine="220" w:firstLineChars="0"/>
              <w:jc w:val="center"/>
              <w:rPr>
                <w:rFonts w:hint="eastAsia"/>
                <w:vertAlign w:val="baseline"/>
                <w:lang w:val="en-US" w:eastAsia="zh-CN"/>
              </w:rPr>
            </w:pPr>
            <w:r>
              <w:rPr>
                <w:sz w:val="17"/>
                <w:szCs w:val="17"/>
              </w:rPr>
              <w:t>公务用车运行维护费</w:t>
            </w:r>
          </w:p>
        </w:tc>
        <w:tc>
          <w:tcPr>
            <w:tcW w:w="1897" w:type="dxa"/>
            <w:gridSpan w:val="2"/>
            <w:vAlign w:val="center"/>
          </w:tcPr>
          <w:p>
            <w:pPr>
              <w:pStyle w:val="24"/>
              <w:spacing w:line="240" w:lineRule="auto"/>
              <w:ind w:firstLine="400" w:firstLineChars="0"/>
              <w:jc w:val="center"/>
              <w:rPr>
                <w:rFonts w:hint="eastAsia"/>
                <w:vertAlign w:val="baseline"/>
                <w:lang w:val="en-US" w:eastAsia="zh-CN"/>
              </w:rPr>
            </w:pPr>
            <w:r>
              <w:rPr>
                <w:sz w:val="17"/>
                <w:szCs w:val="17"/>
              </w:rPr>
              <w:t>公务用车购置费</w:t>
            </w:r>
          </w:p>
        </w:tc>
        <w:tc>
          <w:tcPr>
            <w:tcW w:w="1889" w:type="dxa"/>
            <w:vMerge w:val="continue"/>
          </w:tcPr>
          <w:p>
            <w:pPr>
              <w:pStyle w:val="26"/>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1</w:t>
            </w:r>
          </w:p>
        </w:tc>
        <w:tc>
          <w:tcPr>
            <w:tcW w:w="1895"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2</w:t>
            </w:r>
          </w:p>
        </w:tc>
        <w:tc>
          <w:tcPr>
            <w:tcW w:w="1888"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3</w:t>
            </w:r>
          </w:p>
        </w:tc>
        <w:tc>
          <w:tcPr>
            <w:tcW w:w="1890"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4</w:t>
            </w:r>
          </w:p>
        </w:tc>
        <w:tc>
          <w:tcPr>
            <w:tcW w:w="1897" w:type="dxa"/>
            <w:gridSpan w:val="2"/>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5</w:t>
            </w:r>
          </w:p>
        </w:tc>
        <w:tc>
          <w:tcPr>
            <w:tcW w:w="1889"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pStyle w:val="24"/>
              <w:spacing w:line="240" w:lineRule="auto"/>
              <w:ind w:firstLine="0" w:firstLineChars="0"/>
              <w:jc w:val="left"/>
              <w:rPr>
                <w:rFonts w:hint="eastAsia"/>
                <w:vertAlign w:val="baseline"/>
                <w:lang w:val="en-US" w:eastAsia="zh-CN"/>
              </w:rPr>
            </w:pPr>
            <w:r>
              <w:rPr>
                <w:rFonts w:hint="eastAsia" w:ascii="Times New Roman" w:hAnsi="Times New Roman" w:eastAsia="Times New Roman" w:cs="Times New Roman"/>
                <w:b/>
                <w:bCs/>
                <w:sz w:val="17"/>
                <w:szCs w:val="17"/>
                <w:lang w:val="en-US" w:eastAsia="zh-CN"/>
              </w:rPr>
              <w:t>506001</w:t>
            </w:r>
          </w:p>
        </w:tc>
        <w:tc>
          <w:tcPr>
            <w:tcW w:w="1918" w:type="dxa"/>
            <w:vAlign w:val="center"/>
          </w:tcPr>
          <w:p>
            <w:pPr>
              <w:pStyle w:val="24"/>
              <w:spacing w:line="240" w:lineRule="auto"/>
              <w:ind w:firstLine="0" w:firstLineChars="0"/>
              <w:jc w:val="left"/>
              <w:rPr>
                <w:rFonts w:hint="eastAsia"/>
                <w:vertAlign w:val="baseline"/>
                <w:lang w:val="en-US" w:eastAsia="zh-CN"/>
              </w:rPr>
            </w:pPr>
          </w:p>
        </w:tc>
        <w:tc>
          <w:tcPr>
            <w:tcW w:w="1884"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7.29</w:t>
            </w:r>
          </w:p>
        </w:tc>
        <w:tc>
          <w:tcPr>
            <w:tcW w:w="1895"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88"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6.79</w:t>
            </w:r>
          </w:p>
        </w:tc>
        <w:tc>
          <w:tcPr>
            <w:tcW w:w="1890"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6.79</w:t>
            </w:r>
          </w:p>
        </w:tc>
        <w:tc>
          <w:tcPr>
            <w:tcW w:w="1897" w:type="dxa"/>
            <w:gridSpan w:val="2"/>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89"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557" w:type="dxa"/>
            <w:gridSpan w:val="9"/>
            <w:tcBorders>
              <w:left w:val="nil"/>
              <w:bottom w:val="nil"/>
              <w:right w:val="nil"/>
            </w:tcBorders>
          </w:tcPr>
          <w:p>
            <w:pPr>
              <w:pStyle w:val="26"/>
              <w:bidi w:val="0"/>
              <w:jc w:val="both"/>
              <w:rPr>
                <w:rFonts w:hint="eastAsia"/>
                <w:vertAlign w:val="baseline"/>
                <w:lang w:val="en-US" w:eastAsia="zh-CN"/>
              </w:rPr>
            </w:pPr>
            <w:r>
              <w:rPr>
                <w:rFonts w:hint="eastAsia" w:ascii="宋体" w:hAnsi="宋体" w:eastAsia="宋体" w:cs="宋体"/>
                <w:sz w:val="16"/>
                <w:szCs w:val="16"/>
              </w:rPr>
              <w:t>注：本报表金额单位转换时可能存在四舍五入尾数误差</w:t>
            </w:r>
          </w:p>
        </w:tc>
      </w:tr>
    </w:tbl>
    <w:p>
      <w:pPr>
        <w:pStyle w:val="26"/>
        <w:bidi w:val="0"/>
        <w:rPr>
          <w:rFonts w:hint="eastAsia"/>
          <w:lang w:val="en-US" w:eastAsia="zh-CN"/>
        </w:rPr>
      </w:pPr>
    </w:p>
    <w:p>
      <w:pPr>
        <w:pStyle w:val="22"/>
        <w:keepNext/>
        <w:keepLines/>
        <w:spacing w:after="240"/>
        <w:jc w:val="center"/>
      </w:pPr>
    </w:p>
    <w:p>
      <w:pPr>
        <w:pStyle w:val="22"/>
        <w:keepNext/>
        <w:keepLines/>
        <w:spacing w:after="240"/>
        <w:jc w:val="center"/>
      </w:pPr>
    </w:p>
    <w:p>
      <w:pPr>
        <w:pStyle w:val="22"/>
        <w:keepNext/>
        <w:keepLines/>
        <w:spacing w:after="240"/>
        <w:jc w:val="center"/>
      </w:pPr>
    </w:p>
    <w:p>
      <w:pPr>
        <w:pStyle w:val="22"/>
        <w:keepNext/>
        <w:keepLines/>
        <w:spacing w:after="240"/>
        <w:jc w:val="center"/>
      </w:pPr>
    </w:p>
    <w:p>
      <w:pPr>
        <w:pStyle w:val="22"/>
        <w:keepNext/>
        <w:keepLines/>
        <w:spacing w:after="240"/>
        <w:jc w:val="center"/>
      </w:pPr>
    </w:p>
    <w:p>
      <w:pPr>
        <w:pStyle w:val="26"/>
        <w:bidi w:val="0"/>
      </w:pPr>
    </w:p>
    <w:p>
      <w:pPr>
        <w:pStyle w:val="22"/>
        <w:keepNext/>
        <w:keepLines/>
        <w:spacing w:after="240"/>
        <w:jc w:val="center"/>
      </w:pPr>
      <w:r>
        <w:t>政府性基金预算支出情况表</w:t>
      </w:r>
      <w:bookmarkEnd w:id="28"/>
      <w:bookmarkEnd w:id="29"/>
      <w:bookmarkEnd w:id="30"/>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161"/>
        <w:gridCol w:w="2162"/>
        <w:gridCol w:w="2222"/>
        <w:gridCol w:w="2161"/>
        <w:gridCol w:w="216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394" w:type="dxa"/>
            <w:gridSpan w:val="6"/>
            <w:tcBorders>
              <w:top w:val="nil"/>
              <w:left w:val="nil"/>
              <w:right w:val="nil"/>
            </w:tcBorders>
          </w:tcPr>
          <w:p>
            <w:pPr>
              <w:pStyle w:val="26"/>
              <w:tabs>
                <w:tab w:val="left" w:pos="14213"/>
              </w:tabs>
              <w:ind w:left="101"/>
              <w:jc w:val="left"/>
            </w:pPr>
            <w:r>
              <w:t>单位名称：</w:t>
            </w:r>
            <w:r>
              <w:rPr>
                <w:rFonts w:hint="eastAsia"/>
                <w:lang w:eastAsia="zh-CN"/>
              </w:rPr>
              <w:t>环江毛南族自治县农业机械化服务中心</w:t>
            </w:r>
            <w:r>
              <w:tab/>
            </w:r>
            <w:r>
              <w:t>单位：万元</w:t>
            </w:r>
          </w:p>
        </w:tc>
        <w:tc>
          <w:tcPr>
            <w:tcW w:w="2163" w:type="dxa"/>
            <w:tcBorders>
              <w:top w:val="nil"/>
              <w:left w:val="nil"/>
              <w:right w:val="nil"/>
            </w:tcBorders>
          </w:tcPr>
          <w:p>
            <w:pPr>
              <w:pStyle w:val="26"/>
              <w:tabs>
                <w:tab w:val="left" w:pos="14213"/>
              </w:tabs>
              <w:ind w:left="101" w:firstLine="680" w:firstLineChars="400"/>
              <w:jc w:val="left"/>
            </w:pPr>
            <w:r>
              <w:rPr>
                <w:rFonts w:hint="eastAsia"/>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tcPr>
          <w:p>
            <w:pPr>
              <w:pStyle w:val="26"/>
              <w:bidi w:val="0"/>
              <w:jc w:val="center"/>
              <w:rPr>
                <w:vertAlign w:val="baseline"/>
              </w:rPr>
            </w:pPr>
            <w:r>
              <w:rPr>
                <w:sz w:val="17"/>
                <w:szCs w:val="17"/>
              </w:rPr>
              <w:t>科目编码</w:t>
            </w:r>
          </w:p>
        </w:tc>
        <w:tc>
          <w:tcPr>
            <w:tcW w:w="2161" w:type="dxa"/>
          </w:tcPr>
          <w:p>
            <w:pPr>
              <w:pStyle w:val="26"/>
              <w:bidi w:val="0"/>
              <w:jc w:val="center"/>
              <w:rPr>
                <w:vertAlign w:val="baseline"/>
              </w:rPr>
            </w:pPr>
            <w:r>
              <w:rPr>
                <w:sz w:val="17"/>
                <w:szCs w:val="17"/>
              </w:rPr>
              <w:t>部门（单位）代码</w:t>
            </w:r>
          </w:p>
        </w:tc>
        <w:tc>
          <w:tcPr>
            <w:tcW w:w="2162" w:type="dxa"/>
          </w:tcPr>
          <w:p>
            <w:pPr>
              <w:pStyle w:val="26"/>
              <w:bidi w:val="0"/>
              <w:jc w:val="center"/>
              <w:rPr>
                <w:vertAlign w:val="baseline"/>
              </w:rPr>
            </w:pPr>
            <w:r>
              <w:rPr>
                <w:sz w:val="17"/>
                <w:szCs w:val="17"/>
              </w:rPr>
              <w:t>部门（单位）名称（功能分类科目名称）</w:t>
            </w:r>
          </w:p>
        </w:tc>
        <w:tc>
          <w:tcPr>
            <w:tcW w:w="2222" w:type="dxa"/>
            <w:vAlign w:val="center"/>
          </w:tcPr>
          <w:p>
            <w:pPr>
              <w:pStyle w:val="24"/>
              <w:spacing w:line="240" w:lineRule="auto"/>
              <w:ind w:firstLine="0" w:firstLineChars="0"/>
              <w:jc w:val="center"/>
              <w:rPr>
                <w:vertAlign w:val="baseline"/>
              </w:rPr>
            </w:pPr>
            <w:r>
              <w:rPr>
                <w:sz w:val="17"/>
                <w:szCs w:val="17"/>
              </w:rPr>
              <w:t>合计</w:t>
            </w:r>
          </w:p>
        </w:tc>
        <w:tc>
          <w:tcPr>
            <w:tcW w:w="2161" w:type="dxa"/>
            <w:vAlign w:val="center"/>
          </w:tcPr>
          <w:p>
            <w:pPr>
              <w:pStyle w:val="24"/>
              <w:spacing w:line="240" w:lineRule="auto"/>
              <w:ind w:firstLine="0" w:firstLineChars="0"/>
              <w:jc w:val="center"/>
              <w:rPr>
                <w:vertAlign w:val="baseline"/>
              </w:rPr>
            </w:pPr>
            <w:r>
              <w:rPr>
                <w:sz w:val="17"/>
                <w:szCs w:val="17"/>
              </w:rPr>
              <w:t>基本支出</w:t>
            </w:r>
          </w:p>
        </w:tc>
        <w:tc>
          <w:tcPr>
            <w:tcW w:w="2161" w:type="dxa"/>
            <w:vAlign w:val="center"/>
          </w:tcPr>
          <w:p>
            <w:pPr>
              <w:pStyle w:val="24"/>
              <w:spacing w:line="240" w:lineRule="auto"/>
              <w:ind w:firstLine="0" w:firstLineChars="0"/>
              <w:jc w:val="center"/>
              <w:rPr>
                <w:vertAlign w:val="baseline"/>
              </w:rPr>
            </w:pPr>
            <w:r>
              <w:rPr>
                <w:sz w:val="17"/>
                <w:szCs w:val="17"/>
              </w:rPr>
              <w:t>项目支出</w:t>
            </w:r>
          </w:p>
        </w:tc>
        <w:tc>
          <w:tcPr>
            <w:tcW w:w="2163" w:type="dxa"/>
            <w:vAlign w:val="center"/>
          </w:tcPr>
          <w:p>
            <w:pPr>
              <w:pStyle w:val="24"/>
              <w:spacing w:line="240" w:lineRule="auto"/>
              <w:ind w:firstLine="0" w:firstLineChars="0"/>
              <w:jc w:val="center"/>
              <w:rPr>
                <w:vertAlign w:val="baseline"/>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2012999</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其他群众团体事务支出</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2080505</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机关事业单位基本养老保险缴费支出</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2130104</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事业运行</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2130106</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科技转化与推广服务</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2130122</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农业生产发展</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2130199</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其他农业农村支出</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2210201</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住房公积金</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7"/>
            <w:tcBorders>
              <w:left w:val="nil"/>
              <w:bottom w:val="nil"/>
              <w:right w:val="nil"/>
            </w:tcBorders>
          </w:tcPr>
          <w:p>
            <w:pPr>
              <w:pStyle w:val="26"/>
              <w:bidi w:val="0"/>
              <w:jc w:val="both"/>
              <w:rPr>
                <w:vertAlign w:val="baseline"/>
              </w:rPr>
            </w:pPr>
            <w:r>
              <w:t>注：本报表金额单位转换时可能存在四舍五入尾数误差</w:t>
            </w:r>
          </w:p>
        </w:tc>
      </w:tr>
    </w:tbl>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jc w:val="center"/>
        <w:rPr>
          <w:sz w:val="28"/>
          <w:szCs w:val="28"/>
        </w:rPr>
      </w:pPr>
      <w:r>
        <w:rPr>
          <w:sz w:val="28"/>
          <w:szCs w:val="28"/>
        </w:rPr>
        <w:t>国有资本经营预算支出情况表</w:t>
      </w:r>
    </w:p>
    <w:p>
      <w:pPr>
        <w:pStyle w:val="26"/>
        <w:bidi w:val="0"/>
        <w:jc w:val="center"/>
        <w:rPr>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161"/>
        <w:gridCol w:w="2162"/>
        <w:gridCol w:w="2222"/>
        <w:gridCol w:w="2161"/>
        <w:gridCol w:w="216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4" w:type="dxa"/>
            <w:gridSpan w:val="6"/>
            <w:tcBorders>
              <w:top w:val="nil"/>
              <w:left w:val="nil"/>
              <w:right w:val="nil"/>
            </w:tcBorders>
          </w:tcPr>
          <w:p>
            <w:pPr>
              <w:pStyle w:val="26"/>
              <w:tabs>
                <w:tab w:val="left" w:pos="14213"/>
              </w:tabs>
              <w:ind w:left="101"/>
              <w:jc w:val="left"/>
            </w:pPr>
            <w:r>
              <w:t>单位名称：</w:t>
            </w:r>
            <w:r>
              <w:rPr>
                <w:rFonts w:hint="eastAsia"/>
                <w:lang w:eastAsia="zh-CN"/>
              </w:rPr>
              <w:t>环江毛南族自治县农业机械化服务中心</w:t>
            </w:r>
            <w:r>
              <w:tab/>
            </w:r>
            <w:r>
              <w:t>单位：万元</w:t>
            </w:r>
          </w:p>
        </w:tc>
        <w:tc>
          <w:tcPr>
            <w:tcW w:w="2163" w:type="dxa"/>
            <w:tcBorders>
              <w:top w:val="nil"/>
              <w:left w:val="nil"/>
              <w:right w:val="nil"/>
            </w:tcBorders>
          </w:tcPr>
          <w:p>
            <w:pPr>
              <w:pStyle w:val="26"/>
              <w:tabs>
                <w:tab w:val="left" w:pos="14213"/>
              </w:tabs>
              <w:ind w:left="101"/>
              <w:jc w:val="left"/>
            </w:pPr>
            <w:r>
              <w:rPr>
                <w:rFonts w:hint="eastAsia" w:ascii="宋体" w:hAnsi="宋体" w:eastAsia="宋体" w:cs="宋体"/>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vMerge w:val="restart"/>
          </w:tcPr>
          <w:p>
            <w:pPr>
              <w:pStyle w:val="26"/>
              <w:bidi w:val="0"/>
              <w:jc w:val="center"/>
              <w:rPr>
                <w:vertAlign w:val="baseline"/>
              </w:rPr>
            </w:pPr>
            <w:r>
              <w:rPr>
                <w:sz w:val="17"/>
                <w:szCs w:val="17"/>
              </w:rPr>
              <w:t>科目编码</w:t>
            </w:r>
          </w:p>
        </w:tc>
        <w:tc>
          <w:tcPr>
            <w:tcW w:w="2161" w:type="dxa"/>
            <w:vMerge w:val="restart"/>
          </w:tcPr>
          <w:p>
            <w:pPr>
              <w:pStyle w:val="26"/>
              <w:bidi w:val="0"/>
              <w:jc w:val="center"/>
              <w:rPr>
                <w:vertAlign w:val="baseline"/>
              </w:rPr>
            </w:pPr>
            <w:r>
              <w:rPr>
                <w:sz w:val="17"/>
                <w:szCs w:val="17"/>
              </w:rPr>
              <w:t>部门（单位）代码</w:t>
            </w:r>
          </w:p>
        </w:tc>
        <w:tc>
          <w:tcPr>
            <w:tcW w:w="2162" w:type="dxa"/>
            <w:vMerge w:val="restart"/>
          </w:tcPr>
          <w:p>
            <w:pPr>
              <w:pStyle w:val="26"/>
              <w:bidi w:val="0"/>
              <w:jc w:val="center"/>
              <w:rPr>
                <w:vertAlign w:val="baseline"/>
              </w:rPr>
            </w:pPr>
            <w:r>
              <w:rPr>
                <w:sz w:val="17"/>
                <w:szCs w:val="17"/>
              </w:rPr>
              <w:t>部门（单位）名称（功能分类科目名称）</w:t>
            </w:r>
          </w:p>
        </w:tc>
        <w:tc>
          <w:tcPr>
            <w:tcW w:w="2222" w:type="dxa"/>
            <w:vAlign w:val="center"/>
          </w:tcPr>
          <w:p>
            <w:pPr>
              <w:pStyle w:val="24"/>
              <w:spacing w:line="240" w:lineRule="auto"/>
              <w:ind w:firstLine="0" w:firstLineChars="0"/>
              <w:jc w:val="center"/>
              <w:rPr>
                <w:vertAlign w:val="baseline"/>
              </w:rPr>
            </w:pPr>
            <w:r>
              <w:rPr>
                <w:sz w:val="17"/>
                <w:szCs w:val="17"/>
              </w:rPr>
              <w:t>合计</w:t>
            </w:r>
          </w:p>
        </w:tc>
        <w:tc>
          <w:tcPr>
            <w:tcW w:w="2161" w:type="dxa"/>
            <w:vAlign w:val="center"/>
          </w:tcPr>
          <w:p>
            <w:pPr>
              <w:pStyle w:val="24"/>
              <w:spacing w:line="240" w:lineRule="auto"/>
              <w:ind w:firstLine="0" w:firstLineChars="0"/>
              <w:jc w:val="center"/>
              <w:rPr>
                <w:vertAlign w:val="baseline"/>
              </w:rPr>
            </w:pPr>
            <w:r>
              <w:rPr>
                <w:sz w:val="17"/>
                <w:szCs w:val="17"/>
              </w:rPr>
              <w:t>基本支出</w:t>
            </w:r>
          </w:p>
        </w:tc>
        <w:tc>
          <w:tcPr>
            <w:tcW w:w="2161" w:type="dxa"/>
            <w:vAlign w:val="center"/>
          </w:tcPr>
          <w:p>
            <w:pPr>
              <w:pStyle w:val="24"/>
              <w:spacing w:line="240" w:lineRule="auto"/>
              <w:ind w:firstLine="0" w:firstLineChars="0"/>
              <w:jc w:val="center"/>
              <w:rPr>
                <w:vertAlign w:val="baseline"/>
              </w:rPr>
            </w:pPr>
            <w:r>
              <w:rPr>
                <w:sz w:val="17"/>
                <w:szCs w:val="17"/>
              </w:rPr>
              <w:t>项目支出</w:t>
            </w:r>
          </w:p>
        </w:tc>
        <w:tc>
          <w:tcPr>
            <w:tcW w:w="2163" w:type="dxa"/>
            <w:vAlign w:val="center"/>
          </w:tcPr>
          <w:p>
            <w:pPr>
              <w:pStyle w:val="24"/>
              <w:spacing w:line="240" w:lineRule="auto"/>
              <w:ind w:firstLine="0" w:firstLineChars="0"/>
              <w:jc w:val="center"/>
              <w:rPr>
                <w:vertAlign w:val="baseline"/>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vMerge w:val="continue"/>
          </w:tcPr>
          <w:p>
            <w:pPr>
              <w:pStyle w:val="26"/>
              <w:bidi w:val="0"/>
              <w:jc w:val="both"/>
              <w:rPr>
                <w:vertAlign w:val="baseline"/>
              </w:rPr>
            </w:pPr>
          </w:p>
        </w:tc>
        <w:tc>
          <w:tcPr>
            <w:tcW w:w="2161" w:type="dxa"/>
            <w:vMerge w:val="continue"/>
          </w:tcPr>
          <w:p>
            <w:pPr>
              <w:pStyle w:val="26"/>
              <w:bidi w:val="0"/>
              <w:jc w:val="both"/>
              <w:rPr>
                <w:vertAlign w:val="baseline"/>
              </w:rPr>
            </w:pPr>
          </w:p>
        </w:tc>
        <w:tc>
          <w:tcPr>
            <w:tcW w:w="2162" w:type="dxa"/>
            <w:vMerge w:val="continue"/>
          </w:tcPr>
          <w:p>
            <w:pPr>
              <w:pStyle w:val="26"/>
              <w:bidi w:val="0"/>
              <w:jc w:val="both"/>
              <w:rPr>
                <w:vertAlign w:val="baseline"/>
              </w:rPr>
            </w:pPr>
          </w:p>
        </w:tc>
        <w:tc>
          <w:tcPr>
            <w:tcW w:w="2222"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1</w:t>
            </w:r>
          </w:p>
        </w:tc>
        <w:tc>
          <w:tcPr>
            <w:tcW w:w="2161"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2</w:t>
            </w:r>
          </w:p>
        </w:tc>
        <w:tc>
          <w:tcPr>
            <w:tcW w:w="2161"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3</w:t>
            </w:r>
          </w:p>
        </w:tc>
        <w:tc>
          <w:tcPr>
            <w:tcW w:w="2163"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24"/>
              <w:spacing w:line="240" w:lineRule="auto"/>
              <w:ind w:firstLine="0" w:firstLineChars="0"/>
              <w:jc w:val="left"/>
              <w:rPr>
                <w:vertAlign w:val="baseline"/>
              </w:rPr>
            </w:pPr>
            <w:r>
              <w:rPr>
                <w:sz w:val="17"/>
                <w:szCs w:val="17"/>
              </w:rPr>
              <w:t>合计</w:t>
            </w:r>
          </w:p>
        </w:tc>
        <w:tc>
          <w:tcPr>
            <w:tcW w:w="2222" w:type="dxa"/>
            <w:vAlign w:val="center"/>
          </w:tcPr>
          <w:p>
            <w:pPr>
              <w:pStyle w:val="24"/>
              <w:spacing w:line="240" w:lineRule="auto"/>
              <w:ind w:left="1700" w:leftChars="0"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1" w:type="dxa"/>
            <w:vAlign w:val="center"/>
          </w:tcPr>
          <w:p>
            <w:pPr>
              <w:pStyle w:val="24"/>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1" w:type="dxa"/>
            <w:vAlign w:val="center"/>
          </w:tcPr>
          <w:p>
            <w:pPr>
              <w:pStyle w:val="24"/>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3" w:type="dxa"/>
            <w:vAlign w:val="center"/>
          </w:tcPr>
          <w:p>
            <w:pPr>
              <w:pStyle w:val="24"/>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7"/>
            <w:tcBorders>
              <w:left w:val="nil"/>
              <w:bottom w:val="nil"/>
              <w:right w:val="nil"/>
            </w:tcBorders>
          </w:tcPr>
          <w:p>
            <w:pPr>
              <w:pStyle w:val="26"/>
              <w:spacing w:line="302" w:lineRule="exact"/>
              <w:ind w:left="672"/>
              <w:jc w:val="left"/>
            </w:pPr>
            <w:r>
              <w:t>注：本报表金额单位转换时可能存在四舍五入尾数误差。本部门</w:t>
            </w:r>
            <w:r>
              <w:rPr>
                <w:rFonts w:hint="eastAsia" w:ascii="Times New Roman" w:hAnsi="Times New Roman" w:cs="Times New Roman"/>
                <w:b/>
                <w:bCs/>
                <w:lang w:eastAsia="zh-CN"/>
              </w:rPr>
              <w:t>2024</w:t>
            </w:r>
            <w:r>
              <w:rPr>
                <w:rFonts w:ascii="Times New Roman" w:hAnsi="Times New Roman" w:cs="Times New Roman"/>
                <w:b/>
                <w:u w:color="auto"/>
              </w:rPr>
              <w:t>年</w:t>
            </w:r>
            <w:r>
              <w:t>度没有国有资本经营预算支出，故本表无数据</w:t>
            </w:r>
          </w:p>
          <w:p>
            <w:pPr>
              <w:pStyle w:val="26"/>
              <w:bidi w:val="0"/>
              <w:jc w:val="both"/>
              <w:rPr>
                <w:vertAlign w:val="baseline"/>
              </w:rPr>
            </w:pPr>
          </w:p>
        </w:tc>
      </w:tr>
    </w:tbl>
    <w:p>
      <w:pPr>
        <w:pStyle w:val="26"/>
        <w:bidi w:val="0"/>
      </w:pPr>
    </w:p>
    <w:p>
      <w:r>
        <w:br w:type="page"/>
      </w:r>
    </w:p>
    <w:p>
      <w:pPr>
        <w:pStyle w:val="22"/>
        <w:keepNext/>
        <w:keepLines/>
        <w:spacing w:after="240"/>
        <w:jc w:val="center"/>
        <w:rPr>
          <w:rFonts w:hint="default" w:eastAsia="宋体"/>
          <w:lang w:val="en-US" w:eastAsia="zh-CN"/>
        </w:rPr>
      </w:pPr>
      <w:r>
        <w:rPr>
          <w:rFonts w:hint="eastAsia"/>
          <w:lang w:val="en-US" w:eastAsia="zh-CN"/>
        </w:rPr>
        <w:t>2024年度预算项目绩效目标公开表</w:t>
      </w:r>
    </w:p>
    <w:tbl>
      <w:tblPr>
        <w:tblStyle w:val="4"/>
        <w:tblW w:w="0" w:type="auto"/>
        <w:tblInd w:w="0" w:type="dxa"/>
        <w:tblLayout w:type="fixed"/>
        <w:tblCellMar>
          <w:top w:w="0" w:type="dxa"/>
          <w:left w:w="10" w:type="dxa"/>
          <w:bottom w:w="0" w:type="dxa"/>
          <w:right w:w="10" w:type="dxa"/>
        </w:tblCellMar>
      </w:tblPr>
      <w:tblGrid>
        <w:gridCol w:w="1843"/>
        <w:gridCol w:w="2559"/>
        <w:gridCol w:w="3350"/>
        <w:gridCol w:w="1511"/>
        <w:gridCol w:w="6076"/>
      </w:tblGrid>
      <w:tr>
        <w:tblPrEx>
          <w:tblCellMar>
            <w:top w:w="0" w:type="dxa"/>
            <w:left w:w="10" w:type="dxa"/>
            <w:bottom w:w="0" w:type="dxa"/>
            <w:right w:w="10" w:type="dxa"/>
          </w:tblCellMar>
        </w:tblPrEx>
        <w:trPr>
          <w:trHeight w:val="346" w:hRule="exact"/>
        </w:trPr>
        <w:tc>
          <w:tcPr>
            <w:tcW w:w="9263" w:type="dxa"/>
            <w:gridSpan w:val="4"/>
            <w:shd w:val="clear" w:color="auto" w:fill="FFFFFF"/>
          </w:tcPr>
          <w:p>
            <w:pPr>
              <w:pStyle w:val="24"/>
              <w:spacing w:line="240" w:lineRule="auto"/>
              <w:ind w:firstLine="0"/>
              <w:jc w:val="left"/>
              <w:rPr>
                <w:rFonts w:hint="default" w:ascii="宋体" w:hAnsi="宋体" w:eastAsia="宋体" w:cs="宋体"/>
                <w:sz w:val="17"/>
                <w:szCs w:val="17"/>
                <w:lang w:val="en-US"/>
              </w:rPr>
            </w:pPr>
            <w:r>
              <w:rPr>
                <w:rFonts w:hint="eastAsia" w:ascii="宋体" w:hAnsi="宋体" w:eastAsia="宋体" w:cs="宋体"/>
                <w:sz w:val="17"/>
                <w:szCs w:val="17"/>
              </w:rPr>
              <w:t>单位名称：</w:t>
            </w:r>
            <w:r>
              <w:rPr>
                <w:rFonts w:hint="eastAsia" w:ascii="宋体" w:hAnsi="宋体" w:eastAsia="宋体" w:cs="宋体"/>
                <w:sz w:val="17"/>
                <w:szCs w:val="17"/>
                <w:lang w:eastAsia="zh-CN"/>
              </w:rPr>
              <w:t>环江毛南族自治县农业机械化服务中心</w:t>
            </w:r>
            <w:r>
              <w:rPr>
                <w:rFonts w:hint="eastAsia" w:cs="宋体"/>
                <w:sz w:val="17"/>
                <w:szCs w:val="17"/>
                <w:lang w:val="en-US" w:eastAsia="zh-CN"/>
              </w:rPr>
              <w:t xml:space="preserve">            </w:t>
            </w:r>
          </w:p>
        </w:tc>
        <w:tc>
          <w:tcPr>
            <w:tcW w:w="6076" w:type="dxa"/>
            <w:shd w:val="clear" w:color="auto" w:fill="FFFFFF"/>
          </w:tcPr>
          <w:p>
            <w:pPr>
              <w:pStyle w:val="24"/>
              <w:spacing w:line="240" w:lineRule="auto"/>
              <w:ind w:firstLine="4760" w:firstLineChars="2800"/>
              <w:jc w:val="left"/>
              <w:rPr>
                <w:rFonts w:hint="eastAsia" w:ascii="宋体" w:hAnsi="宋体" w:eastAsia="宋体" w:cs="宋体"/>
                <w:sz w:val="17"/>
                <w:szCs w:val="17"/>
              </w:rPr>
            </w:pPr>
            <w:r>
              <w:rPr>
                <w:rFonts w:hint="eastAsia" w:ascii="宋体" w:hAnsi="宋体" w:eastAsia="宋体" w:cs="宋体"/>
                <w:sz w:val="17"/>
                <w:szCs w:val="17"/>
              </w:rPr>
              <w:t>单位：万元</w:t>
            </w:r>
          </w:p>
        </w:tc>
      </w:tr>
      <w:tr>
        <w:tblPrEx>
          <w:tblCellMar>
            <w:top w:w="0" w:type="dxa"/>
            <w:left w:w="10" w:type="dxa"/>
            <w:bottom w:w="0" w:type="dxa"/>
            <w:right w:w="10" w:type="dxa"/>
          </w:tblCellMar>
        </w:tblPrEx>
        <w:trPr>
          <w:trHeight w:val="854" w:hRule="exact"/>
        </w:trPr>
        <w:tc>
          <w:tcPr>
            <w:tcW w:w="184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ascii="宋体" w:hAnsi="宋体" w:eastAsia="宋体" w:cs="宋体"/>
                <w:sz w:val="17"/>
                <w:u w:color="auto"/>
              </w:rPr>
              <w:t>单位代码</w:t>
            </w:r>
          </w:p>
        </w:tc>
        <w:tc>
          <w:tcPr>
            <w:tcW w:w="2559"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4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单位名称</w:t>
            </w:r>
          </w:p>
        </w:tc>
        <w:tc>
          <w:tcPr>
            <w:tcW w:w="335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项目名称</w:t>
            </w:r>
          </w:p>
        </w:tc>
        <w:tc>
          <w:tcPr>
            <w:tcW w:w="1511"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预算金额</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年度绩效目标</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506001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环江毛南族自治县农业机械化服务中心</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农机具购置补贴经费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7.00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本年度申请农机购置补贴工作经费15.5万元。</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506001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环江毛南族自治县农业机械化服务中心</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农机购置补贴资金</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0.51</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桂财农【2022】115号文100万元资金；桂财农〔2023〕41号文40万元。两个文号属于2023年第一、第二批中央农机购置补贴资金，共计140万元。</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506001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环江毛南族自治县农业机械化服务中心</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2023年广西基层农技推广系统改革与建设补助项目</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2.25</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2023年我县基层农技推广补助项目（农机）资金为50万元。</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506001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环江毛南族自治县农业机械化服务中心</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农机购置补贴（自治区资金）</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66.00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实施农机购置补贴资金结算管理，2023年度安排6万元资金；对高架网床环保猪舍补贴安排60万元。</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506001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环江毛南族自治县农业机械化服务中心</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糖料蔗生产机械化作业补贴</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20.35</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根据桂整合〔2023〕5号文，实施资金139.8万元。</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506001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环江毛南族自治县农业机械化服务中心</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信创工作经费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1.50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2024年购买国产电脑及设备一套。</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506001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环江毛南族自治县农业机械化服务中心</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农机中心党支部组织生活经费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0.17</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2024年农机党支部组织生活经费3900元</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506001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环江毛南族自治县农业机械化服务中心</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水稻生产全程机械化项目经费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0.80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2024年度需要安排资金2万元</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506001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环江毛南族自治县农业机械化服务中心</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农机化新技术、新机具推广经费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0.80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2024年农机新技术、新机具推广经费3.52万元。</w:t>
            </w:r>
          </w:p>
        </w:tc>
      </w:tr>
    </w:tbl>
    <w:p>
      <w:pPr>
        <w:jc w:val="left"/>
        <w:rPr>
          <w:rFonts w:hint="eastAsia"/>
        </w:rPr>
      </w:pPr>
      <w:r>
        <w:t>注：本报表金额单位转换时可能存在四舍五入尾数误差。</w:t>
      </w:r>
    </w:p>
    <w:p>
      <w:pPr>
        <w:jc w:val="left"/>
        <w:rPr>
          <w:rFonts w:hint="eastAsia"/>
          <w:lang w:eastAsia="zh-CN"/>
        </w:rPr>
        <w:sectPr>
          <w:headerReference r:id="rId10" w:type="default"/>
          <w:footerReference r:id="rId11" w:type="default"/>
          <w:pgSz w:w="16840" w:h="11900" w:orient="landscape"/>
          <w:pgMar w:top="2714" w:right="764" w:bottom="2714" w:left="735" w:header="2286" w:footer="3" w:gutter="0"/>
          <w:pgBorders>
            <w:top w:val="none" w:sz="0" w:space="0"/>
            <w:left w:val="none" w:sz="0" w:space="0"/>
            <w:bottom w:val="none" w:sz="0" w:space="0"/>
            <w:right w:val="none" w:sz="0" w:space="0"/>
          </w:pgBorders>
          <w:cols w:space="720" w:num="1"/>
          <w:docGrid w:linePitch="360" w:charSpace="0"/>
        </w:sectPr>
      </w:pPr>
    </w:p>
    <w:p>
      <w:pPr>
        <w:pStyle w:val="12"/>
        <w:keepNext/>
        <w:keepLines/>
        <w:spacing w:before="200" w:after="0"/>
        <w:jc w:val="center"/>
        <w:rPr>
          <w:sz w:val="40"/>
          <w:szCs w:val="40"/>
        </w:rPr>
      </w:pPr>
      <w:bookmarkStart w:id="31" w:name="bookmark94"/>
      <w:bookmarkStart w:id="32" w:name="bookmark95"/>
      <w:bookmarkStart w:id="33" w:name="bookmark96"/>
      <w:r>
        <w:rPr>
          <w:sz w:val="40"/>
          <w:szCs w:val="40"/>
        </w:rPr>
        <w:t>第四部</w:t>
      </w:r>
      <w:r>
        <w:rPr>
          <w:rFonts w:hint="eastAsia"/>
          <w:sz w:val="40"/>
          <w:szCs w:val="40"/>
          <w:lang w:val="en-US" w:eastAsia="zh-CN"/>
        </w:rPr>
        <w:t xml:space="preserve">  </w:t>
      </w:r>
      <w:r>
        <w:rPr>
          <w:sz w:val="40"/>
          <w:szCs w:val="40"/>
        </w:rPr>
        <w:t>分名词解释</w:t>
      </w:r>
      <w:bookmarkEnd w:id="31"/>
      <w:bookmarkEnd w:id="32"/>
      <w:bookmarkEnd w:id="33"/>
    </w:p>
    <w:p>
      <w:pPr>
        <w:pStyle w:val="18"/>
        <w:tabs>
          <w:tab w:val="left" w:pos="1270"/>
        </w:tabs>
        <w:spacing w:line="626" w:lineRule="exact"/>
        <w:ind w:firstLine="640"/>
        <w:jc w:val="left"/>
      </w:pPr>
      <w:bookmarkStart w:id="34" w:name="bookmark97"/>
      <w:r>
        <w:t>一</w:t>
      </w:r>
      <w:bookmarkEnd w:id="34"/>
      <w:r>
        <w:t>、</w:t>
      </w:r>
      <w:r>
        <w:tab/>
      </w:r>
      <w:r>
        <w:t>财政拨款收入：指预算单位从本级财政部门取得的财政预算资金收入。</w:t>
      </w:r>
    </w:p>
    <w:p>
      <w:pPr>
        <w:pStyle w:val="18"/>
        <w:tabs>
          <w:tab w:val="left" w:pos="1280"/>
        </w:tabs>
        <w:spacing w:line="626" w:lineRule="exact"/>
        <w:ind w:firstLine="640"/>
        <w:jc w:val="left"/>
      </w:pPr>
      <w:bookmarkStart w:id="35" w:name="bookmark98"/>
      <w:r>
        <w:t>二</w:t>
      </w:r>
      <w:bookmarkEnd w:id="35"/>
      <w:r>
        <w:t>、</w:t>
      </w:r>
      <w:r>
        <w:tab/>
      </w:r>
      <w:r>
        <w:t>事业收入：指事业单位开展专业业务活动及辅助活动所取得的收入。</w:t>
      </w:r>
    </w:p>
    <w:p>
      <w:pPr>
        <w:pStyle w:val="18"/>
        <w:tabs>
          <w:tab w:val="left" w:pos="1275"/>
        </w:tabs>
        <w:spacing w:line="626" w:lineRule="exact"/>
        <w:ind w:firstLine="640"/>
        <w:jc w:val="left"/>
      </w:pPr>
      <w:bookmarkStart w:id="36" w:name="bookmark99"/>
      <w:r>
        <w:t>三</w:t>
      </w:r>
      <w:bookmarkEnd w:id="36"/>
      <w:r>
        <w:t>、</w:t>
      </w:r>
      <w:r>
        <w:tab/>
      </w:r>
      <w:r>
        <w:t>经营收入：指事业单位在专业业务活动及其辅助活动之外开展非独立核算经营活动取得的收入。</w:t>
      </w:r>
    </w:p>
    <w:p>
      <w:pPr>
        <w:pStyle w:val="18"/>
        <w:tabs>
          <w:tab w:val="left" w:pos="1309"/>
        </w:tabs>
        <w:spacing w:line="626" w:lineRule="exact"/>
        <w:ind w:firstLine="640"/>
        <w:jc w:val="left"/>
      </w:pPr>
      <w:bookmarkStart w:id="37" w:name="bookmark100"/>
      <w:r>
        <w:t>四</w:t>
      </w:r>
      <w:bookmarkEnd w:id="37"/>
      <w:r>
        <w:t>、</w:t>
      </w:r>
      <w:r>
        <w:tab/>
      </w:r>
      <w:r>
        <w:t>其他收入：指除上述</w:t>
      </w:r>
      <w:r>
        <w:rPr>
          <w:lang w:val="zh-CN" w:eastAsia="zh-CN" w:bidi="zh-CN"/>
        </w:rPr>
        <w:t>“财</w:t>
      </w:r>
      <w:r>
        <w:t>政拨款收入”、</w:t>
      </w:r>
      <w:r>
        <w:rPr>
          <w:lang w:val="zh-CN" w:eastAsia="zh-CN" w:bidi="zh-CN"/>
        </w:rPr>
        <w:t>“事</w:t>
      </w:r>
      <w:r>
        <w:t>业收入"、</w:t>
      </w:r>
      <w:r>
        <w:rPr>
          <w:lang w:val="zh-CN" w:eastAsia="zh-CN" w:bidi="zh-CN"/>
        </w:rPr>
        <w:t>“经营</w:t>
      </w:r>
      <w:r>
        <w:t>收入"等以外的收入。主要是非本级财政拨款、存款利息收入、事业单位固定资产出租收入等。</w:t>
      </w:r>
    </w:p>
    <w:p>
      <w:pPr>
        <w:pStyle w:val="18"/>
        <w:tabs>
          <w:tab w:val="left" w:pos="1275"/>
        </w:tabs>
        <w:spacing w:line="626" w:lineRule="exact"/>
        <w:ind w:firstLine="640"/>
        <w:jc w:val="left"/>
      </w:pPr>
      <w:bookmarkStart w:id="38" w:name="bookmark101"/>
      <w:r>
        <w:t>五</w:t>
      </w:r>
      <w:bookmarkEnd w:id="38"/>
      <w:r>
        <w:t>、</w:t>
      </w:r>
      <w:r>
        <w:tab/>
      </w:r>
      <w:r>
        <w:t>用事业基金弥补收支差额：指事业单位在用当年的</w:t>
      </w:r>
      <w:r>
        <w:rPr>
          <w:lang w:val="zh-CN" w:eastAsia="zh-CN" w:bidi="zh-CN"/>
        </w:rPr>
        <w:t>“财</w:t>
      </w:r>
      <w:r>
        <w:t>政拨款收入"、</w:t>
      </w:r>
      <w:r>
        <w:rPr>
          <w:lang w:val="zh-CN" w:eastAsia="zh-CN" w:bidi="zh-CN"/>
        </w:rPr>
        <w:t>“事业</w:t>
      </w:r>
      <w:r>
        <w:t>收入"、</w:t>
      </w:r>
      <w:r>
        <w:rPr>
          <w:lang w:val="zh-CN" w:eastAsia="zh-CN" w:bidi="zh-CN"/>
        </w:rPr>
        <w:t>“经营</w:t>
      </w:r>
      <w:r>
        <w:t>收入"、</w:t>
      </w:r>
      <w:r>
        <w:rPr>
          <w:lang w:val="zh-CN" w:eastAsia="zh-CN" w:bidi="zh-CN"/>
        </w:rPr>
        <w:t>“其他</w:t>
      </w:r>
      <w:r>
        <w:t>收入"不足以安排当年支出的情况下，使用以前年度积累的事业基金（事业单位当年收支相抵后按国家规定提取、用于弥补以后年度收支差额的基金）弥补本年度收支缺口的资金。</w:t>
      </w:r>
    </w:p>
    <w:p>
      <w:pPr>
        <w:pStyle w:val="18"/>
        <w:tabs>
          <w:tab w:val="left" w:pos="1270"/>
        </w:tabs>
        <w:spacing w:line="626" w:lineRule="exact"/>
        <w:ind w:firstLine="640"/>
        <w:jc w:val="left"/>
      </w:pPr>
      <w:bookmarkStart w:id="39" w:name="bookmark102"/>
      <w:r>
        <w:t>六</w:t>
      </w:r>
      <w:bookmarkEnd w:id="39"/>
      <w:r>
        <w:t>、</w:t>
      </w:r>
      <w:r>
        <w:tab/>
      </w:r>
      <w:r>
        <w:t>年初结转和结余：指以前年度尚未完成、结转到本年按有关规定继续使用的资金。</w:t>
      </w:r>
    </w:p>
    <w:p>
      <w:pPr>
        <w:pStyle w:val="18"/>
        <w:tabs>
          <w:tab w:val="left" w:pos="1275"/>
        </w:tabs>
        <w:spacing w:line="626" w:lineRule="exact"/>
        <w:ind w:firstLine="640"/>
        <w:jc w:val="left"/>
      </w:pPr>
      <w:bookmarkStart w:id="40" w:name="bookmark103"/>
      <w:r>
        <w:t>七</w:t>
      </w:r>
      <w:bookmarkEnd w:id="40"/>
      <w:r>
        <w:t>、</w:t>
      </w:r>
      <w:r>
        <w:tab/>
      </w:r>
      <w:r>
        <w:t>结余分配：指事业单位按规定提取的职工福利基金、事业基金和缴纳的所得税，以及建设单位按规定应交回的基本建设竣工项目结余资金。</w:t>
      </w:r>
    </w:p>
    <w:p>
      <w:pPr>
        <w:pStyle w:val="18"/>
        <w:tabs>
          <w:tab w:val="left" w:pos="632"/>
        </w:tabs>
        <w:spacing w:line="626" w:lineRule="exact"/>
        <w:ind w:firstLine="640"/>
        <w:jc w:val="left"/>
      </w:pPr>
      <w:bookmarkStart w:id="41" w:name="bookmark104"/>
      <w:r>
        <w:t>八</w:t>
      </w:r>
      <w:bookmarkEnd w:id="41"/>
      <w:r>
        <w:t>、</w:t>
      </w:r>
      <w:r>
        <w:tab/>
      </w:r>
      <w:r>
        <w:t>年末结转和结余：指本年度或以前年度预算安排、因客观条件发生变化无法按原计划实施，需要延迟到以后年度按有关规定继续使用的资金。</w:t>
      </w:r>
    </w:p>
    <w:p>
      <w:pPr>
        <w:pStyle w:val="18"/>
        <w:spacing w:line="628" w:lineRule="exact"/>
        <w:ind w:firstLine="640"/>
        <w:jc w:val="left"/>
      </w:pPr>
      <w:bookmarkStart w:id="42" w:name="bookmark105"/>
      <w:r>
        <w:t>九</w:t>
      </w:r>
      <w:bookmarkEnd w:id="42"/>
      <w:r>
        <w:t>、基本支出：指为保障机构正常运转、完成日常工作任务而发生的人员支出和公用支出。</w:t>
      </w:r>
    </w:p>
    <w:p>
      <w:pPr>
        <w:pStyle w:val="18"/>
        <w:spacing w:line="628" w:lineRule="exact"/>
        <w:ind w:firstLine="640"/>
        <w:jc w:val="left"/>
      </w:pPr>
      <w:r>
        <w:t>十、项目支出：指在基本支出之外为完成特定行政任务和事业发展目标所发生的支出。</w:t>
      </w:r>
    </w:p>
    <w:p>
      <w:pPr>
        <w:pStyle w:val="18"/>
        <w:spacing w:line="628" w:lineRule="exact"/>
        <w:ind w:firstLine="640"/>
        <w:jc w:val="left"/>
      </w:pPr>
      <w:r>
        <w:t>十一、经营支出：指事业单位在专业业务活动及其辅助活动之外开展非独立核算经营活动所发生的支出。</w:t>
      </w:r>
    </w:p>
    <w:p>
      <w:pPr>
        <w:pStyle w:val="18"/>
        <w:spacing w:line="628" w:lineRule="exact"/>
        <w:ind w:firstLine="640"/>
        <w:jc w:val="left"/>
      </w:pPr>
      <w:r>
        <w:t>十二、</w:t>
      </w:r>
      <w:r>
        <w:rPr>
          <w:lang w:val="zh-CN" w:eastAsia="zh-CN" w:bidi="zh-CN"/>
        </w:rPr>
        <w:t>“三</w:t>
      </w:r>
      <w:r>
        <w:t>公”经费：纳入财政预决算管理的</w:t>
      </w:r>
      <w:r>
        <w:rPr>
          <w:lang w:val="zh-CN" w:eastAsia="zh-CN" w:bidi="zh-CN"/>
        </w:rPr>
        <w:t>“三公</w:t>
      </w:r>
      <w:r>
        <w:t>”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18"/>
        <w:spacing w:line="628" w:lineRule="exact"/>
        <w:ind w:firstLine="640"/>
        <w:jc w:val="left"/>
      </w:pPr>
      <w:r>
        <w:t>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r:id="rId12" w:type="default"/>
      <w:footerReference r:id="rId13" w:type="default"/>
      <w:type w:val="continuous"/>
      <w:pgSz w:w="11900" w:h="16840"/>
      <w:pgMar w:top="1302" w:right="1735" w:bottom="1568" w:left="1793" w:header="874" w:footer="3" w:gutter="0"/>
      <w:pgBorders>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776"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20"/>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7216;mso-width-relative:page;mso-height-relative:page;" filled="f" stroked="f" coordsize="21600,21600" o:gfxdata="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MCLEdsAAAANAQAADwAAAAAAAAABACAAAAAiAAAAZHJzL2Rvd25yZXYueG1sUEsBAhQAFAAAAAgA&#10;h07iQLINwS7pAQAA5AMAAA4AAAAAAAAAAQAgAAAAKgEAAGRycy9lMm9Eb2MueG1sUEsFBgAAAAAG&#10;AAYAWQEAAIUFAAAAAA==&#10;">
              <v:fill on="f" focussize="0,0"/>
              <v:stroke on="f"/>
              <v:imagedata o:title=""/>
              <o:lock v:ext="edit" aspectratio="f"/>
              <v:textbox inset="0mm,0mm,0mm,0mm" style="mso-fit-shape-to-text:t;">
                <w:txbxContent>
                  <w:p>
                    <w:pPr>
                      <w:pStyle w:val="20"/>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777"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20"/>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6192;mso-width-relative:page;mso-height-relative:page;" filled="f" stroked="f" coordsize="21600,21600" o:gfxdata="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MCLEdsAAAANAQAADwAAAAAAAAABACAAAAAiAAAAZHJzL2Rvd25yZXYueG1sUEsBAhQAFAAAAAgA&#10;h07iQFn4GijpAQAA5AMAAA4AAAAAAAAAAQAgAAAAKgEAAGRycy9lMm9Eb2MueG1sUEsFBgAAAAAG&#10;AAYAWQEAAIUFAAAAAA==&#10;">
              <v:fill on="f" focussize="0,0"/>
              <v:stroke on="f"/>
              <v:imagedata o:title=""/>
              <o:lock v:ext="edit" aspectratio="f"/>
              <v:textbox inset="0mm,0mm,0mm,0mm" style="mso-fit-shape-to-text:t;">
                <w:txbxContent>
                  <w:p>
                    <w:pPr>
                      <w:pStyle w:val="20"/>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dit="readOnly" w:enforcement="1" w:cryptProviderType="rsaAES" w:cryptAlgorithmClass="hash" w:cryptAlgorithmType="typeAny" w:cryptAlgorithmSid="14" w:cryptSpinCount="100000" w:hash="wGcQfCuVjazuN9jkE3EBh1gbJPY/V/w+zQswp2DYXun4BaVeRkCGgI1Fc5Pht+j1aSFWpvUn7D2PxnWsBVFd+Q==" w:salt="OBrF20rLnQU639KGqcV58w=="/>
  <w:defaultTabStop w:val="420"/>
  <w:drawingGridHorizontalSpacing w:val="181"/>
  <w:drawingGridVerticalSpacing w:val="181"/>
  <w:noPunctuationKerning w:val="1"/>
  <w:characterSpacingControl w:val="compressPunctuation"/>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iOTZkYjkwN2Q1MTBhY2U1NDI3ZmEwNzcyMDM4OGMifQ=="/>
  </w:docVars>
  <w:rsids>
    <w:rsidRoot w:val="00000000"/>
    <w:rsid w:val="7A65532B"/>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Comment Text"/>
    <w:basedOn w:val="1"/>
    <w:qFormat/>
    <w:uiPriority w:val="0"/>
  </w:style>
  <w:style w:type="character" w:customStyle="1" w:styleId="8">
    <w:name w:val="Comment Reference"/>
    <w:basedOn w:val="6"/>
    <w:qFormat/>
    <w:uiPriority w:val="0"/>
    <w:rPr>
      <w:sz w:val="21"/>
      <w:szCs w:val="21"/>
    </w:rPr>
  </w:style>
  <w:style w:type="character" w:customStyle="1" w:styleId="9">
    <w:name w:val="Body text|5_"/>
    <w:basedOn w:val="6"/>
    <w:link w:val="10"/>
    <w:qFormat/>
    <w:uiPriority w:val="0"/>
    <w:rPr>
      <w:rFonts w:ascii="宋体" w:hAnsi="宋体" w:eastAsia="宋体" w:cs="宋体"/>
      <w:sz w:val="54"/>
      <w:szCs w:val="54"/>
      <w:u w:val="none"/>
      <w:shd w:val="clear" w:color="auto" w:fill="auto"/>
      <w:lang w:val="zh-TW" w:eastAsia="zh-TW" w:bidi="zh-TW"/>
    </w:rPr>
  </w:style>
  <w:style w:type="paragraph" w:customStyle="1" w:styleId="10">
    <w:name w:val="Body text|5"/>
    <w:basedOn w:val="1"/>
    <w:link w:val="9"/>
    <w:qFormat/>
    <w:uiPriority w:val="0"/>
    <w:pPr>
      <w:jc w:val="center"/>
    </w:pPr>
    <w:rPr>
      <w:rFonts w:ascii="宋体" w:hAnsi="宋体" w:eastAsia="宋体" w:cs="宋体"/>
      <w:sz w:val="54"/>
      <w:szCs w:val="54"/>
      <w:lang w:val="zh-TW" w:eastAsia="zh-TW" w:bidi="zh-TW"/>
    </w:rPr>
  </w:style>
  <w:style w:type="character" w:customStyle="1" w:styleId="11">
    <w:name w:val="Heading #1|1_"/>
    <w:basedOn w:val="6"/>
    <w:link w:val="12"/>
    <w:qFormat/>
    <w:uiPriority w:val="0"/>
    <w:rPr>
      <w:rFonts w:ascii="宋体" w:hAnsi="宋体" w:eastAsia="宋体" w:cs="宋体"/>
      <w:sz w:val="44"/>
      <w:szCs w:val="44"/>
      <w:u w:val="none"/>
      <w:shd w:val="clear" w:color="auto" w:fill="auto"/>
      <w:lang w:val="zh-TW" w:eastAsia="zh-TW" w:bidi="zh-TW"/>
    </w:rPr>
  </w:style>
  <w:style w:type="paragraph" w:customStyle="1" w:styleId="12">
    <w:name w:val="Heading #1|1"/>
    <w:basedOn w:val="1"/>
    <w:link w:val="11"/>
    <w:qFormat/>
    <w:uiPriority w:val="0"/>
    <w:pPr>
      <w:spacing w:after="400"/>
      <w:jc w:val="center"/>
      <w:outlineLvl w:val="0"/>
    </w:pPr>
    <w:rPr>
      <w:rFonts w:ascii="宋体" w:hAnsi="宋体" w:eastAsia="宋体" w:cs="宋体"/>
      <w:sz w:val="44"/>
      <w:szCs w:val="44"/>
      <w:lang w:val="zh-TW" w:eastAsia="zh-TW" w:bidi="zh-TW"/>
    </w:rPr>
  </w:style>
  <w:style w:type="character" w:customStyle="1" w:styleId="13">
    <w:name w:val="Header or footer|2_"/>
    <w:basedOn w:val="6"/>
    <w:link w:val="14"/>
    <w:qFormat/>
    <w:uiPriority w:val="0"/>
    <w:rPr>
      <w:sz w:val="20"/>
      <w:szCs w:val="20"/>
      <w:u w:val="none"/>
      <w:shd w:val="clear" w:color="auto" w:fill="auto"/>
      <w:lang w:val="zh-TW" w:eastAsia="zh-TW" w:bidi="zh-TW"/>
    </w:rPr>
  </w:style>
  <w:style w:type="paragraph" w:customStyle="1" w:styleId="14">
    <w:name w:val="Header or footer|2"/>
    <w:basedOn w:val="1"/>
    <w:link w:val="13"/>
    <w:qFormat/>
    <w:uiPriority w:val="0"/>
    <w:rPr>
      <w:sz w:val="20"/>
      <w:szCs w:val="20"/>
      <w:lang w:val="zh-TW" w:eastAsia="zh-TW" w:bidi="zh-TW"/>
    </w:rPr>
  </w:style>
  <w:style w:type="character" w:customStyle="1" w:styleId="15">
    <w:name w:val="Body text|2_"/>
    <w:basedOn w:val="6"/>
    <w:link w:val="16"/>
    <w:qFormat/>
    <w:uiPriority w:val="0"/>
    <w:rPr>
      <w:rFonts w:ascii="宋体" w:hAnsi="宋体" w:eastAsia="宋体" w:cs="宋体"/>
      <w:sz w:val="32"/>
      <w:szCs w:val="32"/>
      <w:u w:val="none"/>
      <w:shd w:val="clear" w:color="auto" w:fill="auto"/>
      <w:lang w:val="zh-TW" w:eastAsia="zh-TW" w:bidi="zh-TW"/>
    </w:rPr>
  </w:style>
  <w:style w:type="paragraph" w:customStyle="1" w:styleId="16">
    <w:name w:val="Body text|2"/>
    <w:basedOn w:val="1"/>
    <w:link w:val="15"/>
    <w:qFormat/>
    <w:uiPriority w:val="0"/>
    <w:pPr>
      <w:spacing w:after="240"/>
      <w:ind w:firstLine="560"/>
    </w:pPr>
    <w:rPr>
      <w:rFonts w:ascii="宋体" w:hAnsi="宋体" w:eastAsia="宋体" w:cs="宋体"/>
      <w:sz w:val="32"/>
      <w:szCs w:val="32"/>
      <w:lang w:val="zh-TW" w:eastAsia="zh-TW" w:bidi="zh-TW"/>
    </w:rPr>
  </w:style>
  <w:style w:type="character" w:customStyle="1" w:styleId="17">
    <w:name w:val="Body text|1_"/>
    <w:basedOn w:val="6"/>
    <w:link w:val="18"/>
    <w:qFormat/>
    <w:uiPriority w:val="0"/>
    <w:rPr>
      <w:rFonts w:ascii="宋体" w:hAnsi="宋体" w:eastAsia="宋体" w:cs="宋体"/>
      <w:sz w:val="28"/>
      <w:szCs w:val="28"/>
      <w:u w:val="none"/>
      <w:shd w:val="clear" w:color="auto" w:fill="auto"/>
      <w:lang w:val="zh-TW" w:eastAsia="zh-TW" w:bidi="zh-TW"/>
    </w:rPr>
  </w:style>
  <w:style w:type="paragraph" w:customStyle="1" w:styleId="18">
    <w:name w:val="Body text|1"/>
    <w:basedOn w:val="1"/>
    <w:link w:val="17"/>
    <w:qFormat/>
    <w:uiPriority w:val="0"/>
    <w:pPr>
      <w:spacing w:line="468" w:lineRule="auto"/>
      <w:ind w:firstLine="400"/>
    </w:pPr>
    <w:rPr>
      <w:rFonts w:ascii="宋体" w:hAnsi="宋体" w:eastAsia="宋体" w:cs="宋体"/>
      <w:sz w:val="28"/>
      <w:szCs w:val="28"/>
      <w:lang w:val="zh-TW" w:eastAsia="zh-TW" w:bidi="zh-TW"/>
    </w:rPr>
  </w:style>
  <w:style w:type="character" w:customStyle="1" w:styleId="19">
    <w:name w:val="Header or footer|1_"/>
    <w:basedOn w:val="6"/>
    <w:link w:val="20"/>
    <w:qFormat/>
    <w:uiPriority w:val="0"/>
    <w:rPr>
      <w:b/>
      <w:bCs/>
      <w:sz w:val="17"/>
      <w:szCs w:val="17"/>
      <w:u w:val="none"/>
      <w:shd w:val="clear" w:color="auto" w:fill="auto"/>
      <w:lang w:val="zh-TW" w:eastAsia="zh-TW" w:bidi="zh-TW"/>
    </w:rPr>
  </w:style>
  <w:style w:type="paragraph" w:customStyle="1" w:styleId="20">
    <w:name w:val="Header or footer|1"/>
    <w:basedOn w:val="1"/>
    <w:link w:val="19"/>
    <w:qFormat/>
    <w:uiPriority w:val="0"/>
    <w:rPr>
      <w:b/>
      <w:bCs/>
      <w:sz w:val="17"/>
      <w:szCs w:val="17"/>
      <w:lang w:val="zh-TW" w:eastAsia="zh-TW" w:bidi="zh-TW"/>
    </w:rPr>
  </w:style>
  <w:style w:type="character" w:customStyle="1" w:styleId="21">
    <w:name w:val="Heading #2|1_"/>
    <w:basedOn w:val="6"/>
    <w:link w:val="22"/>
    <w:qFormat/>
    <w:uiPriority w:val="0"/>
    <w:rPr>
      <w:rFonts w:ascii="宋体" w:hAnsi="宋体" w:eastAsia="宋体" w:cs="宋体"/>
      <w:sz w:val="26"/>
      <w:szCs w:val="26"/>
      <w:u w:val="none"/>
      <w:shd w:val="clear" w:color="auto" w:fill="auto"/>
      <w:lang w:val="zh-TW" w:eastAsia="zh-TW" w:bidi="zh-TW"/>
    </w:rPr>
  </w:style>
  <w:style w:type="paragraph" w:customStyle="1" w:styleId="22">
    <w:name w:val="Heading #2|1"/>
    <w:basedOn w:val="1"/>
    <w:link w:val="21"/>
    <w:qFormat/>
    <w:uiPriority w:val="0"/>
    <w:pPr>
      <w:spacing w:after="230"/>
      <w:jc w:val="center"/>
      <w:outlineLvl w:val="1"/>
    </w:pPr>
    <w:rPr>
      <w:rFonts w:ascii="宋体" w:hAnsi="宋体" w:eastAsia="宋体" w:cs="宋体"/>
      <w:sz w:val="26"/>
      <w:szCs w:val="26"/>
      <w:lang w:val="zh-TW" w:eastAsia="zh-TW" w:bidi="zh-TW"/>
    </w:rPr>
  </w:style>
  <w:style w:type="character" w:customStyle="1" w:styleId="23">
    <w:name w:val="Other|1_"/>
    <w:basedOn w:val="6"/>
    <w:link w:val="24"/>
    <w:qFormat/>
    <w:uiPriority w:val="0"/>
    <w:rPr>
      <w:rFonts w:ascii="宋体" w:hAnsi="宋体" w:eastAsia="宋体" w:cs="宋体"/>
      <w:sz w:val="28"/>
      <w:szCs w:val="28"/>
      <w:u w:val="none"/>
      <w:shd w:val="clear" w:color="auto" w:fill="auto"/>
      <w:lang w:val="zh-TW" w:eastAsia="zh-TW" w:bidi="zh-TW"/>
    </w:rPr>
  </w:style>
  <w:style w:type="paragraph" w:customStyle="1" w:styleId="24">
    <w:name w:val="Other|1"/>
    <w:basedOn w:val="1"/>
    <w:link w:val="23"/>
    <w:qFormat/>
    <w:uiPriority w:val="0"/>
    <w:pPr>
      <w:spacing w:line="468" w:lineRule="auto"/>
      <w:ind w:firstLine="400"/>
    </w:pPr>
    <w:rPr>
      <w:rFonts w:ascii="宋体" w:hAnsi="宋体" w:eastAsia="宋体" w:cs="宋体"/>
      <w:sz w:val="28"/>
      <w:szCs w:val="28"/>
      <w:lang w:val="zh-TW" w:eastAsia="zh-TW" w:bidi="zh-TW"/>
    </w:rPr>
  </w:style>
  <w:style w:type="character" w:customStyle="1" w:styleId="25">
    <w:name w:val="Table caption|1_"/>
    <w:basedOn w:val="6"/>
    <w:link w:val="26"/>
    <w:qFormat/>
    <w:uiPriority w:val="0"/>
    <w:rPr>
      <w:rFonts w:ascii="宋体" w:hAnsi="宋体" w:eastAsia="宋体" w:cs="宋体"/>
      <w:sz w:val="17"/>
      <w:szCs w:val="17"/>
      <w:u w:val="none"/>
      <w:shd w:val="clear" w:color="auto" w:fill="auto"/>
      <w:lang w:val="zh-TW" w:eastAsia="zh-TW" w:bidi="zh-TW"/>
    </w:rPr>
  </w:style>
  <w:style w:type="paragraph" w:customStyle="1" w:styleId="26">
    <w:name w:val="Table caption|1"/>
    <w:basedOn w:val="1"/>
    <w:link w:val="25"/>
    <w:qFormat/>
    <w:uiPriority w:val="0"/>
    <w:rPr>
      <w:rFonts w:ascii="宋体" w:hAnsi="宋体" w:eastAsia="宋体" w:cs="宋体"/>
      <w:sz w:val="17"/>
      <w:szCs w:val="17"/>
      <w:lang w:val="zh-TW" w:eastAsia="zh-TW" w:bidi="zh-TW"/>
    </w:rPr>
  </w:style>
  <w:style w:type="character" w:customStyle="1" w:styleId="27">
    <w:name w:val="Body text|4_"/>
    <w:basedOn w:val="6"/>
    <w:link w:val="28"/>
    <w:qFormat/>
    <w:uiPriority w:val="0"/>
    <w:rPr>
      <w:rFonts w:ascii="宋体" w:hAnsi="宋体" w:eastAsia="宋体" w:cs="宋体"/>
      <w:sz w:val="17"/>
      <w:szCs w:val="17"/>
      <w:u w:val="none"/>
      <w:shd w:val="clear" w:color="auto" w:fill="auto"/>
      <w:lang w:val="zh-TW" w:eastAsia="zh-TW" w:bidi="zh-TW"/>
    </w:rPr>
  </w:style>
  <w:style w:type="paragraph" w:customStyle="1" w:styleId="28">
    <w:name w:val="Body text|4"/>
    <w:basedOn w:val="1"/>
    <w:link w:val="27"/>
    <w:qFormat/>
    <w:uiPriority w:val="0"/>
    <w:pPr>
      <w:ind w:firstLine="680"/>
    </w:pPr>
    <w:rPr>
      <w:rFonts w:ascii="宋体" w:hAnsi="宋体" w:eastAsia="宋体" w:cs="宋体"/>
      <w:sz w:val="17"/>
      <w:szCs w:val="17"/>
      <w:lang w:val="zh-TW" w:eastAsia="zh-TW" w:bidi="zh-TW"/>
    </w:rPr>
  </w:style>
  <w:style w:type="character" w:customStyle="1" w:styleId="29">
    <w:name w:val="Body text|3_"/>
    <w:basedOn w:val="6"/>
    <w:link w:val="30"/>
    <w:qFormat/>
    <w:uiPriority w:val="0"/>
    <w:rPr>
      <w:sz w:val="30"/>
      <w:szCs w:val="30"/>
      <w:u w:val="none"/>
      <w:shd w:val="clear" w:color="auto" w:fill="auto"/>
      <w:lang w:val="zh-TW" w:eastAsia="zh-TW" w:bidi="zh-TW"/>
    </w:rPr>
  </w:style>
  <w:style w:type="paragraph" w:customStyle="1" w:styleId="30">
    <w:name w:val="Body text|3"/>
    <w:basedOn w:val="1"/>
    <w:link w:val="29"/>
    <w:qFormat/>
    <w:uiPriority w:val="0"/>
    <w:pPr>
      <w:spacing w:after="140" w:line="336" w:lineRule="auto"/>
      <w:ind w:firstLine="370"/>
    </w:pPr>
    <w:rPr>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4.xml"/><Relationship Id="rId24" Type="http://schemas.openxmlformats.org/officeDocument/2006/relationships/customXml" Target="../customXml/item3.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chart" Target="charts/chart6.xml"/><Relationship Id="rId2" Type="http://schemas.openxmlformats.org/officeDocument/2006/relationships/settings" Target="settings.xml"/><Relationship Id="rId19" Type="http://schemas.openxmlformats.org/officeDocument/2006/relationships/chart" Target="charts/chart5.xml"/><Relationship Id="rId18" Type="http://schemas.openxmlformats.org/officeDocument/2006/relationships/chart" Target="charts/chart4.xml"/><Relationship Id="rId17" Type="http://schemas.openxmlformats.org/officeDocument/2006/relationships/chart" Target="charts/chart3.xml"/><Relationship Id="rId16" Type="http://schemas.openxmlformats.org/officeDocument/2006/relationships/chart" Target="charts/chart2.xml"/><Relationship Id="rId15" Type="http://schemas.openxmlformats.org/officeDocument/2006/relationships/chart" Target="charts/chart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formatCode>General</c:formatCode>
                <c:ptCount val="1"/>
                <c:pt idx="0">
                  <c:v>538.89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Pt>
            <c:idx val="2"/>
            <c:bubble3D val="0"/>
          </c:dPt>
          <c:dPt>
            <c:idx val="3"/>
            <c:bubble3D val="0"/>
          </c:dPt>
          <c:dLbls>
            <c:delete val="1"/>
          </c:dLbls>
          <c:cat>
            <c:strRef>
              <c:f>Sheet1!$A$2:$A$5</c:f>
              <c:strCache>
                <c:ptCount val="4"/>
                <c:pt idx="0">
                  <c:v>一般公共服务支出</c:v>
                </c:pt>
                <c:pt idx="1">
                  <c:v>社会保障和就业支出</c:v>
                </c:pt>
                <c:pt idx="2">
                  <c:v>农林水支出</c:v>
                </c:pt>
                <c:pt idx="3">
                  <c:v>住房保障支出</c:v>
                </c:pt>
              </c:strCache>
            </c:strRef>
          </c:cat>
          <c:val>
            <c:numRef>
              <c:f>Sheet1!$B$2:$B$5</c:f>
              <c:numCache>
                <c:formatCode>General</c:formatCode>
                <c:ptCount val="4"/>
                <c:pt idx="0">
                  <c:v>4.03</c:v>
                </c:pt>
                <c:pt idx="1">
                  <c:v>45.9</c:v>
                </c:pt>
                <c:pt idx="2">
                  <c:v>360.59</c:v>
                </c:pt>
                <c:pt idx="3">
                  <c:v>39.25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Sheet1!$A$2:$A$3</c:f>
              <c:strCache>
                <c:ptCount val="2"/>
                <c:pt idx="0">
                  <c:v>支出</c:v>
                </c:pt>
                <c:pt idx="1">
                  <c:v>收入</c:v>
                </c:pt>
              </c:strCache>
            </c:strRef>
          </c:cat>
          <c:val>
            <c:numRef>
              <c:f>Sheet1!$B$2:$B$3</c:f>
              <c:numCache>
                <c:formatCode>General</c:formatCode>
                <c:ptCount val="2"/>
                <c:pt idx="0">
                  <c:v>417.26</c:v>
                </c:pt>
                <c:pt idx="1">
                  <c:v>417.26</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Sheet1!$A$2:$A$3</c:f>
              <c:strCache>
                <c:ptCount val="2"/>
                <c:pt idx="0">
                  <c:v>支出</c:v>
                </c:pt>
                <c:pt idx="1">
                  <c:v>收入</c:v>
                </c:pt>
              </c:strCache>
            </c:strRef>
          </c:cat>
          <c:val>
            <c:numRef>
              <c:f>Sheet1!$C$2:$C$3</c:f>
              <c:numCache>
                <c:formatCode>General</c:formatCode>
                <c:ptCount val="2"/>
                <c:pt idx="0">
                  <c:v>449.78</c:v>
                </c:pt>
                <c:pt idx="1">
                  <c:v>449.78</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一般公共预算支出情况</a:t>
            </a:r>
            <a:endParaRPr lang="en-US" sz="1100"/>
          </a:p>
        </c:rich>
      </c:tx>
      <c:layout/>
      <c:overlay val="0"/>
      <c:spPr>
        <a:noFill/>
        <a:ln>
          <a:noFill/>
        </a:ln>
        <a:effectLst/>
      </c:sp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439.51</c:v>
                </c:pt>
              </c:numCache>
            </c:numRef>
          </c:val>
        </c:ser>
        <c:ser>
          <c:idx val="1"/>
          <c:order val="1"/>
          <c:tx>
            <c:strRef>
              <c:f>Sheet1!$C$1</c:f>
              <c:strCache>
                <c:ptCount val="1"/>
                <c:pt idx="0">
                  <c:v>结转下年支出</c:v>
                </c:pt>
              </c:strCache>
            </c:strRef>
          </c:tx>
          <c:invertIfNegative val="0"/>
          <c:dLbls>
            <c:delete val="1"/>
          </c:dLbls>
          <c:cat>
            <c:strRef>
              <c:f>Sheet1!$A$2</c:f>
              <c:strCache>
                <c:ptCount val="1"/>
                <c:pt idx="0">
                  <c:v>上年</c:v>
                </c:pt>
              </c:strCache>
            </c:strRef>
          </c:cat>
          <c:val>
            <c:numRef>
              <c:f>Sheet1!$C$2</c:f>
              <c:numCache>
                <c:formatCode>General</c:formatCode>
                <c:ptCount val="1"/>
                <c:pt idx="0">
                  <c:v>0</c:v>
                </c:pt>
              </c:numCache>
            </c:numRef>
          </c:val>
        </c:ser>
        <c:ser>
          <c:idx val="2"/>
          <c:order val="2"/>
          <c:tx>
            <c:strRef>
              <c:f>Sheet1!$D$1</c:f>
              <c:strCache>
                <c:ptCount val="1"/>
                <c:pt idx="0">
                  <c:v>项目支出</c:v>
                </c:pt>
              </c:strCache>
            </c:strRef>
          </c:tx>
          <c:invertIfNegative val="0"/>
          <c:dLbls>
            <c:delete val="1"/>
          </c:dLbls>
          <c:cat>
            <c:strRef>
              <c:f>Sheet1!$A$2</c:f>
              <c:strCache>
                <c:ptCount val="1"/>
                <c:pt idx="0">
                  <c:v>上年</c:v>
                </c:pt>
              </c:strCache>
            </c:strRef>
          </c:cat>
          <c:val>
            <c:numRef>
              <c:f>Sheet1!$D$2</c:f>
              <c:numCache>
                <c:formatCode>General</c:formatCode>
                <c:ptCount val="1"/>
                <c:pt idx="0">
                  <c:v>10.27</c:v>
                </c:pt>
              </c:numCache>
            </c:numRef>
          </c:val>
        </c:ser>
        <c:ser>
          <c:idx val="3"/>
          <c:order val="3"/>
          <c:tx>
            <c:strRef>
              <c:f>Sheet1!$E$1</c:f>
              <c:strCache>
                <c:ptCount val="1"/>
                <c:pt idx="0">
                  <c:v>公用经费</c:v>
                </c:pt>
              </c:strCache>
            </c:strRef>
          </c:tx>
          <c:invertIfNegative val="0"/>
          <c:dLbls>
            <c:delete val="1"/>
          </c:dLbls>
          <c:cat>
            <c:strRef>
              <c:f>Sheet1!$A$2</c:f>
              <c:strCache>
                <c:ptCount val="1"/>
                <c:pt idx="0">
                  <c:v>上年</c:v>
                </c:pt>
              </c:strCache>
            </c:strRef>
          </c:cat>
          <c:val>
            <c:numRef>
              <c:f>Sheet1!$E$2</c:f>
              <c:numCache>
                <c:formatCode>General</c:formatCode>
                <c:ptCount val="1"/>
                <c:pt idx="0">
                  <c:v>25.22</c:v>
                </c:pt>
              </c:numCache>
            </c:numRef>
          </c:val>
        </c:ser>
        <c:ser>
          <c:idx val="4"/>
          <c:order val="4"/>
          <c:tx>
            <c:strRef>
              <c:f>Sheet1!$F$1</c:f>
              <c:strCache>
                <c:ptCount val="1"/>
                <c:pt idx="0">
                  <c:v>人员经费</c:v>
                </c:pt>
              </c:strCache>
            </c:strRef>
          </c:tx>
          <c:invertIfNegative val="0"/>
          <c:dLbls>
            <c:delete val="1"/>
          </c:dLbls>
          <c:cat>
            <c:strRef>
              <c:f>Sheet1!$A$2</c:f>
              <c:strCache>
                <c:ptCount val="1"/>
                <c:pt idx="0">
                  <c:v>上年</c:v>
                </c:pt>
              </c:strCache>
            </c:strRef>
          </c:cat>
          <c:val>
            <c:numRef>
              <c:f>Sheet1!$F$2</c:f>
              <c:numCache>
                <c:formatCode>General</c:formatCode>
                <c:ptCount val="1"/>
                <c:pt idx="0">
                  <c:v>414.29</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一般公共预算基本支出情况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Lbls>
            <c:delete val="1"/>
          </c:dLbls>
          <c:cat>
            <c:strRef>
              <c:f>Sheet1!$A$2:$A$3</c:f>
              <c:strCache>
                <c:ptCount val="2"/>
                <c:pt idx="0">
                  <c:v>人员经费</c:v>
                </c:pt>
                <c:pt idx="1">
                  <c:v>公用经费</c:v>
                </c:pt>
              </c:strCache>
            </c:strRef>
          </c:cat>
          <c:val>
            <c:numRef>
              <c:f>Sheet1!$B$2:$B$3</c:f>
              <c:numCache>
                <c:formatCode>General</c:formatCode>
                <c:ptCount val="2"/>
                <c:pt idx="0">
                  <c:v>414.29</c:v>
                </c:pt>
                <c:pt idx="1">
                  <c:v>25.22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公务用车购置及运行费预算</c:v>
                </c:pt>
                <c:pt idx="1">
                  <c:v>因公出国（境）经费预算</c:v>
                </c:pt>
                <c:pt idx="2">
                  <c:v>公务接待费预算</c:v>
                </c:pt>
              </c:strCache>
            </c:strRef>
          </c:cat>
          <c:val>
            <c:numRef>
              <c:f>Sheet1!$B$2:$B$4</c:f>
              <c:numCache>
                <c:formatCode>General</c:formatCode>
                <c:ptCount val="3"/>
                <c:pt idx="0">
                  <c:v>6.79</c:v>
                </c:pt>
                <c:pt idx="1">
                  <c:v>0</c:v>
                </c:pt>
                <c:pt idx="2">
                  <c:v>0</c:v>
                </c:pt>
              </c:numCache>
            </c:numRef>
          </c:val>
        </c:ser>
        <c:ser>
          <c:idx val="1"/>
          <c:order val="1"/>
          <c:tx>
            <c:strRef>
              <c:f>Sheet1!$C$1</c:f>
              <c:strCache>
                <c:ptCount val="1"/>
                <c:pt idx="0">
                  <c:v>当年</c:v>
                </c:pt>
              </c:strCache>
            </c:strRef>
          </c:tx>
          <c:invertIfNegative val="0"/>
          <c:dLbls>
            <c:delete val="1"/>
          </c:dLbls>
          <c:cat>
            <c:strRef>
              <c:f>Sheet1!$A$2:$A$4</c:f>
              <c:strCache>
                <c:ptCount val="3"/>
                <c:pt idx="0">
                  <c:v>公务用车购置及运行费预算</c:v>
                </c:pt>
                <c:pt idx="1">
                  <c:v>因公出国（境）经费预算</c:v>
                </c:pt>
                <c:pt idx="2">
                  <c:v>公务接待费预算</c:v>
                </c:pt>
              </c:strCache>
            </c:strRef>
          </c:cat>
          <c:val>
            <c:numRef>
              <c:f>Sheet1!$C$2:$C$4</c:f>
              <c:numCache>
                <c:formatCode>General</c:formatCode>
                <c:ptCount val="3"/>
                <c:pt idx="0">
                  <c:v>6.79</c:v>
                </c:pt>
                <c:pt idx="1">
                  <c:v>0</c:v>
                </c:pt>
                <c:pt idx="2">
                  <c:v>0.5</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88404FF73E4A4D02B71DC44154D3F401_13</vt:lpwstr>
  </property>
</Properties>
</file>

<file path=customXml/item3.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10</TotalTime>
  <ScaleCrop>false</ScaleCrop>
  <LinksUpToDate>false</LinksUpToDate>
  <CharactersWithSpaces>11333</CharactersWithSpaces>
  <Application>WPS Office_12.1.0.16120_F1E327BC-269C-435d-A152-05C5408002CA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C D D</cp:lastModifiedBy>
  <dcterms:modified xsi:type="dcterms:W3CDTF">2024-02-27T09:38:28Z</dcterms:modified>
  <cp:revision>3</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d3ec4d-0b35-440f-be9f-610366adff00}">
  <ds:schemaRefs/>
</ds:datastoreItem>
</file>

<file path=customXml/itemProps3.xml><?xml version="1.0" encoding="utf-8"?>
<ds:datastoreItem xmlns:ds="http://schemas.openxmlformats.org/officeDocument/2006/customXml" ds:itemID="{f65cda48-ed27-45cb-9847-8594ff77274a}">
  <ds:schemaRefs/>
</ds:datastoreItem>
</file>

<file path=customXml/itemProps4.xml><?xml version="1.0" encoding="utf-8"?>
<ds:datastoreItem xmlns:ds="http://schemas.openxmlformats.org/officeDocument/2006/customXml" ds:itemID="{385b3646-3201-4355-85d6-f08895db4001}">
  <ds:schemaRefs/>
</ds:datastoreItem>
</file>

<file path=docProps/app.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12</TotalTime>
  <ScaleCrop>false</ScaleCrop>
  <LinksUpToDate>false</LinksUpToDate>
  <CharactersWithSpaces>11333</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2023-02-07T06:11:00Z</dcterms:created>
  <dc:creator>蔡冬冬</dc:creator>
  <cp:lastModifiedBy>Administrator</cp:lastModifiedBy>
  <dcterms:modified xsi:type="dcterms:W3CDTF">2024-02-29T01:59:05Z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07E420FA7C5849898B0847011F214B06</vt:lpwstr>
  </property>
</Properties>
</file>