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环江毛南族自治县农村经济经营指导中心</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环江毛南族自治县农村经济经营指导中心</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环江毛南族自治县农村经济经营指导中心</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环江毛南族自治县农村经济经营指导中心</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环江毛南族自治县农村经济经营指导中心</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一、完善和创新农村经济经营体制方式，深入开展农村经济监测工作，指导农村各类合作经济的发展和管理；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二、负责农村集体经济组织的“三资”及农村财务管理；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三、规范完善农村土地承包责任制，负责农村土地承包合同纠纷的调解与仲裁；</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四、引导规范农村土地流转，制定农村土地流转管理办法；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五、负责减轻农民负担的监督管理；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六、协调农村内部各种经济关系；围绕特色产业，大力培育农民专业合作经济组织、引进培育农产品加工龙头企业建设，提高农业组织化程度和生产效益，促进农业区域化、规模化、产业化发展；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七、负责农村经济收益分配和农村合作经济发展情况的调查与统计等。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八、完成县委、县府及上级业务主管部门布置的其他各项工作任务。</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农村经济经营指导中心内设办公室和综合股两个股室。人员编制总数为8人，其中行政编制0人，事业编制8人，机关后勤服务中心聘用人员控制数0人。实有财政供养人数6人，其中行政在职0人，事业在职6人，离退休人员0人（其中离休0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环江毛南族自治县农村经济经营指导中心</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141.28</w:t>
      </w:r>
      <w:r>
        <w:rPr>
          <w:rFonts w:hint="eastAsia"/>
          <w:b w:val="0"/>
          <w:bCs w:val="0"/>
          <w:sz w:val="28"/>
          <w:szCs w:val="28"/>
        </w:rPr>
        <w:t xml:space="preserve">万元，总支出</w:t>
      </w:r>
      <w:r>
        <w:rPr>
          <w:rFonts w:hint="eastAsia"/>
          <w:sz w:val="28"/>
          <w:szCs w:val="28"/>
          <w:lang w:val="en-US" w:eastAsia="zh-CN"/>
        </w:rPr>
        <w:t xml:space="preserve">141.28</w:t>
      </w:r>
      <w:r>
        <w:rPr>
          <w:rFonts w:hint="eastAsia"/>
          <w:b w:val="0"/>
          <w:bCs w:val="0"/>
          <w:sz w:val="28"/>
          <w:szCs w:val="28"/>
        </w:rPr>
        <w:t xml:space="preserve">万元。总收入较2023年度预算数</w:t>
      </w:r>
      <w:r>
        <w:rPr>
          <w:rFonts w:hint="eastAsia"/>
          <w:sz w:val="28"/>
          <w:szCs w:val="28"/>
          <w:lang w:val="en-US" w:eastAsia="zh-CN"/>
        </w:rPr>
        <w:t xml:space="preserve">111.86</w:t>
      </w:r>
      <w:r>
        <w:rPr>
          <w:rFonts w:hint="eastAsia"/>
          <w:b w:val="0"/>
          <w:bCs w:val="0"/>
          <w:sz w:val="28"/>
          <w:szCs w:val="28"/>
        </w:rPr>
        <w:t xml:space="preserve">万元，</w:t>
      </w:r>
      <w:r>
        <w:rPr>
          <w:rFonts w:hint="eastAsia"/>
          <w:sz w:val="28"/>
          <w:szCs w:val="28"/>
        </w:rPr>
        <w:t xml:space="preserve">增加29.42</w:t>
      </w:r>
      <w:r>
        <w:rPr>
          <w:rFonts w:hint="eastAsia"/>
          <w:b w:val="0"/>
          <w:bCs w:val="0"/>
          <w:sz w:val="28"/>
          <w:szCs w:val="28"/>
        </w:rPr>
        <w:t xml:space="preserve">万元，</w:t>
      </w:r>
      <w:r>
        <w:rPr>
          <w:rFonts w:hint="eastAsia"/>
          <w:sz w:val="28"/>
          <w:szCs w:val="28"/>
        </w:rPr>
        <w:t xml:space="preserve">增长26.30%</w:t>
      </w:r>
      <w:r>
        <w:rPr>
          <w:rFonts w:hint="eastAsia"/>
          <w:b w:val="0"/>
          <w:bCs w:val="0"/>
          <w:sz w:val="28"/>
          <w:szCs w:val="28"/>
        </w:rPr>
        <w:t xml:space="preserve">，主要原因是</w:t>
      </w:r>
      <w:r>
        <w:rPr>
          <w:rFonts w:hint="eastAsia"/>
          <w:highlight w:val="none"/>
          <w:lang w:val="en-US" w:eastAsia="zh-CN"/>
        </w:rPr>
        <w:t xml:space="preserve">一是有上年结转结余数；二是基础性绩效奖增加</w:t>
      </w:r>
      <w:r>
        <w:rPr>
          <w:rFonts w:hint="eastAsia"/>
          <w:b w:val="0"/>
          <w:bCs w:val="0"/>
          <w:sz w:val="28"/>
          <w:szCs w:val="28"/>
        </w:rPr>
        <w:t xml:space="preserve">。总支出较2023年度预算数</w:t>
      </w:r>
      <w:r>
        <w:rPr>
          <w:rFonts w:hint="eastAsia"/>
          <w:sz w:val="28"/>
          <w:szCs w:val="28"/>
          <w:lang w:val="en-US" w:eastAsia="zh-CN"/>
        </w:rPr>
        <w:t xml:space="preserve">111.86</w:t>
      </w:r>
      <w:r>
        <w:rPr>
          <w:rFonts w:hint="eastAsia"/>
          <w:b w:val="0"/>
          <w:bCs w:val="0"/>
          <w:sz w:val="28"/>
          <w:szCs w:val="28"/>
        </w:rPr>
        <w:t xml:space="preserve">万元，</w:t>
      </w:r>
      <w:r>
        <w:rPr>
          <w:rFonts w:hint="eastAsia"/>
          <w:sz w:val="28"/>
          <w:szCs w:val="28"/>
        </w:rPr>
        <w:t xml:space="preserve">增加29.42</w:t>
      </w:r>
      <w:r>
        <w:rPr>
          <w:rFonts w:hint="eastAsia"/>
          <w:b w:val="0"/>
          <w:bCs w:val="0"/>
          <w:sz w:val="28"/>
          <w:szCs w:val="28"/>
        </w:rPr>
        <w:t xml:space="preserve">万元，</w:t>
      </w:r>
      <w:r>
        <w:rPr>
          <w:rFonts w:hint="eastAsia"/>
          <w:sz w:val="28"/>
          <w:szCs w:val="28"/>
        </w:rPr>
        <w:t xml:space="preserve">增长26.30%</w:t>
      </w:r>
      <w:r>
        <w:rPr>
          <w:rFonts w:hint="eastAsia"/>
          <w:b w:val="0"/>
          <w:bCs w:val="0"/>
          <w:sz w:val="28"/>
          <w:szCs w:val="28"/>
        </w:rPr>
        <w:t xml:space="preserve">，主要原因是</w:t>
      </w:r>
      <w:r>
        <w:rPr>
          <w:rFonts w:hint="eastAsia"/>
          <w:highlight w:val="none"/>
          <w:lang w:val="en-US" w:eastAsia="zh-CN"/>
        </w:rPr>
        <w:t xml:space="preserve">一是有上年结转结余数；二是基础性绩效奖增加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84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141.28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111.86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增加29.42</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增长26.30%</w:t>
      </w:r>
      <w:r>
        <w:rPr>
          <w:rFonts w:ascii="宋体" w:eastAsia="宋体" w:hAnsi="宋体" w:cs="宋体" w:hint="eastAsia"/>
          <w:sz w:val="28"/>
          <w:szCs w:val="28"/>
          <w:u w:color="auto"/>
        </w:rPr>
        <w:t xml:space="preserve">，主要原因是</w:t>
      </w:r>
      <w:r>
        <w:rPr>
          <w:rFonts w:hint="eastAsia"/>
          <w:highlight w:val="none"/>
          <w:lang w:val="en-US" w:eastAsia="zh-CN"/>
        </w:rPr>
        <w:t xml:space="preserve">一是有上年结转结余数；二是基础性绩效奖增加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84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141.28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111.86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增加29.42</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增长26.30%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一是有上年结转结余数；二是基础性绩效奖增加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一般公共服务支出、社会保障和就业支出、农林水支出、住房保障支出等</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5</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121.38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85.91%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增长37.83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增长45.28%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一是有上年结转结余数；二是基础性绩效奖增加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8.73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6.18%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增长10.93%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10.26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7.26%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减少2.19%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减少8.64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2023年有预发奖励性补贴预算8.64万元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0.92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0.65%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减少0.39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减少29.77%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工会费支出减少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120.49</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85.28%</w:t>
      </w:r>
      <w:r>
        <w:rPr>
          <w:rFonts w:ascii="宋体" w:eastAsia="宋体" w:hAnsi="宋体" w:cs="宋体"/>
          <w:sz w:val="28"/>
          <w:u w:color="auto"/>
        </w:rPr>
        <w:t xml:space="preserve">,比上年</w:t>
      </w:r>
      <w:r>
        <w:rPr>
          <w:rFonts w:ascii="宋体" w:eastAsia="宋体" w:hAnsi="宋体" w:cs="宋体"/>
          <w:sz w:val="28"/>
          <w:u w:color="auto"/>
        </w:rPr>
        <w:t xml:space="preserve">增长18.40</w:t>
      </w:r>
      <w:r>
        <w:rPr>
          <w:rFonts w:ascii="宋体" w:eastAsia="宋体" w:hAnsi="宋体" w:cs="宋体"/>
          <w:sz w:val="28"/>
          <w:u w:color="auto"/>
        </w:rPr>
        <w:t xml:space="preserve">万元，</w:t>
      </w:r>
      <w:r>
        <w:rPr>
          <w:rFonts w:ascii="宋体" w:eastAsia="宋体" w:hAnsi="宋体" w:cs="宋体"/>
          <w:sz w:val="28"/>
          <w:u w:color="auto"/>
        </w:rPr>
        <w:t xml:space="preserve">增长18.02%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104.09</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86.39%</w:t>
      </w:r>
      <w:r>
        <w:rPr>
          <w:rFonts w:ascii="宋体" w:eastAsia="宋体" w:hAnsi="宋体" w:cs="宋体" w:hint="eastAsia"/>
          <w:sz w:val="28"/>
          <w:szCs w:val="28"/>
        </w:rPr>
        <w:t xml:space="preserve">,比上年</w:t>
      </w:r>
      <w:r>
        <w:rPr>
          <w:rFonts w:ascii="宋体" w:eastAsia="宋体" w:hAnsi="宋体" w:cs="宋体"/>
          <w:sz w:val="28"/>
          <w:u w:color="auto"/>
        </w:rPr>
        <w:t xml:space="preserve">增长16.36</w:t>
      </w:r>
      <w:r>
        <w:rPr>
          <w:rFonts w:ascii="宋体" w:eastAsia="宋体" w:hAnsi="宋体" w:cs="宋体"/>
          <w:sz w:val="28"/>
          <w:u w:color="auto"/>
        </w:rPr>
        <w:t xml:space="preserve">万元，</w:t>
      </w:r>
      <w:r>
        <w:rPr>
          <w:rFonts w:ascii="宋体" w:eastAsia="宋体" w:hAnsi="宋体" w:cs="宋体"/>
          <w:sz w:val="28"/>
          <w:u w:color="auto"/>
        </w:rPr>
        <w:t xml:space="preserve">增长18.65%</w:t>
      </w:r>
      <w:r>
        <w:rPr>
          <w:rFonts w:ascii="宋体" w:eastAsia="宋体" w:hAnsi="宋体" w:cs="宋体"/>
          <w:sz w:val="28"/>
          <w:u w:color="auto"/>
        </w:rPr>
        <w:t xml:space="preserve">,主要原因是：基础性绩效奖标准增加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8.75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7.26%</w:t>
      </w:r>
      <w:r>
        <w:rPr>
          <w:rFonts w:ascii="宋体" w:eastAsia="宋体" w:hAnsi="宋体" w:cs="宋体" w:hint="eastAsia"/>
          <w:sz w:val="28"/>
          <w:szCs w:val="28"/>
        </w:rPr>
        <w:t xml:space="preserve">,比上年</w:t>
      </w:r>
      <w:r>
        <w:rPr>
          <w:rFonts w:ascii="宋体" w:eastAsia="宋体" w:hAnsi="宋体" w:cs="宋体"/>
          <w:sz w:val="28"/>
          <w:u w:color="auto"/>
        </w:rPr>
        <w:t xml:space="preserve">减少0.40</w:t>
      </w:r>
      <w:r>
        <w:rPr>
          <w:rFonts w:ascii="宋体" w:eastAsia="宋体" w:hAnsi="宋体" w:cs="宋体"/>
          <w:sz w:val="28"/>
          <w:u w:color="auto"/>
        </w:rPr>
        <w:t xml:space="preserve">万元，</w:t>
      </w:r>
      <w:r>
        <w:rPr>
          <w:rFonts w:ascii="宋体" w:eastAsia="宋体" w:hAnsi="宋体" w:cs="宋体"/>
          <w:sz w:val="28"/>
          <w:u w:color="auto"/>
        </w:rPr>
        <w:t xml:space="preserve">减少4.37%</w:t>
      </w:r>
      <w:r>
        <w:rPr>
          <w:rFonts w:ascii="宋体" w:eastAsia="宋体" w:hAnsi="宋体" w:cs="宋体"/>
          <w:sz w:val="28"/>
          <w:u w:color="auto"/>
        </w:rPr>
        <w:t xml:space="preserve">,主要原因是：工会费支出减少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7.65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6.35%</w:t>
      </w:r>
      <w:r>
        <w:rPr>
          <w:rFonts w:ascii="宋体" w:eastAsia="宋体" w:hAnsi="宋体" w:cs="宋体" w:hint="eastAsia"/>
          <w:sz w:val="28"/>
          <w:szCs w:val="28"/>
        </w:rPr>
        <w:t xml:space="preserve">,比上年</w:t>
      </w:r>
      <w:r>
        <w:rPr>
          <w:rFonts w:ascii="宋体" w:eastAsia="宋体" w:hAnsi="宋体" w:cs="宋体"/>
          <w:sz w:val="28"/>
          <w:u w:color="auto"/>
        </w:rPr>
        <w:t xml:space="preserve">增长2.44</w:t>
      </w:r>
      <w:r>
        <w:rPr>
          <w:rFonts w:ascii="宋体" w:eastAsia="宋体" w:hAnsi="宋体" w:cs="宋体"/>
          <w:sz w:val="28"/>
          <w:u w:color="auto"/>
        </w:rPr>
        <w:t xml:space="preserve">万元，</w:t>
      </w:r>
      <w:r>
        <w:rPr>
          <w:rFonts w:ascii="宋体" w:eastAsia="宋体" w:hAnsi="宋体" w:cs="宋体"/>
          <w:sz w:val="28"/>
          <w:u w:color="auto"/>
        </w:rPr>
        <w:t xml:space="preserve">增长46.83%</w:t>
      </w:r>
      <w:r>
        <w:rPr>
          <w:rFonts w:ascii="宋体" w:eastAsia="宋体" w:hAnsi="宋体" w:cs="宋体"/>
          <w:sz w:val="28"/>
          <w:u w:color="auto"/>
        </w:rPr>
        <w:t xml:space="preserve">,主要原因是：退休人员生活补助标准提高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20.79</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14.72%</w:t>
      </w:r>
      <w:r>
        <w:rPr>
          <w:rFonts w:ascii="宋体" w:eastAsia="宋体" w:hAnsi="宋体" w:cs="宋体" w:hint="eastAsia"/>
          <w:sz w:val="28"/>
          <w:szCs w:val="28"/>
        </w:rPr>
        <w:t xml:space="preserve">,比上年</w:t>
      </w:r>
      <w:r>
        <w:rPr>
          <w:rFonts w:ascii="宋体" w:eastAsia="宋体" w:hAnsi="宋体" w:cs="宋体"/>
          <w:sz w:val="28"/>
          <w:u w:color="auto"/>
        </w:rPr>
        <w:t xml:space="preserve">增长11.02</w:t>
      </w:r>
      <w:r>
        <w:rPr>
          <w:rFonts w:ascii="宋体" w:eastAsia="宋体" w:hAnsi="宋体" w:cs="宋体" w:hint="eastAsia"/>
          <w:sz w:val="28"/>
          <w:szCs w:val="28"/>
        </w:rPr>
        <w:t xml:space="preserve">万元，</w:t>
      </w:r>
      <w:r>
        <w:rPr>
          <w:rFonts w:ascii="宋体" w:eastAsia="宋体" w:hAnsi="宋体" w:cs="宋体"/>
          <w:sz w:val="28"/>
          <w:u w:color="auto"/>
        </w:rPr>
        <w:t xml:space="preserve">增长112.79%</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8.79</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42.28%</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减少0.98</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按要求减少其他运转类项目支出预算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12.00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57.72%</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增长12.00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上年结转结余的中央农业经营主体能力提升资金</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84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141.28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141.28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111.86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增加29.42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增长26.30%</w:t>
      </w:r>
      <w:r>
        <w:rPr>
          <w:rFonts w:ascii="宋体" w:eastAsia="宋体" w:hAnsi="宋体" w:cs="宋体" w:hint="eastAsia"/>
          <w:sz w:val="28"/>
          <w:szCs w:val="28"/>
        </w:rPr>
        <w:t xml:space="preserve">，主要原因是</w:t>
      </w:r>
      <w:r>
        <w:rPr>
          <w:rFonts w:hint="eastAsia"/>
          <w:highlight w:val="none"/>
          <w:lang w:val="en-US" w:eastAsia="zh-CN"/>
        </w:rPr>
        <w:t xml:space="preserve">一是有上年结转结余数；二是基础性绩效奖增加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111.86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增加29.42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增长26.30%</w:t>
      </w:r>
      <w:r>
        <w:rPr>
          <w:rFonts w:ascii="宋体" w:eastAsia="宋体" w:hAnsi="宋体" w:cs="宋体" w:hint="eastAsia"/>
          <w:sz w:val="28"/>
          <w:szCs w:val="28"/>
        </w:rPr>
        <w:t xml:space="preserve">，主要原因是</w:t>
      </w:r>
      <w:r>
        <w:rPr>
          <w:rFonts w:hint="eastAsia"/>
          <w:highlight w:val="none"/>
          <w:lang w:val="en-US" w:eastAsia="zh-CN"/>
        </w:rPr>
        <w:t xml:space="preserve">一是有上年结转结余数；二是基础性绩效奖增加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84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141.28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111.86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增加29.42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增长26.30%</w:t>
      </w:r>
      <w:r>
        <w:rPr>
          <w:rFonts w:ascii="宋体" w:eastAsia="宋体" w:hAnsi="宋体" w:cs="宋体" w:hint="eastAsia"/>
          <w:sz w:val="28"/>
          <w:szCs w:val="28"/>
        </w:rPr>
        <w:t xml:space="preserve">，主要原因是</w:t>
      </w:r>
      <w:r>
        <w:rPr>
          <w:rFonts w:hint="eastAsia"/>
          <w:highlight w:val="none"/>
          <w:lang w:val="en-US" w:eastAsia="zh-CN"/>
        </w:rPr>
        <w:t xml:space="preserve">一是有上年结转结余数；二是基础性绩效奖增加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0.92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0.65%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1.31</w:t>
      </w:r>
      <w:r>
        <w:rPr>
          <w:rFonts w:ascii="宋体" w:eastAsia="宋体" w:hAnsi="宋体" w:cs="宋体" w:hint="eastAsia"/>
          <w:sz w:val="28"/>
          <w:szCs w:val="28"/>
        </w:rPr>
        <w:t xml:space="preserve">万元，</w:t>
      </w:r>
      <w:r>
        <w:rPr>
          <w:rFonts w:ascii="宋体" w:eastAsia="宋体" w:hAnsi="宋体" w:cs="宋体"/>
          <w:sz w:val="28"/>
          <w:u w:color="auto"/>
        </w:rPr>
        <w:t xml:space="preserve">减少0.39</w:t>
      </w:r>
      <w:r>
        <w:rPr>
          <w:rFonts w:ascii="宋体" w:eastAsia="宋体" w:hAnsi="宋体" w:cs="宋体" w:hint="eastAsia"/>
          <w:sz w:val="28"/>
          <w:szCs w:val="28"/>
        </w:rPr>
        <w:t xml:space="preserve">万元，</w:t>
      </w:r>
      <w:r>
        <w:rPr>
          <w:rFonts w:ascii="宋体" w:eastAsia="宋体" w:hAnsi="宋体" w:cs="宋体"/>
          <w:sz w:val="28"/>
          <w:u w:color="auto"/>
        </w:rPr>
        <w:t xml:space="preserve">减少29.77%</w:t>
      </w:r>
      <w:r>
        <w:rPr>
          <w:rFonts w:ascii="宋体" w:eastAsia="宋体" w:hAnsi="宋体" w:cs="宋体" w:hint="eastAsia"/>
          <w:sz w:val="28"/>
          <w:szCs w:val="28"/>
        </w:rPr>
        <w:t xml:space="preserve">，主要原因是：</w:t>
      </w:r>
      <w:r>
        <w:rPr>
          <w:rFonts w:hint="eastAsia"/>
          <w:highlight w:val="none"/>
        </w:rPr>
        <w:t xml:space="preserve">工会费支出减少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8.73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6.18%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7.87</w:t>
      </w:r>
      <w:r>
        <w:rPr>
          <w:rFonts w:ascii="宋体" w:eastAsia="宋体" w:hAnsi="宋体" w:cs="宋体" w:hint="eastAsia"/>
          <w:sz w:val="28"/>
          <w:szCs w:val="28"/>
        </w:rPr>
        <w:t xml:space="preserve">万元，</w:t>
      </w:r>
      <w:r>
        <w:rPr>
          <w:rFonts w:ascii="宋体" w:eastAsia="宋体" w:hAnsi="宋体" w:cs="宋体"/>
          <w:sz w:val="28"/>
          <w:u w:color="auto"/>
        </w:rPr>
        <w:t xml:space="preserve">增长0.86</w:t>
      </w:r>
      <w:r>
        <w:rPr>
          <w:rFonts w:ascii="宋体" w:eastAsia="宋体" w:hAnsi="宋体" w:cs="宋体" w:hint="eastAsia"/>
          <w:sz w:val="28"/>
          <w:szCs w:val="28"/>
        </w:rPr>
        <w:t xml:space="preserve">万元，</w:t>
      </w:r>
      <w:r>
        <w:rPr>
          <w:rFonts w:ascii="宋体" w:eastAsia="宋体" w:hAnsi="宋体" w:cs="宋体"/>
          <w:sz w:val="28"/>
          <w:u w:color="auto"/>
        </w:rPr>
        <w:t xml:space="preserve">增长10.93%</w:t>
      </w:r>
      <w:r>
        <w:rPr>
          <w:rFonts w:ascii="宋体" w:eastAsia="宋体" w:hAnsi="宋体" w:cs="宋体" w:hint="eastAsia"/>
          <w:sz w:val="28"/>
          <w:szCs w:val="28"/>
        </w:rPr>
        <w:t xml:space="preserve">，主要原因是：</w:t>
      </w:r>
      <w:r>
        <w:rPr>
          <w:rFonts w:hint="eastAsia"/>
          <w:highlight w:val="none"/>
        </w:rPr>
        <w:t xml:space="preserve">基数调整</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其他支出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8.64</w:t>
      </w:r>
      <w:r>
        <w:rPr>
          <w:rFonts w:ascii="宋体" w:eastAsia="宋体" w:hAnsi="宋体" w:cs="宋体" w:hint="eastAsia"/>
          <w:sz w:val="28"/>
          <w:szCs w:val="28"/>
        </w:rPr>
        <w:t xml:space="preserve">万元，</w:t>
      </w:r>
      <w:r>
        <w:rPr>
          <w:rFonts w:ascii="宋体" w:eastAsia="宋体" w:hAnsi="宋体" w:cs="宋体"/>
          <w:sz w:val="28"/>
          <w:u w:color="auto"/>
        </w:rPr>
        <w:t xml:space="preserve">减少8.64</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增加基础性绩效奖支出预算（在农林水科目反映），不再保留有预发绩效奖支出预算</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121.38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85.91%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83.55</w:t>
      </w:r>
      <w:r>
        <w:rPr>
          <w:rFonts w:ascii="宋体" w:eastAsia="宋体" w:hAnsi="宋体" w:cs="宋体" w:hint="eastAsia"/>
          <w:sz w:val="28"/>
          <w:szCs w:val="28"/>
        </w:rPr>
        <w:t xml:space="preserve">万元，</w:t>
      </w:r>
      <w:r>
        <w:rPr>
          <w:rFonts w:ascii="宋体" w:eastAsia="宋体" w:hAnsi="宋体" w:cs="宋体"/>
          <w:sz w:val="28"/>
          <w:u w:color="auto"/>
        </w:rPr>
        <w:t xml:space="preserve">增长37.83</w:t>
      </w:r>
      <w:r>
        <w:rPr>
          <w:rFonts w:ascii="宋体" w:eastAsia="宋体" w:hAnsi="宋体" w:cs="宋体" w:hint="eastAsia"/>
          <w:sz w:val="28"/>
          <w:szCs w:val="28"/>
        </w:rPr>
        <w:t xml:space="preserve">万元，</w:t>
      </w:r>
      <w:r>
        <w:rPr>
          <w:rFonts w:ascii="宋体" w:eastAsia="宋体" w:hAnsi="宋体" w:cs="宋体"/>
          <w:sz w:val="28"/>
          <w:u w:color="auto"/>
        </w:rPr>
        <w:t xml:space="preserve">增长45.28%</w:t>
      </w:r>
      <w:r>
        <w:rPr>
          <w:rFonts w:ascii="宋体" w:eastAsia="宋体" w:hAnsi="宋体" w:cs="宋体" w:hint="eastAsia"/>
          <w:sz w:val="28"/>
          <w:szCs w:val="28"/>
        </w:rPr>
        <w:t xml:space="preserve">，主要原因是：</w:t>
      </w:r>
      <w:r>
        <w:rPr>
          <w:rFonts w:hint="eastAsia"/>
          <w:highlight w:val="none"/>
        </w:rPr>
        <w:t xml:space="preserve">一是有上年结转结余数；二是基础性绩效奖增加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10.26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7.26%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10.49</w:t>
      </w:r>
      <w:r>
        <w:rPr>
          <w:rFonts w:ascii="宋体" w:eastAsia="宋体" w:hAnsi="宋体" w:cs="宋体" w:hint="eastAsia"/>
          <w:sz w:val="28"/>
          <w:szCs w:val="28"/>
        </w:rPr>
        <w:t xml:space="preserve">万元，</w:t>
      </w:r>
      <w:r>
        <w:rPr>
          <w:rFonts w:ascii="宋体" w:eastAsia="宋体" w:hAnsi="宋体" w:cs="宋体"/>
          <w:sz w:val="28"/>
          <w:u w:color="auto"/>
        </w:rPr>
        <w:t xml:space="preserve">减少0.23</w:t>
      </w:r>
      <w:r>
        <w:rPr>
          <w:rFonts w:ascii="宋体" w:eastAsia="宋体" w:hAnsi="宋体" w:cs="宋体" w:hint="eastAsia"/>
          <w:sz w:val="28"/>
          <w:szCs w:val="28"/>
        </w:rPr>
        <w:t xml:space="preserve">万元，</w:t>
      </w:r>
      <w:r>
        <w:rPr>
          <w:rFonts w:ascii="宋体" w:eastAsia="宋体" w:hAnsi="宋体" w:cs="宋体"/>
          <w:sz w:val="28"/>
          <w:u w:color="auto"/>
        </w:rPr>
        <w:t xml:space="preserve">减少2.19%</w:t>
      </w:r>
      <w:r>
        <w:rPr>
          <w:rFonts w:ascii="宋体" w:eastAsia="宋体" w:hAnsi="宋体" w:cs="宋体" w:hint="eastAsia"/>
          <w:sz w:val="28"/>
          <w:szCs w:val="28"/>
        </w:rPr>
        <w:t xml:space="preserve">，主要原因是：</w:t>
      </w:r>
      <w:r>
        <w:rPr>
          <w:rFonts w:hint="eastAsia"/>
          <w:highlight w:val="none"/>
        </w:rPr>
        <w:t xml:space="preserve">基数调整</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84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120.49</w:t>
      </w:r>
      <w:r>
        <w:rPr>
          <w:rFonts w:hint="eastAsia"/>
        </w:rPr>
        <w:t xml:space="preserve">万元，较2023年度预算数</w:t>
      </w:r>
      <w:r>
        <w:rPr>
          <w:rFonts w:hint="eastAsia"/>
          <w:lang w:val="en-US" w:eastAsia="zh-CN"/>
        </w:rPr>
        <w:t xml:space="preserve">102.09</w:t>
      </w:r>
      <w:r>
        <w:rPr>
          <w:rFonts w:hint="eastAsia"/>
        </w:rPr>
        <w:t xml:space="preserve">万元</w:t>
      </w:r>
      <w:r>
        <w:rPr>
          <w:rFonts w:hint="eastAsia"/>
          <w:lang w:val="en-US" w:eastAsia="zh-CN"/>
        </w:rPr>
        <w:t xml:space="preserve">,</w:t>
      </w:r>
      <w:r>
        <w:rPr>
          <w:u w:color="auto"/>
        </w:rPr>
        <w:t xml:space="preserve">增加18.40</w:t>
      </w:r>
      <w:r>
        <w:rPr>
          <w:rFonts w:hint="eastAsia"/>
        </w:rPr>
        <w:t xml:space="preserve">万元，</w:t>
      </w:r>
      <w:r>
        <w:rPr>
          <w:rFonts w:hint="eastAsia"/>
          <w:lang w:val="en-US" w:eastAsia="zh-CN"/>
        </w:rPr>
        <w:t xml:space="preserve">增长18.02%</w:t>
      </w:r>
      <w:r>
        <w:rPr>
          <w:rFonts w:hint="eastAsia"/>
        </w:rPr>
        <w:t xml:space="preserve">，主要原因是</w:t>
      </w:r>
      <w:r>
        <w:rPr>
          <w:rFonts w:hint="eastAsia"/>
          <w:highlight w:val="none"/>
          <w:lang w:val="en-US" w:eastAsia="zh-CN"/>
        </w:rPr>
        <w:t xml:space="preserve">一是有上年结转结余数；二是基础性绩效奖增加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104.09</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86.39%</w:t>
      </w:r>
      <w:r>
        <w:rPr>
          <w:rFonts w:hint="eastAsia"/>
        </w:rPr>
        <w:t xml:space="preserve">，较2023年度预算数</w:t>
      </w:r>
      <w:r>
        <w:rPr>
          <w:rFonts w:hint="eastAsia"/>
          <w:lang w:val="en-US" w:eastAsia="zh-CN"/>
        </w:rPr>
        <w:t xml:space="preserve">87.73</w:t>
      </w:r>
      <w:r>
        <w:rPr>
          <w:rFonts w:hint="eastAsia"/>
        </w:rPr>
        <w:t xml:space="preserve">万元，</w:t>
      </w:r>
      <w:r>
        <w:rPr>
          <w:rFonts w:hint="eastAsia"/>
          <w:lang w:val="en-US" w:eastAsia="zh-CN"/>
        </w:rPr>
        <w:t xml:space="preserve">增长16.36</w:t>
      </w:r>
      <w:r>
        <w:rPr>
          <w:rFonts w:hint="eastAsia"/>
        </w:rPr>
        <w:t xml:space="preserve">万元，</w:t>
      </w:r>
      <w:r>
        <w:rPr>
          <w:rFonts w:hint="eastAsia"/>
          <w:lang w:val="en-US" w:eastAsia="zh-CN"/>
        </w:rPr>
        <w:t xml:space="preserve">增长18.65%</w:t>
      </w:r>
      <w:r>
        <w:rPr>
          <w:rFonts w:hint="eastAsia"/>
        </w:rPr>
        <w:t xml:space="preserve">，主要原因是：</w:t>
      </w:r>
      <w:r>
        <w:rPr>
          <w:rFonts w:hint="eastAsia"/>
          <w:highlight w:val="none"/>
        </w:rPr>
        <w:t xml:space="preserve">一是基础性绩效奖增加；二是公积金和社保费基数调整</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8.75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7.26%</w:t>
      </w:r>
      <w:r>
        <w:rPr>
          <w:rFonts w:hint="eastAsia"/>
        </w:rPr>
        <w:t xml:space="preserve">，较2023年度预算数</w:t>
      </w:r>
      <w:r>
        <w:rPr>
          <w:rFonts w:hint="eastAsia"/>
          <w:lang w:val="en-US" w:eastAsia="zh-CN"/>
        </w:rPr>
        <w:t xml:space="preserve">9.15</w:t>
      </w:r>
      <w:r>
        <w:rPr>
          <w:rFonts w:hint="eastAsia"/>
        </w:rPr>
        <w:t xml:space="preserve">万元，</w:t>
      </w:r>
      <w:r>
        <w:rPr>
          <w:rFonts w:hint="eastAsia"/>
          <w:lang w:val="en-US" w:eastAsia="zh-CN"/>
        </w:rPr>
        <w:t xml:space="preserve">减少0.40</w:t>
      </w:r>
      <w:r>
        <w:rPr>
          <w:rFonts w:hint="eastAsia"/>
        </w:rPr>
        <w:t xml:space="preserve">万元，</w:t>
      </w:r>
      <w:r>
        <w:rPr>
          <w:rFonts w:hint="eastAsia"/>
          <w:lang w:val="en-US" w:eastAsia="zh-CN"/>
        </w:rPr>
        <w:t xml:space="preserve">减少4.37%</w:t>
      </w:r>
      <w:r>
        <w:rPr>
          <w:rFonts w:hint="eastAsia"/>
        </w:rPr>
        <w:t xml:space="preserve">，主要原因是：</w:t>
      </w:r>
      <w:r>
        <w:rPr>
          <w:rFonts w:hint="eastAsia"/>
          <w:highlight w:val="none"/>
        </w:rPr>
        <w:t xml:space="preserve">按要求减少其他运转类项目支出预算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7.65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6.35%</w:t>
      </w:r>
      <w:r>
        <w:rPr>
          <w:rFonts w:hint="eastAsia"/>
        </w:rPr>
        <w:t xml:space="preserve">，较2023年度预算数</w:t>
      </w:r>
      <w:r>
        <w:rPr>
          <w:rFonts w:hint="eastAsia"/>
          <w:lang w:val="en-US" w:eastAsia="zh-CN"/>
        </w:rPr>
        <w:t xml:space="preserve">5.21</w:t>
      </w:r>
      <w:r>
        <w:rPr>
          <w:rFonts w:hint="eastAsia"/>
        </w:rPr>
        <w:t xml:space="preserve">万元，</w:t>
      </w:r>
      <w:r>
        <w:rPr>
          <w:rFonts w:hint="eastAsia"/>
          <w:lang w:val="en-US" w:eastAsia="zh-CN"/>
        </w:rPr>
        <w:t xml:space="preserve">增长2.44</w:t>
      </w:r>
      <w:r>
        <w:rPr>
          <w:rFonts w:hint="eastAsia"/>
        </w:rPr>
        <w:t xml:space="preserve">万元，</w:t>
      </w:r>
      <w:r>
        <w:rPr>
          <w:rFonts w:hint="eastAsia"/>
          <w:lang w:val="en-US" w:eastAsia="zh-CN"/>
        </w:rPr>
        <w:t xml:space="preserve">增长46.83%</w:t>
      </w:r>
      <w:r>
        <w:rPr>
          <w:rFonts w:hint="eastAsia"/>
        </w:rPr>
        <w:t xml:space="preserve">，主要原因是：</w:t>
      </w:r>
      <w:r>
        <w:rPr>
          <w:rFonts w:hint="eastAsia"/>
          <w:highlight w:val="none"/>
        </w:rPr>
        <w:t xml:space="preserve">退休人员生活补助标准提高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84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我单位2024年无因公出国（境）活动安排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2024年我单位无接待任务安排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公车改革后，我单位不再保留有公车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公车改革后，我单位不再保留有公车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我单位2024年部门预算无政府性基金预算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我单位2024年部门预算无国有资本经营预算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8.75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9.15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减少0.40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下降4.37%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工会费支出减少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主要用于：我单位2024年部门预算无采购支出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20.79</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名称：农村产权流转交易信息平台经费，预算资金11900元，2024年度绩效目标为：通过农村产权流转交易信息平台建设，推动农村产权流转交易走向专业化服务。设1条数量指标：构建平台数量大于或等于1个；设1条质量指标：经费支出合规性（合规）；设1条时效指标：项目完成时间（2024年12月底前）；设1条成本指标：项目总成本小于或等于11900元；设一条社会效益指标：通过建设信息平台，提高农产品流通，促进农民增收；设1条满意度指标：受益服务对象满意度大于或等于95%。</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环江毛南族自治县农村经济经营指导中心</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环江毛南族自治县农村经济经营指导中心</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129.28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0.92</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129.28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10.26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121.38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8.73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129.28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141.28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141.28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141.28</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环江毛南族自治县农村经济经营指导中心</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504001</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141.28</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129.28</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129.28</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12.00</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12.00</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环江毛南族自治县农村经济经营指导中心</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141.28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141.28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20.79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0.92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10.26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2130104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109.38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8.79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2130124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农村合作经济</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8.73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8.73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环江毛南族自治县农村经济经营指导中心</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129.28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0.92</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129.28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10.26</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121.38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8.73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129.28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141.28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141.28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141.28</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环江毛南族自治县农村经济经营指导中心</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504001</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141.28</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120.49</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111.74</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8.75</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20.79</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0.92</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0.92</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0.92</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10.26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10.26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10.26</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2130104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事业运行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109.38</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100.60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92.76</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7.84</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8.79</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2130124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农村合作经济</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8.73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8.73</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8.73</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环江毛南族自治县农村经济经营指导中心</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120.49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111.74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104.09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104.09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27.68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15.83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15.83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21.14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21.14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10.26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10.26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4.10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4.10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16.28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16.28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8.75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30204</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手续费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培训费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劳务费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5.40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7.65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7.65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6.68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6.68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0.97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个人农业生产补贴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环江毛南族自治县农村经济经营指导中心</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504001</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环江毛南族自治县农村经济经营指导中心</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环江毛南族自治县农村经济经营指导中心</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环江毛南族自治县农村经济经营指导中心</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2023年中央农业经营主体能力提升资金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支持全县家庭农场质量得到提升。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按进度要求年内完成党组织生活各项工作。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农村产权流转交易信息平台经费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按进度要求年内完成农村产权流转交易信息平台建设工作。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农民专业合作社和家庭农场财务业务培训经费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按进度要求完成农民专业合作社和家庭农场财务业务培训工作。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农村经济统计工作业务经费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按进度年内完成农村经济统计工作业务经费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农村土地承包管理业务工作经费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按进度要求年内完成农村土地承包管理业务工作。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农民负担执法检查业务工作经费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安进度要求完成农民负担执法检查业务工作。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农业产业化工作业务经费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按进度年内完成农业产业化工作业务经费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农村土地承包经营纠纷仲裁工作业务经费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按进度要求年内完成农村土地承包经营纠纷仲裁工作。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环江毛南族自治县农村经济经营指导中心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村级集体经济组织资产监管工作经费和财务人员培训费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按进度要求年内完成村级集体经济组织资产监管工作经费和财务人员业务培训工作。</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4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93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84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94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85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94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852"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394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853"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394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5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94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4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94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5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94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BRuYrDnWn538L9KP7rZjg==" w:hash="+M6P9cZyslXqPitP/8vd0e1yRmbB4lapRUinI9RyDtIMv/G5aGbzLq7qtSXMGsjhj9NfGOOtup+HDijiyzCBu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141.28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ptCount val="4"/>
                <c:pt idx="0">
                  <c:v>0.92</c:v>
                </c:pt>
                <c:pt idx="1">
                  <c:v>10.26</c:v>
                </c:pt>
                <c:pt idx="2">
                  <c:v>109.38</c:v>
                </c:pt>
                <c:pt idx="3">
                  <c:v>8.73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111.86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141.28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120.49</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8.79</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8.75</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111.74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111.74</c:v>
                </c:pt>
                <c:pt idx="1">
                  <c:v>8.75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2024-03-02T00:23:41Z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