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lang w:val="en-US" w:eastAsia="zh-CN"/>
        </w:rPr>
      </w:pPr>
      <w:r>
        <w:rPr>
          <w:rFonts w:hint="eastAsia"/>
          <w:lang w:val="en-US" w:eastAsia="zh-CN"/>
        </w:rPr>
        <w:t>环江毛南族自治县林业局</w:t>
      </w:r>
    </w:p>
    <w:p>
      <w:pPr>
        <w:pStyle w:val="9"/>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ascii="Times New Roman" w:hAnsi="Times New Roman" w:eastAsia="Times New Roman" w:cs="Times New Roman"/>
          <w:sz w:val="56"/>
          <w:szCs w:val="56"/>
          <w:lang w:val="zh-CN" w:eastAsia="zh-CN" w:bidi="zh-CN"/>
        </w:rPr>
        <w:t>202</w:t>
      </w:r>
      <w:r>
        <w:rPr>
          <w:rFonts w:hint="eastAsia" w:ascii="Times New Roman" w:hAnsi="Times New Roman" w:eastAsia="Times New Roman" w:cs="Times New Roman"/>
          <w:sz w:val="56"/>
          <w:szCs w:val="56"/>
          <w:lang w:val="en-US" w:eastAsia="zh-CN" w:bidi="zh-CN"/>
        </w:rPr>
        <w:t>4</w:t>
      </w:r>
      <w:r>
        <w:rPr>
          <w:rFonts w:ascii="Times New Roman" w:hAnsi="Times New Roman" w:eastAsia="Times New Roman" w:cs="Times New Roman"/>
          <w:sz w:val="56"/>
          <w:u w:color="auto"/>
        </w:rPr>
        <w:t>年</w:t>
      </w:r>
      <w:r>
        <w:t>度部门预算</w:t>
      </w:r>
    </w:p>
    <w:p>
      <w:pPr>
        <w:pStyle w:val="11"/>
        <w:keepNext/>
        <w:keepLines/>
        <w:spacing w:after="240"/>
        <w:jc w:val="center"/>
      </w:pPr>
      <w:bookmarkStart w:id="0" w:name="bookmark1"/>
      <w:bookmarkStart w:id="1" w:name="bookmark2"/>
      <w:bookmarkStart w:id="2" w:name="bookmark0"/>
      <w:r>
        <w:t>目录</w:t>
      </w:r>
      <w:bookmarkEnd w:id="0"/>
      <w:bookmarkEnd w:id="1"/>
      <w:bookmarkEnd w:id="2"/>
    </w:p>
    <w:p>
      <w:pPr>
        <w:pStyle w:val="15"/>
        <w:ind w:left="0" w:leftChars="0" w:firstLine="320" w:firstLineChars="100"/>
        <w:jc w:val="left"/>
      </w:pPr>
      <w:r>
        <w:t>第一部分</w:t>
      </w:r>
      <w:r>
        <w:rPr>
          <w:rFonts w:hint="eastAsia"/>
          <w:lang w:eastAsia="zh-CN"/>
        </w:rPr>
        <w:t>：环江毛南族自治县林业局</w:t>
      </w:r>
      <w:r>
        <w:t>概况</w:t>
      </w:r>
    </w:p>
    <w:p>
      <w:pPr>
        <w:pStyle w:val="15"/>
        <w:jc w:val="both"/>
      </w:pPr>
      <w:r>
        <w:rPr>
          <w:lang w:val="en-US" w:eastAsia="zh-CN" w:bidi="en-US"/>
        </w:rPr>
        <w:t>—</w:t>
      </w:r>
      <w:r>
        <w:t>、主要职责</w:t>
      </w:r>
    </w:p>
    <w:p>
      <w:pPr>
        <w:pStyle w:val="15"/>
        <w:numPr>
          <w:ilvl w:val="0"/>
          <w:numId w:val="1"/>
        </w:numPr>
        <w:jc w:val="left"/>
        <w:rPr>
          <w:rFonts w:hint="eastAsia"/>
        </w:rPr>
      </w:pPr>
      <w:r>
        <w:rPr>
          <w:rFonts w:hint="eastAsia"/>
        </w:rPr>
        <w:t>机构设置情况</w:t>
      </w:r>
    </w:p>
    <w:p>
      <w:pPr>
        <w:pStyle w:val="15"/>
        <w:numPr>
          <w:ilvl w:val="0"/>
          <w:numId w:val="0"/>
        </w:numPr>
        <w:ind w:firstLine="320" w:firstLineChars="100"/>
        <w:jc w:val="left"/>
      </w:pPr>
      <w:r>
        <w:t>第二部分</w:t>
      </w:r>
      <w:r>
        <w:rPr>
          <w:rFonts w:hint="eastAsia"/>
          <w:lang w:eastAsia="zh-CN"/>
        </w:rPr>
        <w:t>：环江毛南族自治县林业局</w:t>
      </w:r>
      <w:r>
        <w:rPr>
          <w:rFonts w:hint="eastAsia" w:ascii="Times New Roman" w:hAnsi="Times New Roman" w:cs="Times New Roman"/>
          <w:lang w:eastAsia="zh-CN"/>
        </w:rPr>
        <w:t>202</w:t>
      </w:r>
      <w:r>
        <w:rPr>
          <w:rFonts w:hint="eastAsia" w:ascii="Times New Roman" w:hAnsi="Times New Roman" w:cs="Times New Roman"/>
          <w:lang w:val="en-US" w:eastAsia="zh-CN"/>
        </w:rPr>
        <w:t>4</w:t>
      </w:r>
      <w:r>
        <w:rPr>
          <w:rFonts w:ascii="Times New Roman" w:hAnsi="Times New Roman" w:cs="Times New Roman"/>
          <w:u w:color="auto"/>
        </w:rPr>
        <w:t>年</w:t>
      </w:r>
      <w:r>
        <w:t>部门预算情况说明</w:t>
      </w:r>
    </w:p>
    <w:p>
      <w:pPr>
        <w:pStyle w:val="15"/>
        <w:numPr>
          <w:ilvl w:val="0"/>
          <w:numId w:val="0"/>
        </w:numPr>
        <w:ind w:firstLine="640" w:firstLineChars="200"/>
        <w:jc w:val="left"/>
        <w:rPr>
          <w:rFonts w:hint="eastAsia"/>
        </w:rPr>
      </w:pPr>
      <w:r>
        <w:rPr>
          <w:rFonts w:hint="eastAsia"/>
        </w:rPr>
        <w:t>一、部门收支总体情况说明</w:t>
      </w:r>
    </w:p>
    <w:p>
      <w:pPr>
        <w:pStyle w:val="15"/>
        <w:numPr>
          <w:ilvl w:val="0"/>
          <w:numId w:val="0"/>
        </w:numPr>
        <w:ind w:firstLine="640" w:firstLineChars="200"/>
        <w:jc w:val="left"/>
        <w:rPr>
          <w:rFonts w:hint="eastAsia"/>
        </w:rPr>
      </w:pPr>
      <w:r>
        <w:rPr>
          <w:rFonts w:hint="eastAsia"/>
        </w:rPr>
        <w:t>二、部门收入总体情况说明</w:t>
      </w:r>
    </w:p>
    <w:p>
      <w:pPr>
        <w:pStyle w:val="15"/>
        <w:numPr>
          <w:ilvl w:val="0"/>
          <w:numId w:val="0"/>
        </w:numPr>
        <w:ind w:firstLine="640" w:firstLineChars="200"/>
        <w:jc w:val="left"/>
        <w:rPr>
          <w:rFonts w:hint="eastAsia"/>
        </w:rPr>
      </w:pPr>
      <w:r>
        <w:rPr>
          <w:rFonts w:hint="eastAsia"/>
        </w:rPr>
        <w:t>三、部门支出总体情况说明</w:t>
      </w:r>
    </w:p>
    <w:p>
      <w:pPr>
        <w:pStyle w:val="15"/>
        <w:numPr>
          <w:ilvl w:val="0"/>
          <w:numId w:val="0"/>
        </w:numPr>
        <w:ind w:firstLine="640" w:firstLineChars="200"/>
        <w:jc w:val="left"/>
        <w:rPr>
          <w:rFonts w:hint="eastAsia"/>
        </w:rPr>
      </w:pPr>
      <w:r>
        <w:rPr>
          <w:rFonts w:hint="eastAsia"/>
        </w:rPr>
        <w:t>四、财政拨款收支总体情况说明</w:t>
      </w:r>
    </w:p>
    <w:p>
      <w:pPr>
        <w:pStyle w:val="15"/>
        <w:numPr>
          <w:ilvl w:val="0"/>
          <w:numId w:val="0"/>
        </w:numPr>
        <w:ind w:firstLine="640" w:firstLineChars="200"/>
        <w:jc w:val="left"/>
        <w:rPr>
          <w:rFonts w:hint="eastAsia"/>
        </w:rPr>
      </w:pPr>
      <w:r>
        <w:rPr>
          <w:rFonts w:hint="eastAsia"/>
        </w:rPr>
        <w:t>五、一般公共预算支出情况说明</w:t>
      </w:r>
    </w:p>
    <w:p>
      <w:pPr>
        <w:pStyle w:val="15"/>
        <w:numPr>
          <w:ilvl w:val="0"/>
          <w:numId w:val="0"/>
        </w:numPr>
        <w:ind w:firstLine="640" w:firstLineChars="200"/>
        <w:jc w:val="left"/>
        <w:rPr>
          <w:rFonts w:hint="eastAsia"/>
        </w:rPr>
      </w:pPr>
      <w:r>
        <w:rPr>
          <w:rFonts w:hint="eastAsia"/>
        </w:rPr>
        <w:t>六、一般公共预算基本支出情况说明</w:t>
      </w:r>
    </w:p>
    <w:p>
      <w:pPr>
        <w:pStyle w:val="15"/>
        <w:numPr>
          <w:ilvl w:val="0"/>
          <w:numId w:val="0"/>
        </w:numPr>
        <w:ind w:firstLine="640" w:firstLineChars="200"/>
        <w:jc w:val="left"/>
        <w:rPr>
          <w:rFonts w:hint="eastAsia"/>
        </w:rPr>
      </w:pPr>
      <w:r>
        <w:rPr>
          <w:rFonts w:hint="eastAsia"/>
        </w:rPr>
        <w:t>七、一般公共预算“三公”经费支出情况说明</w:t>
      </w:r>
    </w:p>
    <w:p>
      <w:pPr>
        <w:pStyle w:val="15"/>
        <w:numPr>
          <w:ilvl w:val="0"/>
          <w:numId w:val="0"/>
        </w:numPr>
        <w:ind w:firstLine="640" w:firstLineChars="200"/>
        <w:jc w:val="left"/>
        <w:rPr>
          <w:rFonts w:hint="eastAsia"/>
        </w:rPr>
      </w:pPr>
      <w:r>
        <w:rPr>
          <w:rFonts w:hint="eastAsia"/>
        </w:rPr>
        <w:t>八、政府性基金预算支出情况说明</w:t>
      </w:r>
    </w:p>
    <w:p>
      <w:pPr>
        <w:pStyle w:val="15"/>
        <w:numPr>
          <w:ilvl w:val="0"/>
          <w:numId w:val="0"/>
        </w:numPr>
        <w:ind w:firstLine="640" w:firstLineChars="200"/>
        <w:jc w:val="left"/>
        <w:rPr>
          <w:rFonts w:hint="eastAsia"/>
        </w:rPr>
      </w:pPr>
      <w:r>
        <w:rPr>
          <w:rFonts w:hint="eastAsia"/>
        </w:rPr>
        <w:t>九、国有资本经营预算支出情况说明</w:t>
      </w:r>
    </w:p>
    <w:p>
      <w:pPr>
        <w:pStyle w:val="15"/>
        <w:numPr>
          <w:ilvl w:val="0"/>
          <w:numId w:val="0"/>
        </w:numPr>
        <w:ind w:firstLine="640" w:firstLineChars="200"/>
        <w:jc w:val="left"/>
      </w:pPr>
      <w:r>
        <w:rPr>
          <w:rFonts w:hint="eastAsia"/>
        </w:rPr>
        <w:t>十、其他重要事项情况说明</w:t>
      </w:r>
    </w:p>
    <w:p>
      <w:pPr>
        <w:pStyle w:val="15"/>
        <w:ind w:left="0" w:leftChars="0" w:firstLine="320" w:firstLineChars="100"/>
        <w:jc w:val="left"/>
      </w:pPr>
      <w:r>
        <w:t>第三部分</w:t>
      </w:r>
      <w:r>
        <w:rPr>
          <w:rFonts w:hint="eastAsia"/>
          <w:lang w:eastAsia="zh-CN"/>
        </w:rPr>
        <w:t>：环江毛南族自治县林业局</w:t>
      </w:r>
      <w:r>
        <w:rPr>
          <w:rFonts w:hint="eastAsia" w:ascii="Times New Roman" w:hAnsi="Times New Roman" w:cs="Times New Roman"/>
          <w:lang w:eastAsia="zh-CN"/>
        </w:rPr>
        <w:t>202</w:t>
      </w:r>
      <w:r>
        <w:rPr>
          <w:rFonts w:hint="eastAsia" w:ascii="Times New Roman" w:hAnsi="Times New Roman" w:cs="Times New Roman"/>
          <w:lang w:val="en-US" w:eastAsia="zh-CN"/>
        </w:rPr>
        <w:t>4</w:t>
      </w:r>
      <w:r>
        <w:rPr>
          <w:rFonts w:ascii="Times New Roman" w:hAnsi="Times New Roman" w:cs="Times New Roman"/>
          <w:u w:color="auto"/>
        </w:rPr>
        <w:t>年</w:t>
      </w:r>
      <w:r>
        <w:t>部门预算</w:t>
      </w:r>
      <w:r>
        <w:rPr>
          <w:rFonts w:hint="eastAsia"/>
          <w:lang w:val="en-US" w:eastAsia="zh-CN"/>
        </w:rPr>
        <w:t>相关报</w:t>
      </w:r>
      <w:r>
        <w:t>表</w:t>
      </w:r>
    </w:p>
    <w:p>
      <w:pPr>
        <w:pStyle w:val="15"/>
        <w:jc w:val="left"/>
        <w:rPr>
          <w:rFonts w:hint="eastAsia"/>
        </w:rPr>
      </w:pPr>
      <w:r>
        <w:rPr>
          <w:rFonts w:hint="eastAsia"/>
        </w:rPr>
        <w:t>一、部门收支总体情况表</w:t>
      </w:r>
    </w:p>
    <w:p>
      <w:pPr>
        <w:pStyle w:val="15"/>
        <w:jc w:val="left"/>
        <w:rPr>
          <w:rFonts w:hint="eastAsia"/>
        </w:rPr>
      </w:pPr>
      <w:r>
        <w:rPr>
          <w:rFonts w:hint="eastAsia"/>
        </w:rPr>
        <w:t>二、部门收入总体情况表</w:t>
      </w:r>
    </w:p>
    <w:p>
      <w:pPr>
        <w:pStyle w:val="15"/>
        <w:jc w:val="left"/>
        <w:rPr>
          <w:rFonts w:hint="eastAsia"/>
        </w:rPr>
      </w:pPr>
      <w:r>
        <w:rPr>
          <w:rFonts w:hint="eastAsia"/>
        </w:rPr>
        <w:t>三、部门支出总体情况表</w:t>
      </w:r>
    </w:p>
    <w:p>
      <w:pPr>
        <w:pStyle w:val="15"/>
        <w:jc w:val="left"/>
        <w:rPr>
          <w:rFonts w:hint="eastAsia"/>
        </w:rPr>
      </w:pPr>
      <w:r>
        <w:rPr>
          <w:rFonts w:hint="eastAsia"/>
        </w:rPr>
        <w:t>四、财政拨款收支总体情况表</w:t>
      </w:r>
    </w:p>
    <w:p>
      <w:pPr>
        <w:pStyle w:val="15"/>
        <w:jc w:val="left"/>
        <w:rPr>
          <w:rFonts w:hint="eastAsia"/>
        </w:rPr>
      </w:pPr>
      <w:r>
        <w:rPr>
          <w:rFonts w:hint="eastAsia"/>
        </w:rPr>
        <w:t>五、一般公共预算支出情况表</w:t>
      </w:r>
    </w:p>
    <w:p>
      <w:pPr>
        <w:pStyle w:val="15"/>
        <w:jc w:val="left"/>
        <w:rPr>
          <w:rFonts w:hint="eastAsia"/>
        </w:rPr>
      </w:pPr>
      <w:r>
        <w:rPr>
          <w:rFonts w:hint="eastAsia"/>
        </w:rPr>
        <w:t>六、一般公共预算基本支出情况表</w:t>
      </w:r>
    </w:p>
    <w:p>
      <w:pPr>
        <w:pStyle w:val="15"/>
        <w:jc w:val="left"/>
        <w:rPr>
          <w:rFonts w:hint="eastAsia"/>
        </w:rPr>
      </w:pPr>
      <w:r>
        <w:rPr>
          <w:rFonts w:hint="eastAsia"/>
        </w:rPr>
        <w:t>七、一般公开预算“三公”经费支出情况表</w:t>
      </w:r>
    </w:p>
    <w:p>
      <w:pPr>
        <w:pStyle w:val="15"/>
        <w:jc w:val="left"/>
        <w:rPr>
          <w:rFonts w:hint="eastAsia"/>
        </w:rPr>
      </w:pPr>
      <w:r>
        <w:rPr>
          <w:rFonts w:hint="eastAsia"/>
        </w:rPr>
        <w:t>八、政府性基金预算支出情况表</w:t>
      </w:r>
    </w:p>
    <w:p>
      <w:pPr>
        <w:pStyle w:val="15"/>
        <w:jc w:val="left"/>
        <w:rPr>
          <w:rFonts w:hint="eastAsia"/>
        </w:rPr>
      </w:pPr>
      <w:r>
        <w:rPr>
          <w:rFonts w:hint="eastAsia"/>
        </w:rPr>
        <w:t>九、国有资本经营预算支出情况表</w:t>
      </w:r>
    </w:p>
    <w:p>
      <w:pPr>
        <w:pStyle w:val="15"/>
        <w:jc w:val="left"/>
        <w:rPr>
          <w:rFonts w:hint="eastAsia"/>
        </w:rPr>
      </w:pPr>
      <w:r>
        <w:rPr>
          <w:rFonts w:hint="eastAsia"/>
        </w:rPr>
        <w:t xml:space="preserve">十、2024年预算绩效目标申报表  </w:t>
      </w:r>
    </w:p>
    <w:p>
      <w:pPr>
        <w:pStyle w:val="15"/>
        <w:jc w:val="left"/>
        <w:sectPr>
          <w:footerReference r:id="rId5"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第四部分名词解释</w:t>
      </w:r>
    </w:p>
    <w:p>
      <w:pPr>
        <w:pStyle w:val="11"/>
        <w:keepNext/>
        <w:keepLines/>
        <w:spacing w:after="560"/>
        <w:jc w:val="center"/>
      </w:pPr>
      <w:bookmarkStart w:id="3" w:name="bookmark12"/>
      <w:bookmarkStart w:id="4" w:name="bookmark13"/>
      <w:bookmarkStart w:id="5" w:name="bookmark14"/>
    </w:p>
    <w:p>
      <w:pPr>
        <w:pStyle w:val="11"/>
        <w:keepNext/>
        <w:keepLines/>
        <w:spacing w:after="560"/>
        <w:jc w:val="center"/>
      </w:pPr>
    </w:p>
    <w:p>
      <w:pPr>
        <w:pStyle w:val="11"/>
        <w:keepNext/>
        <w:keepLines/>
        <w:spacing w:after="560"/>
        <w:jc w:val="center"/>
      </w:pPr>
    </w:p>
    <w:p>
      <w:pPr>
        <w:pStyle w:val="11"/>
        <w:keepNext/>
        <w:keepLines/>
        <w:spacing w:after="560"/>
        <w:jc w:val="center"/>
      </w:pPr>
    </w:p>
    <w:p>
      <w:pPr>
        <w:pStyle w:val="11"/>
        <w:keepNext/>
        <w:keepLines/>
        <w:spacing w:after="560"/>
        <w:jc w:val="center"/>
      </w:pPr>
    </w:p>
    <w:p>
      <w:pPr>
        <w:pStyle w:val="11"/>
        <w:keepNext/>
        <w:keepLines/>
        <w:spacing w:after="560"/>
        <w:jc w:val="center"/>
      </w:pPr>
    </w:p>
    <w:p>
      <w:pPr>
        <w:pStyle w:val="11"/>
        <w:keepNext/>
        <w:keepLines/>
        <w:spacing w:after="560"/>
        <w:jc w:val="center"/>
      </w:pPr>
    </w:p>
    <w:p>
      <w:pPr>
        <w:pStyle w:val="11"/>
        <w:keepNext/>
        <w:keepLines/>
        <w:spacing w:after="560"/>
        <w:jc w:val="both"/>
      </w:pPr>
    </w:p>
    <w:p>
      <w:pPr>
        <w:pStyle w:val="11"/>
        <w:keepNext/>
        <w:keepLines/>
        <w:spacing w:after="560"/>
        <w:jc w:val="both"/>
      </w:pPr>
    </w:p>
    <w:p>
      <w:pPr>
        <w:pStyle w:val="11"/>
        <w:keepNext/>
        <w:keepLines/>
        <w:spacing w:after="560"/>
        <w:jc w:val="center"/>
        <w:rPr>
          <w:b/>
          <w:bCs/>
        </w:rPr>
      </w:pPr>
      <w:r>
        <w:rPr>
          <w:b/>
          <w:bCs/>
        </w:rPr>
        <w:t>第一部分</w:t>
      </w:r>
      <w:r>
        <w:rPr>
          <w:rFonts w:hint="eastAsia"/>
          <w:b/>
          <w:bCs/>
          <w:lang w:eastAsia="zh-CN"/>
        </w:rPr>
        <w:t>：环江毛南族自治县林业局</w:t>
      </w:r>
      <w:r>
        <w:rPr>
          <w:b/>
          <w:bCs/>
        </w:rPr>
        <w:t>概况</w:t>
      </w:r>
      <w:bookmarkEnd w:id="3"/>
      <w:bookmarkEnd w:id="4"/>
      <w:bookmarkEnd w:id="5"/>
    </w:p>
    <w:p>
      <w:pPr>
        <w:pStyle w:val="15"/>
        <w:spacing w:after="0" w:line="619" w:lineRule="exact"/>
        <w:ind w:firstLine="620"/>
        <w:jc w:val="left"/>
        <w:rPr>
          <w:b/>
          <w:bCs/>
        </w:rPr>
      </w:pPr>
      <w:r>
        <w:rPr>
          <w:rFonts w:hint="eastAsia"/>
          <w:b/>
          <w:bCs/>
          <w:lang w:val="en-US" w:eastAsia="zh-CN"/>
        </w:rPr>
        <w:t>一、</w:t>
      </w:r>
      <w:r>
        <w:rPr>
          <w:b/>
          <w:bCs/>
        </w:rPr>
        <w:t>主要职责</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环江毛南族自治县林业局的主要职能是：</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1、负责全县林业及其生态建设的监督管理。</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2、承担组织、协调、指导和监督全县造林绿化的责任。</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3、承担全县森林资源保护发展监督管理的责任。</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4、承担组织、指导和监督全县陆生野生动植物资源的保护和合理开发利用。</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5、协助河池市林业局对全县林业系统自然保护区的监督管理。</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6、组织、协调、指导和监督全县湿地保护工作。</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7、组织、协调、指导和监督全县石漠化和沙化土地防治工作。</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8、参与拟订自治县林业及其生态建设的财政、金融、价格、贸易等经济调节政策。</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9、承担推进全县林业改革，维护农民经营林业合法权益的责任。</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10、指导全县各产业对森林、湿地和陆生野生动植物资源的开发利用。</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11、组织指导全县林业及其生态建设的科技、教育、人才、外事和信息化管理；指导全县林业队伍的建设；指导各乡镇林业工作站开展业务工作。</w:t>
      </w:r>
    </w:p>
    <w:p>
      <w:pPr>
        <w:pStyle w:val="17"/>
        <w:spacing w:line="623" w:lineRule="exact"/>
        <w:ind w:left="0" w:leftChars="0" w:firstLine="560" w:firstLineChars="200"/>
        <w:jc w:val="left"/>
        <w:rPr>
          <w:rFonts w:hint="eastAsia"/>
          <w:highlight w:val="none"/>
          <w:lang w:val="en-US" w:eastAsia="zh-CN"/>
        </w:rPr>
      </w:pPr>
      <w:r>
        <w:rPr>
          <w:rFonts w:hint="eastAsia"/>
          <w:highlight w:val="none"/>
          <w:lang w:val="en-US" w:eastAsia="zh-CN"/>
        </w:rPr>
        <w:t>12、承担组织、协调、指导、监督全县森林防火工作。</w:t>
      </w:r>
    </w:p>
    <w:p>
      <w:pPr>
        <w:pStyle w:val="17"/>
        <w:spacing w:line="623" w:lineRule="exact"/>
        <w:ind w:left="0" w:leftChars="0" w:firstLine="560" w:firstLineChars="200"/>
        <w:jc w:val="left"/>
        <w:rPr>
          <w:rFonts w:hint="default"/>
          <w:highlight w:val="yellow"/>
          <w:lang w:val="en-US" w:eastAsia="zh-CN"/>
        </w:rPr>
      </w:pPr>
      <w:r>
        <w:rPr>
          <w:rFonts w:hint="eastAsia"/>
          <w:highlight w:val="none"/>
          <w:lang w:val="en-US" w:eastAsia="zh-CN"/>
        </w:rPr>
        <w:t xml:space="preserve">13、承办县委、县政府交办的其他事项。 </w:t>
      </w:r>
    </w:p>
    <w:p>
      <w:pPr>
        <w:pStyle w:val="15"/>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7"/>
        <w:spacing w:line="623" w:lineRule="exact"/>
        <w:ind w:left="0" w:leftChars="0" w:firstLine="840" w:firstLineChars="300"/>
        <w:jc w:val="left"/>
        <w:rPr>
          <w:rFonts w:hint="eastAsia"/>
          <w:highlight w:val="none"/>
          <w:lang w:val="en-US" w:eastAsia="zh-CN"/>
        </w:rPr>
      </w:pPr>
      <w:r>
        <w:rPr>
          <w:rFonts w:hint="eastAsia"/>
          <w:highlight w:val="none"/>
          <w:lang w:val="en-US" w:eastAsia="zh-CN"/>
        </w:rPr>
        <w:t>本部门无下属单位，部门预算为局本级预算。</w:t>
      </w:r>
    </w:p>
    <w:p/>
    <w:p>
      <w:pPr>
        <w:pStyle w:val="11"/>
        <w:keepNext/>
        <w:keepLines/>
        <w:spacing w:before="120" w:after="0" w:line="629" w:lineRule="exact"/>
        <w:jc w:val="center"/>
        <w:rPr>
          <w:b/>
          <w:bCs/>
        </w:rPr>
      </w:pPr>
      <w:bookmarkStart w:id="7" w:name="bookmark70"/>
      <w:bookmarkStart w:id="8" w:name="bookmark68"/>
      <w:bookmarkStart w:id="9" w:name="bookmark69"/>
      <w:bookmarkStart w:id="10" w:name="bookmark26"/>
      <w:bookmarkStart w:id="11" w:name="bookmark27"/>
      <w:bookmarkStart w:id="12" w:name="bookmark28"/>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环江毛南族自治县林业局2024年部门预算情况说明</w:t>
      </w:r>
    </w:p>
    <w:p>
      <w:pPr>
        <w:pStyle w:val="15"/>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5"/>
        <w:numPr>
          <w:ilvl w:val="0"/>
          <w:numId w:val="0"/>
        </w:numPr>
        <w:tabs>
          <w:tab w:val="left" w:pos="1235"/>
        </w:tabs>
        <w:spacing w:after="0" w:line="627" w:lineRule="exact"/>
        <w:ind w:firstLine="640" w:firstLineChars="200"/>
        <w:jc w:val="left"/>
        <w:rPr>
          <w:rFonts w:hint="eastAsia"/>
          <w:b w:val="0"/>
          <w:bCs w:val="0"/>
          <w:lang w:val="en-US" w:eastAsia="zh-CN"/>
        </w:rPr>
      </w:pPr>
      <w:r>
        <w:rPr>
          <w:rFonts w:hint="eastAsia"/>
          <w:b w:val="0"/>
          <w:bCs w:val="0"/>
        </w:rPr>
        <w:t xml:space="preserve">我部门总收入 </w:t>
      </w:r>
      <w:r>
        <w:rPr>
          <w:rFonts w:hint="eastAsia"/>
          <w:b w:val="0"/>
          <w:bCs w:val="0"/>
          <w:lang w:val="en-US" w:eastAsia="zh-CN"/>
        </w:rPr>
        <w:t>2026.13</w:t>
      </w:r>
      <w:r>
        <w:rPr>
          <w:rFonts w:hint="eastAsia"/>
          <w:b w:val="0"/>
          <w:bCs w:val="0"/>
        </w:rPr>
        <w:t>万元，总支出</w:t>
      </w:r>
      <w:r>
        <w:rPr>
          <w:rFonts w:hint="eastAsia"/>
          <w:b w:val="0"/>
          <w:bCs w:val="0"/>
          <w:lang w:val="en-US" w:eastAsia="zh-CN"/>
        </w:rPr>
        <w:t>2026.13</w:t>
      </w:r>
      <w:r>
        <w:rPr>
          <w:rFonts w:hint="eastAsia"/>
          <w:b w:val="0"/>
          <w:bCs w:val="0"/>
        </w:rPr>
        <w:t xml:space="preserve"> 万元（不含财政拨款上年未列支结转收支数）。总收入较2023年度预算数 </w:t>
      </w:r>
      <w:r>
        <w:rPr>
          <w:rFonts w:hint="eastAsia"/>
          <w:b w:val="0"/>
          <w:bCs w:val="0"/>
          <w:lang w:val="en-US" w:eastAsia="zh-CN"/>
        </w:rPr>
        <w:t>1927.64</w:t>
      </w:r>
      <w:r>
        <w:rPr>
          <w:rFonts w:hint="eastAsia"/>
          <w:b w:val="0"/>
          <w:bCs w:val="0"/>
        </w:rPr>
        <w:t>万元，增加</w:t>
      </w:r>
      <w:r>
        <w:rPr>
          <w:rFonts w:hint="eastAsia"/>
          <w:b w:val="0"/>
          <w:bCs w:val="0"/>
          <w:lang w:val="en-US" w:eastAsia="zh-CN"/>
        </w:rPr>
        <w:t>98.49</w:t>
      </w:r>
      <w:r>
        <w:rPr>
          <w:rFonts w:hint="eastAsia"/>
          <w:b w:val="0"/>
          <w:bCs w:val="0"/>
        </w:rPr>
        <w:t>万元，增长</w:t>
      </w:r>
      <w:r>
        <w:rPr>
          <w:rFonts w:hint="eastAsia"/>
          <w:b w:val="0"/>
          <w:bCs w:val="0"/>
          <w:lang w:val="en-US" w:eastAsia="zh-CN"/>
        </w:rPr>
        <w:t>5.1</w:t>
      </w:r>
      <w:r>
        <w:rPr>
          <w:rFonts w:hint="eastAsia"/>
          <w:b w:val="0"/>
          <w:bCs w:val="0"/>
        </w:rPr>
        <w:t>% ，主要原因是</w:t>
      </w:r>
      <w:r>
        <w:rPr>
          <w:rFonts w:hint="eastAsia"/>
          <w:b w:val="0"/>
          <w:bCs w:val="0"/>
          <w:lang w:val="en-US" w:eastAsia="zh-CN"/>
        </w:rPr>
        <w:t>增加了两名</w:t>
      </w:r>
      <w:r>
        <w:rPr>
          <w:rFonts w:hint="eastAsia"/>
          <w:b w:val="0"/>
          <w:bCs w:val="0"/>
        </w:rPr>
        <w:t>非实名编制内实聘人员</w:t>
      </w:r>
      <w:r>
        <w:rPr>
          <w:rFonts w:hint="eastAsia"/>
          <w:b w:val="0"/>
          <w:bCs w:val="0"/>
          <w:lang w:eastAsia="zh-CN"/>
        </w:rPr>
        <w:t xml:space="preserve">， </w:t>
      </w:r>
      <w:r>
        <w:rPr>
          <w:rFonts w:hint="eastAsia"/>
          <w:b w:val="0"/>
          <w:bCs w:val="0"/>
          <w:lang w:val="en-US" w:eastAsia="zh-CN"/>
        </w:rPr>
        <w:t>增加了</w:t>
      </w:r>
      <w:r>
        <w:rPr>
          <w:rFonts w:hint="eastAsia"/>
          <w:b w:val="0"/>
          <w:bCs w:val="0"/>
          <w:lang w:eastAsia="zh-CN"/>
        </w:rPr>
        <w:t>基础性绩效工资增量</w:t>
      </w:r>
      <w:r>
        <w:rPr>
          <w:rFonts w:hint="eastAsia"/>
          <w:b w:val="0"/>
          <w:bCs w:val="0"/>
        </w:rPr>
        <w:t xml:space="preserve">。总支出较2023年度预算数 </w:t>
      </w:r>
      <w:r>
        <w:rPr>
          <w:rFonts w:hint="eastAsia"/>
          <w:b w:val="0"/>
          <w:bCs w:val="0"/>
          <w:lang w:val="en-US" w:eastAsia="zh-CN"/>
        </w:rPr>
        <w:t>1927.64</w:t>
      </w:r>
      <w:r>
        <w:rPr>
          <w:rFonts w:hint="eastAsia"/>
          <w:b w:val="0"/>
          <w:bCs w:val="0"/>
        </w:rPr>
        <w:t>万元，增加</w:t>
      </w:r>
      <w:r>
        <w:rPr>
          <w:rFonts w:hint="eastAsia"/>
          <w:b w:val="0"/>
          <w:bCs w:val="0"/>
          <w:lang w:val="en-US" w:eastAsia="zh-CN"/>
        </w:rPr>
        <w:t>98.49</w:t>
      </w:r>
      <w:r>
        <w:rPr>
          <w:rFonts w:hint="eastAsia"/>
          <w:b w:val="0"/>
          <w:bCs w:val="0"/>
        </w:rPr>
        <w:t>万元，增长</w:t>
      </w:r>
      <w:r>
        <w:rPr>
          <w:rFonts w:hint="eastAsia"/>
          <w:b w:val="0"/>
          <w:bCs w:val="0"/>
          <w:lang w:val="en-US" w:eastAsia="zh-CN"/>
        </w:rPr>
        <w:t>5.1</w:t>
      </w:r>
      <w:r>
        <w:rPr>
          <w:rFonts w:hint="eastAsia"/>
          <w:b w:val="0"/>
          <w:bCs w:val="0"/>
        </w:rPr>
        <w:t>% ，主要原因是</w:t>
      </w:r>
      <w:r>
        <w:rPr>
          <w:rFonts w:hint="eastAsia"/>
          <w:b w:val="0"/>
          <w:bCs w:val="0"/>
          <w:lang w:val="en-US" w:eastAsia="zh-CN"/>
        </w:rPr>
        <w:t>增加了两名</w:t>
      </w:r>
      <w:r>
        <w:rPr>
          <w:rFonts w:hint="eastAsia"/>
          <w:b w:val="0"/>
          <w:bCs w:val="0"/>
        </w:rPr>
        <w:t>非实名编制内实聘人员</w:t>
      </w:r>
      <w:r>
        <w:rPr>
          <w:rFonts w:hint="eastAsia"/>
          <w:b w:val="0"/>
          <w:bCs w:val="0"/>
          <w:lang w:eastAsia="zh-CN"/>
        </w:rPr>
        <w:t xml:space="preserve">， </w:t>
      </w:r>
      <w:r>
        <w:rPr>
          <w:rFonts w:hint="eastAsia"/>
          <w:b w:val="0"/>
          <w:bCs w:val="0"/>
          <w:lang w:val="en-US" w:eastAsia="zh-CN"/>
        </w:rPr>
        <w:t>增加了</w:t>
      </w:r>
      <w:r>
        <w:rPr>
          <w:rFonts w:hint="eastAsia"/>
          <w:b w:val="0"/>
          <w:bCs w:val="0"/>
          <w:lang w:eastAsia="zh-CN"/>
        </w:rPr>
        <w:t>基础性绩效工资增量</w:t>
      </w:r>
      <w:r>
        <w:rPr>
          <w:rFonts w:hint="eastAsia"/>
          <w:b w:val="0"/>
          <w:bCs w:val="0"/>
        </w:rPr>
        <w:t>。</w:t>
      </w:r>
    </w:p>
    <w:p>
      <w:pPr>
        <w:pStyle w:val="15"/>
        <w:numPr>
          <w:ilvl w:val="0"/>
          <w:numId w:val="2"/>
        </w:numPr>
        <w:tabs>
          <w:tab w:val="left" w:pos="1235"/>
        </w:tabs>
        <w:spacing w:after="0" w:line="627" w:lineRule="exact"/>
        <w:ind w:firstLine="580"/>
        <w:jc w:val="left"/>
        <w:rPr>
          <w:rFonts w:ascii="Times New Roman" w:hAnsi="Times New Roman" w:cs="Times New Roman"/>
          <w:b/>
          <w:bCs/>
          <w:sz w:val="30"/>
          <w:szCs w:val="30"/>
          <w:lang w:val="en-US" w:eastAsia="zh-CN"/>
        </w:rPr>
      </w:pPr>
      <w:r>
        <w:rPr>
          <w:b/>
          <w:bCs/>
        </w:rPr>
        <w:t>部门收入总体情况说明</w:t>
      </w:r>
    </w:p>
    <w:p>
      <w:pPr>
        <w:pStyle w:val="17"/>
        <w:spacing w:line="240" w:lineRule="auto"/>
        <w:ind w:firstLine="0"/>
        <w:jc w:val="left"/>
        <w:rPr>
          <w:rFonts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 xml:space="preserve">                 </w:t>
      </w:r>
      <w:r>
        <w:rPr>
          <w:rFonts w:ascii="Times New Roman" w:hAnsi="Times New Roman" w:cs="Times New Roman"/>
          <w:sz w:val="30"/>
          <w:szCs w:val="30"/>
          <w:lang w:val="en-US" w:eastAsia="zh-CN"/>
        </w:rPr>
        <w:drawing>
          <wp:inline distT="0" distB="0" distL="114300" distR="114300">
            <wp:extent cx="4257040" cy="3139440"/>
            <wp:effectExtent l="4445" t="4445" r="5715" b="10795"/>
            <wp:docPr id="6" name="图表 6" title="{{img_rs_table}}"/>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17"/>
        <w:spacing w:line="624" w:lineRule="exact"/>
        <w:ind w:firstLine="600"/>
        <w:jc w:val="left"/>
      </w:pPr>
      <w:r>
        <w:rPr>
          <w:rFonts w:hint="eastAsia" w:ascii="Times New Roman" w:hAnsi="Times New Roman" w:cs="Times New Roman"/>
          <w:sz w:val="30"/>
          <w:szCs w:val="30"/>
          <w:lang w:eastAsia="zh-CN"/>
        </w:rPr>
        <w:t>2024</w:t>
      </w:r>
      <w:r>
        <w:rPr>
          <w:rFonts w:ascii="Times New Roman" w:hAnsi="Times New Roman" w:cs="Times New Roman"/>
          <w:sz w:val="30"/>
          <w:u w:color="auto"/>
        </w:rPr>
        <w:t>年</w:t>
      </w:r>
      <w:r>
        <w:rPr>
          <w:rFonts w:hint="eastAsia" w:ascii="Times New Roman" w:hAnsi="Times New Roman" w:cs="Times New Roman"/>
          <w:sz w:val="30"/>
          <w:u w:color="auto"/>
        </w:rPr>
        <w:t xml:space="preserve">我部门总收入 </w:t>
      </w:r>
      <w:r>
        <w:rPr>
          <w:rFonts w:hint="eastAsia" w:ascii="Times New Roman" w:hAnsi="Times New Roman" w:cs="Times New Roman"/>
          <w:sz w:val="30"/>
          <w:u w:color="auto"/>
          <w:lang w:val="en-US" w:eastAsia="zh-CN"/>
        </w:rPr>
        <w:t>7912.46</w:t>
      </w:r>
      <w:r>
        <w:rPr>
          <w:rFonts w:hint="eastAsia" w:ascii="Times New Roman" w:hAnsi="Times New Roman" w:cs="Times New Roman"/>
          <w:sz w:val="30"/>
          <w:u w:color="auto"/>
        </w:rPr>
        <w:t>万元，较2023年度预算数</w:t>
      </w:r>
      <w:r>
        <w:rPr>
          <w:rFonts w:hint="eastAsia" w:ascii="Times New Roman" w:hAnsi="Times New Roman" w:cs="Times New Roman"/>
          <w:sz w:val="30"/>
          <w:u w:color="auto"/>
          <w:lang w:val="en-US" w:eastAsia="zh-CN"/>
        </w:rPr>
        <w:t>7303.93</w:t>
      </w:r>
      <w:r>
        <w:rPr>
          <w:rFonts w:hint="eastAsia" w:ascii="Times New Roman" w:hAnsi="Times New Roman" w:cs="Times New Roman"/>
          <w:sz w:val="30"/>
          <w:u w:color="auto"/>
        </w:rPr>
        <w:t>万元，</w:t>
      </w:r>
      <w:r>
        <w:rPr>
          <w:rFonts w:hint="eastAsia" w:ascii="Times New Roman" w:hAnsi="Times New Roman" w:cs="Times New Roman"/>
          <w:sz w:val="30"/>
          <w:u w:color="auto"/>
          <w:lang w:val="en-US" w:eastAsia="zh-CN"/>
        </w:rPr>
        <w:t>增加608.53</w:t>
      </w:r>
      <w:r>
        <w:rPr>
          <w:rFonts w:hint="eastAsia" w:ascii="Times New Roman" w:hAnsi="Times New Roman" w:cs="Times New Roman"/>
          <w:sz w:val="30"/>
          <w:u w:color="auto"/>
        </w:rPr>
        <w:t>万元，增长</w:t>
      </w:r>
      <w:r>
        <w:rPr>
          <w:rFonts w:hint="eastAsia" w:ascii="Times New Roman" w:hAnsi="Times New Roman" w:cs="Times New Roman"/>
          <w:sz w:val="30"/>
          <w:u w:color="auto"/>
          <w:lang w:val="en-US" w:eastAsia="zh-CN"/>
        </w:rPr>
        <w:t>8.33</w:t>
      </w:r>
      <w:r>
        <w:rPr>
          <w:rFonts w:hint="eastAsia" w:ascii="Times New Roman" w:hAnsi="Times New Roman" w:cs="Times New Roman"/>
          <w:sz w:val="30"/>
          <w:u w:color="auto"/>
        </w:rPr>
        <w:t>% ，主要原因是增加了两名非实名编制内实聘人员， 增加了基础性绩效工资增量</w:t>
      </w:r>
      <w:r>
        <w:rPr>
          <w:rFonts w:hint="eastAsia" w:ascii="Times New Roman" w:hAnsi="Times New Roman" w:cs="Times New Roman"/>
          <w:sz w:val="30"/>
          <w:u w:color="auto"/>
          <w:lang w:eastAsia="zh-CN"/>
        </w:rPr>
        <w:t>，</w:t>
      </w:r>
      <w:r>
        <w:rPr>
          <w:rFonts w:hint="eastAsia" w:ascii="Times New Roman" w:hAnsi="Times New Roman" w:cs="Times New Roman"/>
          <w:sz w:val="30"/>
          <w:u w:color="auto"/>
          <w:lang w:val="en-US" w:eastAsia="zh-CN"/>
        </w:rPr>
        <w:t>上年结转结余增加了510.04万元</w:t>
      </w:r>
      <w:r>
        <w:rPr>
          <w:rFonts w:hint="eastAsia" w:ascii="Times New Roman" w:hAnsi="Times New Roman" w:cs="Times New Roman"/>
          <w:sz w:val="30"/>
          <w:u w:color="auto"/>
        </w:rPr>
        <w:t>。</w:t>
      </w:r>
    </w:p>
    <w:p>
      <w:pPr>
        <w:pStyle w:val="15"/>
        <w:numPr>
          <w:ilvl w:val="0"/>
          <w:numId w:val="3"/>
        </w:numPr>
        <w:tabs>
          <w:tab w:val="left" w:pos="1237"/>
        </w:tabs>
        <w:spacing w:after="0" w:line="624" w:lineRule="exact"/>
        <w:ind w:firstLine="600"/>
        <w:jc w:val="left"/>
        <w:rPr>
          <w:b/>
          <w:bCs/>
        </w:rPr>
      </w:pPr>
      <w:r>
        <w:rPr>
          <w:b/>
          <w:bCs/>
        </w:rPr>
        <w:t>部门支出总体情况说明</w:t>
      </w:r>
    </w:p>
    <w:p>
      <w:pPr>
        <w:pStyle w:val="17"/>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14" name="图表 14" title="{{img_gnkm_zc_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2024年我部门总支出</w:t>
      </w:r>
      <w:r>
        <w:rPr>
          <w:rFonts w:hint="eastAsia" w:ascii="Times New Roman" w:hAnsi="Times New Roman" w:cs="Times New Roman"/>
          <w:sz w:val="30"/>
          <w:szCs w:val="30"/>
          <w:lang w:val="en-US" w:eastAsia="zh-CN"/>
        </w:rPr>
        <w:t>7912.46</w:t>
      </w:r>
      <w:r>
        <w:rPr>
          <w:rFonts w:hint="eastAsia" w:ascii="Times New Roman" w:hAnsi="Times New Roman" w:cs="Times New Roman"/>
          <w:sz w:val="30"/>
          <w:szCs w:val="30"/>
          <w:lang w:eastAsia="zh-CN"/>
        </w:rPr>
        <w:t xml:space="preserve">万元，较2023年度预算数 </w:t>
      </w:r>
      <w:r>
        <w:rPr>
          <w:rFonts w:hint="eastAsia" w:ascii="Times New Roman" w:hAnsi="Times New Roman" w:cs="Times New Roman"/>
          <w:sz w:val="30"/>
          <w:szCs w:val="30"/>
          <w:lang w:val="en-US" w:eastAsia="zh-CN"/>
        </w:rPr>
        <w:t>7303.93</w:t>
      </w:r>
      <w:r>
        <w:rPr>
          <w:rFonts w:hint="eastAsia" w:ascii="Times New Roman" w:hAnsi="Times New Roman" w:cs="Times New Roman"/>
          <w:sz w:val="30"/>
          <w:szCs w:val="30"/>
          <w:lang w:eastAsia="zh-CN"/>
        </w:rPr>
        <w:t>万元，增加</w:t>
      </w:r>
      <w:r>
        <w:rPr>
          <w:rFonts w:hint="eastAsia" w:ascii="Times New Roman" w:hAnsi="Times New Roman" w:cs="Times New Roman"/>
          <w:sz w:val="30"/>
          <w:szCs w:val="30"/>
          <w:lang w:val="en-US" w:eastAsia="zh-CN"/>
        </w:rPr>
        <w:t>608.53</w:t>
      </w:r>
      <w:r>
        <w:rPr>
          <w:rFonts w:hint="eastAsia" w:ascii="Times New Roman" w:hAnsi="Times New Roman" w:cs="Times New Roman"/>
          <w:sz w:val="30"/>
          <w:szCs w:val="30"/>
          <w:lang w:eastAsia="zh-CN"/>
        </w:rPr>
        <w:t>万元，增长</w:t>
      </w:r>
      <w:r>
        <w:rPr>
          <w:rFonts w:hint="eastAsia" w:ascii="Times New Roman" w:hAnsi="Times New Roman" w:cs="Times New Roman"/>
          <w:sz w:val="30"/>
          <w:szCs w:val="30"/>
          <w:lang w:val="en-US" w:eastAsia="zh-CN"/>
        </w:rPr>
        <w:t>8.33</w:t>
      </w:r>
      <w:r>
        <w:rPr>
          <w:rFonts w:hint="eastAsia" w:ascii="Times New Roman" w:hAnsi="Times New Roman" w:cs="Times New Roman"/>
          <w:sz w:val="30"/>
          <w:szCs w:val="30"/>
          <w:lang w:eastAsia="zh-CN"/>
        </w:rPr>
        <w:t>% ，主要原因是</w:t>
      </w:r>
      <w:r>
        <w:rPr>
          <w:rFonts w:hint="eastAsia" w:ascii="Times New Roman" w:hAnsi="Times New Roman" w:cs="Times New Roman"/>
          <w:sz w:val="30"/>
          <w:u w:color="auto"/>
        </w:rPr>
        <w:t>增加了两名非实名编制内实聘人员， 增加了基础性绩效工资增量</w:t>
      </w:r>
      <w:r>
        <w:rPr>
          <w:rFonts w:hint="eastAsia" w:ascii="Times New Roman" w:hAnsi="Times New Roman" w:cs="Times New Roman"/>
          <w:sz w:val="30"/>
          <w:u w:color="auto"/>
          <w:lang w:eastAsia="zh-CN"/>
        </w:rPr>
        <w:t>，</w:t>
      </w:r>
      <w:r>
        <w:rPr>
          <w:rFonts w:hint="eastAsia" w:ascii="Times New Roman" w:hAnsi="Times New Roman" w:cs="Times New Roman"/>
          <w:sz w:val="30"/>
          <w:u w:color="auto"/>
          <w:lang w:val="en-US" w:eastAsia="zh-CN"/>
        </w:rPr>
        <w:t>上年结转结余增加了510.04万元</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（一）按支出功能分类科目划分，共分为</w:t>
      </w:r>
      <w:r>
        <w:rPr>
          <w:rFonts w:hint="eastAsia" w:ascii="Times New Roman" w:hAnsi="Times New Roman" w:cs="Times New Roman"/>
          <w:sz w:val="30"/>
          <w:szCs w:val="30"/>
          <w:lang w:val="en-US" w:eastAsia="zh-CN"/>
        </w:rPr>
        <w:t>6</w:t>
      </w:r>
      <w:r>
        <w:rPr>
          <w:rFonts w:hint="eastAsia" w:ascii="Times New Roman" w:hAnsi="Times New Roman" w:cs="Times New Roman"/>
          <w:sz w:val="30"/>
          <w:szCs w:val="30"/>
          <w:lang w:eastAsia="zh-CN"/>
        </w:rPr>
        <w:t>类，其中:</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(1)一般公共服务支出</w:t>
      </w:r>
      <w:r>
        <w:rPr>
          <w:rFonts w:hint="eastAsia" w:ascii="Times New Roman" w:hAnsi="Times New Roman" w:cs="Times New Roman"/>
          <w:sz w:val="30"/>
          <w:szCs w:val="30"/>
          <w:lang w:val="en-US" w:eastAsia="zh-CN"/>
        </w:rPr>
        <w:t>17.72</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0.22%</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减少10.42</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减少37.03%</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工会经费事务支出减少</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(2)社会保障和就业支出</w:t>
      </w:r>
      <w:r>
        <w:rPr>
          <w:rFonts w:hint="eastAsia" w:ascii="Times New Roman" w:hAnsi="Times New Roman" w:cs="Times New Roman"/>
          <w:sz w:val="30"/>
          <w:szCs w:val="30"/>
          <w:lang w:val="en-US" w:eastAsia="zh-CN"/>
        </w:rPr>
        <w:t>206.63</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2.61%</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减少18.53</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增长8.23%</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人员正常变动</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(3)节能环保支出</w:t>
      </w:r>
      <w:r>
        <w:rPr>
          <w:rFonts w:hint="eastAsia" w:ascii="Times New Roman" w:hAnsi="Times New Roman" w:cs="Times New Roman"/>
          <w:sz w:val="30"/>
          <w:szCs w:val="30"/>
          <w:lang w:val="en-US" w:eastAsia="zh-CN"/>
        </w:rPr>
        <w:t>995.4</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12.58%</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减少25.87</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减少4.05%</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highlight w:val="none"/>
          <w:lang w:val="en-US" w:eastAsia="zh-CN"/>
        </w:rPr>
        <w:t>增加了自然保护地项目</w:t>
      </w:r>
      <w:r>
        <w:rPr>
          <w:rFonts w:hint="eastAsia" w:ascii="Times New Roman" w:hAnsi="Times New Roman" w:cs="Times New Roman"/>
          <w:sz w:val="30"/>
          <w:szCs w:val="30"/>
          <w:highlight w:val="none"/>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(4)城乡社区支出</w:t>
      </w:r>
      <w:r>
        <w:rPr>
          <w:rFonts w:hint="eastAsia" w:ascii="Times New Roman" w:hAnsi="Times New Roman" w:cs="Times New Roman"/>
          <w:sz w:val="30"/>
          <w:szCs w:val="30"/>
          <w:lang w:val="en-US" w:eastAsia="zh-CN"/>
        </w:rPr>
        <w:t>25.23</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0.32%</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增加25.23</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增加100%</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新增项目</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(5)农林水支出</w:t>
      </w:r>
      <w:r>
        <w:rPr>
          <w:rFonts w:hint="eastAsia" w:ascii="Times New Roman" w:hAnsi="Times New Roman" w:cs="Times New Roman"/>
          <w:sz w:val="30"/>
          <w:szCs w:val="30"/>
          <w:lang w:val="en-US" w:eastAsia="zh-CN"/>
        </w:rPr>
        <w:t>6489.59</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82.02%</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增加645.23</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增加11.04%</w:t>
      </w:r>
      <w:r>
        <w:rPr>
          <w:rFonts w:hint="eastAsia" w:ascii="Times New Roman" w:hAnsi="Times New Roman" w:cs="Times New Roman"/>
          <w:sz w:val="30"/>
          <w:szCs w:val="30"/>
          <w:lang w:eastAsia="zh-CN"/>
        </w:rPr>
        <w:t>,主要原因是：</w:t>
      </w:r>
      <w:r>
        <w:rPr>
          <w:rFonts w:hint="eastAsia" w:ascii="Times New Roman" w:hAnsi="Times New Roman" w:cs="Times New Roman"/>
          <w:sz w:val="30"/>
          <w:u w:color="auto"/>
          <w:lang w:val="en-US" w:eastAsia="zh-CN"/>
        </w:rPr>
        <w:t>增加上年结转结余数</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val="en-US" w:eastAsia="zh-CN"/>
        </w:rPr>
        <w:tab/>
      </w:r>
      <w:r>
        <w:rPr>
          <w:rFonts w:hint="eastAsia" w:ascii="Times New Roman" w:hAnsi="Times New Roman" w:cs="Times New Roman"/>
          <w:sz w:val="30"/>
          <w:szCs w:val="30"/>
          <w:lang w:eastAsia="zh-CN"/>
        </w:rPr>
        <w:t>(6)住房保障支出</w:t>
      </w:r>
      <w:r>
        <w:rPr>
          <w:rFonts w:hint="eastAsia" w:ascii="Times New Roman" w:hAnsi="Times New Roman" w:cs="Times New Roman"/>
          <w:sz w:val="30"/>
          <w:szCs w:val="30"/>
          <w:lang w:val="en-US" w:eastAsia="zh-CN"/>
        </w:rPr>
        <w:t>177.89</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2.25%</w:t>
      </w:r>
      <w:r>
        <w:rPr>
          <w:rFonts w:hint="eastAsia" w:ascii="Times New Roman" w:hAnsi="Times New Roman" w:cs="Times New Roman"/>
          <w:sz w:val="30"/>
          <w:szCs w:val="30"/>
          <w:lang w:eastAsia="zh-CN"/>
        </w:rPr>
        <w:t>, 比上年</w:t>
      </w:r>
      <w:r>
        <w:rPr>
          <w:rFonts w:hint="eastAsia" w:ascii="Times New Roman" w:hAnsi="Times New Roman" w:cs="Times New Roman"/>
          <w:sz w:val="30"/>
          <w:szCs w:val="30"/>
          <w:lang w:val="en-US" w:eastAsia="zh-CN"/>
        </w:rPr>
        <w:t>增长9.02</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增长5.34%</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人员正常变动</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(二)按支出结构分类划分，分为基本支出预算和项目支出 预算。</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1.基本支出预算。</w:t>
      </w:r>
    </w:p>
    <w:p>
      <w:pPr>
        <w:pStyle w:val="17"/>
        <w:spacing w:line="624" w:lineRule="exact"/>
        <w:ind w:firstLine="600"/>
        <w:jc w:val="left"/>
        <w:rPr>
          <w:rFonts w:hint="eastAsia" w:ascii="Times New Roman" w:hAnsi="Times New Roman" w:cs="Times New Roman"/>
          <w:sz w:val="30"/>
          <w:szCs w:val="30"/>
          <w:lang w:val="en-US" w:eastAsia="zh-CN"/>
        </w:rPr>
      </w:pPr>
      <w:r>
        <w:rPr>
          <w:rFonts w:hint="eastAsia" w:ascii="Times New Roman" w:hAnsi="Times New Roman" w:cs="Times New Roman"/>
          <w:sz w:val="30"/>
          <w:szCs w:val="30"/>
          <w:lang w:eastAsia="zh-CN"/>
        </w:rPr>
        <w:t>基本支出预算</w:t>
      </w:r>
      <w:r>
        <w:rPr>
          <w:rFonts w:hint="eastAsia" w:ascii="Times New Roman" w:hAnsi="Times New Roman" w:cs="Times New Roman"/>
          <w:sz w:val="30"/>
          <w:szCs w:val="30"/>
          <w:lang w:val="en-US" w:eastAsia="zh-CN"/>
        </w:rPr>
        <w:t>1897.55</w:t>
      </w:r>
      <w:r>
        <w:rPr>
          <w:rFonts w:hint="eastAsia" w:ascii="Times New Roman" w:hAnsi="Times New Roman" w:cs="Times New Roman"/>
          <w:sz w:val="30"/>
          <w:szCs w:val="30"/>
          <w:lang w:eastAsia="zh-CN"/>
        </w:rPr>
        <w:t>万元，占支出预算</w:t>
      </w:r>
      <w:r>
        <w:rPr>
          <w:rFonts w:hint="eastAsia" w:ascii="Times New Roman" w:hAnsi="Times New Roman" w:cs="Times New Roman"/>
          <w:sz w:val="30"/>
          <w:szCs w:val="30"/>
          <w:lang w:val="en-US" w:eastAsia="zh-CN"/>
        </w:rPr>
        <w:t>23.98</w:t>
      </w:r>
      <w:r>
        <w:rPr>
          <w:rFonts w:hint="eastAsia" w:ascii="Times New Roman" w:hAnsi="Times New Roman" w:cs="Times New Roman"/>
          <w:sz w:val="30"/>
          <w:szCs w:val="30"/>
          <w:lang w:eastAsia="zh-CN"/>
        </w:rPr>
        <w:t>%,比上年增长</w:t>
      </w:r>
      <w:r>
        <w:rPr>
          <w:rFonts w:hint="eastAsia" w:ascii="Times New Roman" w:hAnsi="Times New Roman" w:cs="Times New Roman"/>
          <w:sz w:val="30"/>
          <w:szCs w:val="30"/>
          <w:lang w:val="en-US" w:eastAsia="zh-CN"/>
        </w:rPr>
        <w:t>112.78</w:t>
      </w:r>
      <w:r>
        <w:rPr>
          <w:rFonts w:hint="eastAsia" w:ascii="Times New Roman" w:hAnsi="Times New Roman" w:cs="Times New Roman"/>
          <w:sz w:val="30"/>
          <w:szCs w:val="30"/>
          <w:lang w:eastAsia="zh-CN"/>
        </w:rPr>
        <w:t>万元，增长</w:t>
      </w:r>
      <w:r>
        <w:rPr>
          <w:rFonts w:hint="eastAsia" w:ascii="Times New Roman" w:hAnsi="Times New Roman" w:cs="Times New Roman"/>
          <w:sz w:val="30"/>
          <w:szCs w:val="30"/>
          <w:lang w:val="en-US" w:eastAsia="zh-CN"/>
        </w:rPr>
        <w:t>6.32</w:t>
      </w: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其中：</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(1)工资福利支出</w:t>
      </w:r>
      <w:r>
        <w:rPr>
          <w:rFonts w:hint="eastAsia" w:ascii="Times New Roman" w:hAnsi="Times New Roman" w:cs="Times New Roman"/>
          <w:sz w:val="30"/>
          <w:szCs w:val="30"/>
          <w:lang w:val="en-US" w:eastAsia="zh-CN"/>
        </w:rPr>
        <w:t>1714.05</w:t>
      </w:r>
      <w:r>
        <w:rPr>
          <w:rFonts w:hint="eastAsia" w:ascii="Times New Roman" w:hAnsi="Times New Roman" w:cs="Times New Roman"/>
          <w:sz w:val="30"/>
          <w:szCs w:val="30"/>
          <w:lang w:eastAsia="zh-CN"/>
        </w:rPr>
        <w:t>万元，占基本支出总预算</w:t>
      </w:r>
      <w:r>
        <w:rPr>
          <w:rFonts w:hint="eastAsia" w:ascii="Times New Roman" w:hAnsi="Times New Roman" w:cs="Times New Roman"/>
          <w:sz w:val="30"/>
          <w:szCs w:val="30"/>
          <w:lang w:val="en-US" w:eastAsia="zh-CN"/>
        </w:rPr>
        <w:t>90.33%</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highlight w:val="none"/>
          <w:lang w:val="en-US" w:eastAsia="zh-CN"/>
        </w:rPr>
      </w:pPr>
      <w:r>
        <w:rPr>
          <w:rFonts w:hint="eastAsia" w:ascii="Times New Roman" w:hAnsi="Times New Roman" w:cs="Times New Roman"/>
          <w:sz w:val="30"/>
          <w:szCs w:val="30"/>
          <w:lang w:eastAsia="zh-CN"/>
        </w:rPr>
        <w:t>比上年增长</w:t>
      </w:r>
      <w:r>
        <w:rPr>
          <w:rFonts w:hint="eastAsia" w:ascii="Times New Roman" w:hAnsi="Times New Roman" w:cs="Times New Roman"/>
          <w:sz w:val="30"/>
          <w:szCs w:val="30"/>
          <w:lang w:val="en-US" w:eastAsia="zh-CN"/>
        </w:rPr>
        <w:t>97.28</w:t>
      </w:r>
      <w:r>
        <w:rPr>
          <w:rFonts w:hint="eastAsia" w:ascii="Times New Roman" w:hAnsi="Times New Roman" w:cs="Times New Roman"/>
          <w:sz w:val="30"/>
          <w:szCs w:val="30"/>
          <w:lang w:eastAsia="zh-CN"/>
        </w:rPr>
        <w:t>万元，增长</w:t>
      </w:r>
      <w:r>
        <w:rPr>
          <w:rFonts w:hint="eastAsia" w:ascii="Times New Roman" w:hAnsi="Times New Roman" w:cs="Times New Roman"/>
          <w:sz w:val="30"/>
          <w:szCs w:val="30"/>
          <w:lang w:val="en-US" w:eastAsia="zh-CN"/>
        </w:rPr>
        <w:t>6.02</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highlight w:val="none"/>
          <w:lang w:val="en-US" w:eastAsia="zh-CN"/>
        </w:rPr>
        <w:t>增加了基础性绩效工资增量。</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(2)商品和服务支出</w:t>
      </w:r>
      <w:r>
        <w:rPr>
          <w:rFonts w:hint="eastAsia" w:ascii="Times New Roman" w:hAnsi="Times New Roman" w:cs="Times New Roman"/>
          <w:sz w:val="30"/>
          <w:szCs w:val="30"/>
          <w:lang w:val="en-US" w:eastAsia="zh-CN"/>
        </w:rPr>
        <w:t>100.69</w:t>
      </w:r>
      <w:r>
        <w:rPr>
          <w:rFonts w:hint="eastAsia" w:ascii="Times New Roman" w:hAnsi="Times New Roman" w:cs="Times New Roman"/>
          <w:sz w:val="30"/>
          <w:szCs w:val="30"/>
          <w:lang w:eastAsia="zh-CN"/>
        </w:rPr>
        <w:t>万元，占基本支出总预算</w:t>
      </w:r>
      <w:r>
        <w:rPr>
          <w:rFonts w:hint="eastAsia" w:ascii="Times New Roman" w:hAnsi="Times New Roman" w:cs="Times New Roman"/>
          <w:sz w:val="30"/>
          <w:szCs w:val="30"/>
          <w:lang w:val="en-US" w:eastAsia="zh-CN"/>
        </w:rPr>
        <w:t>5.31%</w:t>
      </w:r>
      <w:r>
        <w:rPr>
          <w:rFonts w:hint="eastAsia" w:ascii="Times New Roman" w:hAnsi="Times New Roman" w:cs="Times New Roman"/>
          <w:sz w:val="30"/>
          <w:szCs w:val="30"/>
          <w:lang w:eastAsia="zh-CN"/>
        </w:rPr>
        <w:t>,</w:t>
      </w:r>
    </w:p>
    <w:p>
      <w:pPr>
        <w:pStyle w:val="17"/>
        <w:spacing w:line="624" w:lineRule="exact"/>
        <w:ind w:left="300" w:leftChars="125" w:firstLine="450" w:firstLineChars="150"/>
        <w:jc w:val="left"/>
        <w:rPr>
          <w:rFonts w:hint="eastAsia" w:ascii="Times New Roman" w:hAnsi="Times New Roman" w:cs="Times New Roman"/>
          <w:sz w:val="30"/>
          <w:szCs w:val="30"/>
          <w:highlight w:val="yellow"/>
          <w:lang w:val="en-US" w:eastAsia="zh-CN"/>
        </w:rPr>
      </w:pPr>
      <w:r>
        <w:rPr>
          <w:rFonts w:hint="eastAsia" w:ascii="Times New Roman" w:hAnsi="Times New Roman" w:cs="Times New Roman"/>
          <w:sz w:val="30"/>
          <w:szCs w:val="30"/>
          <w:lang w:eastAsia="zh-CN"/>
        </w:rPr>
        <w:t>比上年</w:t>
      </w:r>
      <w:r>
        <w:rPr>
          <w:rFonts w:hint="eastAsia" w:ascii="Times New Roman" w:hAnsi="Times New Roman" w:cs="Times New Roman"/>
          <w:sz w:val="30"/>
          <w:szCs w:val="30"/>
          <w:lang w:val="en-US" w:eastAsia="zh-CN"/>
        </w:rPr>
        <w:t>减少14.42</w:t>
      </w:r>
      <w:r>
        <w:rPr>
          <w:rFonts w:hint="eastAsia" w:ascii="Times New Roman" w:hAnsi="Times New Roman" w:cs="Times New Roman"/>
          <w:sz w:val="30"/>
          <w:szCs w:val="30"/>
          <w:lang w:eastAsia="zh-CN"/>
        </w:rPr>
        <w:t>万元，</w:t>
      </w:r>
      <w:r>
        <w:rPr>
          <w:rFonts w:hint="eastAsia" w:ascii="Times New Roman" w:hAnsi="Times New Roman" w:cs="Times New Roman"/>
          <w:sz w:val="30"/>
          <w:szCs w:val="30"/>
          <w:lang w:val="en-US" w:eastAsia="zh-CN"/>
        </w:rPr>
        <w:t>减少12.53</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减少了部分</w:t>
      </w:r>
      <w:r>
        <w:rPr>
          <w:rFonts w:hint="eastAsia" w:ascii="Times New Roman" w:hAnsi="Times New Roman" w:cs="Times New Roman"/>
          <w:sz w:val="30"/>
          <w:szCs w:val="30"/>
          <w:highlight w:val="none"/>
          <w:lang w:val="en-US" w:eastAsia="zh-CN"/>
        </w:rPr>
        <w:t>工会经费。</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(3)对个人和家庭的补助</w:t>
      </w:r>
      <w:r>
        <w:rPr>
          <w:rFonts w:hint="eastAsia" w:ascii="Times New Roman" w:hAnsi="Times New Roman" w:cs="Times New Roman"/>
          <w:sz w:val="30"/>
          <w:szCs w:val="30"/>
          <w:lang w:val="en-US" w:eastAsia="zh-CN"/>
        </w:rPr>
        <w:t>82.81</w:t>
      </w:r>
      <w:r>
        <w:rPr>
          <w:rFonts w:hint="eastAsia" w:ascii="Times New Roman" w:hAnsi="Times New Roman" w:cs="Times New Roman"/>
          <w:sz w:val="30"/>
          <w:szCs w:val="30"/>
          <w:lang w:eastAsia="zh-CN"/>
        </w:rPr>
        <w:t>万元，占基本支出总预算</w:t>
      </w:r>
      <w:r>
        <w:rPr>
          <w:rFonts w:hint="eastAsia" w:ascii="Times New Roman" w:hAnsi="Times New Roman" w:cs="Times New Roman"/>
          <w:sz w:val="30"/>
          <w:szCs w:val="30"/>
          <w:lang w:val="en-US" w:eastAsia="zh-CN"/>
        </w:rPr>
        <w:t>4.36%</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lang w:val="en-US" w:eastAsia="zh-CN"/>
        </w:rPr>
      </w:pPr>
      <w:r>
        <w:rPr>
          <w:rFonts w:hint="eastAsia" w:ascii="Times New Roman" w:hAnsi="Times New Roman" w:cs="Times New Roman"/>
          <w:sz w:val="30"/>
          <w:szCs w:val="30"/>
          <w:lang w:eastAsia="zh-CN"/>
        </w:rPr>
        <w:t>比上年增长</w:t>
      </w:r>
      <w:r>
        <w:rPr>
          <w:rFonts w:hint="eastAsia" w:ascii="Times New Roman" w:hAnsi="Times New Roman" w:cs="Times New Roman"/>
          <w:sz w:val="30"/>
          <w:szCs w:val="30"/>
          <w:lang w:val="en-US" w:eastAsia="zh-CN"/>
        </w:rPr>
        <w:t>29.92</w:t>
      </w:r>
      <w:r>
        <w:rPr>
          <w:rFonts w:hint="eastAsia" w:ascii="Times New Roman" w:hAnsi="Times New Roman" w:cs="Times New Roman"/>
          <w:sz w:val="30"/>
          <w:szCs w:val="30"/>
          <w:lang w:eastAsia="zh-CN"/>
        </w:rPr>
        <w:t>万元，增长</w:t>
      </w:r>
      <w:r>
        <w:rPr>
          <w:rFonts w:hint="eastAsia" w:ascii="Times New Roman" w:hAnsi="Times New Roman" w:cs="Times New Roman"/>
          <w:sz w:val="30"/>
          <w:szCs w:val="30"/>
          <w:lang w:val="en-US" w:eastAsia="zh-CN"/>
        </w:rPr>
        <w:t>56.57</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lang w:val="en-US" w:eastAsia="zh-CN"/>
        </w:rPr>
        <w:t>增加了</w:t>
      </w:r>
      <w:r>
        <w:rPr>
          <w:rFonts w:hint="eastAsia" w:ascii="Times New Roman" w:hAnsi="Times New Roman" w:cs="Times New Roman"/>
          <w:sz w:val="30"/>
          <w:szCs w:val="30"/>
          <w:lang w:eastAsia="zh-CN"/>
        </w:rPr>
        <w:t>退休费</w:t>
      </w:r>
      <w:r>
        <w:rPr>
          <w:rFonts w:hint="eastAsia" w:ascii="Times New Roman" w:hAnsi="Times New Roman" w:cs="Times New Roman"/>
          <w:sz w:val="30"/>
          <w:szCs w:val="30"/>
          <w:lang w:val="en-US" w:eastAsia="zh-CN"/>
        </w:rPr>
        <w:t>。</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2.项目支出预算。</w:t>
      </w:r>
    </w:p>
    <w:p>
      <w:pPr>
        <w:pStyle w:val="17"/>
        <w:spacing w:line="624" w:lineRule="exact"/>
        <w:ind w:firstLine="600"/>
        <w:jc w:val="left"/>
        <w:rPr>
          <w:rFonts w:hint="eastAsia" w:ascii="Times New Roman" w:hAnsi="Times New Roman" w:cs="Times New Roman"/>
          <w:sz w:val="30"/>
          <w:szCs w:val="30"/>
          <w:lang w:val="en-US" w:eastAsia="zh-CN"/>
        </w:rPr>
      </w:pPr>
      <w:r>
        <w:rPr>
          <w:rFonts w:hint="eastAsia" w:ascii="Times New Roman" w:hAnsi="Times New Roman" w:cs="Times New Roman"/>
          <w:sz w:val="30"/>
          <w:szCs w:val="30"/>
          <w:lang w:eastAsia="zh-CN"/>
        </w:rPr>
        <w:t>项目支出预算</w:t>
      </w:r>
      <w:r>
        <w:rPr>
          <w:rFonts w:hint="eastAsia" w:ascii="Times New Roman" w:hAnsi="Times New Roman" w:cs="Times New Roman"/>
          <w:sz w:val="30"/>
          <w:szCs w:val="30"/>
          <w:lang w:val="en-US" w:eastAsia="zh-CN"/>
        </w:rPr>
        <w:t>6014.91</w:t>
      </w:r>
      <w:r>
        <w:rPr>
          <w:rFonts w:hint="eastAsia" w:ascii="Times New Roman" w:hAnsi="Times New Roman" w:cs="Times New Roman"/>
          <w:sz w:val="30"/>
          <w:szCs w:val="30"/>
          <w:lang w:eastAsia="zh-CN"/>
        </w:rPr>
        <w:t>万元，占支出总预算</w:t>
      </w:r>
      <w:r>
        <w:rPr>
          <w:rFonts w:hint="eastAsia" w:ascii="Times New Roman" w:hAnsi="Times New Roman" w:cs="Times New Roman"/>
          <w:sz w:val="30"/>
          <w:szCs w:val="30"/>
          <w:lang w:val="en-US" w:eastAsia="zh-CN"/>
        </w:rPr>
        <w:t>76.02</w:t>
      </w:r>
      <w:r>
        <w:rPr>
          <w:rFonts w:hint="eastAsia" w:ascii="Times New Roman" w:hAnsi="Times New Roman" w:cs="Times New Roman"/>
          <w:sz w:val="30"/>
          <w:szCs w:val="30"/>
          <w:lang w:eastAsia="zh-CN"/>
        </w:rPr>
        <w:t>%,比上年增长</w:t>
      </w:r>
      <w:r>
        <w:rPr>
          <w:rFonts w:hint="eastAsia" w:ascii="Times New Roman" w:hAnsi="Times New Roman" w:cs="Times New Roman"/>
          <w:sz w:val="30"/>
          <w:szCs w:val="30"/>
          <w:lang w:val="en-US" w:eastAsia="zh-CN"/>
        </w:rPr>
        <w:t>495.75</w:t>
      </w:r>
      <w:r>
        <w:rPr>
          <w:rFonts w:hint="eastAsia" w:ascii="Times New Roman" w:hAnsi="Times New Roman" w:cs="Times New Roman"/>
          <w:sz w:val="30"/>
          <w:szCs w:val="30"/>
          <w:lang w:eastAsia="zh-CN"/>
        </w:rPr>
        <w:t>万元，增长</w:t>
      </w:r>
      <w:r>
        <w:rPr>
          <w:rFonts w:hint="eastAsia" w:ascii="Times New Roman" w:hAnsi="Times New Roman" w:cs="Times New Roman"/>
          <w:sz w:val="30"/>
          <w:szCs w:val="30"/>
          <w:lang w:val="en-US" w:eastAsia="zh-CN"/>
        </w:rPr>
        <w:t>8.98</w:t>
      </w:r>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其中：</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(1)技术推广与转化</w:t>
      </w:r>
      <w:r>
        <w:rPr>
          <w:rFonts w:hint="eastAsia" w:ascii="Times New Roman" w:hAnsi="Times New Roman" w:cs="Times New Roman"/>
          <w:sz w:val="30"/>
          <w:szCs w:val="30"/>
          <w:highlight w:val="none"/>
          <w:lang w:val="en-US" w:eastAsia="zh-CN"/>
        </w:rPr>
        <w:t>支出58.7</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67.43%</w:t>
      </w:r>
      <w:r>
        <w:rPr>
          <w:rFonts w:hint="eastAsia" w:ascii="Times New Roman" w:hAnsi="Times New Roman" w:cs="Times New Roman"/>
          <w:sz w:val="30"/>
          <w:szCs w:val="30"/>
          <w:highlight w:val="none"/>
          <w:lang w:eastAsia="zh-CN"/>
        </w:rPr>
        <w:t>,</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6" w:type="default"/>
          <w:footerReference r:id="rId7"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减少37.91</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减少39.24</w:t>
      </w:r>
      <w:r>
        <w:rPr>
          <w:rFonts w:hint="eastAsia" w:ascii="Times New Roman" w:hAnsi="Times New Roman" w:cs="Times New Roman"/>
          <w:sz w:val="30"/>
          <w:szCs w:val="30"/>
          <w:highlight w:val="none"/>
          <w:lang w:eastAsia="zh-CN"/>
        </w:rPr>
        <w:t>%,主要原因是：技术推广与转化</w:t>
      </w:r>
      <w:r>
        <w:rPr>
          <w:rFonts w:hint="eastAsia" w:ascii="Times New Roman" w:hAnsi="Times New Roman" w:cs="Times New Roman"/>
          <w:sz w:val="30"/>
          <w:szCs w:val="30"/>
          <w:highlight w:val="none"/>
          <w:lang w:val="en-US" w:eastAsia="zh-CN"/>
        </w:rPr>
        <w:t>上年结转结余数减少。</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2</w:t>
      </w:r>
      <w:r>
        <w:rPr>
          <w:rFonts w:hint="eastAsia" w:ascii="Times New Roman" w:hAnsi="Times New Roman" w:cs="Times New Roman"/>
          <w:sz w:val="30"/>
          <w:szCs w:val="30"/>
          <w:highlight w:val="none"/>
          <w:lang w:eastAsia="zh-CN"/>
        </w:rPr>
        <w:t>)自然保护地</w:t>
      </w:r>
      <w:r>
        <w:rPr>
          <w:rFonts w:hint="eastAsia" w:ascii="Times New Roman" w:hAnsi="Times New Roman" w:cs="Times New Roman"/>
          <w:sz w:val="30"/>
          <w:szCs w:val="30"/>
          <w:highlight w:val="none"/>
          <w:lang w:val="en-US" w:eastAsia="zh-CN"/>
        </w:rPr>
        <w:t>支出5</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0.08%</w:t>
      </w:r>
      <w:r>
        <w:rPr>
          <w:rFonts w:hint="eastAsia" w:ascii="Times New Roman" w:hAnsi="Times New Roman" w:cs="Times New Roman"/>
          <w:sz w:val="30"/>
          <w:szCs w:val="30"/>
          <w:highlight w:val="none"/>
          <w:lang w:eastAsia="zh-CN"/>
        </w:rPr>
        <w:t>,</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8" w:type="default"/>
          <w:footerReference r:id="rId9"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增加5</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增加100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增加了自然保护地项目。</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10" w:type="default"/>
          <w:footerReference r:id="rId11"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3</w:t>
      </w:r>
      <w:r>
        <w:rPr>
          <w:rFonts w:hint="eastAsia" w:ascii="Times New Roman" w:hAnsi="Times New Roman" w:cs="Times New Roman"/>
          <w:sz w:val="30"/>
          <w:szCs w:val="30"/>
          <w:highlight w:val="none"/>
          <w:lang w:eastAsia="zh-CN"/>
        </w:rPr>
        <w:t>)森林资源培育</w:t>
      </w:r>
      <w:r>
        <w:rPr>
          <w:rFonts w:hint="eastAsia" w:ascii="Times New Roman" w:hAnsi="Times New Roman" w:cs="Times New Roman"/>
          <w:sz w:val="30"/>
          <w:szCs w:val="30"/>
          <w:highlight w:val="none"/>
          <w:lang w:val="en-US" w:eastAsia="zh-CN"/>
        </w:rPr>
        <w:t>支出1694.68</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27.17%</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增加674.47</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增加28.47</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上年结转结余数减少。</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12" w:type="default"/>
          <w:footerReference r:id="rId13"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4</w:t>
      </w:r>
      <w:r>
        <w:rPr>
          <w:rFonts w:hint="eastAsia" w:ascii="Times New Roman" w:hAnsi="Times New Roman" w:cs="Times New Roman"/>
          <w:sz w:val="30"/>
          <w:szCs w:val="30"/>
          <w:highlight w:val="none"/>
          <w:lang w:eastAsia="zh-CN"/>
        </w:rPr>
        <w:t>)森林生态效益补偿</w:t>
      </w:r>
      <w:r>
        <w:rPr>
          <w:rFonts w:hint="eastAsia" w:ascii="Times New Roman" w:hAnsi="Times New Roman" w:cs="Times New Roman"/>
          <w:sz w:val="30"/>
          <w:szCs w:val="30"/>
          <w:highlight w:val="none"/>
          <w:lang w:val="en-US" w:eastAsia="zh-CN"/>
        </w:rPr>
        <w:t>支出342.65</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5.70%</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减少4.22</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减少1.22</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上年结转结余数减少。</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14" w:type="default"/>
          <w:footerReference r:id="rId15"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5</w:t>
      </w:r>
      <w:r>
        <w:rPr>
          <w:rFonts w:hint="eastAsia" w:ascii="Times New Roman" w:hAnsi="Times New Roman" w:cs="Times New Roman"/>
          <w:sz w:val="30"/>
          <w:szCs w:val="30"/>
          <w:highlight w:val="none"/>
          <w:lang w:eastAsia="zh-CN"/>
        </w:rPr>
        <w:t>)稳定农民收入补贴</w:t>
      </w:r>
      <w:r>
        <w:rPr>
          <w:rFonts w:hint="eastAsia" w:ascii="Times New Roman" w:hAnsi="Times New Roman" w:cs="Times New Roman"/>
          <w:sz w:val="30"/>
          <w:szCs w:val="30"/>
          <w:highlight w:val="none"/>
          <w:lang w:val="en-US" w:eastAsia="zh-CN"/>
        </w:rPr>
        <w:t>支出142.31</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2.37%</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增加142.31</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增加100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新增项目。</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16" w:type="default"/>
          <w:footerReference r:id="rId17"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6</w:t>
      </w:r>
      <w:r>
        <w:rPr>
          <w:rFonts w:hint="eastAsia" w:ascii="Times New Roman" w:hAnsi="Times New Roman" w:cs="Times New Roman"/>
          <w:sz w:val="30"/>
          <w:szCs w:val="30"/>
          <w:highlight w:val="none"/>
          <w:lang w:eastAsia="zh-CN"/>
        </w:rPr>
        <w:t>)湿地保护</w:t>
      </w:r>
      <w:r>
        <w:rPr>
          <w:rFonts w:hint="eastAsia" w:ascii="Times New Roman" w:hAnsi="Times New Roman" w:cs="Times New Roman"/>
          <w:sz w:val="30"/>
          <w:szCs w:val="30"/>
          <w:highlight w:val="none"/>
          <w:lang w:val="en-US" w:eastAsia="zh-CN"/>
        </w:rPr>
        <w:t>支出50</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0.83%</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增加50</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增加100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新增项目。</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18" w:type="default"/>
          <w:footerReference r:id="rId19"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7</w:t>
      </w:r>
      <w:r>
        <w:rPr>
          <w:rFonts w:hint="eastAsia" w:ascii="Times New Roman" w:hAnsi="Times New Roman" w:cs="Times New Roman"/>
          <w:sz w:val="30"/>
          <w:szCs w:val="30"/>
          <w:highlight w:val="none"/>
          <w:lang w:eastAsia="zh-CN"/>
        </w:rPr>
        <w:t>)其他节能环保</w:t>
      </w:r>
      <w:r>
        <w:rPr>
          <w:rFonts w:hint="eastAsia" w:ascii="Times New Roman" w:hAnsi="Times New Roman" w:cs="Times New Roman"/>
          <w:sz w:val="30"/>
          <w:szCs w:val="30"/>
          <w:highlight w:val="none"/>
          <w:lang w:val="en-US" w:eastAsia="zh-CN"/>
        </w:rPr>
        <w:t>支出990.4</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16.47%</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增加0</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20" w:type="default"/>
          <w:footerReference r:id="rId21"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8</w:t>
      </w:r>
      <w:r>
        <w:rPr>
          <w:rFonts w:hint="eastAsia" w:ascii="Times New Roman" w:hAnsi="Times New Roman" w:cs="Times New Roman"/>
          <w:sz w:val="30"/>
          <w:szCs w:val="30"/>
          <w:highlight w:val="none"/>
          <w:lang w:eastAsia="zh-CN"/>
        </w:rPr>
        <w:t>)产业化管理</w:t>
      </w:r>
      <w:r>
        <w:rPr>
          <w:rFonts w:hint="eastAsia" w:ascii="Times New Roman" w:hAnsi="Times New Roman" w:cs="Times New Roman"/>
          <w:sz w:val="30"/>
          <w:szCs w:val="30"/>
          <w:highlight w:val="none"/>
          <w:lang w:val="en-US" w:eastAsia="zh-CN"/>
        </w:rPr>
        <w:t>支出90</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1.50%</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增加90</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增加100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22" w:type="default"/>
          <w:footerReference r:id="rId23"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9</w:t>
      </w:r>
      <w:r>
        <w:rPr>
          <w:rFonts w:hint="eastAsia" w:ascii="Times New Roman" w:hAnsi="Times New Roman" w:cs="Times New Roman"/>
          <w:sz w:val="30"/>
          <w:szCs w:val="30"/>
          <w:highlight w:val="none"/>
          <w:lang w:eastAsia="zh-CN"/>
        </w:rPr>
        <w:t>)林业草原防灾减灾</w:t>
      </w:r>
      <w:r>
        <w:rPr>
          <w:rFonts w:hint="eastAsia" w:ascii="Times New Roman" w:hAnsi="Times New Roman" w:cs="Times New Roman"/>
          <w:sz w:val="30"/>
          <w:szCs w:val="30"/>
          <w:highlight w:val="none"/>
          <w:lang w:val="en-US" w:eastAsia="zh-CN"/>
        </w:rPr>
        <w:t>支出5.21</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0.09%</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减少54.09</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减少91.21</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上年结转结余数减少。</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24" w:type="default"/>
          <w:footerReference r:id="rId25"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10</w:t>
      </w:r>
      <w:r>
        <w:rPr>
          <w:rFonts w:hint="eastAsia" w:ascii="Times New Roman" w:hAnsi="Times New Roman" w:cs="Times New Roman"/>
          <w:sz w:val="30"/>
          <w:szCs w:val="30"/>
          <w:highlight w:val="none"/>
          <w:lang w:eastAsia="zh-CN"/>
        </w:rPr>
        <w:t>)其他林业和草原支出</w:t>
      </w:r>
      <w:r>
        <w:rPr>
          <w:rFonts w:hint="eastAsia" w:ascii="Times New Roman" w:hAnsi="Times New Roman" w:cs="Times New Roman"/>
          <w:sz w:val="30"/>
          <w:szCs w:val="30"/>
          <w:highlight w:val="none"/>
          <w:lang w:val="en-US" w:eastAsia="zh-CN"/>
        </w:rPr>
        <w:t>2482.16</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41.27%</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增加1017.44</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增加69.46</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上年结转结余数增加。</w:t>
      </w:r>
    </w:p>
    <w:p>
      <w:pPr>
        <w:pStyle w:val="17"/>
        <w:spacing w:line="624" w:lineRule="exact"/>
        <w:ind w:firstLine="600"/>
        <w:jc w:val="left"/>
        <w:rPr>
          <w:rFonts w:hint="eastAsia" w:ascii="Times New Roman" w:hAnsi="Times New Roman" w:cs="Times New Roman"/>
          <w:sz w:val="30"/>
          <w:szCs w:val="30"/>
          <w:highlight w:val="none"/>
          <w:lang w:val="en-US" w:eastAsia="zh-CN"/>
        </w:rPr>
      </w:pPr>
      <w:r>
        <w:rPr>
          <w:rFonts w:hint="eastAsia" w:ascii="Times New Roman" w:hAnsi="Times New Roman" w:cs="Times New Roman"/>
          <w:sz w:val="30"/>
          <w:szCs w:val="30"/>
          <w:highlight w:val="none"/>
          <w:lang w:eastAsia="zh-CN"/>
        </w:rPr>
        <w:t>(</w:t>
      </w:r>
      <w:r>
        <w:rPr>
          <w:rFonts w:hint="eastAsia" w:ascii="Times New Roman" w:hAnsi="Times New Roman" w:cs="Times New Roman"/>
          <w:sz w:val="30"/>
          <w:szCs w:val="30"/>
          <w:highlight w:val="none"/>
          <w:lang w:val="en-US" w:eastAsia="zh-CN"/>
        </w:rPr>
        <w:t>11</w:t>
      </w:r>
      <w:r>
        <w:rPr>
          <w:rFonts w:hint="eastAsia" w:ascii="Times New Roman" w:hAnsi="Times New Roman" w:cs="Times New Roman"/>
          <w:sz w:val="30"/>
          <w:szCs w:val="30"/>
          <w:highlight w:val="none"/>
          <w:lang w:eastAsia="zh-CN"/>
        </w:rPr>
        <w:t>)事业机构支出</w:t>
      </w:r>
      <w:r>
        <w:rPr>
          <w:rFonts w:hint="eastAsia" w:ascii="Times New Roman" w:hAnsi="Times New Roman" w:cs="Times New Roman"/>
          <w:sz w:val="30"/>
          <w:szCs w:val="30"/>
          <w:highlight w:val="none"/>
          <w:lang w:val="en-US" w:eastAsia="zh-CN"/>
        </w:rPr>
        <w:t>128.58</w:t>
      </w:r>
      <w:r>
        <w:rPr>
          <w:rFonts w:hint="eastAsia" w:ascii="Times New Roman" w:hAnsi="Times New Roman" w:cs="Times New Roman"/>
          <w:sz w:val="30"/>
          <w:szCs w:val="30"/>
          <w:highlight w:val="none"/>
          <w:lang w:eastAsia="zh-CN"/>
        </w:rPr>
        <w:t>万元，占</w:t>
      </w:r>
      <w:r>
        <w:rPr>
          <w:rFonts w:hint="eastAsia" w:ascii="Times New Roman" w:hAnsi="Times New Roman" w:cs="Times New Roman"/>
          <w:sz w:val="30"/>
          <w:szCs w:val="30"/>
          <w:highlight w:val="none"/>
          <w:lang w:val="en-US" w:eastAsia="zh-CN"/>
        </w:rPr>
        <w:t>项目</w:t>
      </w:r>
      <w:r>
        <w:rPr>
          <w:rFonts w:hint="eastAsia" w:ascii="Times New Roman" w:hAnsi="Times New Roman" w:cs="Times New Roman"/>
          <w:sz w:val="30"/>
          <w:szCs w:val="30"/>
          <w:highlight w:val="none"/>
          <w:lang w:eastAsia="zh-CN"/>
        </w:rPr>
        <w:t>支出总预算</w:t>
      </w:r>
      <w:r>
        <w:rPr>
          <w:rFonts w:hint="eastAsia" w:ascii="Times New Roman" w:hAnsi="Times New Roman" w:cs="Times New Roman"/>
          <w:sz w:val="30"/>
          <w:szCs w:val="30"/>
          <w:highlight w:val="none"/>
          <w:lang w:val="en-US" w:eastAsia="zh-CN"/>
        </w:rPr>
        <w:t>2.14%</w:t>
      </w:r>
      <w:r>
        <w:rPr>
          <w:rFonts w:hint="eastAsia" w:ascii="Times New Roman" w:hAnsi="Times New Roman" w:cs="Times New Roman"/>
          <w:sz w:val="30"/>
          <w:szCs w:val="30"/>
          <w:highlight w:val="none"/>
          <w:lang w:eastAsia="zh-CN"/>
        </w:rPr>
        <w:t>,比上年</w:t>
      </w:r>
      <w:r>
        <w:rPr>
          <w:rFonts w:hint="eastAsia" w:ascii="Times New Roman" w:hAnsi="Times New Roman" w:cs="Times New Roman"/>
          <w:sz w:val="30"/>
          <w:szCs w:val="30"/>
          <w:highlight w:val="none"/>
          <w:lang w:val="en-US" w:eastAsia="zh-CN"/>
        </w:rPr>
        <w:t>减少14.29</w:t>
      </w:r>
      <w:r>
        <w:rPr>
          <w:rFonts w:hint="eastAsia" w:ascii="Times New Roman" w:hAnsi="Times New Roman" w:cs="Times New Roman"/>
          <w:sz w:val="30"/>
          <w:szCs w:val="30"/>
          <w:highlight w:val="none"/>
          <w:lang w:eastAsia="zh-CN"/>
        </w:rPr>
        <w:t>万元，</w:t>
      </w:r>
      <w:r>
        <w:rPr>
          <w:rFonts w:hint="eastAsia" w:ascii="Times New Roman" w:hAnsi="Times New Roman" w:cs="Times New Roman"/>
          <w:sz w:val="30"/>
          <w:szCs w:val="30"/>
          <w:highlight w:val="none"/>
          <w:lang w:val="en-US" w:eastAsia="zh-CN"/>
        </w:rPr>
        <w:t>减少10.00</w:t>
      </w:r>
      <w:r>
        <w:rPr>
          <w:rFonts w:hint="eastAsia" w:ascii="Times New Roman" w:hAnsi="Times New Roman" w:cs="Times New Roman"/>
          <w:sz w:val="30"/>
          <w:szCs w:val="30"/>
          <w:highlight w:val="none"/>
          <w:lang w:eastAsia="zh-CN"/>
        </w:rPr>
        <w:t>%,主要原因是：</w:t>
      </w:r>
      <w:r>
        <w:rPr>
          <w:rFonts w:hint="eastAsia" w:ascii="Times New Roman" w:hAnsi="Times New Roman" w:cs="Times New Roman"/>
          <w:sz w:val="30"/>
          <w:szCs w:val="30"/>
          <w:highlight w:val="none"/>
          <w:lang w:val="en-US" w:eastAsia="zh-CN"/>
        </w:rPr>
        <w:t>上年结转结余数减。</w:t>
      </w:r>
    </w:p>
    <w:p>
      <w:pPr>
        <w:pStyle w:val="17"/>
        <w:spacing w:line="624" w:lineRule="exact"/>
        <w:ind w:left="0" w:leftChars="0" w:firstLine="600" w:firstLineChars="2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2024年支出预算总体</w:t>
      </w:r>
      <w:r>
        <w:rPr>
          <w:rFonts w:hint="eastAsia" w:ascii="Times New Roman" w:hAnsi="Times New Roman" w:cs="Times New Roman"/>
          <w:sz w:val="30"/>
          <w:szCs w:val="30"/>
          <w:lang w:val="en-US" w:eastAsia="zh-CN"/>
        </w:rPr>
        <w:t>增长</w:t>
      </w:r>
      <w:r>
        <w:rPr>
          <w:rFonts w:hint="eastAsia" w:ascii="Times New Roman" w:hAnsi="Times New Roman" w:cs="Times New Roman"/>
          <w:sz w:val="30"/>
          <w:szCs w:val="30"/>
          <w:lang w:eastAsia="zh-CN"/>
        </w:rPr>
        <w:t>，主要原因是：</w:t>
      </w:r>
      <w:r>
        <w:rPr>
          <w:rFonts w:hint="eastAsia" w:ascii="Times New Roman" w:hAnsi="Times New Roman" w:cs="Times New Roman"/>
          <w:sz w:val="30"/>
          <w:szCs w:val="30"/>
          <w:highlight w:val="none"/>
          <w:lang w:val="en-US" w:eastAsia="zh-CN"/>
        </w:rPr>
        <w:t>上年结转结余数增加</w:t>
      </w:r>
      <w:r>
        <w:rPr>
          <w:rFonts w:hint="eastAsia" w:ascii="Times New Roman" w:hAnsi="Times New Roman" w:cs="Times New Roman"/>
          <w:sz w:val="30"/>
          <w:szCs w:val="30"/>
          <w:lang w:eastAsia="zh-CN"/>
        </w:rPr>
        <w:t>。</w:t>
      </w:r>
    </w:p>
    <w:p>
      <w:pPr>
        <w:pStyle w:val="17"/>
        <w:spacing w:line="624" w:lineRule="exact"/>
        <w:ind w:firstLine="600"/>
        <w:jc w:val="left"/>
        <w:rPr>
          <w:rFonts w:hint="eastAsia" w:ascii="Times New Roman" w:hAnsi="Times New Roman" w:cs="Times New Roman"/>
          <w:sz w:val="30"/>
          <w:szCs w:val="30"/>
          <w:highlight w:val="none"/>
          <w:lang w:val="en-US" w:eastAsia="zh-CN"/>
        </w:rPr>
        <w:sectPr>
          <w:headerReference r:id="rId26" w:type="default"/>
          <w:footerReference r:id="rId27" w:type="default"/>
          <w:type w:val="continuous"/>
          <w:pgSz w:w="11900" w:h="16840"/>
          <w:pgMar w:top="1296" w:right="1669" w:bottom="1275" w:left="1739" w:header="868" w:footer="3" w:gutter="0"/>
          <w:pgBorders>
            <w:top w:val="none" w:sz="0" w:space="0"/>
            <w:left w:val="none" w:sz="0" w:space="0"/>
            <w:bottom w:val="none" w:sz="0" w:space="0"/>
            <w:right w:val="none" w:sz="0" w:space="0"/>
          </w:pgBorders>
          <w:cols w:space="720" w:num="1"/>
          <w:docGrid w:linePitch="360" w:charSpace="0"/>
        </w:sectPr>
      </w:pPr>
    </w:p>
    <w:p>
      <w:pPr>
        <w:pStyle w:val="15"/>
        <w:numPr>
          <w:ilvl w:val="0"/>
          <w:numId w:val="3"/>
        </w:numPr>
        <w:tabs>
          <w:tab w:val="left" w:pos="1238"/>
        </w:tabs>
        <w:spacing w:after="0" w:line="625" w:lineRule="exact"/>
        <w:ind w:firstLine="600"/>
        <w:jc w:val="left"/>
        <w:rPr>
          <w:b/>
          <w:bCs/>
        </w:rPr>
      </w:pPr>
      <w:r>
        <w:rPr>
          <w:b/>
          <w:bCs/>
        </w:rPr>
        <w:t>财政拨款收支总体情况说明</w:t>
      </w:r>
    </w:p>
    <w:p>
      <w:pPr>
        <w:pStyle w:val="17"/>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6" name="图表 16" title="{{img_sz_cb_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15"/>
        <w:numPr>
          <w:ilvl w:val="0"/>
          <w:numId w:val="0"/>
        </w:numPr>
        <w:tabs>
          <w:tab w:val="left" w:pos="1238"/>
        </w:tabs>
        <w:spacing w:after="0" w:line="625" w:lineRule="exact"/>
        <w:ind w:firstLine="600" w:firstLineChars="200"/>
        <w:jc w:val="left"/>
        <w:rPr>
          <w:rFonts w:hint="eastAsia"/>
          <w:sz w:val="28"/>
          <w:szCs w:val="28"/>
        </w:rPr>
      </w:pPr>
      <w:r>
        <w:rPr>
          <w:rFonts w:hint="eastAsia" w:ascii="Times New Roman" w:hAnsi="Times New Roman" w:cs="Times New Roman"/>
          <w:sz w:val="30"/>
          <w:szCs w:val="30"/>
          <w:lang w:eastAsia="zh-CN"/>
        </w:rPr>
        <w:t>2024</w:t>
      </w:r>
      <w:r>
        <w:rPr>
          <w:rFonts w:ascii="Times New Roman" w:hAnsi="Times New Roman" w:cs="Times New Roman"/>
          <w:sz w:val="30"/>
          <w:u w:color="auto"/>
        </w:rPr>
        <w:t>年</w:t>
      </w:r>
      <w:r>
        <w:rPr>
          <w:sz w:val="28"/>
          <w:szCs w:val="28"/>
        </w:rPr>
        <w:t>财政拨款收入</w:t>
      </w:r>
      <w:r>
        <w:rPr>
          <w:rFonts w:hint="eastAsia"/>
          <w:sz w:val="28"/>
          <w:szCs w:val="28"/>
        </w:rPr>
        <w:t>我部门财政拨款总收入</w:t>
      </w:r>
      <w:r>
        <w:rPr>
          <w:rFonts w:hint="eastAsia"/>
          <w:sz w:val="28"/>
          <w:szCs w:val="28"/>
          <w:lang w:val="en-US" w:eastAsia="zh-CN"/>
        </w:rPr>
        <w:t>2026.13</w:t>
      </w:r>
      <w:r>
        <w:rPr>
          <w:rFonts w:hint="eastAsia"/>
          <w:sz w:val="28"/>
          <w:szCs w:val="28"/>
        </w:rPr>
        <w:t>万元，总支出</w:t>
      </w:r>
      <w:r>
        <w:rPr>
          <w:rFonts w:hint="eastAsia"/>
          <w:sz w:val="28"/>
          <w:szCs w:val="28"/>
          <w:lang w:val="en-US" w:eastAsia="zh-CN"/>
        </w:rPr>
        <w:t>2026.13</w:t>
      </w:r>
      <w:r>
        <w:rPr>
          <w:rFonts w:hint="eastAsia"/>
          <w:sz w:val="28"/>
          <w:szCs w:val="28"/>
        </w:rPr>
        <w:t xml:space="preserve">万元（不含财政拨款上年未列支结转收支数）。财政拨款总收入较2023年度预算数 </w:t>
      </w:r>
      <w:r>
        <w:rPr>
          <w:rFonts w:hint="eastAsia"/>
          <w:sz w:val="28"/>
          <w:szCs w:val="28"/>
          <w:lang w:val="en-US" w:eastAsia="zh-CN"/>
        </w:rPr>
        <w:t>1927.64</w:t>
      </w:r>
      <w:r>
        <w:rPr>
          <w:rFonts w:hint="eastAsia"/>
          <w:sz w:val="28"/>
          <w:szCs w:val="28"/>
        </w:rPr>
        <w:t>万元，增加</w:t>
      </w:r>
      <w:r>
        <w:rPr>
          <w:rFonts w:hint="eastAsia"/>
          <w:sz w:val="28"/>
          <w:szCs w:val="28"/>
          <w:lang w:val="en-US" w:eastAsia="zh-CN"/>
        </w:rPr>
        <w:t>98.49</w:t>
      </w:r>
      <w:r>
        <w:rPr>
          <w:rFonts w:hint="eastAsia"/>
          <w:sz w:val="28"/>
          <w:szCs w:val="28"/>
        </w:rPr>
        <w:t>万元，增长</w:t>
      </w:r>
      <w:r>
        <w:rPr>
          <w:rFonts w:hint="eastAsia"/>
          <w:sz w:val="28"/>
          <w:szCs w:val="28"/>
          <w:lang w:val="en-US" w:eastAsia="zh-CN"/>
        </w:rPr>
        <w:t>5.11</w:t>
      </w:r>
      <w:r>
        <w:rPr>
          <w:rFonts w:hint="eastAsia"/>
          <w:sz w:val="28"/>
          <w:szCs w:val="28"/>
        </w:rPr>
        <w:t>% ，主要原因是基础性绩效工资增量</w:t>
      </w:r>
      <w:r>
        <w:rPr>
          <w:rFonts w:hint="eastAsia"/>
          <w:sz w:val="28"/>
          <w:szCs w:val="28"/>
          <w:lang w:val="en-US" w:eastAsia="zh-CN"/>
        </w:rPr>
        <w:t>增加，</w:t>
      </w:r>
      <w:r>
        <w:rPr>
          <w:rFonts w:hint="eastAsia"/>
          <w:sz w:val="28"/>
          <w:szCs w:val="28"/>
        </w:rPr>
        <w:t>退休费</w:t>
      </w:r>
      <w:r>
        <w:rPr>
          <w:rFonts w:hint="eastAsia"/>
          <w:sz w:val="28"/>
          <w:szCs w:val="28"/>
          <w:lang w:val="en-US" w:eastAsia="zh-CN"/>
        </w:rPr>
        <w:t>增加</w:t>
      </w:r>
      <w:r>
        <w:rPr>
          <w:rFonts w:hint="eastAsia"/>
          <w:sz w:val="28"/>
          <w:szCs w:val="28"/>
        </w:rPr>
        <w:t xml:space="preserve">。财政拨款总支出较2023年度预算数 </w:t>
      </w:r>
      <w:r>
        <w:rPr>
          <w:rFonts w:hint="eastAsia"/>
          <w:sz w:val="28"/>
          <w:szCs w:val="28"/>
          <w:lang w:val="en-US" w:eastAsia="zh-CN"/>
        </w:rPr>
        <w:t>1927.64</w:t>
      </w:r>
      <w:r>
        <w:rPr>
          <w:rFonts w:hint="eastAsia"/>
          <w:sz w:val="28"/>
          <w:szCs w:val="28"/>
        </w:rPr>
        <w:t>万元，增加</w:t>
      </w:r>
      <w:r>
        <w:rPr>
          <w:rFonts w:hint="eastAsia"/>
          <w:sz w:val="28"/>
          <w:szCs w:val="28"/>
          <w:lang w:val="en-US" w:eastAsia="zh-CN"/>
        </w:rPr>
        <w:t>98.49</w:t>
      </w:r>
      <w:r>
        <w:rPr>
          <w:rFonts w:hint="eastAsia"/>
          <w:sz w:val="28"/>
          <w:szCs w:val="28"/>
        </w:rPr>
        <w:t>万元，增长</w:t>
      </w:r>
      <w:r>
        <w:rPr>
          <w:rFonts w:hint="eastAsia"/>
          <w:sz w:val="28"/>
          <w:szCs w:val="28"/>
          <w:lang w:val="en-US" w:eastAsia="zh-CN"/>
        </w:rPr>
        <w:t>5.11</w:t>
      </w:r>
      <w:r>
        <w:rPr>
          <w:rFonts w:hint="eastAsia"/>
          <w:sz w:val="28"/>
          <w:szCs w:val="28"/>
        </w:rPr>
        <w:t>% ，主要原因是基础性绩效工资增量</w:t>
      </w:r>
      <w:r>
        <w:rPr>
          <w:rFonts w:hint="eastAsia"/>
          <w:sz w:val="28"/>
          <w:szCs w:val="28"/>
          <w:lang w:val="en-US" w:eastAsia="zh-CN"/>
        </w:rPr>
        <w:t>增加，</w:t>
      </w:r>
      <w:r>
        <w:rPr>
          <w:rFonts w:hint="eastAsia"/>
          <w:sz w:val="28"/>
          <w:szCs w:val="28"/>
        </w:rPr>
        <w:t>退休费</w:t>
      </w:r>
      <w:r>
        <w:rPr>
          <w:rFonts w:hint="eastAsia"/>
          <w:sz w:val="28"/>
          <w:szCs w:val="28"/>
          <w:lang w:val="en-US" w:eastAsia="zh-CN"/>
        </w:rPr>
        <w:t>增加</w:t>
      </w:r>
      <w:r>
        <w:rPr>
          <w:rFonts w:hint="eastAsia"/>
          <w:sz w:val="28"/>
          <w:szCs w:val="28"/>
        </w:rPr>
        <w:t>。</w:t>
      </w:r>
    </w:p>
    <w:p>
      <w:pPr>
        <w:pStyle w:val="15"/>
        <w:numPr>
          <w:ilvl w:val="0"/>
          <w:numId w:val="0"/>
        </w:numPr>
        <w:tabs>
          <w:tab w:val="left" w:pos="1238"/>
        </w:tabs>
        <w:spacing w:after="0" w:line="625" w:lineRule="exact"/>
        <w:ind w:firstLine="560" w:firstLineChars="200"/>
        <w:jc w:val="left"/>
        <w:rPr>
          <w:rFonts w:hint="eastAsia"/>
          <w:sz w:val="28"/>
          <w:szCs w:val="28"/>
        </w:rPr>
      </w:pPr>
    </w:p>
    <w:p>
      <w:pPr>
        <w:pStyle w:val="15"/>
        <w:numPr>
          <w:ilvl w:val="0"/>
          <w:numId w:val="0"/>
        </w:numPr>
        <w:tabs>
          <w:tab w:val="left" w:pos="1238"/>
        </w:tabs>
        <w:spacing w:after="0" w:line="625" w:lineRule="exact"/>
        <w:ind w:firstLine="560" w:firstLineChars="200"/>
        <w:jc w:val="left"/>
        <w:rPr>
          <w:rFonts w:hint="eastAsia"/>
          <w:sz w:val="28"/>
          <w:szCs w:val="28"/>
        </w:rPr>
      </w:pPr>
    </w:p>
    <w:p>
      <w:pPr>
        <w:pStyle w:val="15"/>
        <w:numPr>
          <w:ilvl w:val="0"/>
          <w:numId w:val="0"/>
        </w:numPr>
        <w:tabs>
          <w:tab w:val="left" w:pos="1238"/>
        </w:tabs>
        <w:spacing w:after="0" w:line="625" w:lineRule="exact"/>
        <w:ind w:firstLine="560" w:firstLineChars="200"/>
        <w:jc w:val="left"/>
        <w:rPr>
          <w:rFonts w:hint="eastAsia"/>
          <w:sz w:val="28"/>
          <w:szCs w:val="28"/>
        </w:rPr>
      </w:pPr>
    </w:p>
    <w:p>
      <w:pPr>
        <w:pStyle w:val="15"/>
        <w:numPr>
          <w:ilvl w:val="0"/>
          <w:numId w:val="4"/>
        </w:numPr>
        <w:tabs>
          <w:tab w:val="left" w:pos="1238"/>
        </w:tabs>
        <w:spacing w:after="0" w:line="625" w:lineRule="exact"/>
        <w:ind w:firstLine="600"/>
        <w:jc w:val="left"/>
        <w:rPr>
          <w:b/>
          <w:bCs/>
        </w:rPr>
      </w:pPr>
      <w:r>
        <w:rPr>
          <w:b/>
          <w:bCs/>
        </w:rPr>
        <w:t>一般公共预算支出情况说明</w:t>
      </w:r>
    </w:p>
    <w:p>
      <w:pPr>
        <w:pStyle w:val="17"/>
        <w:spacing w:line="240" w:lineRule="auto"/>
        <w:ind w:firstLine="0"/>
        <w:jc w:val="left"/>
        <w:rPr>
          <w:lang w:eastAsia="zh-CN"/>
        </w:rPr>
      </w:pPr>
      <w:r>
        <w:rPr>
          <w:lang w:eastAsia="zh-CN"/>
        </w:rPr>
        <w:drawing>
          <wp:inline distT="0" distB="0" distL="114300" distR="114300">
            <wp:extent cx="5080000" cy="3810000"/>
            <wp:effectExtent l="4445" t="4445" r="20955" b="14605"/>
            <wp:docPr id="10" name="图表 10" title="{{img_zc_yb_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17"/>
        <w:spacing w:line="625" w:lineRule="exact"/>
        <w:ind w:firstLine="600"/>
        <w:jc w:val="left"/>
        <w:rPr>
          <w:rFonts w:hint="eastAsia" w:ascii="宋体" w:hAnsi="宋体" w:eastAsia="宋体" w:cs="宋体"/>
          <w:b/>
          <w:bCs/>
          <w:sz w:val="28"/>
          <w:szCs w:val="28"/>
          <w:highlight w:val="yellow"/>
        </w:rPr>
      </w:pPr>
      <w:r>
        <w:rPr>
          <w:rFonts w:hint="eastAsia" w:cs="宋体"/>
          <w:sz w:val="28"/>
          <w:szCs w:val="28"/>
          <w:lang w:val="en-US" w:eastAsia="zh-CN"/>
        </w:rPr>
        <w:t>2024年</w:t>
      </w:r>
      <w:r>
        <w:rPr>
          <w:rFonts w:hint="eastAsia" w:ascii="宋体" w:hAnsi="宋体" w:eastAsia="宋体" w:cs="宋体"/>
          <w:sz w:val="28"/>
          <w:szCs w:val="28"/>
        </w:rPr>
        <w:t>一般公共预算支出共</w:t>
      </w:r>
      <w:r>
        <w:rPr>
          <w:rFonts w:hint="eastAsia" w:cs="宋体"/>
          <w:sz w:val="28"/>
          <w:szCs w:val="28"/>
          <w:lang w:val="en-US" w:eastAsia="zh-CN"/>
        </w:rPr>
        <w:t>7887.24</w:t>
      </w:r>
      <w:r>
        <w:rPr>
          <w:rFonts w:hint="eastAsia" w:ascii="宋体" w:hAnsi="宋体" w:eastAsia="宋体" w:cs="宋体"/>
          <w:sz w:val="28"/>
          <w:szCs w:val="28"/>
        </w:rPr>
        <w:t xml:space="preserve">万元，较2023年度预算数 </w:t>
      </w:r>
      <w:r>
        <w:rPr>
          <w:rFonts w:hint="eastAsia" w:cs="宋体"/>
          <w:sz w:val="28"/>
          <w:szCs w:val="28"/>
          <w:lang w:val="en-US" w:eastAsia="zh-CN"/>
        </w:rPr>
        <w:t>7303.93</w:t>
      </w:r>
      <w:r>
        <w:rPr>
          <w:rFonts w:hint="eastAsia" w:ascii="宋体" w:hAnsi="宋体" w:eastAsia="宋体" w:cs="宋体"/>
          <w:sz w:val="28"/>
          <w:szCs w:val="28"/>
        </w:rPr>
        <w:t>万元，增加</w:t>
      </w:r>
      <w:r>
        <w:rPr>
          <w:rFonts w:hint="eastAsia" w:cs="宋体"/>
          <w:sz w:val="28"/>
          <w:szCs w:val="28"/>
          <w:lang w:val="en-US" w:eastAsia="zh-CN"/>
        </w:rPr>
        <w:t>583.31</w:t>
      </w:r>
      <w:r>
        <w:rPr>
          <w:rFonts w:hint="eastAsia" w:ascii="宋体" w:hAnsi="宋体" w:eastAsia="宋体" w:cs="宋体"/>
          <w:sz w:val="28"/>
          <w:szCs w:val="28"/>
        </w:rPr>
        <w:t>万元，增长</w:t>
      </w:r>
      <w:r>
        <w:rPr>
          <w:rFonts w:hint="eastAsia" w:cs="宋体"/>
          <w:sz w:val="28"/>
          <w:szCs w:val="28"/>
          <w:lang w:val="en-US" w:eastAsia="zh-CN"/>
        </w:rPr>
        <w:t>7.99</w:t>
      </w:r>
      <w:r>
        <w:rPr>
          <w:rFonts w:hint="eastAsia" w:ascii="宋体" w:hAnsi="宋体" w:eastAsia="宋体" w:cs="宋体"/>
          <w:sz w:val="28"/>
          <w:szCs w:val="28"/>
        </w:rPr>
        <w:t>% ，</w:t>
      </w:r>
      <w:r>
        <w:rPr>
          <w:rFonts w:hint="eastAsia" w:ascii="宋体" w:hAnsi="宋体" w:eastAsia="宋体" w:cs="宋体"/>
          <w:sz w:val="28"/>
          <w:szCs w:val="28"/>
          <w:highlight w:val="none"/>
        </w:rPr>
        <w:t>主要原因是增加了两名非实名编制内实聘人员， 增加了基础性绩效工资增量，上年结转结余增加了510.04万元。</w:t>
      </w:r>
    </w:p>
    <w:p>
      <w:pPr>
        <w:pStyle w:val="15"/>
        <w:numPr>
          <w:ilvl w:val="0"/>
          <w:numId w:val="4"/>
        </w:numPr>
        <w:spacing w:after="260" w:line="624" w:lineRule="exact"/>
        <w:ind w:firstLine="600"/>
        <w:jc w:val="left"/>
        <w:rPr>
          <w:b/>
          <w:bCs/>
        </w:rPr>
      </w:pPr>
      <w:r>
        <w:rPr>
          <w:b/>
          <w:bCs/>
        </w:rPr>
        <w:t>一般公共预算基本支出情况说明</w:t>
      </w:r>
    </w:p>
    <w:p>
      <w:pPr>
        <w:pStyle w:val="15"/>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5715" b="10795"/>
            <wp:docPr id="7" name="图表 7" title="{{rep6_yb_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17"/>
        <w:spacing w:line="632" w:lineRule="exact"/>
        <w:ind w:firstLine="600"/>
        <w:jc w:val="left"/>
      </w:pPr>
      <w:r>
        <w:rPr>
          <w:rFonts w:hint="eastAsia"/>
          <w:lang w:val="en-US" w:eastAsia="zh-CN"/>
        </w:rPr>
        <w:t>2024年</w:t>
      </w:r>
      <w:r>
        <w:rPr>
          <w:rFonts w:hint="eastAsia"/>
        </w:rPr>
        <w:t>一般公共预算基本支出共</w:t>
      </w:r>
      <w:r>
        <w:rPr>
          <w:rFonts w:hint="eastAsia"/>
          <w:lang w:val="en-US" w:eastAsia="zh-CN"/>
        </w:rPr>
        <w:t>1897.55</w:t>
      </w:r>
      <w:r>
        <w:rPr>
          <w:rFonts w:hint="eastAsia"/>
        </w:rPr>
        <w:t>万元，较2023年度预算数</w:t>
      </w:r>
      <w:r>
        <w:rPr>
          <w:rFonts w:hint="eastAsia"/>
          <w:lang w:val="en-US" w:eastAsia="zh-CN"/>
        </w:rPr>
        <w:t>1784.77</w:t>
      </w:r>
      <w:r>
        <w:rPr>
          <w:rFonts w:hint="eastAsia"/>
        </w:rPr>
        <w:t>万元，增加</w:t>
      </w:r>
      <w:r>
        <w:rPr>
          <w:rFonts w:hint="eastAsia"/>
          <w:lang w:val="en-US" w:eastAsia="zh-CN"/>
        </w:rPr>
        <w:t>112.78</w:t>
      </w:r>
      <w:r>
        <w:rPr>
          <w:rFonts w:hint="eastAsia"/>
        </w:rPr>
        <w:t>万元，增长</w:t>
      </w:r>
      <w:r>
        <w:rPr>
          <w:rFonts w:hint="eastAsia"/>
          <w:lang w:val="en-US" w:eastAsia="zh-CN"/>
        </w:rPr>
        <w:t>23.98</w:t>
      </w:r>
      <w:r>
        <w:rPr>
          <w:rFonts w:hint="eastAsia"/>
        </w:rPr>
        <w:t>%，主要原因是</w:t>
      </w:r>
      <w:r>
        <w:rPr>
          <w:rFonts w:hint="eastAsia" w:ascii="宋体" w:hAnsi="宋体" w:eastAsia="宋体" w:cs="宋体"/>
          <w:sz w:val="28"/>
          <w:szCs w:val="28"/>
          <w:highlight w:val="none"/>
        </w:rPr>
        <w:t>增加了两名非实名编制内实聘人员， 增加了基础性绩效工资增量</w:t>
      </w:r>
      <w:r>
        <w:rPr>
          <w:rFonts w:hint="eastAsia"/>
        </w:rPr>
        <w:t>。具体情况为：</w:t>
      </w:r>
      <w:r>
        <w:rPr>
          <w:rFonts w:hint="eastAsia"/>
          <w:lang w:val="en-US" w:eastAsia="zh-CN"/>
        </w:rPr>
        <w:t xml:space="preserve">   </w:t>
      </w:r>
    </w:p>
    <w:p>
      <w:pPr>
        <w:pStyle w:val="17"/>
        <w:spacing w:line="632" w:lineRule="exact"/>
        <w:jc w:val="left"/>
        <w:rPr>
          <w:rFonts w:hint="eastAsia"/>
        </w:rPr>
      </w:pPr>
      <w:r>
        <w:rPr>
          <w:rFonts w:hint="eastAsia"/>
        </w:rPr>
        <w:t xml:space="preserve">工资福利支出预算 </w:t>
      </w:r>
      <w:r>
        <w:rPr>
          <w:rFonts w:hint="eastAsia"/>
          <w:lang w:val="en-US" w:eastAsia="zh-CN"/>
        </w:rPr>
        <w:t>1714.05</w:t>
      </w:r>
      <w:r>
        <w:rPr>
          <w:rFonts w:hint="eastAsia"/>
        </w:rPr>
        <w:t xml:space="preserve">万元，占基本支出预算的 </w:t>
      </w:r>
      <w:r>
        <w:rPr>
          <w:rFonts w:hint="eastAsia"/>
          <w:lang w:val="en-US" w:eastAsia="zh-CN"/>
        </w:rPr>
        <w:t>90.33</w:t>
      </w:r>
      <w:r>
        <w:rPr>
          <w:rFonts w:hint="eastAsia"/>
        </w:rPr>
        <w:t xml:space="preserve"> %，较2023年度预算数</w:t>
      </w:r>
      <w:r>
        <w:rPr>
          <w:rFonts w:hint="eastAsia"/>
          <w:lang w:val="en-US" w:eastAsia="zh-CN"/>
        </w:rPr>
        <w:t>1616.44</w:t>
      </w:r>
      <w:r>
        <w:rPr>
          <w:rFonts w:hint="eastAsia"/>
        </w:rPr>
        <w:t>万元，增加</w:t>
      </w:r>
      <w:r>
        <w:rPr>
          <w:rFonts w:hint="eastAsia"/>
          <w:lang w:val="en-US" w:eastAsia="zh-CN"/>
        </w:rPr>
        <w:t>97.61</w:t>
      </w:r>
      <w:r>
        <w:rPr>
          <w:rFonts w:hint="eastAsia"/>
        </w:rPr>
        <w:t>万元，增长</w:t>
      </w:r>
      <w:r>
        <w:rPr>
          <w:rFonts w:hint="eastAsia"/>
          <w:lang w:val="en-US" w:eastAsia="zh-CN"/>
        </w:rPr>
        <w:t>6.04</w:t>
      </w:r>
      <w:r>
        <w:rPr>
          <w:rFonts w:hint="eastAsia"/>
        </w:rPr>
        <w:t xml:space="preserve">%/无增减 ，主要原因是： </w:t>
      </w:r>
      <w:r>
        <w:rPr>
          <w:rFonts w:hint="eastAsia" w:ascii="宋体" w:hAnsi="宋体" w:eastAsia="宋体" w:cs="宋体"/>
          <w:sz w:val="28"/>
          <w:szCs w:val="28"/>
          <w:highlight w:val="none"/>
        </w:rPr>
        <w:t>两名非实名编制内实聘人员， 增加了基础性绩效工资增量</w:t>
      </w:r>
      <w:r>
        <w:rPr>
          <w:rFonts w:hint="eastAsia"/>
        </w:rPr>
        <w:t xml:space="preserve">。 </w:t>
      </w:r>
    </w:p>
    <w:p>
      <w:pPr>
        <w:pStyle w:val="17"/>
        <w:spacing w:line="632" w:lineRule="exact"/>
        <w:jc w:val="left"/>
        <w:rPr>
          <w:rFonts w:hint="eastAsia"/>
        </w:rPr>
      </w:pPr>
      <w:r>
        <w:rPr>
          <w:rFonts w:hint="eastAsia"/>
        </w:rPr>
        <w:t>商品和服务支出预算</w:t>
      </w:r>
      <w:r>
        <w:rPr>
          <w:rFonts w:hint="eastAsia"/>
          <w:lang w:val="en-US" w:eastAsia="zh-CN"/>
        </w:rPr>
        <w:t>100.69</w:t>
      </w:r>
      <w:r>
        <w:rPr>
          <w:rFonts w:hint="eastAsia"/>
        </w:rPr>
        <w:t>万元，占基本支出预算的</w:t>
      </w:r>
      <w:r>
        <w:rPr>
          <w:rFonts w:hint="eastAsia"/>
          <w:lang w:val="en-US" w:eastAsia="zh-CN"/>
        </w:rPr>
        <w:t>5.31</w:t>
      </w:r>
      <w:r>
        <w:rPr>
          <w:rFonts w:hint="eastAsia"/>
        </w:rPr>
        <w:t xml:space="preserve"> %，较2023年度预算数 </w:t>
      </w:r>
      <w:r>
        <w:rPr>
          <w:rFonts w:hint="eastAsia"/>
          <w:lang w:val="en-US" w:eastAsia="zh-CN"/>
        </w:rPr>
        <w:t>115.11</w:t>
      </w:r>
      <w:r>
        <w:rPr>
          <w:rFonts w:hint="eastAsia"/>
        </w:rPr>
        <w:t>万元，减少</w:t>
      </w:r>
      <w:r>
        <w:rPr>
          <w:rFonts w:hint="eastAsia"/>
          <w:lang w:val="en-US" w:eastAsia="zh-CN"/>
        </w:rPr>
        <w:t>14.42</w:t>
      </w:r>
      <w:r>
        <w:rPr>
          <w:rFonts w:hint="eastAsia"/>
        </w:rPr>
        <w:t>万元，下降</w:t>
      </w:r>
      <w:r>
        <w:rPr>
          <w:rFonts w:hint="eastAsia"/>
          <w:lang w:val="en-US" w:eastAsia="zh-CN"/>
        </w:rPr>
        <w:t>12.53</w:t>
      </w:r>
      <w:r>
        <w:rPr>
          <w:rFonts w:hint="eastAsia"/>
        </w:rPr>
        <w:t xml:space="preserve">% ，主要原因是： </w:t>
      </w:r>
      <w:r>
        <w:rPr>
          <w:rFonts w:hint="eastAsia"/>
          <w:lang w:val="en-US" w:eastAsia="zh-CN"/>
        </w:rPr>
        <w:t>减少了部分工会经费</w:t>
      </w:r>
      <w:r>
        <w:rPr>
          <w:rFonts w:hint="eastAsia"/>
        </w:rPr>
        <w:t>。</w:t>
      </w:r>
    </w:p>
    <w:p>
      <w:pPr>
        <w:pStyle w:val="17"/>
        <w:spacing w:line="632" w:lineRule="exact"/>
        <w:jc w:val="left"/>
        <w:rPr>
          <w:rFonts w:hint="eastAsia"/>
        </w:rPr>
      </w:pPr>
      <w:r>
        <w:rPr>
          <w:rFonts w:hint="eastAsia"/>
          <w:lang w:val="en-US" w:eastAsia="zh-CN"/>
        </w:rPr>
        <w:t>对个人和家庭的补助</w:t>
      </w:r>
      <w:r>
        <w:rPr>
          <w:rFonts w:hint="eastAsia"/>
        </w:rPr>
        <w:t>支出预算</w:t>
      </w:r>
      <w:r>
        <w:rPr>
          <w:rFonts w:hint="eastAsia"/>
          <w:lang w:val="en-US" w:eastAsia="zh-CN"/>
        </w:rPr>
        <w:t>82.81</w:t>
      </w:r>
      <w:r>
        <w:rPr>
          <w:rFonts w:hint="eastAsia"/>
        </w:rPr>
        <w:t xml:space="preserve">万元，占基本支出预算的 </w:t>
      </w:r>
      <w:r>
        <w:rPr>
          <w:rFonts w:hint="eastAsia"/>
          <w:lang w:val="en-US" w:eastAsia="zh-CN"/>
        </w:rPr>
        <w:t>4.36</w:t>
      </w:r>
      <w:r>
        <w:rPr>
          <w:rFonts w:hint="eastAsia"/>
        </w:rPr>
        <w:t xml:space="preserve">%，较2023年度预算数 </w:t>
      </w:r>
      <w:r>
        <w:rPr>
          <w:rFonts w:hint="eastAsia"/>
          <w:lang w:val="en-US" w:eastAsia="zh-CN"/>
        </w:rPr>
        <w:t>52.89</w:t>
      </w:r>
      <w:r>
        <w:rPr>
          <w:rFonts w:hint="eastAsia"/>
        </w:rPr>
        <w:t>万元，增加</w:t>
      </w:r>
      <w:r>
        <w:rPr>
          <w:rFonts w:hint="eastAsia"/>
          <w:lang w:val="en-US" w:eastAsia="zh-CN"/>
        </w:rPr>
        <w:t>29.92</w:t>
      </w:r>
      <w:r>
        <w:rPr>
          <w:rFonts w:hint="eastAsia"/>
        </w:rPr>
        <w:t>万元，增长</w:t>
      </w:r>
      <w:r>
        <w:rPr>
          <w:rFonts w:hint="eastAsia"/>
          <w:lang w:val="en-US" w:eastAsia="zh-CN"/>
        </w:rPr>
        <w:t>56.57</w:t>
      </w:r>
      <w:r>
        <w:rPr>
          <w:rFonts w:hint="eastAsia"/>
        </w:rPr>
        <w:t xml:space="preserve">%/，主要原因是： </w:t>
      </w:r>
      <w:r>
        <w:rPr>
          <w:rFonts w:hint="eastAsia"/>
          <w:lang w:val="en-US" w:eastAsia="zh-CN"/>
        </w:rPr>
        <w:t>增加退休费</w:t>
      </w:r>
      <w:r>
        <w:rPr>
          <w:rFonts w:hint="eastAsia"/>
        </w:rPr>
        <w:t xml:space="preserve">。 </w:t>
      </w:r>
    </w:p>
    <w:p>
      <w:pPr>
        <w:pStyle w:val="17"/>
        <w:spacing w:line="632" w:lineRule="exact"/>
        <w:ind w:left="0" w:leftChars="0" w:firstLine="0" w:firstLineChars="0"/>
        <w:jc w:val="left"/>
        <w:rPr>
          <w:rFonts w:hint="eastAsia"/>
        </w:rPr>
      </w:pPr>
    </w:p>
    <w:p>
      <w:pPr>
        <w:pStyle w:val="15"/>
        <w:spacing w:after="0"/>
        <w:ind w:firstLine="0"/>
        <w:jc w:val="left"/>
        <w:rPr>
          <w:highlight w:val="yellow"/>
          <w:lang w:val="en-US" w:eastAsia="zh-CN"/>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r>
        <w:rPr>
          <w:rFonts w:hint="eastAsia"/>
          <w:highlight w:val="none"/>
          <w:lang w:val="en-US" w:eastAsia="zh-CN"/>
        </w:rPr>
        <w:drawing>
          <wp:inline distT="0" distB="0" distL="114300" distR="114300">
            <wp:extent cx="5080000" cy="3810000"/>
            <wp:effectExtent l="4445" t="4445" r="5715" b="10795"/>
            <wp:docPr id="23" name="图表 23" title="{{img_sgzc_ys_data}}"/>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17"/>
        <w:spacing w:line="627" w:lineRule="exact"/>
        <w:ind w:firstLine="740"/>
        <w:jc w:val="left"/>
      </w:pPr>
      <w:bookmarkStart w:id="14" w:name="bookmark90"/>
      <w:r>
        <w:rPr>
          <w:rFonts w:hint="eastAsia" w:ascii="Times New Roman" w:hAnsi="Times New Roman" w:cs="Times New Roman"/>
          <w:sz w:val="30"/>
          <w:szCs w:val="30"/>
          <w:lang w:eastAsia="zh-CN"/>
        </w:rPr>
        <w:t>（</w:t>
      </w:r>
      <w:r>
        <w:rPr>
          <w:rFonts w:hint="eastAsia" w:ascii="Times New Roman" w:hAnsi="Times New Roman" w:cs="Times New Roman"/>
          <w:sz w:val="30"/>
          <w:szCs w:val="30"/>
          <w:lang w:val="en-US" w:eastAsia="zh-CN"/>
        </w:rPr>
        <w:t>一</w:t>
      </w:r>
      <w:r>
        <w:rPr>
          <w:rFonts w:hint="eastAsia" w:ascii="Times New Roman" w:hAnsi="Times New Roman" w:cs="Times New Roman"/>
          <w:sz w:val="30"/>
          <w:szCs w:val="30"/>
          <w:lang w:eastAsia="zh-CN"/>
        </w:rPr>
        <w:t>）2024</w:t>
      </w:r>
      <w:r>
        <w:rPr>
          <w:rFonts w:ascii="Times New Roman" w:hAnsi="Times New Roman" w:cs="Times New Roman"/>
          <w:sz w:val="30"/>
          <w:u w:color="auto"/>
        </w:rPr>
        <w:t>年</w:t>
      </w:r>
      <w:r>
        <w:t>部门预算共安排</w:t>
      </w:r>
      <w:r>
        <w:rPr>
          <w:lang w:val="zh-CN" w:eastAsia="zh-CN" w:bidi="zh-CN"/>
        </w:rPr>
        <w:t>“三公</w:t>
      </w:r>
      <w:r>
        <w:rPr>
          <w:lang w:val="en-US" w:eastAsia="zh-CN" w:bidi="en-US"/>
        </w:rPr>
        <w:t>"</w:t>
      </w:r>
      <w:r>
        <w:t>经费支出预算</w:t>
      </w:r>
      <w:r>
        <w:rPr>
          <w:rFonts w:hint="eastAsia"/>
          <w:lang w:val="en-US" w:eastAsia="zh-CN"/>
        </w:rPr>
        <w:t>33</w:t>
      </w:r>
      <w:r>
        <w:t>万元（全 口径），其中：因公出国（境）经费支出预算</w:t>
      </w:r>
      <w:r>
        <w:rPr>
          <w:rFonts w:hint="eastAsia"/>
          <w:lang w:val="en-US" w:eastAsia="zh-CN"/>
        </w:rPr>
        <w:t>0.00</w:t>
      </w:r>
      <w:r>
        <w:t>万元，公务接待费支出预算</w:t>
      </w:r>
      <w:r>
        <w:rPr>
          <w:rFonts w:hint="eastAsia" w:ascii="Times New Roman" w:hAnsi="Times New Roman" w:eastAsia="Times New Roman" w:cs="Times New Roman"/>
          <w:sz w:val="30"/>
          <w:szCs w:val="30"/>
          <w:lang w:val="en-US" w:eastAsia="zh-CN" w:bidi="en-US"/>
        </w:rPr>
        <w:t>16.15</w:t>
      </w:r>
      <w:r>
        <w:t xml:space="preserve">万元，公务用车购置及运行费支出预算 </w:t>
      </w:r>
      <w:r>
        <w:rPr>
          <w:rFonts w:hint="eastAsia" w:ascii="Times New Roman" w:hAnsi="Times New Roman" w:eastAsia="Times New Roman" w:cs="Times New Roman"/>
          <w:sz w:val="30"/>
          <w:szCs w:val="30"/>
          <w:lang w:val="en-US" w:eastAsia="zh-CN" w:bidi="en-US"/>
        </w:rPr>
        <w:t>16.85</w:t>
      </w:r>
      <w:r>
        <w:t>万元（公务用车购置费</w:t>
      </w:r>
      <w:r>
        <w:rPr>
          <w:rFonts w:hint="eastAsia" w:ascii="Times New Roman" w:hAnsi="Times New Roman" w:eastAsia="Times New Roman" w:cs="Times New Roman"/>
          <w:sz w:val="30"/>
          <w:szCs w:val="30"/>
          <w:lang w:val="en-US" w:eastAsia="zh-CN" w:bidi="en-US"/>
        </w:rPr>
        <w:t>0.00</w:t>
      </w:r>
      <w:r>
        <w:t>万元,公务用车运行维护费</w:t>
      </w:r>
      <w:r>
        <w:rPr>
          <w:rFonts w:hint="eastAsia" w:ascii="Times New Roman" w:hAnsi="Times New Roman" w:eastAsia="Times New Roman" w:cs="Times New Roman"/>
          <w:sz w:val="30"/>
          <w:szCs w:val="30"/>
          <w:lang w:val="en-US" w:eastAsia="zh-CN" w:bidi="en-US"/>
        </w:rPr>
        <w:t>16.85</w:t>
      </w:r>
      <w:r>
        <w:t>万元）。</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rFonts w:hint="eastAsia"/>
          <w:b w:val="0"/>
          <w:bCs w:val="0"/>
          <w:sz w:val="28"/>
          <w:szCs w:val="28"/>
        </w:rPr>
        <w:t xml:space="preserve">2024年一般公共预算安排的“三公”经费支出预算 </w:t>
      </w:r>
      <w:r>
        <w:rPr>
          <w:rFonts w:hint="eastAsia"/>
          <w:b w:val="0"/>
          <w:bCs w:val="0"/>
          <w:sz w:val="28"/>
          <w:szCs w:val="28"/>
          <w:lang w:val="en-US" w:eastAsia="zh-CN"/>
        </w:rPr>
        <w:t>33</w:t>
      </w:r>
      <w:r>
        <w:rPr>
          <w:rFonts w:hint="eastAsia"/>
          <w:b w:val="0"/>
          <w:bCs w:val="0"/>
          <w:sz w:val="28"/>
          <w:szCs w:val="28"/>
        </w:rPr>
        <w:t xml:space="preserve">万元，同口径较2023年度预算数 </w:t>
      </w:r>
      <w:r>
        <w:rPr>
          <w:rFonts w:hint="eastAsia"/>
          <w:b w:val="0"/>
          <w:bCs w:val="0"/>
          <w:sz w:val="28"/>
          <w:szCs w:val="28"/>
          <w:lang w:val="en-US" w:eastAsia="zh-CN"/>
        </w:rPr>
        <w:t>20.7</w:t>
      </w:r>
      <w:r>
        <w:rPr>
          <w:rFonts w:hint="eastAsia"/>
          <w:b w:val="0"/>
          <w:bCs w:val="0"/>
          <w:sz w:val="28"/>
          <w:szCs w:val="28"/>
        </w:rPr>
        <w:t>万元，增加</w:t>
      </w:r>
      <w:r>
        <w:rPr>
          <w:rFonts w:hint="eastAsia"/>
          <w:b w:val="0"/>
          <w:bCs w:val="0"/>
          <w:sz w:val="28"/>
          <w:szCs w:val="28"/>
          <w:lang w:val="en-US" w:eastAsia="zh-CN"/>
        </w:rPr>
        <w:t>12.3</w:t>
      </w:r>
      <w:r>
        <w:rPr>
          <w:rFonts w:hint="eastAsia"/>
          <w:b w:val="0"/>
          <w:bCs w:val="0"/>
          <w:sz w:val="28"/>
          <w:szCs w:val="28"/>
        </w:rPr>
        <w:t>万元，增长</w:t>
      </w:r>
      <w:r>
        <w:rPr>
          <w:rFonts w:hint="eastAsia"/>
          <w:b w:val="0"/>
          <w:bCs w:val="0"/>
          <w:sz w:val="28"/>
          <w:szCs w:val="28"/>
          <w:lang w:val="en-US" w:eastAsia="zh-CN"/>
        </w:rPr>
        <w:t>59.42</w:t>
      </w:r>
      <w:r>
        <w:rPr>
          <w:rFonts w:hint="eastAsia"/>
          <w:b w:val="0"/>
          <w:bCs w:val="0"/>
          <w:sz w:val="28"/>
          <w:szCs w:val="28"/>
        </w:rPr>
        <w:t>%，具体如下：</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1.因公出国（境）费2024年预算安排 </w:t>
      </w:r>
      <w:r>
        <w:rPr>
          <w:rFonts w:hint="eastAsia"/>
          <w:b w:val="0"/>
          <w:bCs w:val="0"/>
          <w:sz w:val="28"/>
          <w:szCs w:val="28"/>
          <w:lang w:val="en-US" w:eastAsia="zh-CN"/>
        </w:rPr>
        <w:t>0</w:t>
      </w:r>
      <w:r>
        <w:rPr>
          <w:rFonts w:hint="eastAsia"/>
          <w:b w:val="0"/>
          <w:bCs w:val="0"/>
          <w:sz w:val="28"/>
          <w:szCs w:val="28"/>
        </w:rPr>
        <w:t xml:space="preserve"> 万元，较2023年度预算数</w:t>
      </w:r>
      <w:r>
        <w:rPr>
          <w:rFonts w:hint="eastAsia"/>
          <w:b w:val="0"/>
          <w:bCs w:val="0"/>
          <w:sz w:val="28"/>
          <w:szCs w:val="28"/>
          <w:lang w:val="en-US" w:eastAsia="zh-CN"/>
        </w:rPr>
        <w:t>0</w:t>
      </w:r>
      <w:r>
        <w:rPr>
          <w:rFonts w:hint="eastAsia"/>
          <w:b w:val="0"/>
          <w:bCs w:val="0"/>
          <w:sz w:val="28"/>
          <w:szCs w:val="28"/>
        </w:rPr>
        <w:t>万元，</w:t>
      </w:r>
      <w:r>
        <w:rPr>
          <w:rFonts w:hint="eastAsia"/>
          <w:b w:val="0"/>
          <w:bCs w:val="0"/>
          <w:sz w:val="28"/>
          <w:szCs w:val="28"/>
          <w:lang w:val="en-US" w:eastAsia="zh-CN"/>
        </w:rPr>
        <w:t>0</w:t>
      </w:r>
      <w:r>
        <w:rPr>
          <w:rFonts w:hint="eastAsia"/>
          <w:b w:val="0"/>
          <w:bCs w:val="0"/>
          <w:sz w:val="28"/>
          <w:szCs w:val="28"/>
        </w:rPr>
        <w:t>，</w:t>
      </w:r>
      <w:r>
        <w:rPr>
          <w:rFonts w:hint="eastAsia"/>
          <w:b w:val="0"/>
          <w:bCs w:val="0"/>
          <w:sz w:val="28"/>
          <w:szCs w:val="28"/>
          <w:lang w:val="en-US" w:eastAsia="zh-CN"/>
        </w:rPr>
        <w:t>0</w:t>
      </w:r>
      <w:r>
        <w:rPr>
          <w:rFonts w:hint="eastAsia"/>
          <w:b w:val="0"/>
          <w:bCs w:val="0"/>
          <w:sz w:val="28"/>
          <w:szCs w:val="28"/>
        </w:rPr>
        <w:t>无增减，主要原因是</w:t>
      </w:r>
      <w:r>
        <w:rPr>
          <w:rFonts w:hint="eastAsia"/>
          <w:b w:val="0"/>
          <w:bCs w:val="0"/>
          <w:sz w:val="28"/>
          <w:szCs w:val="28"/>
          <w:lang w:val="en-US" w:eastAsia="zh-CN"/>
        </w:rPr>
        <w:t>本单位无</w:t>
      </w:r>
      <w:r>
        <w:rPr>
          <w:rFonts w:hint="eastAsia"/>
          <w:b w:val="0"/>
          <w:bCs w:val="0"/>
          <w:sz w:val="28"/>
          <w:szCs w:val="28"/>
        </w:rPr>
        <w:t xml:space="preserve">因公出国（境）。 </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2.公务接待费2024年预算安排 </w:t>
      </w:r>
      <w:r>
        <w:rPr>
          <w:rFonts w:hint="eastAsia"/>
          <w:b w:val="0"/>
          <w:bCs w:val="0"/>
          <w:sz w:val="28"/>
          <w:szCs w:val="28"/>
          <w:lang w:val="en-US" w:eastAsia="zh-CN"/>
        </w:rPr>
        <w:t>16.15</w:t>
      </w:r>
      <w:r>
        <w:rPr>
          <w:rFonts w:hint="eastAsia"/>
          <w:b w:val="0"/>
          <w:bCs w:val="0"/>
          <w:sz w:val="28"/>
          <w:szCs w:val="28"/>
        </w:rPr>
        <w:t>万元，较2023年度预算数</w:t>
      </w:r>
      <w:r>
        <w:rPr>
          <w:rFonts w:hint="eastAsia"/>
          <w:b w:val="0"/>
          <w:bCs w:val="0"/>
          <w:sz w:val="28"/>
          <w:szCs w:val="28"/>
          <w:lang w:val="en-US" w:eastAsia="zh-CN"/>
        </w:rPr>
        <w:t>4.5</w:t>
      </w:r>
      <w:r>
        <w:rPr>
          <w:rFonts w:hint="eastAsia"/>
          <w:b w:val="0"/>
          <w:bCs w:val="0"/>
          <w:sz w:val="28"/>
          <w:szCs w:val="28"/>
        </w:rPr>
        <w:t>万元，增加</w:t>
      </w:r>
      <w:r>
        <w:rPr>
          <w:rFonts w:hint="eastAsia"/>
          <w:b w:val="0"/>
          <w:bCs w:val="0"/>
          <w:sz w:val="28"/>
          <w:szCs w:val="28"/>
          <w:lang w:val="en-US" w:eastAsia="zh-CN"/>
        </w:rPr>
        <w:t>11.65</w:t>
      </w:r>
      <w:r>
        <w:rPr>
          <w:rFonts w:hint="eastAsia"/>
          <w:b w:val="0"/>
          <w:bCs w:val="0"/>
          <w:sz w:val="28"/>
          <w:szCs w:val="28"/>
        </w:rPr>
        <w:t>万元，增长</w:t>
      </w:r>
      <w:r>
        <w:rPr>
          <w:rFonts w:hint="eastAsia"/>
          <w:b w:val="0"/>
          <w:bCs w:val="0"/>
          <w:sz w:val="28"/>
          <w:szCs w:val="28"/>
          <w:lang w:val="en-US" w:eastAsia="zh-CN"/>
        </w:rPr>
        <w:t>258.89</w:t>
      </w:r>
      <w:r>
        <w:rPr>
          <w:rFonts w:hint="eastAsia"/>
          <w:b w:val="0"/>
          <w:bCs w:val="0"/>
          <w:sz w:val="28"/>
          <w:szCs w:val="28"/>
        </w:rPr>
        <w:t xml:space="preserve">%，主要原因是 </w:t>
      </w:r>
      <w:r>
        <w:rPr>
          <w:rFonts w:hint="eastAsia"/>
          <w:b w:val="0"/>
          <w:bCs w:val="0"/>
          <w:sz w:val="28"/>
          <w:szCs w:val="28"/>
          <w:lang w:val="en-US" w:eastAsia="zh-CN"/>
        </w:rPr>
        <w:t>2023年部分接待单据未得到支付，计划2024年支付</w:t>
      </w:r>
      <w:r>
        <w:rPr>
          <w:rFonts w:hint="eastAsia"/>
          <w:b w:val="0"/>
          <w:bCs w:val="0"/>
          <w:sz w:val="28"/>
          <w:szCs w:val="28"/>
        </w:rPr>
        <w:t xml:space="preserve">。 </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3.公务用车购置及运行费2024年预算安排</w:t>
      </w:r>
      <w:r>
        <w:rPr>
          <w:rFonts w:hint="eastAsia"/>
          <w:b w:val="0"/>
          <w:bCs w:val="0"/>
          <w:sz w:val="28"/>
          <w:szCs w:val="28"/>
          <w:lang w:val="en-US" w:eastAsia="zh-CN"/>
        </w:rPr>
        <w:t>16.85</w:t>
      </w:r>
      <w:r>
        <w:rPr>
          <w:rFonts w:hint="eastAsia"/>
          <w:b w:val="0"/>
          <w:bCs w:val="0"/>
          <w:sz w:val="28"/>
          <w:szCs w:val="28"/>
        </w:rPr>
        <w:t xml:space="preserve"> 万元，较2023年度预算数 </w:t>
      </w:r>
      <w:r>
        <w:rPr>
          <w:rFonts w:hint="eastAsia"/>
          <w:b w:val="0"/>
          <w:bCs w:val="0"/>
          <w:sz w:val="28"/>
          <w:szCs w:val="28"/>
          <w:lang w:val="en-US" w:eastAsia="zh-CN"/>
        </w:rPr>
        <w:t>16.2</w:t>
      </w:r>
      <w:r>
        <w:rPr>
          <w:rFonts w:hint="eastAsia"/>
          <w:b w:val="0"/>
          <w:bCs w:val="0"/>
          <w:sz w:val="28"/>
          <w:szCs w:val="28"/>
        </w:rPr>
        <w:t>万元，增加</w:t>
      </w:r>
      <w:r>
        <w:rPr>
          <w:rFonts w:hint="eastAsia"/>
          <w:b w:val="0"/>
          <w:bCs w:val="0"/>
          <w:sz w:val="28"/>
          <w:szCs w:val="28"/>
          <w:lang w:val="en-US" w:eastAsia="zh-CN"/>
        </w:rPr>
        <w:t>0.6</w:t>
      </w:r>
      <w:r>
        <w:rPr>
          <w:rFonts w:hint="eastAsia"/>
          <w:b w:val="0"/>
          <w:bCs w:val="0"/>
          <w:sz w:val="28"/>
          <w:szCs w:val="28"/>
        </w:rPr>
        <w:t>万元，增长</w:t>
      </w:r>
      <w:r>
        <w:rPr>
          <w:rFonts w:hint="eastAsia"/>
          <w:b w:val="0"/>
          <w:bCs w:val="0"/>
          <w:sz w:val="28"/>
          <w:szCs w:val="28"/>
          <w:lang w:val="en-US" w:eastAsia="zh-CN"/>
        </w:rPr>
        <w:t>3.70</w:t>
      </w:r>
      <w:r>
        <w:rPr>
          <w:rFonts w:hint="eastAsia"/>
          <w:b w:val="0"/>
          <w:bCs w:val="0"/>
          <w:sz w:val="28"/>
          <w:szCs w:val="28"/>
        </w:rPr>
        <w:t>%，其中：</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公务用车购置费2024年预算安排 </w:t>
      </w:r>
      <w:r>
        <w:rPr>
          <w:rFonts w:hint="eastAsia"/>
          <w:b w:val="0"/>
          <w:bCs w:val="0"/>
          <w:sz w:val="28"/>
          <w:szCs w:val="28"/>
          <w:lang w:val="en-US" w:eastAsia="zh-CN"/>
        </w:rPr>
        <w:t>0</w:t>
      </w:r>
      <w:r>
        <w:rPr>
          <w:rFonts w:hint="eastAsia"/>
          <w:b w:val="0"/>
          <w:bCs w:val="0"/>
          <w:sz w:val="28"/>
          <w:szCs w:val="28"/>
        </w:rPr>
        <w:t xml:space="preserve"> 万元，较2023年度预算数</w:t>
      </w:r>
      <w:r>
        <w:rPr>
          <w:rFonts w:hint="eastAsia"/>
          <w:b w:val="0"/>
          <w:bCs w:val="0"/>
          <w:sz w:val="28"/>
          <w:szCs w:val="28"/>
          <w:lang w:val="en-US" w:eastAsia="zh-CN"/>
        </w:rPr>
        <w:t>0</w:t>
      </w:r>
      <w:r>
        <w:rPr>
          <w:rFonts w:hint="eastAsia"/>
          <w:b w:val="0"/>
          <w:bCs w:val="0"/>
          <w:sz w:val="28"/>
          <w:szCs w:val="28"/>
        </w:rPr>
        <w:t>万元，</w:t>
      </w:r>
      <w:r>
        <w:rPr>
          <w:rFonts w:hint="eastAsia"/>
          <w:b w:val="0"/>
          <w:bCs w:val="0"/>
          <w:sz w:val="28"/>
          <w:szCs w:val="28"/>
          <w:lang w:val="en-US" w:eastAsia="zh-CN"/>
        </w:rPr>
        <w:t>0</w:t>
      </w:r>
      <w:r>
        <w:rPr>
          <w:rFonts w:hint="eastAsia"/>
          <w:b w:val="0"/>
          <w:bCs w:val="0"/>
          <w:sz w:val="28"/>
          <w:szCs w:val="28"/>
        </w:rPr>
        <w:t xml:space="preserve">无增减，主要原因是 </w:t>
      </w:r>
      <w:r>
        <w:rPr>
          <w:rFonts w:hint="eastAsia"/>
          <w:b w:val="0"/>
          <w:bCs w:val="0"/>
          <w:sz w:val="28"/>
          <w:szCs w:val="28"/>
          <w:lang w:val="en-US" w:eastAsia="zh-CN"/>
        </w:rPr>
        <w:t>本单位未购买</w:t>
      </w:r>
      <w:r>
        <w:rPr>
          <w:rFonts w:hint="eastAsia"/>
          <w:b w:val="0"/>
          <w:bCs w:val="0"/>
          <w:sz w:val="28"/>
          <w:szCs w:val="28"/>
        </w:rPr>
        <w:t xml:space="preserve">公务用车。 </w:t>
      </w:r>
    </w:p>
    <w:p>
      <w:pPr>
        <w:pStyle w:val="15"/>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公务用车运行维护费2024年预算安排</w:t>
      </w:r>
      <w:r>
        <w:rPr>
          <w:rFonts w:hint="eastAsia"/>
          <w:b w:val="0"/>
          <w:bCs w:val="0"/>
          <w:sz w:val="28"/>
          <w:szCs w:val="28"/>
          <w:lang w:val="en-US" w:eastAsia="zh-CN"/>
        </w:rPr>
        <w:t>16.85</w:t>
      </w:r>
      <w:r>
        <w:rPr>
          <w:rFonts w:hint="eastAsia"/>
          <w:b w:val="0"/>
          <w:bCs w:val="0"/>
          <w:sz w:val="28"/>
          <w:szCs w:val="28"/>
        </w:rPr>
        <w:t>万元，较2023年度预算数</w:t>
      </w:r>
      <w:r>
        <w:rPr>
          <w:rFonts w:hint="eastAsia"/>
          <w:b w:val="0"/>
          <w:bCs w:val="0"/>
          <w:sz w:val="28"/>
          <w:szCs w:val="28"/>
          <w:lang w:val="en-US" w:eastAsia="zh-CN"/>
        </w:rPr>
        <w:t>16.2</w:t>
      </w:r>
      <w:r>
        <w:rPr>
          <w:rFonts w:hint="eastAsia"/>
          <w:b w:val="0"/>
          <w:bCs w:val="0"/>
          <w:sz w:val="28"/>
          <w:szCs w:val="28"/>
        </w:rPr>
        <w:t>万元，增加</w:t>
      </w:r>
      <w:r>
        <w:rPr>
          <w:rFonts w:hint="eastAsia"/>
          <w:b w:val="0"/>
          <w:bCs w:val="0"/>
          <w:sz w:val="28"/>
          <w:szCs w:val="28"/>
          <w:lang w:val="en-US" w:eastAsia="zh-CN"/>
        </w:rPr>
        <w:t>0.6</w:t>
      </w:r>
      <w:r>
        <w:rPr>
          <w:rFonts w:hint="eastAsia"/>
          <w:b w:val="0"/>
          <w:bCs w:val="0"/>
          <w:sz w:val="28"/>
          <w:szCs w:val="28"/>
        </w:rPr>
        <w:t>万元，增长</w:t>
      </w:r>
      <w:r>
        <w:rPr>
          <w:rFonts w:hint="eastAsia"/>
          <w:b w:val="0"/>
          <w:bCs w:val="0"/>
          <w:sz w:val="28"/>
          <w:szCs w:val="28"/>
          <w:lang w:val="en-US" w:eastAsia="zh-CN"/>
        </w:rPr>
        <w:t>3.70</w:t>
      </w:r>
      <w:r>
        <w:rPr>
          <w:rFonts w:hint="eastAsia"/>
          <w:b w:val="0"/>
          <w:bCs w:val="0"/>
          <w:sz w:val="28"/>
          <w:szCs w:val="28"/>
        </w:rPr>
        <w:t xml:space="preserve">%/无增减，主要原因是 </w:t>
      </w:r>
      <w:r>
        <w:rPr>
          <w:rFonts w:hint="eastAsia"/>
          <w:b w:val="0"/>
          <w:bCs w:val="0"/>
          <w:sz w:val="28"/>
          <w:szCs w:val="28"/>
          <w:lang w:val="en-US" w:eastAsia="zh-CN"/>
        </w:rPr>
        <w:t>增加了车辆维护维修费用</w:t>
      </w:r>
      <w:r>
        <w:rPr>
          <w:rFonts w:hint="eastAsia"/>
          <w:b w:val="0"/>
          <w:bCs w:val="0"/>
          <w:sz w:val="28"/>
          <w:szCs w:val="28"/>
        </w:rPr>
        <w:t>。</w:t>
      </w:r>
    </w:p>
    <w:p>
      <w:pPr>
        <w:pStyle w:val="15"/>
        <w:tabs>
          <w:tab w:val="left" w:pos="1253"/>
        </w:tabs>
        <w:spacing w:after="0" w:line="629" w:lineRule="exact"/>
        <w:ind w:firstLine="600"/>
        <w:jc w:val="left"/>
        <w:rPr>
          <w:b/>
          <w:bCs/>
        </w:rPr>
      </w:pPr>
      <w:r>
        <w:rPr>
          <w:rFonts w:hint="eastAsia"/>
          <w:b/>
          <w:bCs/>
        </w:rPr>
        <w:t xml:space="preserve"> </w:t>
      </w:r>
      <w:r>
        <w:rPr>
          <w:b/>
          <w:bCs/>
        </w:rPr>
        <w:t>八</w:t>
      </w:r>
      <w:bookmarkEnd w:id="14"/>
      <w:r>
        <w:rPr>
          <w:b/>
          <w:bCs/>
        </w:rPr>
        <w:t>、</w:t>
      </w:r>
      <w:r>
        <w:rPr>
          <w:b/>
          <w:bCs/>
        </w:rPr>
        <w:tab/>
      </w:r>
      <w:r>
        <w:rPr>
          <w:b/>
          <w:bCs/>
        </w:rPr>
        <w:t>政府性基金预算支出情况说明</w:t>
      </w:r>
    </w:p>
    <w:p>
      <w:pPr>
        <w:pStyle w:val="17"/>
        <w:spacing w:line="629" w:lineRule="exact"/>
        <w:ind w:firstLine="600"/>
        <w:jc w:val="left"/>
      </w:pPr>
      <w:r>
        <w:rPr>
          <w:rFonts w:hint="eastAsia"/>
        </w:rPr>
        <w:t xml:space="preserve">我部门2024年政府性基金预算支出共 </w:t>
      </w:r>
      <w:r>
        <w:rPr>
          <w:rFonts w:hint="eastAsia"/>
          <w:lang w:val="en-US" w:eastAsia="zh-CN"/>
        </w:rPr>
        <w:t>25.23</w:t>
      </w:r>
      <w:r>
        <w:rPr>
          <w:rFonts w:hint="eastAsia"/>
        </w:rPr>
        <w:t>万元，较2023年度预算数</w:t>
      </w:r>
      <w:r>
        <w:rPr>
          <w:rFonts w:hint="eastAsia"/>
          <w:lang w:val="en-US" w:eastAsia="zh-CN"/>
        </w:rPr>
        <w:t>0</w:t>
      </w:r>
      <w:r>
        <w:rPr>
          <w:rFonts w:hint="eastAsia"/>
        </w:rPr>
        <w:t>万元，增加</w:t>
      </w:r>
      <w:r>
        <w:rPr>
          <w:rFonts w:hint="eastAsia"/>
          <w:lang w:val="en-US" w:eastAsia="zh-CN"/>
        </w:rPr>
        <w:t>25.23</w:t>
      </w:r>
      <w:r>
        <w:rPr>
          <w:rFonts w:hint="eastAsia"/>
        </w:rPr>
        <w:t>万元，增长</w:t>
      </w:r>
      <w:r>
        <w:rPr>
          <w:rFonts w:hint="eastAsia"/>
          <w:lang w:val="en-US" w:eastAsia="zh-CN"/>
        </w:rPr>
        <w:t>100</w:t>
      </w:r>
      <w:r>
        <w:rPr>
          <w:rFonts w:hint="eastAsia"/>
        </w:rPr>
        <w:t>%，主要原因是</w:t>
      </w:r>
      <w:r>
        <w:rPr>
          <w:rFonts w:hint="eastAsia"/>
          <w:lang w:val="en-US" w:eastAsia="zh-CN"/>
        </w:rPr>
        <w:t>增加了城市建设支出25.23万元</w:t>
      </w:r>
      <w:r>
        <w:rPr>
          <w:rFonts w:hint="eastAsia"/>
        </w:rPr>
        <w:t xml:space="preserve">。 </w:t>
      </w:r>
    </w:p>
    <w:p>
      <w:pPr>
        <w:pStyle w:val="15"/>
        <w:tabs>
          <w:tab w:val="left" w:pos="1253"/>
        </w:tabs>
        <w:spacing w:after="280" w:line="629" w:lineRule="exact"/>
        <w:ind w:firstLine="600"/>
        <w:jc w:val="left"/>
        <w:rPr>
          <w:b/>
          <w:bCs/>
        </w:rPr>
      </w:pPr>
      <w:bookmarkStart w:id="15" w:name="bookmark91"/>
      <w:r>
        <w:rPr>
          <w:b/>
          <w:bCs/>
        </w:rPr>
        <w:t>九</w:t>
      </w:r>
      <w:bookmarkEnd w:id="15"/>
      <w:r>
        <w:rPr>
          <w:b/>
          <w:bCs/>
        </w:rPr>
        <w:t>、</w:t>
      </w:r>
      <w:r>
        <w:rPr>
          <w:b/>
          <w:bCs/>
        </w:rPr>
        <w:tab/>
      </w:r>
      <w:r>
        <w:rPr>
          <w:b/>
          <w:bCs/>
        </w:rPr>
        <w:t>国有资本经营预算支出情况说明</w:t>
      </w:r>
    </w:p>
    <w:p>
      <w:pPr>
        <w:pStyle w:val="17"/>
        <w:spacing w:line="437" w:lineRule="auto"/>
        <w:ind w:firstLine="600"/>
        <w:jc w:val="left"/>
      </w:pPr>
      <w:r>
        <w:rPr>
          <w:rFonts w:hint="eastAsia"/>
        </w:rPr>
        <w:t xml:space="preserve">我部门2024年国有资本经营预算支出共 </w:t>
      </w:r>
      <w:r>
        <w:rPr>
          <w:rFonts w:hint="eastAsia"/>
          <w:lang w:val="en-US" w:eastAsia="zh-CN"/>
        </w:rPr>
        <w:t>0</w:t>
      </w:r>
      <w:r>
        <w:rPr>
          <w:rFonts w:hint="eastAsia"/>
        </w:rPr>
        <w:t xml:space="preserve">万元，较2023年度预算数 </w:t>
      </w:r>
      <w:r>
        <w:rPr>
          <w:rFonts w:hint="eastAsia"/>
          <w:lang w:val="en-US" w:eastAsia="zh-CN"/>
        </w:rPr>
        <w:t>0</w:t>
      </w:r>
      <w:r>
        <w:rPr>
          <w:rFonts w:hint="eastAsia"/>
        </w:rPr>
        <w:t xml:space="preserve">万元，无增减，主要原因是我部门2024年部门预算无国有资本经营预算。 </w:t>
      </w:r>
    </w:p>
    <w:p>
      <w:pPr>
        <w:pStyle w:val="15"/>
        <w:spacing w:after="0" w:line="589" w:lineRule="exact"/>
        <w:ind w:firstLine="580"/>
        <w:jc w:val="left"/>
        <w:rPr>
          <w:b/>
          <w:bCs/>
        </w:rPr>
      </w:pPr>
      <w:r>
        <w:rPr>
          <w:b/>
          <w:bCs/>
        </w:rPr>
        <w:t>十、其他重要事项</w:t>
      </w:r>
      <w:r>
        <w:rPr>
          <w:rFonts w:hint="eastAsia"/>
          <w:b/>
          <w:bCs/>
          <w:lang w:val="en-US" w:eastAsia="zh-CN"/>
        </w:rPr>
        <w:t>情况</w:t>
      </w:r>
      <w:r>
        <w:rPr>
          <w:b/>
          <w:bCs/>
        </w:rPr>
        <w:t>说明</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（一） 机关运行经费安排情况说明</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2024年本部门机关运行经费预算</w:t>
      </w:r>
      <w:r>
        <w:rPr>
          <w:rFonts w:hint="eastAsia" w:ascii="Times New Roman" w:hAnsi="Times New Roman" w:cs="Times New Roman"/>
          <w:sz w:val="30"/>
          <w:szCs w:val="30"/>
          <w:lang w:val="en-US" w:eastAsia="zh-CN"/>
        </w:rPr>
        <w:t>100.69</w:t>
      </w:r>
      <w:r>
        <w:rPr>
          <w:rFonts w:hint="eastAsia" w:ascii="Times New Roman" w:hAnsi="Times New Roman" w:cs="Times New Roman"/>
          <w:sz w:val="30"/>
          <w:szCs w:val="30"/>
          <w:lang w:eastAsia="zh-CN"/>
        </w:rPr>
        <w:t xml:space="preserve">万元，较2023年度预算数 </w:t>
      </w:r>
      <w:r>
        <w:rPr>
          <w:rFonts w:hint="eastAsia" w:ascii="Times New Roman" w:hAnsi="Times New Roman" w:cs="Times New Roman"/>
          <w:sz w:val="30"/>
          <w:szCs w:val="30"/>
          <w:lang w:val="en-US" w:eastAsia="zh-CN"/>
        </w:rPr>
        <w:t>115.11</w:t>
      </w:r>
      <w:r>
        <w:rPr>
          <w:rFonts w:hint="eastAsia" w:ascii="Times New Roman" w:hAnsi="Times New Roman" w:cs="Times New Roman"/>
          <w:sz w:val="30"/>
          <w:szCs w:val="30"/>
          <w:lang w:eastAsia="zh-CN"/>
        </w:rPr>
        <w:t xml:space="preserve"> 万元，减少</w:t>
      </w:r>
      <w:r>
        <w:rPr>
          <w:rFonts w:hint="eastAsia" w:ascii="Times New Roman" w:hAnsi="Times New Roman" w:cs="Times New Roman"/>
          <w:sz w:val="30"/>
          <w:szCs w:val="30"/>
          <w:lang w:val="en-US" w:eastAsia="zh-CN"/>
        </w:rPr>
        <w:t>14.42</w:t>
      </w:r>
      <w:r>
        <w:rPr>
          <w:rFonts w:hint="eastAsia" w:ascii="Times New Roman" w:hAnsi="Times New Roman" w:cs="Times New Roman"/>
          <w:sz w:val="30"/>
          <w:szCs w:val="30"/>
          <w:lang w:eastAsia="zh-CN"/>
        </w:rPr>
        <w:t>万元，下降</w:t>
      </w:r>
      <w:r>
        <w:rPr>
          <w:rFonts w:hint="eastAsia" w:ascii="Times New Roman" w:hAnsi="Times New Roman" w:cs="Times New Roman"/>
          <w:sz w:val="30"/>
          <w:szCs w:val="30"/>
          <w:lang w:val="en-US" w:eastAsia="zh-CN"/>
        </w:rPr>
        <w:t>12.53</w:t>
      </w:r>
      <w:r>
        <w:rPr>
          <w:rFonts w:hint="eastAsia" w:ascii="Times New Roman" w:hAnsi="Times New Roman" w:cs="Times New Roman"/>
          <w:sz w:val="30"/>
          <w:szCs w:val="30"/>
          <w:lang w:eastAsia="zh-CN"/>
        </w:rPr>
        <w:t xml:space="preserve">% ，主要原因是： </w:t>
      </w:r>
      <w:r>
        <w:rPr>
          <w:rFonts w:hint="eastAsia" w:ascii="Times New Roman" w:hAnsi="Times New Roman" w:cs="Times New Roman"/>
          <w:sz w:val="30"/>
          <w:szCs w:val="30"/>
          <w:lang w:val="en-US" w:eastAsia="zh-CN"/>
        </w:rPr>
        <w:t>减少了部分工会经费</w:t>
      </w:r>
      <w:r>
        <w:rPr>
          <w:rFonts w:hint="eastAsia" w:ascii="Times New Roman" w:hAnsi="Times New Roman" w:cs="Times New Roman"/>
          <w:sz w:val="30"/>
          <w:szCs w:val="30"/>
          <w:lang w:eastAsia="zh-CN"/>
        </w:rPr>
        <w:t>。  机关运行经费主要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对相关经费的安排情况，增减变动等进行适当说明。</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 xml:space="preserve">  （二）政府采购预算安排情况说明</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 xml:space="preserve">我部门2024年政府采购预算总金额 </w:t>
      </w:r>
      <w:r>
        <w:rPr>
          <w:rFonts w:hint="eastAsia" w:ascii="Times New Roman" w:hAnsi="Times New Roman" w:cs="Times New Roman"/>
          <w:sz w:val="30"/>
          <w:szCs w:val="30"/>
          <w:highlight w:val="none"/>
          <w:lang w:val="en-US" w:eastAsia="zh-CN"/>
        </w:rPr>
        <w:t>37.37</w:t>
      </w:r>
      <w:r>
        <w:rPr>
          <w:rFonts w:hint="eastAsia" w:ascii="Times New Roman" w:hAnsi="Times New Roman" w:cs="Times New Roman"/>
          <w:sz w:val="30"/>
          <w:szCs w:val="30"/>
          <w:highlight w:val="none"/>
          <w:lang w:eastAsia="zh-CN"/>
        </w:rPr>
        <w:t xml:space="preserve">万元。其中：货物类采购 </w:t>
      </w:r>
      <w:r>
        <w:rPr>
          <w:rFonts w:hint="eastAsia" w:ascii="Times New Roman" w:hAnsi="Times New Roman" w:cs="Times New Roman"/>
          <w:sz w:val="30"/>
          <w:szCs w:val="30"/>
          <w:highlight w:val="none"/>
          <w:lang w:val="en-US" w:eastAsia="zh-CN"/>
        </w:rPr>
        <w:t>25.76</w:t>
      </w:r>
      <w:r>
        <w:rPr>
          <w:rFonts w:hint="eastAsia" w:ascii="Times New Roman" w:hAnsi="Times New Roman" w:cs="Times New Roman"/>
          <w:sz w:val="30"/>
          <w:szCs w:val="30"/>
          <w:highlight w:val="none"/>
          <w:lang w:eastAsia="zh-CN"/>
        </w:rPr>
        <w:t xml:space="preserve"> 万元、工程类采购 </w:t>
      </w:r>
      <w:r>
        <w:rPr>
          <w:rFonts w:hint="eastAsia" w:ascii="Times New Roman" w:hAnsi="Times New Roman" w:cs="Times New Roman"/>
          <w:sz w:val="30"/>
          <w:szCs w:val="30"/>
          <w:highlight w:val="none"/>
          <w:lang w:val="en-US" w:eastAsia="zh-CN"/>
        </w:rPr>
        <w:t>0</w:t>
      </w:r>
      <w:r>
        <w:rPr>
          <w:rFonts w:hint="eastAsia" w:ascii="Times New Roman" w:hAnsi="Times New Roman" w:cs="Times New Roman"/>
          <w:sz w:val="30"/>
          <w:szCs w:val="30"/>
          <w:highlight w:val="none"/>
          <w:lang w:eastAsia="zh-CN"/>
        </w:rPr>
        <w:t xml:space="preserve"> 万元、服务类采购</w:t>
      </w:r>
      <w:r>
        <w:rPr>
          <w:rFonts w:hint="eastAsia" w:ascii="Times New Roman" w:hAnsi="Times New Roman" w:cs="Times New Roman"/>
          <w:sz w:val="30"/>
          <w:szCs w:val="30"/>
          <w:highlight w:val="none"/>
          <w:lang w:val="en-US" w:eastAsia="zh-CN"/>
        </w:rPr>
        <w:t>11.61</w:t>
      </w:r>
      <w:r>
        <w:rPr>
          <w:rFonts w:hint="eastAsia" w:ascii="Times New Roman" w:hAnsi="Times New Roman" w:cs="Times New Roman"/>
          <w:sz w:val="30"/>
          <w:szCs w:val="30"/>
          <w:highlight w:val="none"/>
          <w:lang w:eastAsia="zh-CN"/>
        </w:rPr>
        <w:t xml:space="preserve"> 万元。 </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（三）国有资产占用情况说明</w:t>
      </w: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 xml:space="preserve">截至2023年12月31日，本部门共有车辆 </w:t>
      </w:r>
      <w:r>
        <w:rPr>
          <w:rFonts w:hint="eastAsia" w:ascii="Times New Roman" w:hAnsi="Times New Roman" w:cs="Times New Roman"/>
          <w:sz w:val="30"/>
          <w:szCs w:val="30"/>
          <w:lang w:val="en-US" w:eastAsia="zh-CN"/>
        </w:rPr>
        <w:t>7</w:t>
      </w:r>
      <w:r>
        <w:rPr>
          <w:rFonts w:hint="eastAsia" w:ascii="Times New Roman" w:hAnsi="Times New Roman" w:cs="Times New Roman"/>
          <w:sz w:val="30"/>
          <w:szCs w:val="30"/>
          <w:lang w:eastAsia="zh-CN"/>
        </w:rPr>
        <w:t>辆，其中，应急机要通信用车</w:t>
      </w:r>
      <w:r>
        <w:rPr>
          <w:rFonts w:hint="eastAsia" w:ascii="Times New Roman" w:hAnsi="Times New Roman" w:cs="Times New Roman"/>
          <w:sz w:val="30"/>
          <w:szCs w:val="30"/>
          <w:lang w:val="en-US" w:eastAsia="zh-CN"/>
        </w:rPr>
        <w:t>0</w:t>
      </w:r>
      <w:r>
        <w:rPr>
          <w:rFonts w:hint="eastAsia" w:ascii="Times New Roman" w:hAnsi="Times New Roman" w:cs="Times New Roman"/>
          <w:sz w:val="30"/>
          <w:szCs w:val="30"/>
          <w:lang w:eastAsia="zh-CN"/>
        </w:rPr>
        <w:t xml:space="preserve">辆、一般执法执勤用车 </w:t>
      </w:r>
      <w:r>
        <w:rPr>
          <w:rFonts w:hint="eastAsia" w:ascii="Times New Roman" w:hAnsi="Times New Roman" w:cs="Times New Roman"/>
          <w:sz w:val="30"/>
          <w:szCs w:val="30"/>
          <w:lang w:val="en-US" w:eastAsia="zh-CN"/>
        </w:rPr>
        <w:t>7</w:t>
      </w:r>
      <w:r>
        <w:rPr>
          <w:rFonts w:hint="eastAsia" w:ascii="Times New Roman" w:hAnsi="Times New Roman" w:cs="Times New Roman"/>
          <w:sz w:val="30"/>
          <w:szCs w:val="30"/>
          <w:lang w:eastAsia="zh-CN"/>
        </w:rPr>
        <w:t>辆、特种专业技术用车</w:t>
      </w:r>
      <w:r>
        <w:rPr>
          <w:rFonts w:hint="eastAsia" w:ascii="Times New Roman" w:hAnsi="Times New Roman" w:cs="Times New Roman"/>
          <w:sz w:val="30"/>
          <w:szCs w:val="30"/>
          <w:lang w:val="en-US" w:eastAsia="zh-CN"/>
        </w:rPr>
        <w:t>0</w:t>
      </w:r>
      <w:r>
        <w:rPr>
          <w:rFonts w:hint="eastAsia" w:ascii="Times New Roman" w:hAnsi="Times New Roman" w:cs="Times New Roman"/>
          <w:sz w:val="30"/>
          <w:szCs w:val="30"/>
          <w:lang w:eastAsia="zh-CN"/>
        </w:rPr>
        <w:t xml:space="preserve"> 辆、其他用车</w:t>
      </w:r>
      <w:r>
        <w:rPr>
          <w:rFonts w:hint="eastAsia" w:ascii="Times New Roman" w:hAnsi="Times New Roman" w:cs="Times New Roman"/>
          <w:sz w:val="30"/>
          <w:szCs w:val="30"/>
          <w:lang w:val="en-US" w:eastAsia="zh-CN"/>
        </w:rPr>
        <w:t>0</w:t>
      </w:r>
      <w:r>
        <w:rPr>
          <w:rFonts w:hint="eastAsia" w:ascii="Times New Roman" w:hAnsi="Times New Roman" w:cs="Times New Roman"/>
          <w:sz w:val="30"/>
          <w:szCs w:val="30"/>
          <w:lang w:eastAsia="zh-CN"/>
        </w:rPr>
        <w:t xml:space="preserve"> 辆，单位价值200万元以上大型设备 </w:t>
      </w:r>
      <w:r>
        <w:rPr>
          <w:rFonts w:hint="eastAsia" w:ascii="Times New Roman" w:hAnsi="Times New Roman" w:cs="Times New Roman"/>
          <w:sz w:val="30"/>
          <w:szCs w:val="30"/>
          <w:lang w:val="en-US" w:eastAsia="zh-CN"/>
        </w:rPr>
        <w:t>0</w:t>
      </w:r>
      <w:r>
        <w:rPr>
          <w:rFonts w:hint="eastAsia" w:ascii="Times New Roman" w:hAnsi="Times New Roman" w:cs="Times New Roman"/>
          <w:sz w:val="30"/>
          <w:szCs w:val="30"/>
          <w:lang w:eastAsia="zh-CN"/>
        </w:rPr>
        <w:t xml:space="preserve"> 台（套） 。 </w:t>
      </w:r>
    </w:p>
    <w:p>
      <w:pPr>
        <w:pStyle w:val="17"/>
        <w:spacing w:line="624" w:lineRule="exact"/>
        <w:ind w:firstLine="600"/>
        <w:jc w:val="left"/>
        <w:rPr>
          <w:rFonts w:hint="eastAsia" w:ascii="Times New Roman" w:hAnsi="Times New Roman" w:cs="Times New Roman"/>
          <w:sz w:val="30"/>
          <w:szCs w:val="30"/>
          <w:lang w:eastAsia="zh-CN"/>
        </w:rPr>
      </w:pPr>
    </w:p>
    <w:p>
      <w:pPr>
        <w:pStyle w:val="17"/>
        <w:spacing w:line="624" w:lineRule="exact"/>
        <w:ind w:firstLine="600"/>
        <w:jc w:val="left"/>
        <w:rPr>
          <w:rFonts w:hint="eastAsia" w:ascii="Times New Roman" w:hAnsi="Times New Roman" w:cs="Times New Roman"/>
          <w:sz w:val="30"/>
          <w:szCs w:val="30"/>
          <w:lang w:eastAsia="zh-CN"/>
        </w:rPr>
      </w:pPr>
    </w:p>
    <w:p>
      <w:pPr>
        <w:pStyle w:val="17"/>
        <w:spacing w:line="624" w:lineRule="exact"/>
        <w:ind w:firstLine="600"/>
        <w:jc w:val="left"/>
        <w:rPr>
          <w:rFonts w:hint="eastAsia" w:ascii="Times New Roman" w:hAnsi="Times New Roman" w:cs="Times New Roman"/>
          <w:sz w:val="30"/>
          <w:szCs w:val="30"/>
          <w:lang w:eastAsia="zh-CN"/>
        </w:rPr>
      </w:pPr>
    </w:p>
    <w:p>
      <w:pPr>
        <w:pStyle w:val="17"/>
        <w:spacing w:line="624" w:lineRule="exact"/>
        <w:ind w:firstLine="600"/>
        <w:jc w:val="left"/>
        <w:rPr>
          <w:rFonts w:hint="eastAsia" w:ascii="Times New Roman" w:hAnsi="Times New Roman" w:cs="Times New Roman"/>
          <w:sz w:val="30"/>
          <w:szCs w:val="30"/>
          <w:lang w:eastAsia="zh-CN"/>
        </w:rPr>
      </w:pPr>
    </w:p>
    <w:p>
      <w:pPr>
        <w:pStyle w:val="17"/>
        <w:spacing w:line="624" w:lineRule="exact"/>
        <w:ind w:left="0" w:leftChars="0" w:firstLine="0" w:firstLineChars="0"/>
        <w:jc w:val="left"/>
        <w:rPr>
          <w:rFonts w:hint="eastAsia" w:ascii="Times New Roman" w:hAnsi="Times New Roman" w:cs="Times New Roman"/>
          <w:sz w:val="30"/>
          <w:szCs w:val="30"/>
          <w:lang w:eastAsia="zh-CN"/>
        </w:rPr>
      </w:pPr>
    </w:p>
    <w:p>
      <w:pPr>
        <w:pStyle w:val="17"/>
        <w:spacing w:line="624" w:lineRule="exact"/>
        <w:ind w:firstLine="600"/>
        <w:jc w:val="left"/>
        <w:rPr>
          <w:rFonts w:hint="eastAsia" w:ascii="Times New Roman" w:hAnsi="Times New Roman" w:cs="Times New Roman"/>
          <w:sz w:val="30"/>
          <w:szCs w:val="30"/>
          <w:lang w:eastAsia="zh-CN"/>
        </w:rPr>
      </w:pPr>
      <w:r>
        <w:rPr>
          <w:rFonts w:hint="eastAsia" w:ascii="Times New Roman" w:hAnsi="Times New Roman" w:cs="Times New Roman"/>
          <w:sz w:val="30"/>
          <w:szCs w:val="30"/>
          <w:lang w:eastAsia="zh-CN"/>
        </w:rPr>
        <w:t>（四）预算绩效目标情况说明</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1.我部门2024年所有项目支出全面实施绩效目标管理，涉及项目</w:t>
      </w:r>
      <w:r>
        <w:rPr>
          <w:rFonts w:hint="eastAsia" w:ascii="Times New Roman" w:hAnsi="Times New Roman" w:cs="Times New Roman"/>
          <w:sz w:val="30"/>
          <w:szCs w:val="30"/>
          <w:highlight w:val="none"/>
          <w:lang w:val="en-US" w:eastAsia="zh-CN"/>
        </w:rPr>
        <w:t>67</w:t>
      </w:r>
      <w:r>
        <w:rPr>
          <w:rFonts w:hint="eastAsia" w:ascii="Times New Roman" w:hAnsi="Times New Roman" w:cs="Times New Roman"/>
          <w:sz w:val="30"/>
          <w:szCs w:val="30"/>
          <w:highlight w:val="none"/>
          <w:lang w:eastAsia="zh-CN"/>
        </w:rPr>
        <w:t xml:space="preserve">个，预算资金 </w:t>
      </w:r>
      <w:r>
        <w:rPr>
          <w:rFonts w:hint="eastAsia" w:ascii="Times New Roman" w:hAnsi="Times New Roman" w:cs="Times New Roman"/>
          <w:sz w:val="30"/>
          <w:szCs w:val="30"/>
          <w:highlight w:val="none"/>
          <w:lang w:val="en-US" w:eastAsia="zh-CN"/>
        </w:rPr>
        <w:t>6014.92</w:t>
      </w:r>
      <w:r>
        <w:rPr>
          <w:rFonts w:hint="eastAsia" w:ascii="Times New Roman" w:hAnsi="Times New Roman" w:cs="Times New Roman"/>
          <w:sz w:val="30"/>
          <w:szCs w:val="30"/>
          <w:highlight w:val="none"/>
          <w:lang w:eastAsia="zh-CN"/>
        </w:rPr>
        <w:t>万元。绩效目标情况详见报表（日常运转类项目、工资类人员经费项目和涉密项目等除外）。</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2.重点项目预算绩效目标说明。</w:t>
      </w:r>
    </w:p>
    <w:p>
      <w:pPr>
        <w:pStyle w:val="17"/>
        <w:spacing w:line="624" w:lineRule="exact"/>
        <w:ind w:firstLine="600"/>
        <w:jc w:val="left"/>
        <w:rPr>
          <w:rFonts w:hint="eastAsia" w:ascii="Times New Roman" w:hAnsi="Times New Roman" w:cs="Times New Roman"/>
          <w:sz w:val="30"/>
          <w:szCs w:val="30"/>
          <w:highlight w:val="none"/>
          <w:lang w:eastAsia="zh-CN"/>
        </w:rPr>
      </w:pPr>
      <w:r>
        <w:rPr>
          <w:rFonts w:hint="eastAsia" w:ascii="Times New Roman" w:hAnsi="Times New Roman" w:cs="Times New Roman"/>
          <w:sz w:val="30"/>
          <w:szCs w:val="30"/>
          <w:highlight w:val="none"/>
          <w:lang w:eastAsia="zh-CN"/>
        </w:rPr>
        <w:t>重点项目一：</w:t>
      </w:r>
      <w:r>
        <w:rPr>
          <w:rFonts w:hint="eastAsia" w:ascii="Times New Roman" w:hAnsi="Times New Roman" w:cs="Times New Roman"/>
          <w:sz w:val="30"/>
          <w:szCs w:val="30"/>
          <w:highlight w:val="none"/>
          <w:lang w:val="en-US" w:eastAsia="zh-CN"/>
        </w:rPr>
        <w:t>森林病虫害防治项目</w:t>
      </w:r>
      <w:r>
        <w:rPr>
          <w:rFonts w:hint="eastAsia" w:ascii="Times New Roman" w:hAnsi="Times New Roman" w:cs="Times New Roman"/>
          <w:sz w:val="30"/>
          <w:szCs w:val="30"/>
          <w:highlight w:val="none"/>
          <w:lang w:eastAsia="zh-CN"/>
        </w:rPr>
        <w:t>，预算资金</w:t>
      </w:r>
      <w:r>
        <w:rPr>
          <w:rFonts w:hint="eastAsia" w:ascii="Times New Roman" w:hAnsi="Times New Roman" w:cs="Times New Roman"/>
          <w:sz w:val="30"/>
          <w:szCs w:val="30"/>
          <w:highlight w:val="none"/>
          <w:lang w:val="en-US" w:eastAsia="zh-CN"/>
        </w:rPr>
        <w:t>8.8</w:t>
      </w:r>
      <w:r>
        <w:rPr>
          <w:rFonts w:hint="eastAsia" w:ascii="Times New Roman" w:hAnsi="Times New Roman" w:cs="Times New Roman"/>
          <w:sz w:val="30"/>
          <w:szCs w:val="30"/>
          <w:highlight w:val="none"/>
          <w:lang w:eastAsia="zh-CN"/>
        </w:rPr>
        <w:t>万元，2024年度绩效目标为加强林业有害生物防治和动物疫病疫源防控，设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条数量指标：数量指标1.林业有害生物防治面积（万亩次）；设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条质量指标：质量指标1.林业有害生物成灾率≤0.35；设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条经济效益指标：经济效益指标1.生态效益指标</w:t>
      </w:r>
      <w:r>
        <w:rPr>
          <w:rFonts w:hint="eastAsia" w:ascii="Times New Roman" w:hAnsi="Times New Roman" w:cs="Times New Roman"/>
          <w:sz w:val="30"/>
          <w:szCs w:val="30"/>
          <w:highlight w:val="none"/>
          <w:lang w:val="en-US" w:eastAsia="zh-CN"/>
        </w:rPr>
        <w:t>1.林业有害生物无公害防治率≥90%</w:t>
      </w:r>
      <w:r>
        <w:rPr>
          <w:rFonts w:hint="eastAsia" w:ascii="Times New Roman" w:hAnsi="Times New Roman" w:cs="Times New Roman"/>
          <w:sz w:val="30"/>
          <w:szCs w:val="30"/>
          <w:highlight w:val="none"/>
          <w:lang w:eastAsia="zh-CN"/>
        </w:rPr>
        <w:t>；设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条满意度指标：满意度指标1.林业有害生物防治辖区民众、森防站满意度</w:t>
      </w:r>
      <w:r>
        <w:rPr>
          <w:rFonts w:hint="eastAsia" w:ascii="Times New Roman" w:hAnsi="Times New Roman" w:cs="Times New Roman"/>
          <w:sz w:val="30"/>
          <w:szCs w:val="30"/>
          <w:highlight w:val="none"/>
          <w:lang w:val="en-US" w:eastAsia="zh-CN"/>
        </w:rPr>
        <w:t>≥95%</w:t>
      </w:r>
      <w:r>
        <w:rPr>
          <w:rFonts w:hint="eastAsia" w:ascii="Times New Roman" w:hAnsi="Times New Roman" w:cs="Times New Roman"/>
          <w:sz w:val="30"/>
          <w:szCs w:val="30"/>
          <w:highlight w:val="none"/>
          <w:lang w:eastAsia="zh-CN"/>
        </w:rPr>
        <w:t>。</w:t>
      </w:r>
    </w:p>
    <w:p>
      <w:pPr>
        <w:pStyle w:val="17"/>
        <w:spacing w:line="624" w:lineRule="exact"/>
        <w:ind w:firstLine="600"/>
        <w:jc w:val="left"/>
        <w:rPr>
          <w:rFonts w:hint="eastAsia" w:ascii="Times New Roman" w:hAnsi="Times New Roman" w:cs="Times New Roman"/>
          <w:sz w:val="30"/>
          <w:szCs w:val="30"/>
          <w:highlight w:val="none"/>
          <w:lang w:eastAsia="zh-CN"/>
        </w:rPr>
        <w:sectPr>
          <w:headerReference r:id="rId28" w:type="default"/>
          <w:footerReference r:id="rId29"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r>
        <w:rPr>
          <w:rFonts w:hint="eastAsia" w:ascii="Times New Roman" w:hAnsi="Times New Roman" w:cs="Times New Roman"/>
          <w:sz w:val="30"/>
          <w:szCs w:val="30"/>
          <w:highlight w:val="none"/>
          <w:lang w:eastAsia="zh-CN"/>
        </w:rPr>
        <w:t>重点项目二：</w:t>
      </w:r>
      <w:r>
        <w:rPr>
          <w:rFonts w:hint="eastAsia" w:ascii="Times New Roman" w:hAnsi="Times New Roman" w:cs="Times New Roman"/>
          <w:sz w:val="30"/>
          <w:szCs w:val="30"/>
          <w:highlight w:val="none"/>
          <w:lang w:val="en-US" w:eastAsia="zh-CN"/>
        </w:rPr>
        <w:t>绿化景观提升补助项目</w:t>
      </w:r>
      <w:r>
        <w:rPr>
          <w:rFonts w:hint="eastAsia" w:ascii="Times New Roman" w:hAnsi="Times New Roman" w:cs="Times New Roman"/>
          <w:sz w:val="30"/>
          <w:szCs w:val="30"/>
          <w:highlight w:val="none"/>
          <w:lang w:eastAsia="zh-CN"/>
        </w:rPr>
        <w:t>，预算资金</w:t>
      </w:r>
      <w:r>
        <w:rPr>
          <w:rFonts w:hint="eastAsia" w:ascii="Times New Roman" w:hAnsi="Times New Roman" w:cs="Times New Roman"/>
          <w:sz w:val="30"/>
          <w:szCs w:val="30"/>
          <w:highlight w:val="none"/>
          <w:lang w:val="en-US" w:eastAsia="zh-CN"/>
        </w:rPr>
        <w:t>50.2</w:t>
      </w:r>
      <w:r>
        <w:rPr>
          <w:rFonts w:hint="eastAsia" w:ascii="Times New Roman" w:hAnsi="Times New Roman" w:cs="Times New Roman"/>
          <w:sz w:val="30"/>
          <w:szCs w:val="30"/>
          <w:highlight w:val="none"/>
          <w:lang w:eastAsia="zh-CN"/>
        </w:rPr>
        <w:t>万元，2024年度绩效目标为推进大规模国土绿化，完成重点区域绿化工作任务，设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条数量指标：数量指标1.村屯绿化景观提升项目数量（个）；设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条质量指标：质量指标1.重点区域绿化项目验收合格率≥80%；设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条时效指标：时效指标1.重点区域绿化当期任务完成率≥80%；设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条成本指标：成本指标1.森林经营补助标准：质量提升不低于400元/亩、景观改造不低于600元/亩；设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条经济效益指标：经济效益指标1.通过森林经营改善林分结构情况明显；设</w:t>
      </w:r>
      <w:r>
        <w:rPr>
          <w:rFonts w:hint="eastAsia" w:ascii="Times New Roman" w:hAnsi="Times New Roman" w:cs="Times New Roman"/>
          <w:sz w:val="30"/>
          <w:szCs w:val="30"/>
          <w:highlight w:val="none"/>
          <w:lang w:val="en-US" w:eastAsia="zh-CN"/>
        </w:rPr>
        <w:t>1</w:t>
      </w:r>
      <w:r>
        <w:rPr>
          <w:rFonts w:hint="eastAsia" w:ascii="Times New Roman" w:hAnsi="Times New Roman" w:cs="Times New Roman"/>
          <w:sz w:val="30"/>
          <w:szCs w:val="30"/>
          <w:highlight w:val="none"/>
          <w:lang w:eastAsia="zh-CN"/>
        </w:rPr>
        <w:t>条满意度指标：满意度指标1.森林经营政策宣传满意度≥70%。</w:t>
      </w:r>
    </w:p>
    <w:p>
      <w:pPr>
        <w:pStyle w:val="17"/>
        <w:spacing w:line="624" w:lineRule="exact"/>
        <w:ind w:left="0" w:leftChars="0" w:firstLine="0" w:firstLineChars="0"/>
        <w:jc w:val="left"/>
        <w:rPr>
          <w:rFonts w:hint="eastAsia" w:ascii="Times New Roman" w:hAnsi="Times New Roman" w:cs="Times New Roman"/>
          <w:sz w:val="30"/>
          <w:szCs w:val="30"/>
          <w:lang w:eastAsia="zh-CN"/>
        </w:rPr>
      </w:pPr>
    </w:p>
    <w:p>
      <w:pPr>
        <w:pStyle w:val="17"/>
        <w:spacing w:line="624" w:lineRule="exact"/>
        <w:ind w:firstLine="600"/>
        <w:jc w:val="left"/>
        <w:rPr>
          <w:rFonts w:hint="eastAsia" w:ascii="Times New Roman" w:hAnsi="Times New Roman" w:cs="Times New Roman"/>
          <w:sz w:val="30"/>
          <w:szCs w:val="30"/>
          <w:lang w:eastAsia="zh-CN"/>
        </w:rPr>
      </w:pPr>
    </w:p>
    <w:p>
      <w:pPr>
        <w:pStyle w:val="11"/>
        <w:keepNext/>
        <w:keepLines/>
        <w:spacing w:after="980"/>
        <w:jc w:val="center"/>
      </w:pPr>
      <w:r>
        <w:t>第</w:t>
      </w:r>
      <w:r>
        <w:rPr>
          <w:rFonts w:hint="eastAsia"/>
          <w:lang w:val="en-US" w:eastAsia="zh-CN"/>
        </w:rPr>
        <w:t>三</w:t>
      </w:r>
      <w:r>
        <w:t>部分</w:t>
      </w:r>
      <w:r>
        <w:rPr>
          <w:rFonts w:hint="eastAsia"/>
          <w:lang w:eastAsia="zh-CN"/>
        </w:rPr>
        <w:t>环江毛南族自治县林业局</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bookmarkEnd w:id="10"/>
      <w:bookmarkEnd w:id="11"/>
      <w:bookmarkEnd w:id="12"/>
    </w:p>
    <w:p>
      <w:pPr>
        <w:pStyle w:val="21"/>
        <w:keepNext/>
        <w:keepLines/>
        <w:spacing w:after="240"/>
        <w:jc w:val="center"/>
      </w:pPr>
      <w:bookmarkStart w:id="16" w:name="bookmark29"/>
      <w:bookmarkStart w:id="17" w:name="bookmark31"/>
      <w:bookmarkStart w:id="18" w:name="bookmark30"/>
      <w:r>
        <w:t>收支总体情况表</w:t>
      </w:r>
      <w:bookmarkEnd w:id="16"/>
      <w:bookmarkEnd w:id="17"/>
      <w:bookmarkEnd w:id="18"/>
    </w:p>
    <w:tbl>
      <w:tblPr>
        <w:tblStyle w:val="5"/>
        <w:tblW w:w="0" w:type="auto"/>
        <w:jc w:val="center"/>
        <w:tblLayout w:type="fixed"/>
        <w:tblCellMar>
          <w:top w:w="0" w:type="dxa"/>
          <w:left w:w="10" w:type="dxa"/>
          <w:bottom w:w="0" w:type="dxa"/>
          <w:right w:w="10" w:type="dxa"/>
        </w:tblCellMar>
      </w:tblPr>
      <w:tblGrid>
        <w:gridCol w:w="2659"/>
        <w:gridCol w:w="680"/>
        <w:gridCol w:w="3760"/>
        <w:gridCol w:w="3542"/>
        <w:gridCol w:w="3571"/>
      </w:tblGrid>
      <w:tr>
        <w:tblPrEx>
          <w:tblCellMar>
            <w:top w:w="0" w:type="dxa"/>
            <w:left w:w="10" w:type="dxa"/>
            <w:bottom w:w="0" w:type="dxa"/>
            <w:right w:w="10" w:type="dxa"/>
          </w:tblCellMar>
        </w:tblPrEx>
        <w:trPr>
          <w:trHeight w:val="331" w:hRule="exact"/>
          <w:jc w:val="center"/>
        </w:trPr>
        <w:tc>
          <w:tcPr>
            <w:tcW w:w="10641" w:type="dxa"/>
            <w:gridSpan w:val="4"/>
            <w:tcBorders>
              <w:bottom w:val="single" w:color="auto" w:sz="4" w:space="0"/>
            </w:tcBorders>
            <w:shd w:val="clear" w:color="auto" w:fill="FFFFFF"/>
          </w:tcPr>
          <w:p>
            <w:pPr>
              <w:pStyle w:val="23"/>
              <w:spacing w:line="240" w:lineRule="auto"/>
              <w:ind w:firstLine="0"/>
              <w:jc w:val="left"/>
              <w:rPr>
                <w:sz w:val="17"/>
                <w:szCs w:val="17"/>
              </w:rPr>
            </w:pPr>
            <w:r>
              <w:rPr>
                <w:sz w:val="17"/>
                <w:szCs w:val="17"/>
              </w:rPr>
              <w:t>单位名称：</w:t>
            </w:r>
            <w:r>
              <w:rPr>
                <w:rFonts w:hint="eastAsia"/>
                <w:sz w:val="17"/>
                <w:szCs w:val="17"/>
                <w:lang w:eastAsia="zh-CN"/>
              </w:rPr>
              <w:t>环江毛南族自治县林业局</w:t>
            </w:r>
          </w:p>
        </w:tc>
        <w:tc>
          <w:tcPr>
            <w:tcW w:w="3571" w:type="dxa"/>
            <w:tcBorders>
              <w:bottom w:val="single" w:color="auto" w:sz="4" w:space="0"/>
            </w:tcBorders>
            <w:shd w:val="clear" w:color="auto" w:fill="FFFFFF"/>
          </w:tcPr>
          <w:p>
            <w:pPr>
              <w:pStyle w:val="23"/>
              <w:spacing w:line="240" w:lineRule="auto"/>
              <w:ind w:firstLine="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jc w:val="center"/>
        </w:trPr>
        <w:tc>
          <w:tcPr>
            <w:tcW w:w="2659" w:type="dxa"/>
            <w:tcBorders>
              <w:top w:val="single" w:color="auto" w:sz="4" w:space="0"/>
              <w:left w:val="single" w:color="auto" w:sz="4" w:space="0"/>
              <w:bottom w:val="single" w:color="auto" w:sz="4" w:space="0"/>
              <w:right w:val="single" w:color="auto" w:sz="4" w:space="0"/>
            </w:tcBorders>
            <w:shd w:val="clear" w:color="auto" w:fill="auto"/>
          </w:tcPr>
          <w:p>
            <w:pPr>
              <w:jc w:val="left"/>
              <w:rPr>
                <w:sz w:val="10"/>
                <w:szCs w:val="1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sz w:val="17"/>
                <w:szCs w:val="17"/>
              </w:rPr>
            </w:pPr>
            <w:r>
              <w:rPr>
                <w:sz w:val="17"/>
                <w:szCs w:val="17"/>
              </w:rPr>
              <w:t>收</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340"/>
              <w:jc w:val="left"/>
              <w:rPr>
                <w:sz w:val="17"/>
                <w:szCs w:val="17"/>
              </w:rPr>
            </w:pPr>
            <w:r>
              <w:rPr>
                <w:sz w:val="17"/>
                <w:szCs w:val="17"/>
              </w:rPr>
              <w:t>入</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right="340" w:firstLine="0"/>
              <w:jc w:val="left"/>
              <w:rPr>
                <w:sz w:val="17"/>
                <w:szCs w:val="17"/>
              </w:rPr>
            </w:pPr>
            <w:r>
              <w:rPr>
                <w:sz w:val="17"/>
                <w:szCs w:val="17"/>
              </w:rPr>
              <w:t>支</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360"/>
              <w:jc w:val="left"/>
              <w:rPr>
                <w:sz w:val="17"/>
                <w:szCs w:val="17"/>
              </w:rPr>
            </w:pPr>
            <w:r>
              <w:rPr>
                <w:sz w:val="17"/>
                <w:szCs w:val="17"/>
              </w:rPr>
              <w:t>出</w:t>
            </w:r>
          </w:p>
        </w:tc>
      </w:tr>
      <w:tr>
        <w:tblPrEx>
          <w:tblCellMar>
            <w:top w:w="0" w:type="dxa"/>
            <w:left w:w="10" w:type="dxa"/>
            <w:bottom w:w="0" w:type="dxa"/>
            <w:right w:w="10" w:type="dxa"/>
          </w:tblCellMar>
        </w:tblPrEx>
        <w:trPr>
          <w:trHeight w:val="432"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sz w:val="17"/>
                <w:szCs w:val="17"/>
              </w:rPr>
            </w:pPr>
            <w:r>
              <w:rPr>
                <w:sz w:val="17"/>
                <w:szCs w:val="17"/>
              </w:rPr>
              <w:t>项 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2026.13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17.72</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2026.13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206.63</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995.40</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25.23</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6,489.59</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177.89</w:t>
            </w: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2026.13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5886.33</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hint="default" w:eastAsia="宋体"/>
                <w:sz w:val="17"/>
                <w:szCs w:val="17"/>
                <w:lang w:val="en-US" w:eastAsia="zh-CN"/>
              </w:rPr>
            </w:pPr>
          </w:p>
        </w:tc>
      </w:tr>
      <w:tr>
        <w:tblPrEx>
          <w:tblCellMar>
            <w:top w:w="0" w:type="dxa"/>
            <w:left w:w="10" w:type="dxa"/>
            <w:bottom w:w="0" w:type="dxa"/>
            <w:right w:w="10" w:type="dxa"/>
          </w:tblCellMar>
        </w:tblPrEx>
        <w:trPr>
          <w:trHeight w:val="451" w:hRule="exact"/>
          <w:jc w:val="center"/>
        </w:trPr>
        <w:tc>
          <w:tcPr>
            <w:tcW w:w="333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0"/>
              <w:jc w:val="right"/>
              <w:rPr>
                <w:rFonts w:hint="default" w:eastAsia="宋体"/>
                <w:sz w:val="17"/>
                <w:szCs w:val="17"/>
                <w:lang w:val="en-US" w:eastAsia="zh-CN"/>
              </w:rPr>
            </w:pPr>
            <w:r>
              <w:rPr>
                <w:rFonts w:hint="eastAsia"/>
                <w:sz w:val="17"/>
                <w:szCs w:val="17"/>
                <w:lang w:val="en-US" w:eastAsia="zh-CN"/>
              </w:rPr>
              <w:t>7912.46</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3"/>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r>
    </w:tbl>
    <w:p>
      <w:pPr>
        <w:pStyle w:val="25"/>
        <w:ind w:left="101"/>
        <w:jc w:val="left"/>
      </w:pPr>
      <w:r>
        <w:t>注：报表金额单位转换时可能存在四舍五入尾数误差。</w:t>
      </w:r>
    </w:p>
    <w:p>
      <w:pPr>
        <w:tabs>
          <w:tab w:val="left" w:pos="859"/>
        </w:tabs>
        <w:jc w:val="left"/>
        <w:rPr>
          <w:rFonts w:eastAsia="宋体"/>
          <w:lang w:eastAsia="zh-CN"/>
        </w:rPr>
        <w:sectPr>
          <w:pgSz w:w="16840" w:h="11900" w:orient="landscape"/>
          <w:pgMar w:top="1800" w:right="1440" w:bottom="1800" w:left="1440" w:header="0" w:footer="3" w:gutter="0"/>
          <w:pgBorders>
            <w:top w:val="none" w:sz="0" w:space="0"/>
            <w:left w:val="none" w:sz="0" w:space="0"/>
            <w:bottom w:val="none" w:sz="0" w:space="0"/>
            <w:right w:val="none" w:sz="0" w:space="0"/>
          </w:pgBorders>
          <w:cols w:space="720" w:num="1"/>
          <w:docGrid w:linePitch="360" w:charSpace="0"/>
        </w:sectPr>
      </w:pPr>
    </w:p>
    <w:p>
      <w:pPr>
        <w:pStyle w:val="21"/>
        <w:keepNext/>
        <w:keepLines/>
        <w:framePr w:w="15286" w:h="230" w:hSpace="13219" w:wrap="notBeside" w:vAnchor="text" w:hAnchor="page" w:x="725" w:y="1573"/>
        <w:spacing w:after="240"/>
        <w:jc w:val="center"/>
      </w:pPr>
      <w:bookmarkStart w:id="19" w:name="bookmark38"/>
      <w:bookmarkStart w:id="20" w:name="bookmark39"/>
      <w:bookmarkStart w:id="21" w:name="bookmark40"/>
      <w:r>
        <w:t>收入总体情况表</w:t>
      </w:r>
      <w:bookmarkEnd w:id="19"/>
      <w:bookmarkEnd w:id="20"/>
      <w:bookmarkEnd w:id="21"/>
    </w:p>
    <w:p>
      <w:pPr>
        <w:pStyle w:val="25"/>
        <w:framePr w:w="15286" w:h="230" w:hSpace="13219" w:wrap="notBeside" w:vAnchor="text" w:hAnchor="page" w:x="725" w:y="1573"/>
        <w:jc w:val="left"/>
      </w:pPr>
      <w:r>
        <w:t>单位名称：</w:t>
      </w:r>
      <w:r>
        <w:rPr>
          <w:rFonts w:hint="eastAsia"/>
          <w:lang w:eastAsia="zh-CN"/>
        </w:rPr>
        <w:t>环江毛南族自治县林业局</w:t>
      </w:r>
    </w:p>
    <w:tbl>
      <w:tblPr>
        <w:tblStyle w:val="5"/>
        <w:tblpPr w:leftFromText="180" w:rightFromText="180" w:vertAnchor="text" w:horzAnchor="page" w:tblpX="762" w:tblpY="232"/>
        <w:tblOverlap w:val="never"/>
        <w:tblW w:w="0" w:type="auto"/>
        <w:tblInd w:w="0" w:type="dxa"/>
        <w:tblLayout w:type="fixed"/>
        <w:tblCellMar>
          <w:top w:w="0" w:type="dxa"/>
          <w:left w:w="10" w:type="dxa"/>
          <w:bottom w:w="0" w:type="dxa"/>
          <w:right w:w="10" w:type="dxa"/>
        </w:tblCellMar>
      </w:tblPr>
      <w:tblGrid>
        <w:gridCol w:w="1181"/>
        <w:gridCol w:w="1171"/>
        <w:gridCol w:w="1142"/>
        <w:gridCol w:w="974"/>
        <w:gridCol w:w="965"/>
        <w:gridCol w:w="1003"/>
        <w:gridCol w:w="965"/>
        <w:gridCol w:w="941"/>
        <w:gridCol w:w="979"/>
        <w:gridCol w:w="1003"/>
        <w:gridCol w:w="979"/>
        <w:gridCol w:w="960"/>
        <w:gridCol w:w="1066"/>
        <w:gridCol w:w="979"/>
        <w:gridCol w:w="1032"/>
      </w:tblGrid>
      <w:tr>
        <w:tblPrEx>
          <w:tblCellMar>
            <w:top w:w="0" w:type="dxa"/>
            <w:left w:w="10" w:type="dxa"/>
            <w:bottom w:w="0" w:type="dxa"/>
            <w:right w:w="10" w:type="dxa"/>
          </w:tblCellMar>
        </w:tblPrEx>
        <w:trPr>
          <w:trHeight w:val="446" w:hRule="exact"/>
        </w:trPr>
        <w:tc>
          <w:tcPr>
            <w:tcW w:w="1181" w:type="dxa"/>
            <w:vMerge w:val="restart"/>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部门（单位） 代码</w:t>
            </w:r>
          </w:p>
        </w:tc>
        <w:tc>
          <w:tcPr>
            <w:tcW w:w="1171" w:type="dxa"/>
            <w:vMerge w:val="restart"/>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部门（单位） 名称</w:t>
            </w:r>
          </w:p>
        </w:tc>
        <w:tc>
          <w:tcPr>
            <w:tcW w:w="1142"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5827" w:type="dxa"/>
            <w:gridSpan w:val="6"/>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本年收入</w:t>
            </w:r>
          </w:p>
        </w:tc>
        <w:tc>
          <w:tcPr>
            <w:tcW w:w="6019" w:type="dxa"/>
            <w:gridSpan w:val="6"/>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上年结转结余</w:t>
            </w:r>
          </w:p>
        </w:tc>
      </w:tr>
      <w:tr>
        <w:tblPrEx>
          <w:tblCellMar>
            <w:top w:w="0" w:type="dxa"/>
            <w:left w:w="10" w:type="dxa"/>
            <w:bottom w:w="0" w:type="dxa"/>
            <w:right w:w="10" w:type="dxa"/>
          </w:tblCellMar>
        </w:tblPrEx>
        <w:trPr>
          <w:trHeight w:val="946" w:hRule="exact"/>
        </w:trPr>
        <w:tc>
          <w:tcPr>
            <w:tcW w:w="1181" w:type="dxa"/>
            <w:vMerge w:val="continue"/>
            <w:tcBorders>
              <w:left w:val="single" w:color="auto" w:sz="4" w:space="0"/>
            </w:tcBorders>
            <w:shd w:val="clear" w:color="auto" w:fill="FFFFFF"/>
            <w:vAlign w:val="center"/>
          </w:tcPr>
          <w:p>
            <w:pPr>
              <w:jc w:val="left"/>
            </w:pPr>
          </w:p>
        </w:tc>
        <w:tc>
          <w:tcPr>
            <w:tcW w:w="1171" w:type="dxa"/>
            <w:vMerge w:val="continue"/>
            <w:tcBorders>
              <w:left w:val="single" w:color="auto" w:sz="4" w:space="0"/>
            </w:tcBorders>
            <w:shd w:val="clear" w:color="auto" w:fill="FFFFFF"/>
            <w:vAlign w:val="center"/>
          </w:tcPr>
          <w:p>
            <w:pPr>
              <w:jc w:val="left"/>
            </w:pPr>
          </w:p>
        </w:tc>
        <w:tc>
          <w:tcPr>
            <w:tcW w:w="1142" w:type="dxa"/>
            <w:vMerge w:val="continue"/>
            <w:tcBorders>
              <w:left w:val="single" w:color="auto" w:sz="4" w:space="0"/>
            </w:tcBorders>
            <w:shd w:val="clear" w:color="auto" w:fill="FFFFFF"/>
            <w:vAlign w:val="center"/>
          </w:tcPr>
          <w:p>
            <w:pPr>
              <w:jc w:val="left"/>
            </w:pPr>
          </w:p>
        </w:tc>
        <w:tc>
          <w:tcPr>
            <w:tcW w:w="974" w:type="dxa"/>
            <w:tcBorders>
              <w:top w:val="single" w:color="auto" w:sz="4" w:space="0"/>
              <w:left w:val="single" w:color="auto" w:sz="4" w:space="0"/>
            </w:tcBorders>
            <w:shd w:val="clear" w:color="auto" w:fill="FFFFFF"/>
            <w:vAlign w:val="center"/>
          </w:tcPr>
          <w:p>
            <w:pPr>
              <w:pStyle w:val="23"/>
              <w:spacing w:line="240" w:lineRule="auto"/>
              <w:ind w:firstLine="300"/>
              <w:jc w:val="left"/>
              <w:rPr>
                <w:sz w:val="17"/>
                <w:szCs w:val="17"/>
              </w:rPr>
            </w:pPr>
            <w:r>
              <w:rPr>
                <w:sz w:val="17"/>
                <w:szCs w:val="17"/>
              </w:rPr>
              <w:t>小计</w:t>
            </w:r>
          </w:p>
        </w:tc>
        <w:tc>
          <w:tcPr>
            <w:tcW w:w="965"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一般公共 预算</w:t>
            </w:r>
          </w:p>
        </w:tc>
        <w:tc>
          <w:tcPr>
            <w:tcW w:w="1003"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政府性基 金预算</w:t>
            </w:r>
          </w:p>
        </w:tc>
        <w:tc>
          <w:tcPr>
            <w:tcW w:w="965"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国有资本 经营预算</w:t>
            </w:r>
          </w:p>
        </w:tc>
        <w:tc>
          <w:tcPr>
            <w:tcW w:w="941" w:type="dxa"/>
            <w:tcBorders>
              <w:top w:val="single" w:color="auto" w:sz="4" w:space="0"/>
              <w:left w:val="single" w:color="auto" w:sz="4" w:space="0"/>
            </w:tcBorders>
            <w:shd w:val="clear" w:color="auto" w:fill="FFFFFF"/>
          </w:tcPr>
          <w:p>
            <w:pPr>
              <w:pStyle w:val="23"/>
              <w:spacing w:line="312" w:lineRule="exact"/>
              <w:ind w:firstLine="0"/>
              <w:jc w:val="left"/>
              <w:rPr>
                <w:sz w:val="17"/>
                <w:szCs w:val="17"/>
              </w:rPr>
            </w:pPr>
            <w:r>
              <w:rPr>
                <w:sz w:val="17"/>
                <w:szCs w:val="17"/>
              </w:rPr>
              <w:t>财政专户 管理资金</w:t>
            </w:r>
          </w:p>
          <w:p>
            <w:pPr>
              <w:pStyle w:val="23"/>
              <w:spacing w:line="312" w:lineRule="exact"/>
              <w:ind w:firstLine="0"/>
              <w:jc w:val="left"/>
              <w:rPr>
                <w:sz w:val="17"/>
                <w:szCs w:val="17"/>
              </w:rPr>
            </w:pPr>
            <w:r>
              <w:rPr>
                <w:sz w:val="17"/>
                <w:szCs w:val="17"/>
              </w:rPr>
              <w:t>收入</w:t>
            </w:r>
          </w:p>
        </w:tc>
        <w:tc>
          <w:tcPr>
            <w:tcW w:w="979"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单位资金</w:t>
            </w:r>
          </w:p>
        </w:tc>
        <w:tc>
          <w:tcPr>
            <w:tcW w:w="1003" w:type="dxa"/>
            <w:tcBorders>
              <w:top w:val="single" w:color="auto" w:sz="4" w:space="0"/>
              <w:left w:val="single" w:color="auto" w:sz="4" w:space="0"/>
            </w:tcBorders>
            <w:shd w:val="clear" w:color="auto" w:fill="FFFFFF"/>
            <w:vAlign w:val="center"/>
          </w:tcPr>
          <w:p>
            <w:pPr>
              <w:pStyle w:val="23"/>
              <w:spacing w:line="240" w:lineRule="auto"/>
              <w:ind w:firstLine="300"/>
              <w:jc w:val="left"/>
              <w:rPr>
                <w:sz w:val="17"/>
                <w:szCs w:val="17"/>
              </w:rPr>
            </w:pPr>
            <w:r>
              <w:rPr>
                <w:sz w:val="17"/>
                <w:szCs w:val="17"/>
              </w:rPr>
              <w:t>小计</w:t>
            </w:r>
          </w:p>
        </w:tc>
        <w:tc>
          <w:tcPr>
            <w:tcW w:w="979"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一般公共 预算</w:t>
            </w:r>
          </w:p>
        </w:tc>
        <w:tc>
          <w:tcPr>
            <w:tcW w:w="960"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政府性基 金预算</w:t>
            </w:r>
          </w:p>
        </w:tc>
        <w:tc>
          <w:tcPr>
            <w:tcW w:w="1066" w:type="dxa"/>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国有资本 经营预算</w:t>
            </w:r>
          </w:p>
        </w:tc>
        <w:tc>
          <w:tcPr>
            <w:tcW w:w="979" w:type="dxa"/>
            <w:tcBorders>
              <w:top w:val="single" w:color="auto" w:sz="4" w:space="0"/>
              <w:left w:val="single" w:color="auto" w:sz="4" w:space="0"/>
            </w:tcBorders>
            <w:shd w:val="clear" w:color="auto" w:fill="FFFFFF"/>
          </w:tcPr>
          <w:p>
            <w:pPr>
              <w:pStyle w:val="23"/>
              <w:spacing w:line="312" w:lineRule="exact"/>
              <w:ind w:firstLine="0"/>
              <w:jc w:val="left"/>
              <w:rPr>
                <w:sz w:val="17"/>
                <w:szCs w:val="17"/>
              </w:rPr>
            </w:pPr>
            <w:r>
              <w:rPr>
                <w:sz w:val="17"/>
                <w:szCs w:val="17"/>
              </w:rPr>
              <w:t>财政专户 管理资金</w:t>
            </w:r>
          </w:p>
          <w:p>
            <w:pPr>
              <w:pStyle w:val="23"/>
              <w:spacing w:line="312" w:lineRule="exact"/>
              <w:ind w:right="280" w:firstLine="0"/>
              <w:jc w:val="left"/>
              <w:rPr>
                <w:sz w:val="17"/>
                <w:szCs w:val="17"/>
              </w:rPr>
            </w:pPr>
            <w:r>
              <w:rPr>
                <w:sz w:val="17"/>
                <w:szCs w:val="17"/>
              </w:rPr>
              <w:t>收入</w:t>
            </w:r>
          </w:p>
        </w:tc>
        <w:tc>
          <w:tcPr>
            <w:tcW w:w="1032"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140"/>
              <w:jc w:val="left"/>
              <w:rPr>
                <w:sz w:val="17"/>
                <w:szCs w:val="17"/>
              </w:rPr>
            </w:pPr>
            <w:r>
              <w:rPr>
                <w:sz w:val="17"/>
                <w:szCs w:val="17"/>
              </w:rPr>
              <w:t>单位资金</w:t>
            </w:r>
          </w:p>
        </w:tc>
      </w:tr>
      <w:tr>
        <w:tblPrEx>
          <w:tblCellMar>
            <w:top w:w="0" w:type="dxa"/>
            <w:left w:w="10" w:type="dxa"/>
            <w:bottom w:w="0" w:type="dxa"/>
            <w:right w:w="10" w:type="dxa"/>
          </w:tblCellMar>
        </w:tblPrEx>
        <w:trPr>
          <w:trHeight w:val="456" w:hRule="exact"/>
        </w:trPr>
        <w:tc>
          <w:tcPr>
            <w:tcW w:w="1181" w:type="dxa"/>
            <w:tcBorders>
              <w:left w:val="single" w:color="auto" w:sz="4" w:space="0"/>
            </w:tcBorders>
            <w:shd w:val="clear" w:color="auto" w:fill="FFFFFF"/>
            <w:vAlign w:val="center"/>
          </w:tcPr>
          <w:p>
            <w:pPr>
              <w:jc w:val="left"/>
              <w:rPr>
                <w:rFonts w:hint="default" w:eastAsia="宋体"/>
                <w:sz w:val="18"/>
                <w:szCs w:val="18"/>
                <w:lang w:val="en-US" w:eastAsia="zh-CN"/>
              </w:rPr>
            </w:pPr>
          </w:p>
        </w:tc>
        <w:tc>
          <w:tcPr>
            <w:tcW w:w="1171" w:type="dxa"/>
            <w:tcBorders>
              <w:left w:val="single" w:color="auto" w:sz="4" w:space="0"/>
            </w:tcBorders>
            <w:shd w:val="clear" w:color="auto" w:fill="FFFFFF"/>
            <w:vAlign w:val="center"/>
          </w:tcPr>
          <w:p>
            <w:pPr>
              <w:jc w:val="left"/>
            </w:pPr>
          </w:p>
        </w:tc>
        <w:tc>
          <w:tcPr>
            <w:tcW w:w="1142"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1</w:t>
            </w:r>
          </w:p>
        </w:tc>
        <w:tc>
          <w:tcPr>
            <w:tcW w:w="97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2</w:t>
            </w:r>
          </w:p>
        </w:tc>
        <w:tc>
          <w:tcPr>
            <w:tcW w:w="965"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3</w:t>
            </w:r>
          </w:p>
        </w:tc>
        <w:tc>
          <w:tcPr>
            <w:tcW w:w="1003" w:type="dxa"/>
            <w:tcBorders>
              <w:top w:val="single" w:color="auto" w:sz="4" w:space="0"/>
              <w:left w:val="single" w:color="auto" w:sz="4" w:space="0"/>
            </w:tcBorders>
            <w:shd w:val="clear" w:color="auto" w:fill="FFFFFF"/>
            <w:vAlign w:val="center"/>
          </w:tcPr>
          <w:p>
            <w:pPr>
              <w:pStyle w:val="23"/>
              <w:spacing w:line="240" w:lineRule="auto"/>
              <w:ind w:firstLine="440"/>
              <w:jc w:val="left"/>
              <w:rPr>
                <w:sz w:val="17"/>
                <w:szCs w:val="17"/>
              </w:rPr>
            </w:pPr>
            <w:r>
              <w:rPr>
                <w:rFonts w:ascii="Times New Roman" w:hAnsi="Times New Roman" w:eastAsia="Times New Roman" w:cs="Times New Roman"/>
                <w:b/>
                <w:bCs/>
                <w:sz w:val="17"/>
                <w:szCs w:val="17"/>
              </w:rPr>
              <w:t>4</w:t>
            </w:r>
          </w:p>
        </w:tc>
        <w:tc>
          <w:tcPr>
            <w:tcW w:w="965" w:type="dxa"/>
            <w:tcBorders>
              <w:top w:val="single" w:color="auto" w:sz="4" w:space="0"/>
              <w:left w:val="single" w:color="auto" w:sz="4" w:space="0"/>
            </w:tcBorders>
            <w:shd w:val="clear" w:color="auto" w:fill="FFFFFF"/>
            <w:vAlign w:val="center"/>
          </w:tcPr>
          <w:p>
            <w:pPr>
              <w:pStyle w:val="23"/>
              <w:spacing w:line="240" w:lineRule="auto"/>
              <w:ind w:firstLine="420"/>
              <w:jc w:val="left"/>
              <w:rPr>
                <w:sz w:val="17"/>
                <w:szCs w:val="17"/>
              </w:rPr>
            </w:pPr>
            <w:r>
              <w:rPr>
                <w:rFonts w:ascii="Times New Roman" w:hAnsi="Times New Roman" w:eastAsia="Times New Roman" w:cs="Times New Roman"/>
                <w:b/>
                <w:bCs/>
                <w:sz w:val="17"/>
                <w:szCs w:val="17"/>
              </w:rPr>
              <w:t>5</w:t>
            </w:r>
          </w:p>
        </w:tc>
        <w:tc>
          <w:tcPr>
            <w:tcW w:w="941" w:type="dxa"/>
            <w:tcBorders>
              <w:top w:val="single" w:color="auto" w:sz="4" w:space="0"/>
              <w:left w:val="single" w:color="auto" w:sz="4" w:space="0"/>
            </w:tcBorders>
            <w:shd w:val="clear" w:color="auto" w:fill="FFFFFF"/>
            <w:vAlign w:val="center"/>
          </w:tcPr>
          <w:p>
            <w:pPr>
              <w:pStyle w:val="23"/>
              <w:spacing w:line="240" w:lineRule="auto"/>
              <w:ind w:firstLine="420"/>
              <w:jc w:val="left"/>
              <w:rPr>
                <w:sz w:val="17"/>
                <w:szCs w:val="17"/>
              </w:rPr>
            </w:pPr>
            <w:r>
              <w:rPr>
                <w:rFonts w:ascii="Times New Roman" w:hAnsi="Times New Roman" w:eastAsia="Times New Roman" w:cs="Times New Roman"/>
                <w:b/>
                <w:bCs/>
                <w:sz w:val="17"/>
                <w:szCs w:val="17"/>
              </w:rPr>
              <w:t>6</w:t>
            </w:r>
          </w:p>
        </w:tc>
        <w:tc>
          <w:tcPr>
            <w:tcW w:w="979" w:type="dxa"/>
            <w:tcBorders>
              <w:top w:val="single" w:color="auto" w:sz="4" w:space="0"/>
              <w:left w:val="single" w:color="auto" w:sz="4" w:space="0"/>
            </w:tcBorders>
            <w:shd w:val="clear" w:color="auto" w:fill="FFFFFF"/>
            <w:vAlign w:val="center"/>
          </w:tcPr>
          <w:p>
            <w:pPr>
              <w:pStyle w:val="23"/>
              <w:spacing w:line="240" w:lineRule="auto"/>
              <w:ind w:firstLine="440"/>
              <w:jc w:val="left"/>
              <w:rPr>
                <w:sz w:val="17"/>
                <w:szCs w:val="17"/>
              </w:rPr>
            </w:pPr>
            <w:r>
              <w:rPr>
                <w:rFonts w:ascii="Times New Roman" w:hAnsi="Times New Roman" w:eastAsia="Times New Roman" w:cs="Times New Roman"/>
                <w:b/>
                <w:bCs/>
                <w:sz w:val="17"/>
                <w:szCs w:val="17"/>
              </w:rPr>
              <w:t>7</w:t>
            </w:r>
          </w:p>
        </w:tc>
        <w:tc>
          <w:tcPr>
            <w:tcW w:w="1003" w:type="dxa"/>
            <w:tcBorders>
              <w:top w:val="single" w:color="auto" w:sz="4" w:space="0"/>
              <w:left w:val="single" w:color="auto" w:sz="4" w:space="0"/>
            </w:tcBorders>
            <w:shd w:val="clear" w:color="auto" w:fill="FFFFFF"/>
            <w:vAlign w:val="center"/>
          </w:tcPr>
          <w:p>
            <w:pPr>
              <w:pStyle w:val="23"/>
              <w:spacing w:line="240" w:lineRule="auto"/>
              <w:ind w:firstLine="440"/>
              <w:jc w:val="left"/>
              <w:rPr>
                <w:sz w:val="17"/>
                <w:szCs w:val="17"/>
              </w:rPr>
            </w:pPr>
            <w:r>
              <w:rPr>
                <w:rFonts w:ascii="Times New Roman" w:hAnsi="Times New Roman" w:eastAsia="Times New Roman" w:cs="Times New Roman"/>
                <w:b/>
                <w:bCs/>
                <w:sz w:val="17"/>
                <w:szCs w:val="17"/>
              </w:rPr>
              <w:t>8</w:t>
            </w:r>
          </w:p>
        </w:tc>
        <w:tc>
          <w:tcPr>
            <w:tcW w:w="979" w:type="dxa"/>
            <w:tcBorders>
              <w:top w:val="single" w:color="auto" w:sz="4" w:space="0"/>
              <w:left w:val="single" w:color="auto" w:sz="4" w:space="0"/>
            </w:tcBorders>
            <w:shd w:val="clear" w:color="auto" w:fill="FFFFFF"/>
            <w:vAlign w:val="center"/>
          </w:tcPr>
          <w:p>
            <w:pPr>
              <w:pStyle w:val="23"/>
              <w:spacing w:line="240" w:lineRule="auto"/>
              <w:ind w:firstLine="420"/>
              <w:jc w:val="left"/>
              <w:rPr>
                <w:sz w:val="17"/>
                <w:szCs w:val="17"/>
              </w:rPr>
            </w:pPr>
            <w:r>
              <w:rPr>
                <w:rFonts w:ascii="Times New Roman" w:hAnsi="Times New Roman" w:eastAsia="Times New Roman" w:cs="Times New Roman"/>
                <w:b/>
                <w:bCs/>
                <w:sz w:val="17"/>
                <w:szCs w:val="17"/>
              </w:rPr>
              <w:t>9</w:t>
            </w:r>
          </w:p>
        </w:tc>
        <w:tc>
          <w:tcPr>
            <w:tcW w:w="960" w:type="dxa"/>
            <w:tcBorders>
              <w:top w:val="single" w:color="auto" w:sz="4" w:space="0"/>
              <w:left w:val="single" w:color="auto" w:sz="4" w:space="0"/>
            </w:tcBorders>
            <w:shd w:val="clear" w:color="auto" w:fill="FFFFFF"/>
            <w:vAlign w:val="center"/>
          </w:tcPr>
          <w:p>
            <w:pPr>
              <w:pStyle w:val="23"/>
              <w:spacing w:line="240" w:lineRule="auto"/>
              <w:ind w:right="360" w:firstLine="0"/>
              <w:jc w:val="left"/>
              <w:rPr>
                <w:sz w:val="17"/>
                <w:szCs w:val="17"/>
              </w:rPr>
            </w:pPr>
            <w:r>
              <w:rPr>
                <w:rFonts w:ascii="Times New Roman" w:hAnsi="Times New Roman" w:eastAsia="Times New Roman" w:cs="Times New Roman"/>
                <w:b/>
                <w:bCs/>
                <w:sz w:val="17"/>
                <w:szCs w:val="17"/>
              </w:rPr>
              <w:t>10</w:t>
            </w:r>
          </w:p>
        </w:tc>
        <w:tc>
          <w:tcPr>
            <w:tcW w:w="1066" w:type="dxa"/>
            <w:tcBorders>
              <w:top w:val="single" w:color="auto" w:sz="4" w:space="0"/>
              <w:left w:val="single" w:color="auto" w:sz="4" w:space="0"/>
            </w:tcBorders>
            <w:shd w:val="clear" w:color="auto" w:fill="FFFFFF"/>
            <w:vAlign w:val="center"/>
          </w:tcPr>
          <w:p>
            <w:pPr>
              <w:pStyle w:val="23"/>
              <w:spacing w:line="240" w:lineRule="auto"/>
              <w:ind w:firstLine="440"/>
              <w:jc w:val="left"/>
              <w:rPr>
                <w:sz w:val="17"/>
                <w:szCs w:val="17"/>
              </w:rPr>
            </w:pPr>
            <w:r>
              <w:rPr>
                <w:rFonts w:ascii="Times New Roman" w:hAnsi="Times New Roman" w:eastAsia="Times New Roman" w:cs="Times New Roman"/>
                <w:b/>
                <w:bCs/>
                <w:sz w:val="17"/>
                <w:szCs w:val="17"/>
              </w:rPr>
              <w:t>11</w:t>
            </w:r>
          </w:p>
        </w:tc>
        <w:tc>
          <w:tcPr>
            <w:tcW w:w="979" w:type="dxa"/>
            <w:tcBorders>
              <w:top w:val="single" w:color="auto" w:sz="4" w:space="0"/>
              <w:left w:val="single" w:color="auto" w:sz="4" w:space="0"/>
            </w:tcBorders>
            <w:shd w:val="clear" w:color="auto" w:fill="FFFFFF"/>
            <w:vAlign w:val="center"/>
          </w:tcPr>
          <w:p>
            <w:pPr>
              <w:pStyle w:val="23"/>
              <w:spacing w:line="240" w:lineRule="auto"/>
              <w:ind w:right="380" w:firstLine="0"/>
              <w:jc w:val="left"/>
              <w:rPr>
                <w:sz w:val="17"/>
                <w:szCs w:val="17"/>
              </w:rPr>
            </w:pPr>
            <w:r>
              <w:rPr>
                <w:rFonts w:ascii="Times New Roman" w:hAnsi="Times New Roman" w:eastAsia="Times New Roman" w:cs="Times New Roman"/>
                <w:b/>
                <w:bCs/>
                <w:sz w:val="17"/>
                <w:szCs w:val="17"/>
              </w:rPr>
              <w:t>12</w:t>
            </w:r>
          </w:p>
        </w:tc>
        <w:tc>
          <w:tcPr>
            <w:tcW w:w="1032" w:type="dxa"/>
            <w:tcBorders>
              <w:top w:val="single" w:color="auto" w:sz="4" w:space="0"/>
              <w:left w:val="single" w:color="auto" w:sz="4" w:space="0"/>
              <w:right w:val="single" w:color="auto" w:sz="4" w:space="0"/>
            </w:tcBorders>
            <w:shd w:val="clear" w:color="auto" w:fill="FFFFFF"/>
            <w:vAlign w:val="center"/>
          </w:tcPr>
          <w:p>
            <w:pPr>
              <w:pStyle w:val="23"/>
              <w:spacing w:line="240" w:lineRule="auto"/>
              <w:ind w:right="420" w:firstLine="0"/>
              <w:jc w:val="left"/>
              <w:rPr>
                <w:sz w:val="17"/>
                <w:szCs w:val="17"/>
              </w:rPr>
            </w:pPr>
            <w:r>
              <w:rPr>
                <w:rFonts w:ascii="Times New Roman" w:hAnsi="Times New Roman" w:eastAsia="Times New Roman" w:cs="Times New Roman"/>
                <w:b/>
                <w:bCs/>
                <w:sz w:val="17"/>
                <w:szCs w:val="17"/>
              </w:rPr>
              <w:t>13</w:t>
            </w:r>
          </w:p>
        </w:tc>
      </w:tr>
      <w:tr>
        <w:tblPrEx>
          <w:tblCellMar>
            <w:top w:w="0" w:type="dxa"/>
            <w:left w:w="10" w:type="dxa"/>
            <w:bottom w:w="0" w:type="dxa"/>
            <w:right w:w="10" w:type="dxa"/>
          </w:tblCellMar>
        </w:tblPrEx>
        <w:trPr>
          <w:trHeight w:val="648" w:hRule="exact"/>
        </w:trPr>
        <w:tc>
          <w:tcPr>
            <w:tcW w:w="1181"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rFonts w:hint="default" w:eastAsia="宋体"/>
                <w:sz w:val="17"/>
                <w:szCs w:val="17"/>
                <w:lang w:val="en-US" w:eastAsia="zh-CN"/>
              </w:rPr>
            </w:pPr>
            <w:r>
              <w:rPr>
                <w:rFonts w:hint="eastAsia" w:ascii="Times New Roman" w:hAnsi="Times New Roman" w:cs="Times New Roman"/>
                <w:b/>
                <w:bCs/>
                <w:sz w:val="17"/>
                <w:szCs w:val="17"/>
                <w:lang w:val="en-US" w:eastAsia="zh-CN"/>
              </w:rPr>
              <w:t xml:space="preserve"> </w:t>
            </w:r>
          </w:p>
        </w:tc>
        <w:tc>
          <w:tcPr>
            <w:tcW w:w="1171" w:type="dxa"/>
            <w:tcBorders>
              <w:top w:val="single" w:color="auto" w:sz="4" w:space="0"/>
              <w:left w:val="single" w:color="auto" w:sz="4" w:space="0"/>
              <w:bottom w:val="single" w:color="auto" w:sz="4" w:space="0"/>
            </w:tcBorders>
            <w:shd w:val="clear" w:color="auto" w:fill="FFFFFF"/>
          </w:tcPr>
          <w:p>
            <w:pPr>
              <w:pStyle w:val="23"/>
              <w:spacing w:line="326" w:lineRule="exact"/>
              <w:ind w:firstLine="0"/>
              <w:jc w:val="left"/>
              <w:rPr>
                <w:rFonts w:hint="default"/>
                <w:sz w:val="17"/>
                <w:szCs w:val="17"/>
                <w:lang w:val="en-US"/>
              </w:rPr>
            </w:pPr>
            <w:r>
              <w:rPr>
                <w:rFonts w:hint="eastAsia"/>
                <w:sz w:val="17"/>
                <w:szCs w:val="17"/>
                <w:lang w:val="en-US" w:eastAsia="zh-CN"/>
              </w:rPr>
              <w:t>合计</w:t>
            </w:r>
          </w:p>
        </w:tc>
        <w:tc>
          <w:tcPr>
            <w:tcW w:w="114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c>
          <w:tcPr>
            <w:tcW w:w="97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2,026.13</w:t>
            </w:r>
          </w:p>
        </w:tc>
        <w:tc>
          <w:tcPr>
            <w:tcW w:w="96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2,026.13</w:t>
            </w:r>
          </w:p>
        </w:tc>
        <w:tc>
          <w:tcPr>
            <w:tcW w:w="1003"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65"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41"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79"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100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5,886.33</w:t>
            </w:r>
          </w:p>
        </w:tc>
        <w:tc>
          <w:tcPr>
            <w:tcW w:w="97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5,861.11</w:t>
            </w:r>
          </w:p>
        </w:tc>
        <w:tc>
          <w:tcPr>
            <w:tcW w:w="96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25.23</w:t>
            </w:r>
          </w:p>
        </w:tc>
        <w:tc>
          <w:tcPr>
            <w:tcW w:w="1066" w:type="dxa"/>
            <w:tcBorders>
              <w:top w:val="single" w:color="auto" w:sz="4" w:space="0"/>
              <w:left w:val="single" w:color="auto" w:sz="4" w:space="0"/>
              <w:bottom w:val="single" w:color="auto" w:sz="4" w:space="0"/>
            </w:tcBorders>
            <w:shd w:val="clear" w:color="auto" w:fill="FFFFFF"/>
            <w:vAlign w:val="center"/>
          </w:tcPr>
          <w:p>
            <w:pPr>
              <w:jc w:val="right"/>
              <w:rPr>
                <w:sz w:val="17"/>
                <w:szCs w:val="17"/>
              </w:rPr>
            </w:pPr>
          </w:p>
        </w:tc>
        <w:tc>
          <w:tcPr>
            <w:tcW w:w="979" w:type="dxa"/>
            <w:tcBorders>
              <w:top w:val="single" w:color="auto" w:sz="4" w:space="0"/>
              <w:left w:val="single" w:color="auto" w:sz="4" w:space="0"/>
              <w:bottom w:val="single" w:color="auto" w:sz="4" w:space="0"/>
            </w:tcBorders>
            <w:shd w:val="clear" w:color="auto" w:fill="FFFFFF"/>
            <w:vAlign w:val="center"/>
          </w:tcPr>
          <w:p>
            <w:pPr>
              <w:jc w:val="right"/>
              <w:rPr>
                <w:sz w:val="17"/>
                <w:szCs w:val="17"/>
              </w:rPr>
            </w:pP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sz w:val="17"/>
                <w:szCs w:val="17"/>
              </w:rPr>
            </w:pPr>
          </w:p>
        </w:tc>
      </w:tr>
      <w:tr>
        <w:tblPrEx>
          <w:tblCellMar>
            <w:top w:w="0" w:type="dxa"/>
            <w:left w:w="10" w:type="dxa"/>
            <w:bottom w:w="0" w:type="dxa"/>
            <w:right w:w="10" w:type="dxa"/>
          </w:tblCellMar>
        </w:tblPrEx>
        <w:trPr>
          <w:trHeight w:val="648" w:hRule="exact"/>
        </w:trPr>
        <w:tc>
          <w:tcPr>
            <w:tcW w:w="1181"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rFonts w:hint="default" w:eastAsia="宋体"/>
                <w:sz w:val="17"/>
                <w:szCs w:val="17"/>
                <w:lang w:val="en-US" w:eastAsia="zh-CN"/>
              </w:rPr>
            </w:pPr>
            <w:r>
              <w:rPr>
                <w:rFonts w:hint="eastAsia" w:ascii="Times New Roman" w:hAnsi="Times New Roman" w:cs="Times New Roman"/>
                <w:b/>
                <w:bCs/>
                <w:sz w:val="17"/>
                <w:szCs w:val="17"/>
                <w:lang w:val="en-US" w:eastAsia="zh-CN"/>
              </w:rPr>
              <w:t>120</w:t>
            </w:r>
          </w:p>
        </w:tc>
        <w:tc>
          <w:tcPr>
            <w:tcW w:w="1171" w:type="dxa"/>
            <w:tcBorders>
              <w:top w:val="single" w:color="auto" w:sz="4" w:space="0"/>
              <w:left w:val="single" w:color="auto" w:sz="4" w:space="0"/>
              <w:bottom w:val="single" w:color="auto" w:sz="4" w:space="0"/>
            </w:tcBorders>
            <w:shd w:val="clear" w:color="auto" w:fill="FFFFFF"/>
          </w:tcPr>
          <w:p>
            <w:pPr>
              <w:pStyle w:val="23"/>
              <w:spacing w:line="326" w:lineRule="exact"/>
              <w:ind w:firstLine="0"/>
              <w:jc w:val="left"/>
              <w:rPr>
                <w:rFonts w:hint="default"/>
                <w:sz w:val="17"/>
                <w:szCs w:val="17"/>
                <w:lang w:val="en-US"/>
              </w:rPr>
            </w:pPr>
            <w:r>
              <w:rPr>
                <w:rFonts w:hint="eastAsia"/>
                <w:sz w:val="17"/>
                <w:szCs w:val="17"/>
                <w:lang w:val="en-US" w:eastAsia="zh-CN"/>
              </w:rPr>
              <w:t>环江毛南族自治县林业局</w:t>
            </w:r>
          </w:p>
        </w:tc>
        <w:tc>
          <w:tcPr>
            <w:tcW w:w="1142"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c>
          <w:tcPr>
            <w:tcW w:w="97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2,026.13</w:t>
            </w:r>
          </w:p>
        </w:tc>
        <w:tc>
          <w:tcPr>
            <w:tcW w:w="965"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2,026.13</w:t>
            </w:r>
          </w:p>
        </w:tc>
        <w:tc>
          <w:tcPr>
            <w:tcW w:w="1003"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65"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41"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979" w:type="dxa"/>
            <w:tcBorders>
              <w:top w:val="single" w:color="auto" w:sz="4" w:space="0"/>
              <w:left w:val="single" w:color="auto" w:sz="4" w:space="0"/>
              <w:bottom w:val="single" w:color="auto" w:sz="4" w:space="0"/>
            </w:tcBorders>
            <w:shd w:val="clear" w:color="auto" w:fill="FFFFFF"/>
            <w:vAlign w:val="center"/>
          </w:tcPr>
          <w:p>
            <w:pPr>
              <w:jc w:val="right"/>
              <w:rPr>
                <w:rFonts w:hint="default" w:eastAsia="宋体"/>
                <w:sz w:val="17"/>
                <w:szCs w:val="17"/>
                <w:lang w:val="en-US" w:eastAsia="zh-CN"/>
              </w:rPr>
            </w:pPr>
          </w:p>
        </w:tc>
        <w:tc>
          <w:tcPr>
            <w:tcW w:w="100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5,886.33</w:t>
            </w:r>
          </w:p>
        </w:tc>
        <w:tc>
          <w:tcPr>
            <w:tcW w:w="979"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5,861.11</w:t>
            </w:r>
          </w:p>
        </w:tc>
        <w:tc>
          <w:tcPr>
            <w:tcW w:w="960"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sz w:val="17"/>
                <w:szCs w:val="17"/>
              </w:rPr>
            </w:pPr>
            <w:r>
              <w:rPr>
                <w:rFonts w:hint="eastAsia" w:ascii="宋体" w:hAnsi="宋体" w:eastAsia="宋体" w:cs="宋体"/>
                <w:i w:val="0"/>
                <w:iCs w:val="0"/>
                <w:color w:val="000000"/>
                <w:kern w:val="0"/>
                <w:sz w:val="20"/>
                <w:szCs w:val="20"/>
                <w:u w:val="none"/>
                <w:lang w:val="en-US" w:eastAsia="zh-CN" w:bidi="ar"/>
              </w:rPr>
              <w:t>25.23</w:t>
            </w:r>
          </w:p>
        </w:tc>
        <w:tc>
          <w:tcPr>
            <w:tcW w:w="1066" w:type="dxa"/>
            <w:tcBorders>
              <w:top w:val="single" w:color="auto" w:sz="4" w:space="0"/>
              <w:left w:val="single" w:color="auto" w:sz="4" w:space="0"/>
              <w:bottom w:val="single" w:color="auto" w:sz="4" w:space="0"/>
            </w:tcBorders>
            <w:shd w:val="clear" w:color="auto" w:fill="FFFFFF"/>
            <w:vAlign w:val="center"/>
          </w:tcPr>
          <w:p>
            <w:pPr>
              <w:jc w:val="right"/>
              <w:rPr>
                <w:sz w:val="17"/>
                <w:szCs w:val="17"/>
              </w:rPr>
            </w:pPr>
          </w:p>
        </w:tc>
        <w:tc>
          <w:tcPr>
            <w:tcW w:w="979" w:type="dxa"/>
            <w:tcBorders>
              <w:top w:val="single" w:color="auto" w:sz="4" w:space="0"/>
              <w:left w:val="single" w:color="auto" w:sz="4" w:space="0"/>
              <w:bottom w:val="single" w:color="auto" w:sz="4" w:space="0"/>
            </w:tcBorders>
            <w:shd w:val="clear" w:color="auto" w:fill="FFFFFF"/>
            <w:vAlign w:val="center"/>
          </w:tcPr>
          <w:p>
            <w:pPr>
              <w:jc w:val="right"/>
              <w:rPr>
                <w:sz w:val="17"/>
                <w:szCs w:val="17"/>
              </w:rPr>
            </w:pPr>
          </w:p>
        </w:tc>
        <w:tc>
          <w:tcPr>
            <w:tcW w:w="103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sz w:val="17"/>
                <w:szCs w:val="17"/>
              </w:rPr>
            </w:pPr>
          </w:p>
        </w:tc>
      </w:tr>
    </w:tbl>
    <w:p>
      <w:pPr>
        <w:pStyle w:val="25"/>
        <w:framePr w:w="15286" w:h="230" w:hSpace="13219" w:wrap="notBeside" w:vAnchor="text" w:hAnchor="page" w:x="725" w:y="1573"/>
        <w:jc w:val="left"/>
      </w:pPr>
    </w:p>
    <w:p>
      <w:pPr>
        <w:pStyle w:val="25"/>
        <w:framePr w:w="955" w:h="240" w:hSpace="14386" w:wrap="notBeside" w:vAnchor="text" w:hAnchor="text" w:x="14305" w:y="1"/>
        <w:jc w:val="left"/>
      </w:pPr>
      <w:r>
        <w:t>单位：万元</w:t>
      </w:r>
    </w:p>
    <w:p>
      <w:pPr>
        <w:pStyle w:val="25"/>
        <w:framePr w:w="4531" w:h="235" w:hSpace="10810" w:wrap="notBeside" w:vAnchor="text" w:hAnchor="text" w:x="673" w:y="3923"/>
        <w:jc w:val="left"/>
      </w:pPr>
      <w:r>
        <w:t>注：本报表金额单位转换时可能存在四舍五入尾数误差。</w:t>
      </w:r>
    </w:p>
    <w:p>
      <w:pPr>
        <w:spacing w:line="1" w:lineRule="exact"/>
        <w:jc w:val="left"/>
        <w:rPr>
          <w:lang w:eastAsia="zh-CN"/>
        </w:rPr>
        <w:sectPr>
          <w:headerReference r:id="rId30" w:type="default"/>
          <w:footerReference r:id="rId31"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1"/>
        <w:keepNext/>
        <w:keepLines/>
        <w:spacing w:after="240"/>
        <w:jc w:val="center"/>
      </w:pPr>
      <w:bookmarkStart w:id="22" w:name="bookmark41"/>
      <w:bookmarkStart w:id="23" w:name="bookmark42"/>
      <w:bookmarkStart w:id="24" w:name="bookmark43"/>
      <w:r>
        <w:t>支出总体情况表</w:t>
      </w:r>
      <w:bookmarkEnd w:id="22"/>
      <w:bookmarkEnd w:id="23"/>
      <w:bookmarkEnd w:id="24"/>
    </w:p>
    <w:tbl>
      <w:tblPr>
        <w:tblStyle w:val="5"/>
        <w:tblW w:w="0" w:type="auto"/>
        <w:jc w:val="center"/>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jc w:val="center"/>
        </w:trPr>
        <w:tc>
          <w:tcPr>
            <w:tcW w:w="12968" w:type="dxa"/>
            <w:gridSpan w:val="6"/>
            <w:shd w:val="clear" w:color="auto" w:fill="FFFFFF"/>
          </w:tcPr>
          <w:p>
            <w:pPr>
              <w:pStyle w:val="23"/>
              <w:spacing w:line="240" w:lineRule="auto"/>
              <w:ind w:firstLine="0"/>
              <w:jc w:val="left"/>
              <w:rPr>
                <w:sz w:val="17"/>
                <w:szCs w:val="17"/>
              </w:rPr>
            </w:pPr>
            <w:r>
              <w:rPr>
                <w:sz w:val="17"/>
                <w:szCs w:val="17"/>
              </w:rPr>
              <w:t>单位名称：</w:t>
            </w:r>
            <w:r>
              <w:rPr>
                <w:rFonts w:hint="eastAsia"/>
                <w:sz w:val="17"/>
                <w:szCs w:val="17"/>
                <w:lang w:eastAsia="zh-CN"/>
              </w:rPr>
              <w:t>环江毛南族自治县林业局</w:t>
            </w:r>
          </w:p>
        </w:tc>
        <w:tc>
          <w:tcPr>
            <w:tcW w:w="2371" w:type="dxa"/>
            <w:shd w:val="clear" w:color="auto" w:fill="FFFFFF"/>
          </w:tcPr>
          <w:p>
            <w:pPr>
              <w:pStyle w:val="23"/>
              <w:spacing w:line="240" w:lineRule="auto"/>
              <w:ind w:firstLine="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jc w:val="center"/>
        </w:trPr>
        <w:tc>
          <w:tcPr>
            <w:tcW w:w="1843"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3"/>
              <w:spacing w:after="120" w:line="240" w:lineRule="auto"/>
              <w:ind w:firstLine="0"/>
              <w:jc w:val="left"/>
              <w:rPr>
                <w:sz w:val="17"/>
                <w:szCs w:val="17"/>
              </w:rPr>
            </w:pPr>
            <w:r>
              <w:rPr>
                <w:sz w:val="17"/>
                <w:szCs w:val="17"/>
              </w:rPr>
              <w:t>部门（单位）名称</w:t>
            </w:r>
          </w:p>
          <w:p>
            <w:pPr>
              <w:pStyle w:val="23"/>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jc w:val="center"/>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7912.46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1897.55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6014.91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jc w:val="center"/>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120</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环江毛南族自治县林业局</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7912.46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1897.55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6014.91</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5"/>
        <w:ind w:left="672"/>
        <w:jc w:val="left"/>
      </w:pPr>
      <w:r>
        <w:t>注：本报表金额单位转换时可能存在四舍五入尾数误差。</w:t>
      </w:r>
      <w:r>
        <w:br w:type="page"/>
      </w:r>
    </w:p>
    <w:p>
      <w:pPr>
        <w:pStyle w:val="21"/>
        <w:keepNext/>
        <w:keepLines/>
        <w:spacing w:after="240"/>
        <w:jc w:val="center"/>
      </w:pPr>
      <w:bookmarkStart w:id="25" w:name="bookmark44"/>
      <w:bookmarkStart w:id="26" w:name="bookmark45"/>
      <w:bookmarkStart w:id="27" w:name="bookmark46"/>
      <w:r>
        <w:t>财政拨款收支总体情况表</w:t>
      </w:r>
      <w:bookmarkEnd w:id="25"/>
      <w:bookmarkEnd w:id="26"/>
      <w:bookmarkEnd w:id="27"/>
    </w:p>
    <w:tbl>
      <w:tblPr>
        <w:tblStyle w:val="5"/>
        <w:tblW w:w="0" w:type="auto"/>
        <w:jc w:val="center"/>
        <w:tblLayout w:type="fixed"/>
        <w:tblCellMar>
          <w:top w:w="0" w:type="dxa"/>
          <w:left w:w="10" w:type="dxa"/>
          <w:bottom w:w="0" w:type="dxa"/>
          <w:right w:w="10" w:type="dxa"/>
        </w:tblCellMar>
      </w:tblPr>
      <w:tblGrid>
        <w:gridCol w:w="2885"/>
        <w:gridCol w:w="955"/>
        <w:gridCol w:w="10"/>
        <w:gridCol w:w="3820"/>
        <w:gridCol w:w="1"/>
        <w:gridCol w:w="3825"/>
        <w:gridCol w:w="1"/>
        <w:gridCol w:w="3844"/>
        <w:gridCol w:w="1"/>
      </w:tblGrid>
      <w:tr>
        <w:tblPrEx>
          <w:tblCellMar>
            <w:top w:w="0" w:type="dxa"/>
            <w:left w:w="10" w:type="dxa"/>
            <w:bottom w:w="0" w:type="dxa"/>
            <w:right w:w="10" w:type="dxa"/>
          </w:tblCellMar>
        </w:tblPrEx>
        <w:trPr>
          <w:gridAfter w:val="1"/>
          <w:wAfter w:w="1" w:type="dxa"/>
          <w:trHeight w:val="346" w:hRule="exact"/>
          <w:jc w:val="center"/>
        </w:trPr>
        <w:tc>
          <w:tcPr>
            <w:tcW w:w="11496" w:type="dxa"/>
            <w:gridSpan w:val="6"/>
            <w:shd w:val="clear" w:color="auto" w:fill="FFFFFF"/>
          </w:tcPr>
          <w:p>
            <w:pPr>
              <w:pStyle w:val="23"/>
              <w:spacing w:line="240" w:lineRule="auto"/>
              <w:ind w:firstLine="0"/>
              <w:jc w:val="left"/>
              <w:rPr>
                <w:sz w:val="17"/>
                <w:szCs w:val="17"/>
              </w:rPr>
            </w:pPr>
            <w:r>
              <w:rPr>
                <w:sz w:val="17"/>
                <w:szCs w:val="17"/>
              </w:rPr>
              <w:t>单位名称：</w:t>
            </w:r>
            <w:r>
              <w:rPr>
                <w:rFonts w:hint="eastAsia"/>
                <w:sz w:val="17"/>
                <w:szCs w:val="17"/>
                <w:lang w:eastAsia="zh-CN"/>
              </w:rPr>
              <w:t>环江毛南族自治县林业局</w:t>
            </w:r>
          </w:p>
        </w:tc>
        <w:tc>
          <w:tcPr>
            <w:tcW w:w="3845" w:type="dxa"/>
            <w:gridSpan w:val="2"/>
            <w:shd w:val="clear" w:color="auto" w:fill="FFFFFF"/>
          </w:tcPr>
          <w:p>
            <w:pPr>
              <w:pStyle w:val="23"/>
              <w:spacing w:line="240" w:lineRule="auto"/>
              <w:ind w:firstLine="0"/>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jc w:val="center"/>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3"/>
              <w:spacing w:line="240" w:lineRule="auto"/>
              <w:ind w:firstLine="0"/>
              <w:jc w:val="left"/>
              <w:rPr>
                <w:sz w:val="17"/>
                <w:szCs w:val="17"/>
              </w:rPr>
            </w:pPr>
            <w:r>
              <w:rPr>
                <w:sz w:val="17"/>
                <w:szCs w:val="17"/>
              </w:rPr>
              <w:t>收</w:t>
            </w:r>
          </w:p>
        </w:tc>
        <w:tc>
          <w:tcPr>
            <w:tcW w:w="3830" w:type="dxa"/>
            <w:gridSpan w:val="2"/>
            <w:tcBorders>
              <w:top w:val="single" w:color="auto" w:sz="4" w:space="0"/>
            </w:tcBorders>
            <w:shd w:val="clear" w:color="auto" w:fill="FFFFFF"/>
            <w:vAlign w:val="center"/>
          </w:tcPr>
          <w:p>
            <w:pPr>
              <w:pStyle w:val="23"/>
              <w:spacing w:line="240" w:lineRule="auto"/>
              <w:ind w:firstLine="340"/>
              <w:jc w:val="left"/>
              <w:rPr>
                <w:sz w:val="17"/>
                <w:szCs w:val="17"/>
              </w:rPr>
            </w:pPr>
            <w:r>
              <w:rPr>
                <w:sz w:val="17"/>
                <w:szCs w:val="17"/>
              </w:rPr>
              <w:t>入</w:t>
            </w:r>
          </w:p>
        </w:tc>
        <w:tc>
          <w:tcPr>
            <w:tcW w:w="3826" w:type="dxa"/>
            <w:gridSpan w:val="2"/>
            <w:tcBorders>
              <w:top w:val="single" w:color="auto" w:sz="4" w:space="0"/>
              <w:left w:val="single" w:color="auto" w:sz="4" w:space="0"/>
            </w:tcBorders>
            <w:shd w:val="clear" w:color="auto" w:fill="FFFFFF"/>
            <w:vAlign w:val="center"/>
          </w:tcPr>
          <w:p>
            <w:pPr>
              <w:pStyle w:val="23"/>
              <w:spacing w:line="240" w:lineRule="auto"/>
              <w:ind w:right="340" w:firstLine="0"/>
              <w:jc w:val="left"/>
              <w:rPr>
                <w:sz w:val="17"/>
                <w:szCs w:val="17"/>
              </w:rPr>
            </w:pPr>
            <w:r>
              <w:rPr>
                <w:sz w:val="17"/>
                <w:szCs w:val="17"/>
              </w:rPr>
              <w:t>支</w:t>
            </w:r>
          </w:p>
        </w:tc>
        <w:tc>
          <w:tcPr>
            <w:tcW w:w="3845" w:type="dxa"/>
            <w:gridSpan w:val="2"/>
            <w:tcBorders>
              <w:top w:val="single" w:color="auto" w:sz="4" w:space="0"/>
              <w:right w:val="single" w:color="auto" w:sz="4" w:space="0"/>
            </w:tcBorders>
            <w:shd w:val="clear" w:color="auto" w:fill="FFFFFF"/>
            <w:vAlign w:val="center"/>
          </w:tcPr>
          <w:p>
            <w:pPr>
              <w:pStyle w:val="23"/>
              <w:spacing w:line="240" w:lineRule="auto"/>
              <w:ind w:firstLine="36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jc w:val="center"/>
        </w:trPr>
        <w:tc>
          <w:tcPr>
            <w:tcW w:w="3840" w:type="dxa"/>
            <w:gridSpan w:val="2"/>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项 目</w:t>
            </w:r>
          </w:p>
        </w:tc>
        <w:tc>
          <w:tcPr>
            <w:tcW w:w="3830" w:type="dxa"/>
            <w:gridSpan w:val="2"/>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预算数</w:t>
            </w:r>
          </w:p>
        </w:tc>
        <w:tc>
          <w:tcPr>
            <w:tcW w:w="3826" w:type="dxa"/>
            <w:gridSpan w:val="2"/>
            <w:tcBorders>
              <w:top w:val="single" w:color="auto" w:sz="4" w:space="0"/>
              <w:left w:val="single" w:color="auto" w:sz="4" w:space="0"/>
            </w:tcBorders>
            <w:shd w:val="clear" w:color="auto" w:fill="FFFFFF"/>
            <w:vAlign w:val="center"/>
          </w:tcPr>
          <w:p>
            <w:pPr>
              <w:pStyle w:val="23"/>
              <w:tabs>
                <w:tab w:val="left" w:pos="1034"/>
              </w:tabs>
              <w:spacing w:line="240" w:lineRule="auto"/>
              <w:ind w:firstLine="540"/>
              <w:jc w:val="left"/>
              <w:rPr>
                <w:sz w:val="17"/>
                <w:szCs w:val="17"/>
              </w:rPr>
            </w:pPr>
            <w:r>
              <w:rPr>
                <w:sz w:val="17"/>
                <w:szCs w:val="17"/>
              </w:rPr>
              <w:t>项</w:t>
            </w:r>
            <w:r>
              <w:rPr>
                <w:sz w:val="17"/>
                <w:szCs w:val="17"/>
              </w:rPr>
              <w:tab/>
            </w:r>
            <w:r>
              <w:rPr>
                <w:sz w:val="17"/>
                <w:szCs w:val="17"/>
              </w:rPr>
              <w:t>目（按支出功能科目分类）</w:t>
            </w:r>
          </w:p>
        </w:tc>
        <w:tc>
          <w:tcPr>
            <w:tcW w:w="3845" w:type="dxa"/>
            <w:gridSpan w:val="2"/>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2,026.13</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1,346.13</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17.72</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680.00</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1,346.13</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206.63</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995.40</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25.23</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5,886.33</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6,489.59</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5,861.11</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25.23</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177.89</w:t>
            </w: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gridSpan w:val="2"/>
            <w:tcBorders>
              <w:top w:val="single" w:color="auto" w:sz="4" w:space="0"/>
              <w:left w:val="single" w:color="auto" w:sz="4" w:space="0"/>
              <w:bottom w:val="single" w:color="auto" w:sz="4" w:space="0"/>
            </w:tcBorders>
            <w:shd w:val="clear" w:color="auto" w:fill="FFFFFF"/>
            <w:vAlign w:val="center"/>
          </w:tcPr>
          <w:p>
            <w:pPr>
              <w:jc w:val="right"/>
              <w:rPr>
                <w:rFonts w:hint="default"/>
                <w:sz w:val="17"/>
                <w:szCs w:val="17"/>
                <w:lang w:val="en-US" w:eastAsia="zh-CN"/>
              </w:rPr>
            </w:pP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sz w:val="17"/>
                <w:szCs w:val="17"/>
                <w:lang w:val="en-US" w:eastAsia="zh-CN"/>
              </w:rPr>
            </w:pPr>
          </w:p>
        </w:tc>
      </w:tr>
      <w:tr>
        <w:tblPrEx>
          <w:tblCellMar>
            <w:top w:w="0" w:type="dxa"/>
            <w:left w:w="10" w:type="dxa"/>
            <w:bottom w:w="0" w:type="dxa"/>
            <w:right w:w="10" w:type="dxa"/>
          </w:tblCellMar>
        </w:tblPrEx>
        <w:trPr>
          <w:gridAfter w:val="1"/>
          <w:wAfter w:w="1" w:type="dxa"/>
          <w:trHeight w:val="437" w:hRule="exact"/>
          <w:jc w:val="center"/>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gridSpan w:val="2"/>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c>
          <w:tcPr>
            <w:tcW w:w="3826" w:type="dxa"/>
            <w:gridSpan w:val="2"/>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sz w:val="17"/>
                <w:szCs w:val="17"/>
                <w:lang w:val="en-US" w:eastAsia="zh-CN"/>
              </w:rPr>
            </w:pPr>
            <w:r>
              <w:rPr>
                <w:rFonts w:hint="eastAsia" w:ascii="宋体" w:hAnsi="宋体" w:eastAsia="宋体" w:cs="宋体"/>
                <w:i w:val="0"/>
                <w:iCs w:val="0"/>
                <w:color w:val="000000"/>
                <w:kern w:val="0"/>
                <w:sz w:val="20"/>
                <w:szCs w:val="20"/>
                <w:u w:val="none"/>
                <w:lang w:val="en-US" w:eastAsia="zh-CN" w:bidi="ar"/>
              </w:rPr>
              <w:t>7,912.46</w:t>
            </w:r>
          </w:p>
        </w:tc>
      </w:tr>
      <w:tr>
        <w:tblPrEx>
          <w:tblCellMar>
            <w:top w:w="0" w:type="dxa"/>
            <w:left w:w="10" w:type="dxa"/>
            <w:bottom w:w="0" w:type="dxa"/>
            <w:right w:w="10" w:type="dxa"/>
          </w:tblCellMar>
        </w:tblPrEx>
        <w:trPr>
          <w:trHeight w:val="312" w:hRule="exact"/>
          <w:jc w:val="center"/>
        </w:trPr>
        <w:tc>
          <w:tcPr>
            <w:tcW w:w="3850" w:type="dxa"/>
            <w:gridSpan w:val="3"/>
            <w:tcBorders>
              <w:top w:val="single" w:color="auto" w:sz="4" w:space="0"/>
            </w:tcBorders>
            <w:shd w:val="clear" w:color="auto" w:fill="FFFFFF"/>
          </w:tcPr>
          <w:p>
            <w:pPr>
              <w:pStyle w:val="23"/>
              <w:spacing w:line="240" w:lineRule="auto"/>
              <w:ind w:firstLine="680"/>
              <w:jc w:val="left"/>
              <w:rPr>
                <w:sz w:val="17"/>
                <w:szCs w:val="17"/>
              </w:rPr>
            </w:pPr>
            <w:r>
              <w:rPr>
                <w:sz w:val="17"/>
                <w:szCs w:val="17"/>
              </w:rPr>
              <w:t>注：表中功能分类科目，根据各部门实</w:t>
            </w:r>
          </w:p>
        </w:tc>
        <w:tc>
          <w:tcPr>
            <w:tcW w:w="3821" w:type="dxa"/>
            <w:gridSpan w:val="2"/>
            <w:tcBorders>
              <w:top w:val="single" w:color="auto" w:sz="4" w:space="0"/>
              <w:left w:val="single" w:color="auto" w:sz="4" w:space="0"/>
            </w:tcBorders>
            <w:shd w:val="clear" w:color="auto" w:fill="FFFFFF"/>
          </w:tcPr>
          <w:p>
            <w:pPr>
              <w:pStyle w:val="23"/>
              <w:spacing w:line="240" w:lineRule="auto"/>
              <w:ind w:firstLine="0"/>
              <w:jc w:val="left"/>
              <w:rPr>
                <w:sz w:val="17"/>
                <w:szCs w:val="17"/>
              </w:rPr>
            </w:pPr>
            <w:r>
              <w:rPr>
                <w:sz w:val="17"/>
                <w:szCs w:val="17"/>
              </w:rPr>
              <w:t>际预算编制情况编列。</w:t>
            </w:r>
          </w:p>
        </w:tc>
        <w:tc>
          <w:tcPr>
            <w:tcW w:w="3826" w:type="dxa"/>
            <w:gridSpan w:val="2"/>
            <w:tcBorders>
              <w:top w:val="single" w:color="auto" w:sz="4" w:space="0"/>
            </w:tcBorders>
            <w:shd w:val="clear" w:color="auto" w:fill="FFFFFF"/>
          </w:tcPr>
          <w:p>
            <w:pPr>
              <w:jc w:val="left"/>
              <w:rPr>
                <w:sz w:val="10"/>
                <w:szCs w:val="10"/>
                <w:lang w:eastAsia="zh-CN"/>
              </w:rPr>
            </w:pPr>
          </w:p>
        </w:tc>
        <w:tc>
          <w:tcPr>
            <w:tcW w:w="3845" w:type="dxa"/>
            <w:gridSpan w:val="2"/>
            <w:tcBorders>
              <w:top w:val="single" w:color="auto" w:sz="4" w:space="0"/>
            </w:tcBorders>
            <w:shd w:val="clear" w:color="auto" w:fill="FFFFFF"/>
          </w:tcPr>
          <w:p>
            <w:pPr>
              <w:jc w:val="left"/>
              <w:rPr>
                <w:sz w:val="10"/>
                <w:szCs w:val="10"/>
                <w:lang w:eastAsia="zh-CN"/>
              </w:rPr>
            </w:pPr>
          </w:p>
        </w:tc>
      </w:tr>
      <w:tr>
        <w:tblPrEx>
          <w:tblCellMar>
            <w:top w:w="0" w:type="dxa"/>
            <w:left w:w="10" w:type="dxa"/>
            <w:bottom w:w="0" w:type="dxa"/>
            <w:right w:w="10" w:type="dxa"/>
          </w:tblCellMar>
        </w:tblPrEx>
        <w:trPr>
          <w:trHeight w:val="274" w:hRule="exact"/>
          <w:jc w:val="center"/>
        </w:trPr>
        <w:tc>
          <w:tcPr>
            <w:tcW w:w="7671" w:type="dxa"/>
            <w:gridSpan w:val="5"/>
            <w:shd w:val="clear" w:color="auto" w:fill="FFFFFF"/>
            <w:vAlign w:val="bottom"/>
          </w:tcPr>
          <w:p>
            <w:pPr>
              <w:pStyle w:val="23"/>
              <w:spacing w:line="240" w:lineRule="auto"/>
              <w:ind w:firstLine="660"/>
              <w:jc w:val="left"/>
              <w:rPr>
                <w:sz w:val="17"/>
                <w:szCs w:val="17"/>
              </w:rPr>
            </w:pPr>
            <w:r>
              <w:rPr>
                <w:sz w:val="17"/>
                <w:szCs w:val="17"/>
              </w:rPr>
              <w:t>报表金额单位转换时可能存在四舍五入尾数误差。</w:t>
            </w:r>
          </w:p>
        </w:tc>
        <w:tc>
          <w:tcPr>
            <w:tcW w:w="3826" w:type="dxa"/>
            <w:gridSpan w:val="2"/>
            <w:shd w:val="clear" w:color="auto" w:fill="FFFFFF"/>
          </w:tcPr>
          <w:p>
            <w:pPr>
              <w:jc w:val="left"/>
              <w:rPr>
                <w:sz w:val="10"/>
                <w:szCs w:val="10"/>
                <w:lang w:eastAsia="zh-CN"/>
              </w:rPr>
            </w:pPr>
          </w:p>
        </w:tc>
        <w:tc>
          <w:tcPr>
            <w:tcW w:w="3845" w:type="dxa"/>
            <w:gridSpan w:val="2"/>
            <w:shd w:val="clear" w:color="auto" w:fill="FFFFFF"/>
          </w:tcPr>
          <w:p>
            <w:pPr>
              <w:jc w:val="left"/>
              <w:rPr>
                <w:sz w:val="10"/>
                <w:szCs w:val="10"/>
                <w:lang w:eastAsia="zh-CN"/>
              </w:rPr>
            </w:pPr>
          </w:p>
        </w:tc>
      </w:tr>
    </w:tbl>
    <w:p>
      <w:pPr>
        <w:jc w:val="left"/>
        <w:rPr>
          <w:lang w:eastAsia="zh-CN"/>
        </w:rPr>
      </w:pPr>
      <w:r>
        <w:rPr>
          <w:lang w:eastAsia="zh-CN"/>
        </w:rPr>
        <w:br w:type="page"/>
      </w:r>
    </w:p>
    <w:p>
      <w:pPr>
        <w:pStyle w:val="21"/>
        <w:keepNext/>
        <w:keepLines/>
        <w:spacing w:after="240"/>
        <w:jc w:val="center"/>
      </w:pPr>
      <w:bookmarkStart w:id="28" w:name="bookmark53"/>
      <w:bookmarkStart w:id="29" w:name="bookmark55"/>
      <w:bookmarkStart w:id="30" w:name="bookmark54"/>
      <w:r>
        <w:t>一般公共预算支出情况表</w:t>
      </w:r>
      <w:bookmarkEnd w:id="28"/>
      <w:bookmarkEnd w:id="29"/>
      <w:bookmarkEnd w:id="30"/>
    </w:p>
    <w:p>
      <w:pPr>
        <w:pStyle w:val="25"/>
        <w:framePr w:w="2122" w:h="230" w:hSpace="13219" w:wrap="notBeside" w:vAnchor="text" w:hAnchor="page" w:x="1150" w:y="78"/>
        <w:jc w:val="left"/>
      </w:pPr>
      <w:r>
        <w:t>单位名称：</w:t>
      </w:r>
      <w:r>
        <w:rPr>
          <w:rFonts w:hint="eastAsia"/>
          <w:lang w:eastAsia="zh-CN"/>
        </w:rPr>
        <w:t>环江毛南族自治县林业局</w:t>
      </w:r>
    </w:p>
    <w:tbl>
      <w:tblPr>
        <w:tblStyle w:val="5"/>
        <w:tblpPr w:leftFromText="180" w:rightFromText="180" w:vertAnchor="text" w:horzAnchor="page" w:tblpX="839" w:tblpY="138"/>
        <w:tblOverlap w:val="never"/>
        <w:tblW w:w="0" w:type="auto"/>
        <w:tblInd w:w="0" w:type="dxa"/>
        <w:tblLayout w:type="fixed"/>
        <w:tblCellMar>
          <w:top w:w="0" w:type="dxa"/>
          <w:left w:w="10" w:type="dxa"/>
          <w:bottom w:w="0" w:type="dxa"/>
          <w:right w:w="10" w:type="dxa"/>
        </w:tblCellMar>
      </w:tblPr>
      <w:tblGrid>
        <w:gridCol w:w="1354"/>
        <w:gridCol w:w="1195"/>
        <w:gridCol w:w="2717"/>
        <w:gridCol w:w="1714"/>
        <w:gridCol w:w="1982"/>
        <w:gridCol w:w="1771"/>
        <w:gridCol w:w="1637"/>
        <w:gridCol w:w="1426"/>
        <w:gridCol w:w="1546"/>
      </w:tblGrid>
      <w:tr>
        <w:tblPrEx>
          <w:tblCellMar>
            <w:top w:w="0" w:type="dxa"/>
            <w:left w:w="10" w:type="dxa"/>
            <w:bottom w:w="0" w:type="dxa"/>
            <w:right w:w="10" w:type="dxa"/>
          </w:tblCellMar>
        </w:tblPrEx>
        <w:trPr>
          <w:trHeight w:val="432" w:hRule="exact"/>
        </w:trPr>
        <w:tc>
          <w:tcPr>
            <w:tcW w:w="1354"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科目编码</w:t>
            </w:r>
          </w:p>
        </w:tc>
        <w:tc>
          <w:tcPr>
            <w:tcW w:w="1195" w:type="dxa"/>
            <w:vMerge w:val="restart"/>
            <w:tcBorders>
              <w:top w:val="single" w:color="auto" w:sz="4" w:space="0"/>
              <w:left w:val="single" w:color="auto" w:sz="4" w:space="0"/>
            </w:tcBorders>
            <w:shd w:val="clear" w:color="auto" w:fill="FFFFFF"/>
            <w:vAlign w:val="center"/>
          </w:tcPr>
          <w:p>
            <w:pPr>
              <w:pStyle w:val="23"/>
              <w:spacing w:line="317" w:lineRule="exact"/>
              <w:ind w:firstLine="0"/>
              <w:jc w:val="left"/>
              <w:rPr>
                <w:sz w:val="17"/>
                <w:szCs w:val="17"/>
              </w:rPr>
            </w:pPr>
            <w:r>
              <w:rPr>
                <w:sz w:val="17"/>
                <w:szCs w:val="17"/>
              </w:rPr>
              <w:t>部门（单位） 代码</w:t>
            </w:r>
          </w:p>
        </w:tc>
        <w:tc>
          <w:tcPr>
            <w:tcW w:w="2717" w:type="dxa"/>
            <w:vMerge w:val="restart"/>
            <w:tcBorders>
              <w:top w:val="single" w:color="auto" w:sz="4" w:space="0"/>
              <w:left w:val="single" w:color="auto" w:sz="4" w:space="0"/>
            </w:tcBorders>
            <w:shd w:val="clear" w:color="auto" w:fill="FFFFFF"/>
            <w:vAlign w:val="center"/>
          </w:tcPr>
          <w:p>
            <w:pPr>
              <w:pStyle w:val="23"/>
              <w:spacing w:after="120" w:line="240" w:lineRule="auto"/>
              <w:ind w:firstLine="0"/>
              <w:jc w:val="left"/>
              <w:rPr>
                <w:sz w:val="17"/>
                <w:szCs w:val="17"/>
              </w:rPr>
            </w:pPr>
            <w:r>
              <w:rPr>
                <w:sz w:val="17"/>
                <w:szCs w:val="17"/>
              </w:rPr>
              <w:t>部门（单位）名称</w:t>
            </w:r>
          </w:p>
          <w:p>
            <w:pPr>
              <w:pStyle w:val="23"/>
              <w:spacing w:line="240" w:lineRule="auto"/>
              <w:ind w:firstLine="560"/>
              <w:jc w:val="left"/>
              <w:rPr>
                <w:sz w:val="17"/>
                <w:szCs w:val="17"/>
              </w:rPr>
            </w:pPr>
            <w:r>
              <w:rPr>
                <w:sz w:val="17"/>
                <w:szCs w:val="17"/>
              </w:rPr>
              <w:t>（功能分类科目名称）</w:t>
            </w:r>
          </w:p>
        </w:tc>
        <w:tc>
          <w:tcPr>
            <w:tcW w:w="1714"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5390" w:type="dxa"/>
            <w:gridSpan w:val="3"/>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基本支出</w:t>
            </w:r>
          </w:p>
        </w:tc>
        <w:tc>
          <w:tcPr>
            <w:tcW w:w="1426" w:type="dxa"/>
            <w:vMerge w:val="restart"/>
            <w:tcBorders>
              <w:top w:val="single" w:color="auto" w:sz="4" w:space="0"/>
              <w:left w:val="single" w:color="auto" w:sz="4" w:space="0"/>
            </w:tcBorders>
            <w:shd w:val="clear" w:color="auto" w:fill="FFFFFF"/>
            <w:vAlign w:val="center"/>
          </w:tcPr>
          <w:p>
            <w:pPr>
              <w:pStyle w:val="23"/>
              <w:spacing w:line="240" w:lineRule="auto"/>
              <w:ind w:firstLine="340"/>
              <w:jc w:val="left"/>
              <w:rPr>
                <w:sz w:val="17"/>
                <w:szCs w:val="17"/>
              </w:rPr>
            </w:pPr>
            <w:r>
              <w:rPr>
                <w:sz w:val="17"/>
                <w:szCs w:val="17"/>
              </w:rPr>
              <w:t>项目支出</w:t>
            </w:r>
          </w:p>
        </w:tc>
        <w:tc>
          <w:tcPr>
            <w:tcW w:w="1546" w:type="dxa"/>
            <w:vMerge w:val="restart"/>
            <w:tcBorders>
              <w:top w:val="single" w:color="auto" w:sz="4" w:space="0"/>
              <w:left w:val="single" w:color="auto" w:sz="4" w:space="0"/>
              <w:right w:val="single" w:color="auto" w:sz="4" w:space="0"/>
            </w:tcBorders>
            <w:shd w:val="clear" w:color="auto" w:fill="FFFFFF"/>
            <w:vAlign w:val="center"/>
          </w:tcPr>
          <w:p>
            <w:pPr>
              <w:pStyle w:val="23"/>
              <w:spacing w:line="240" w:lineRule="auto"/>
              <w:ind w:firstLine="240"/>
              <w:jc w:val="left"/>
              <w:rPr>
                <w:sz w:val="17"/>
                <w:szCs w:val="17"/>
              </w:rPr>
            </w:pPr>
            <w:r>
              <w:rPr>
                <w:sz w:val="17"/>
                <w:szCs w:val="17"/>
              </w:rPr>
              <w:t>结转下年支出</w:t>
            </w:r>
          </w:p>
        </w:tc>
      </w:tr>
      <w:tr>
        <w:tblPrEx>
          <w:tblCellMar>
            <w:top w:w="0" w:type="dxa"/>
            <w:left w:w="10" w:type="dxa"/>
            <w:bottom w:w="0" w:type="dxa"/>
            <w:right w:w="10" w:type="dxa"/>
          </w:tblCellMar>
        </w:tblPrEx>
        <w:trPr>
          <w:trHeight w:val="422" w:hRule="exact"/>
        </w:trPr>
        <w:tc>
          <w:tcPr>
            <w:tcW w:w="1354" w:type="dxa"/>
            <w:vMerge w:val="continue"/>
            <w:tcBorders>
              <w:left w:val="single" w:color="auto" w:sz="4" w:space="0"/>
            </w:tcBorders>
            <w:shd w:val="clear" w:color="auto" w:fill="FFFFFF"/>
            <w:vAlign w:val="center"/>
          </w:tcPr>
          <w:p>
            <w:pPr>
              <w:jc w:val="left"/>
            </w:pPr>
          </w:p>
        </w:tc>
        <w:tc>
          <w:tcPr>
            <w:tcW w:w="1195" w:type="dxa"/>
            <w:vMerge w:val="continue"/>
            <w:tcBorders>
              <w:left w:val="single" w:color="auto" w:sz="4" w:space="0"/>
            </w:tcBorders>
            <w:shd w:val="clear" w:color="auto" w:fill="FFFFFF"/>
            <w:vAlign w:val="center"/>
          </w:tcPr>
          <w:p>
            <w:pPr>
              <w:jc w:val="left"/>
            </w:pPr>
          </w:p>
        </w:tc>
        <w:tc>
          <w:tcPr>
            <w:tcW w:w="2717" w:type="dxa"/>
            <w:vMerge w:val="continue"/>
            <w:tcBorders>
              <w:left w:val="single" w:color="auto" w:sz="4" w:space="0"/>
            </w:tcBorders>
            <w:shd w:val="clear" w:color="auto" w:fill="FFFFFF"/>
            <w:vAlign w:val="center"/>
          </w:tcPr>
          <w:p>
            <w:pPr>
              <w:jc w:val="left"/>
            </w:pPr>
          </w:p>
        </w:tc>
        <w:tc>
          <w:tcPr>
            <w:tcW w:w="1714" w:type="dxa"/>
            <w:vMerge w:val="continue"/>
            <w:tcBorders>
              <w:left w:val="single" w:color="auto" w:sz="4" w:space="0"/>
            </w:tcBorders>
            <w:shd w:val="clear" w:color="auto" w:fill="FFFFFF"/>
            <w:vAlign w:val="center"/>
          </w:tcPr>
          <w:p>
            <w:pPr>
              <w:jc w:val="left"/>
            </w:pPr>
          </w:p>
        </w:tc>
        <w:tc>
          <w:tcPr>
            <w:tcW w:w="1982"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小计</w:t>
            </w:r>
          </w:p>
        </w:tc>
        <w:tc>
          <w:tcPr>
            <w:tcW w:w="1771"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人员经费</w:t>
            </w:r>
          </w:p>
        </w:tc>
        <w:tc>
          <w:tcPr>
            <w:tcW w:w="1637" w:type="dxa"/>
            <w:tcBorders>
              <w:top w:val="single" w:color="auto" w:sz="4" w:space="0"/>
              <w:left w:val="single" w:color="auto" w:sz="4" w:space="0"/>
            </w:tcBorders>
            <w:shd w:val="clear" w:color="auto" w:fill="FFFFFF"/>
            <w:vAlign w:val="center"/>
          </w:tcPr>
          <w:p>
            <w:pPr>
              <w:pStyle w:val="23"/>
              <w:spacing w:line="240" w:lineRule="auto"/>
              <w:ind w:firstLine="440"/>
              <w:jc w:val="left"/>
              <w:rPr>
                <w:sz w:val="17"/>
                <w:szCs w:val="17"/>
              </w:rPr>
            </w:pPr>
            <w:r>
              <w:rPr>
                <w:sz w:val="17"/>
                <w:szCs w:val="17"/>
              </w:rPr>
              <w:t>公用经费</w:t>
            </w:r>
          </w:p>
        </w:tc>
        <w:tc>
          <w:tcPr>
            <w:tcW w:w="1426" w:type="dxa"/>
            <w:vMerge w:val="continue"/>
            <w:tcBorders>
              <w:left w:val="single" w:color="auto" w:sz="4" w:space="0"/>
            </w:tcBorders>
            <w:shd w:val="clear" w:color="auto" w:fill="FFFFFF"/>
            <w:vAlign w:val="center"/>
          </w:tcPr>
          <w:p>
            <w:pPr>
              <w:jc w:val="left"/>
            </w:pPr>
          </w:p>
        </w:tc>
        <w:tc>
          <w:tcPr>
            <w:tcW w:w="1546" w:type="dxa"/>
            <w:vMerge w:val="continue"/>
            <w:tcBorders>
              <w:left w:val="single" w:color="auto" w:sz="4" w:space="0"/>
              <w:right w:val="single" w:color="auto" w:sz="4" w:space="0"/>
            </w:tcBorders>
            <w:shd w:val="clear" w:color="auto" w:fill="FFFFFF"/>
            <w:vAlign w:val="center"/>
          </w:tcPr>
          <w:p>
            <w:pPr>
              <w:jc w:val="left"/>
            </w:pPr>
          </w:p>
        </w:tc>
      </w:tr>
      <w:tr>
        <w:tblPrEx>
          <w:tblCellMar>
            <w:top w:w="0" w:type="dxa"/>
            <w:left w:w="10" w:type="dxa"/>
            <w:bottom w:w="0" w:type="dxa"/>
            <w:right w:w="10" w:type="dxa"/>
          </w:tblCellMar>
        </w:tblPrEx>
        <w:trPr>
          <w:trHeight w:val="418" w:hRule="exact"/>
        </w:trPr>
        <w:tc>
          <w:tcPr>
            <w:tcW w:w="1354" w:type="dxa"/>
            <w:tcBorders>
              <w:left w:val="single" w:color="auto" w:sz="4" w:space="0"/>
              <w:bottom w:val="single" w:color="auto" w:sz="4" w:space="0"/>
            </w:tcBorders>
            <w:shd w:val="clear" w:color="auto" w:fill="FFFFFF"/>
            <w:vAlign w:val="center"/>
          </w:tcPr>
          <w:p>
            <w:pPr>
              <w:jc w:val="left"/>
              <w:rPr>
                <w:rFonts w:hint="default" w:eastAsia="宋体"/>
                <w:sz w:val="16"/>
                <w:szCs w:val="16"/>
                <w:lang w:val="en-US" w:eastAsia="zh-CN"/>
              </w:rPr>
            </w:pPr>
          </w:p>
        </w:tc>
        <w:tc>
          <w:tcPr>
            <w:tcW w:w="1195" w:type="dxa"/>
            <w:tcBorders>
              <w:left w:val="single" w:color="auto" w:sz="4" w:space="0"/>
              <w:bottom w:val="single" w:color="auto" w:sz="4" w:space="0"/>
            </w:tcBorders>
            <w:shd w:val="clear" w:color="auto" w:fill="FFFFFF"/>
            <w:vAlign w:val="center"/>
          </w:tcPr>
          <w:p>
            <w:pPr>
              <w:jc w:val="left"/>
            </w:pPr>
          </w:p>
        </w:tc>
        <w:tc>
          <w:tcPr>
            <w:tcW w:w="2717" w:type="dxa"/>
            <w:tcBorders>
              <w:left w:val="single" w:color="auto" w:sz="4" w:space="0"/>
              <w:bottom w:val="single" w:color="auto" w:sz="4" w:space="0"/>
            </w:tcBorders>
            <w:shd w:val="clear" w:color="auto" w:fill="FFFFFF"/>
            <w:vAlign w:val="center"/>
          </w:tcPr>
          <w:p>
            <w:pPr>
              <w:jc w:val="left"/>
            </w:pPr>
          </w:p>
        </w:tc>
        <w:tc>
          <w:tcPr>
            <w:tcW w:w="171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1</w:t>
            </w:r>
          </w:p>
        </w:tc>
        <w:tc>
          <w:tcPr>
            <w:tcW w:w="1982"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2</w:t>
            </w:r>
          </w:p>
        </w:tc>
        <w:tc>
          <w:tcPr>
            <w:tcW w:w="1771"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3</w:t>
            </w:r>
          </w:p>
        </w:tc>
        <w:tc>
          <w:tcPr>
            <w:tcW w:w="1637"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4</w:t>
            </w:r>
          </w:p>
        </w:tc>
        <w:tc>
          <w:tcPr>
            <w:tcW w:w="1426"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660"/>
              <w:jc w:val="left"/>
              <w:rPr>
                <w:sz w:val="17"/>
                <w:szCs w:val="17"/>
              </w:rPr>
            </w:pPr>
            <w:r>
              <w:rPr>
                <w:rFonts w:ascii="Times New Roman" w:hAnsi="Times New Roman" w:eastAsia="Times New Roman" w:cs="Times New Roman"/>
                <w:b/>
                <w:bCs/>
                <w:sz w:val="17"/>
                <w:szCs w:val="17"/>
              </w:rPr>
              <w:t>5</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right="700" w:firstLine="0"/>
              <w:jc w:val="left"/>
              <w:rPr>
                <w:sz w:val="17"/>
                <w:szCs w:val="17"/>
              </w:rPr>
            </w:pPr>
            <w:r>
              <w:rPr>
                <w:rFonts w:ascii="Times New Roman" w:hAnsi="Times New Roman" w:eastAsia="Times New Roman" w:cs="Times New Roman"/>
                <w:b/>
                <w:bCs/>
                <w:sz w:val="17"/>
                <w:szCs w:val="17"/>
              </w:rPr>
              <w:t>6</w:t>
            </w:r>
          </w:p>
        </w:tc>
      </w:tr>
      <w:tr>
        <w:tblPrEx>
          <w:tblCellMar>
            <w:top w:w="0" w:type="dxa"/>
            <w:left w:w="10" w:type="dxa"/>
            <w:bottom w:w="0" w:type="dxa"/>
            <w:right w:w="10" w:type="dxa"/>
          </w:tblCellMar>
        </w:tblPrEx>
        <w:trPr>
          <w:trHeight w:val="422" w:hRule="exact"/>
        </w:trPr>
        <w:tc>
          <w:tcPr>
            <w:tcW w:w="135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eastAsia="宋体"/>
                <w:sz w:val="17"/>
                <w:szCs w:val="17"/>
                <w:lang w:val="en-US" w:eastAsia="zh-CN"/>
              </w:rPr>
            </w:pPr>
          </w:p>
        </w:tc>
        <w:tc>
          <w:tcPr>
            <w:tcW w:w="119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default" w:ascii="宋体" w:hAnsi="宋体" w:eastAsia="宋体" w:cs="宋体"/>
                <w:color w:val="000000"/>
                <w:sz w:val="17"/>
                <w:szCs w:val="17"/>
                <w:lang w:val="en-US" w:eastAsia="zh-CN" w:bidi="zh-TW"/>
              </w:rPr>
            </w:pPr>
            <w:r>
              <w:rPr>
                <w:rFonts w:hint="eastAsia" w:ascii="Times New Roman" w:hAnsi="Times New Roman" w:cs="Times New Roman"/>
                <w:b/>
                <w:bCs/>
                <w:sz w:val="17"/>
                <w:szCs w:val="17"/>
                <w:lang w:val="en-US" w:eastAsia="zh-CN"/>
              </w:rPr>
              <w:t>120</w:t>
            </w:r>
          </w:p>
        </w:tc>
        <w:tc>
          <w:tcPr>
            <w:tcW w:w="27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eastAsia="宋体"/>
                <w:sz w:val="17"/>
                <w:szCs w:val="17"/>
                <w:lang w:val="en-US" w:eastAsia="zh-CN"/>
              </w:rPr>
            </w:pPr>
            <w:r>
              <w:rPr>
                <w:rFonts w:hint="eastAsia"/>
                <w:sz w:val="17"/>
                <w:szCs w:val="17"/>
                <w:lang w:val="en-US" w:eastAsia="zh-CN"/>
              </w:rPr>
              <w:t>环江毛南族自治县林业局</w:t>
            </w: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left="1060" w:firstLine="0"/>
              <w:jc w:val="left"/>
              <w:rPr>
                <w:rFonts w:hint="default" w:eastAsia="宋体"/>
                <w:sz w:val="17"/>
                <w:szCs w:val="17"/>
                <w:lang w:val="en-US" w:eastAsia="zh-CN"/>
              </w:rPr>
            </w:pPr>
            <w:r>
              <w:rPr>
                <w:rFonts w:hint="eastAsia" w:ascii="Times New Roman" w:hAnsi="Times New Roman" w:cs="Times New Roman"/>
                <w:b/>
                <w:bCs/>
                <w:sz w:val="17"/>
                <w:szCs w:val="17"/>
                <w:lang w:val="en-US" w:eastAsia="zh-CN" w:bidi="en-US"/>
              </w:rPr>
              <w:t>7887.27</w:t>
            </w:r>
          </w:p>
        </w:tc>
        <w:tc>
          <w:tcPr>
            <w:tcW w:w="198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1,897.55</w:t>
            </w:r>
          </w:p>
        </w:tc>
        <w:tc>
          <w:tcPr>
            <w:tcW w:w="177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1,796.86</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100.69</w:t>
            </w:r>
          </w:p>
        </w:tc>
        <w:tc>
          <w:tcPr>
            <w:tcW w:w="142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eastAsia="宋体"/>
                <w:sz w:val="17"/>
                <w:szCs w:val="17"/>
                <w:lang w:val="en-US" w:eastAsia="zh-CN"/>
              </w:rPr>
            </w:pPr>
            <w:r>
              <w:rPr>
                <w:rFonts w:hint="eastAsia" w:ascii="宋体" w:hAnsi="宋体" w:eastAsia="宋体" w:cs="宋体"/>
                <w:i w:val="0"/>
                <w:iCs w:val="0"/>
                <w:color w:val="000000"/>
                <w:kern w:val="0"/>
                <w:sz w:val="20"/>
                <w:szCs w:val="20"/>
                <w:u w:val="none"/>
                <w:lang w:val="en-US" w:eastAsia="zh-CN" w:bidi="ar"/>
              </w:rPr>
              <w:t>5,989.69</w:t>
            </w:r>
          </w:p>
        </w:tc>
        <w:tc>
          <w:tcPr>
            <w:tcW w:w="15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jc w:val="left"/>
              <w:rPr>
                <w:rFonts w:hint="default" w:eastAsia="宋体"/>
                <w:sz w:val="17"/>
                <w:szCs w:val="17"/>
                <w:lang w:val="en-US" w:eastAsia="zh-CN"/>
              </w:rPr>
            </w:pPr>
            <w:r>
              <w:rPr>
                <w:rFonts w:hint="eastAsia"/>
                <w:sz w:val="17"/>
                <w:szCs w:val="17"/>
                <w:lang w:val="en-US" w:eastAsia="zh-CN"/>
              </w:rPr>
              <w:t>0</w:t>
            </w:r>
          </w:p>
        </w:tc>
      </w:tr>
    </w:tbl>
    <w:p>
      <w:pPr>
        <w:pStyle w:val="25"/>
        <w:framePr w:w="955" w:h="240" w:hSpace="14386" w:wrap="notBeside" w:vAnchor="text" w:hAnchor="page" w:x="15201" w:y="662"/>
        <w:jc w:val="left"/>
      </w:pPr>
      <w:r>
        <w:t>单位：万元</w:t>
      </w:r>
    </w:p>
    <w:p>
      <w:pPr>
        <w:pStyle w:val="25"/>
        <w:jc w:val="left"/>
      </w:pPr>
      <w:r>
        <w:t>注：本报表金额单位转换时可能存在四舍五入尾数误差。</w:t>
      </w:r>
    </w:p>
    <w:p>
      <w:pPr>
        <w:jc w:val="left"/>
        <w:rPr>
          <w:b/>
          <w:bCs/>
          <w:lang w:eastAsia="zh-CN"/>
        </w:rPr>
      </w:pPr>
    </w:p>
    <w:p>
      <w:pPr>
        <w:spacing w:line="1" w:lineRule="exact"/>
        <w:jc w:val="left"/>
      </w:pPr>
      <w:r>
        <w:br w:type="page"/>
      </w:r>
    </w:p>
    <w:p>
      <w:pPr>
        <w:pStyle w:val="21"/>
        <w:keepNext/>
        <w:keepLines/>
        <w:spacing w:after="240"/>
        <w:jc w:val="center"/>
      </w:pPr>
      <w:bookmarkStart w:id="31" w:name="bookmark57"/>
      <w:bookmarkStart w:id="32" w:name="bookmark56"/>
      <w:bookmarkStart w:id="33" w:name="bookmark58"/>
      <w:r>
        <w:t>一般公共预算基本支出情况表</w:t>
      </w:r>
      <w:bookmarkEnd w:id="31"/>
      <w:bookmarkEnd w:id="32"/>
      <w:bookmarkEnd w:id="33"/>
    </w:p>
    <w:tbl>
      <w:tblPr>
        <w:tblStyle w:val="5"/>
        <w:tblW w:w="0" w:type="auto"/>
        <w:jc w:val="center"/>
        <w:tblLayout w:type="fixed"/>
        <w:tblCellMar>
          <w:top w:w="0" w:type="dxa"/>
          <w:left w:w="10" w:type="dxa"/>
          <w:bottom w:w="0" w:type="dxa"/>
          <w:right w:w="10" w:type="dxa"/>
        </w:tblCellMar>
      </w:tblPr>
      <w:tblGrid>
        <w:gridCol w:w="3072"/>
        <w:gridCol w:w="3062"/>
        <w:gridCol w:w="3067"/>
        <w:gridCol w:w="3062"/>
        <w:gridCol w:w="3077"/>
      </w:tblGrid>
      <w:tr>
        <w:tblPrEx>
          <w:tblCellMar>
            <w:top w:w="0" w:type="dxa"/>
            <w:left w:w="10" w:type="dxa"/>
            <w:bottom w:w="0" w:type="dxa"/>
            <w:right w:w="10" w:type="dxa"/>
          </w:tblCellMar>
        </w:tblPrEx>
        <w:trPr>
          <w:trHeight w:val="346" w:hRule="exact"/>
          <w:jc w:val="center"/>
        </w:trPr>
        <w:tc>
          <w:tcPr>
            <w:tcW w:w="3072" w:type="dxa"/>
            <w:shd w:val="clear" w:color="auto" w:fill="FFFFFF"/>
          </w:tcPr>
          <w:p>
            <w:pPr>
              <w:pStyle w:val="23"/>
              <w:spacing w:line="240" w:lineRule="auto"/>
              <w:ind w:firstLine="0"/>
              <w:jc w:val="left"/>
              <w:rPr>
                <w:sz w:val="17"/>
                <w:szCs w:val="17"/>
              </w:rPr>
            </w:pPr>
            <w:r>
              <w:rPr>
                <w:sz w:val="17"/>
                <w:szCs w:val="17"/>
              </w:rPr>
              <w:t>单位名称：</w:t>
            </w:r>
            <w:r>
              <w:rPr>
                <w:rFonts w:hint="eastAsia"/>
                <w:sz w:val="17"/>
                <w:szCs w:val="17"/>
                <w:lang w:eastAsia="zh-CN"/>
              </w:rPr>
              <w:t>环江毛南族自治县林业局</w:t>
            </w:r>
          </w:p>
        </w:tc>
        <w:tc>
          <w:tcPr>
            <w:tcW w:w="3062" w:type="dxa"/>
            <w:shd w:val="clear" w:color="auto" w:fill="FFFFFF"/>
          </w:tcPr>
          <w:p>
            <w:pPr>
              <w:jc w:val="left"/>
              <w:rPr>
                <w:sz w:val="10"/>
                <w:szCs w:val="10"/>
                <w:lang w:eastAsia="zh-CN"/>
              </w:rPr>
            </w:pPr>
          </w:p>
        </w:tc>
        <w:tc>
          <w:tcPr>
            <w:tcW w:w="3067" w:type="dxa"/>
            <w:shd w:val="clear" w:color="auto" w:fill="FFFFFF"/>
          </w:tcPr>
          <w:p>
            <w:pPr>
              <w:jc w:val="left"/>
              <w:rPr>
                <w:sz w:val="10"/>
                <w:szCs w:val="10"/>
                <w:lang w:eastAsia="zh-CN"/>
              </w:rPr>
            </w:pPr>
          </w:p>
        </w:tc>
        <w:tc>
          <w:tcPr>
            <w:tcW w:w="3062" w:type="dxa"/>
            <w:shd w:val="clear" w:color="auto" w:fill="FFFFFF"/>
          </w:tcPr>
          <w:p>
            <w:pPr>
              <w:jc w:val="left"/>
              <w:rPr>
                <w:sz w:val="10"/>
                <w:szCs w:val="10"/>
                <w:lang w:eastAsia="zh-CN"/>
              </w:rPr>
            </w:pPr>
          </w:p>
        </w:tc>
        <w:tc>
          <w:tcPr>
            <w:tcW w:w="3077" w:type="dxa"/>
            <w:shd w:val="clear" w:color="auto" w:fill="FFFFFF"/>
          </w:tcPr>
          <w:p>
            <w:pPr>
              <w:pStyle w:val="23"/>
              <w:spacing w:line="240" w:lineRule="auto"/>
              <w:ind w:firstLine="0"/>
              <w:jc w:val="left"/>
              <w:rPr>
                <w:sz w:val="17"/>
                <w:szCs w:val="17"/>
              </w:rPr>
            </w:pPr>
            <w:r>
              <w:rPr>
                <w:sz w:val="17"/>
                <w:szCs w:val="17"/>
              </w:rPr>
              <w:t>单位：万元</w:t>
            </w:r>
          </w:p>
        </w:tc>
      </w:tr>
      <w:tr>
        <w:tblPrEx>
          <w:tblCellMar>
            <w:top w:w="0" w:type="dxa"/>
            <w:left w:w="10" w:type="dxa"/>
            <w:bottom w:w="0" w:type="dxa"/>
            <w:right w:w="10" w:type="dxa"/>
          </w:tblCellMar>
        </w:tblPrEx>
        <w:trPr>
          <w:trHeight w:val="451" w:hRule="exact"/>
          <w:jc w:val="center"/>
        </w:trPr>
        <w:tc>
          <w:tcPr>
            <w:tcW w:w="6134" w:type="dxa"/>
            <w:gridSpan w:val="2"/>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部门预算支出经济分类科目</w:t>
            </w:r>
          </w:p>
        </w:tc>
        <w:tc>
          <w:tcPr>
            <w:tcW w:w="9206" w:type="dxa"/>
            <w:gridSpan w:val="3"/>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本年一般公共预算基本支出</w:t>
            </w:r>
          </w:p>
        </w:tc>
      </w:tr>
      <w:tr>
        <w:tblPrEx>
          <w:tblCellMar>
            <w:top w:w="0" w:type="dxa"/>
            <w:left w:w="10" w:type="dxa"/>
            <w:bottom w:w="0" w:type="dxa"/>
            <w:right w:w="10" w:type="dxa"/>
          </w:tblCellMar>
        </w:tblPrEx>
        <w:trPr>
          <w:trHeight w:val="874" w:hRule="exact"/>
          <w:jc w:val="center"/>
        </w:trPr>
        <w:tc>
          <w:tcPr>
            <w:tcW w:w="3072"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科目编码</w:t>
            </w:r>
          </w:p>
        </w:tc>
        <w:tc>
          <w:tcPr>
            <w:tcW w:w="3062"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科目名称</w:t>
            </w:r>
          </w:p>
        </w:tc>
        <w:tc>
          <w:tcPr>
            <w:tcW w:w="3067"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3062"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人员经费</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公用经费</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1,897.55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1,796.86</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100.69</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工资福利支出</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1,714.05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1,714.05</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30101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基本工资</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551.23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551.23</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30102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津贴补贴</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138.90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138.90</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30103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奖金</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337.75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337.75</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30107</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绩效工资</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203.76</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203.76</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30108</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206.63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206.63</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30110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职工基本医疗保险缴费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82.65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82.65</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30111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公务员医疗补助缴费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7.11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7.11</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30112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其他社会保障缴费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177.89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177.89</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30113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8.14</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8.14</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30199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其他工资福利支出</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100.69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100.69</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商品和服务支出</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4.54</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4.54</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30201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办公费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5.00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5.00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30205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水费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9.00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9.00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30206</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电费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4.63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4.63</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30207</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邮电费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0.13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0.13</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30211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差旅费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0.20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0.20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30213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维修（护）费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0.80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0.80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30214</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租赁费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0.60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0.60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30218</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专用材料费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30228</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工会经费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3.00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3.00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30239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其他交通费用</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17.72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17.72</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30299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其他商品和服务支出</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13.80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13.80</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对个人和家庭的补助</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29.52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29.52</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30302</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退休费</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10.74</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10.74</w:t>
            </w: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30305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生活补助</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82.81</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82.81</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30307</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医疗费补助</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74.87</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74.87</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30399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其他对个人和家庭的补助</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7.90</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7.90</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309</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资本性支出（基本建设）</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0.04</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0.04</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sz w:val="17"/>
                <w:szCs w:val="17"/>
                <w:lang w:val="en-US" w:eastAsia="zh-CN"/>
              </w:rPr>
            </w:pPr>
          </w:p>
        </w:tc>
      </w:tr>
      <w:tr>
        <w:tblPrEx>
          <w:tblCellMar>
            <w:top w:w="0" w:type="dxa"/>
            <w:left w:w="10" w:type="dxa"/>
            <w:bottom w:w="0" w:type="dxa"/>
            <w:right w:w="10" w:type="dxa"/>
          </w:tblCellMar>
        </w:tblPrEx>
        <w:trPr>
          <w:trHeight w:val="451" w:hRule="exact"/>
          <w:jc w:val="center"/>
        </w:trPr>
        <w:tc>
          <w:tcPr>
            <w:tcW w:w="3072" w:type="dxa"/>
            <w:tcBorders>
              <w:top w:val="single" w:color="auto" w:sz="4" w:space="0"/>
              <w:left w:val="single" w:color="auto" w:sz="4" w:space="0"/>
              <w:bottom w:val="single" w:color="auto" w:sz="4" w:space="0"/>
              <w:right w:val="single" w:color="auto" w:sz="4" w:space="0"/>
            </w:tcBorders>
            <w:shd w:val="clear" w:color="auto" w:fill="FFFFFF"/>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30903</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专用设备购置</w:t>
            </w:r>
          </w:p>
        </w:tc>
        <w:tc>
          <w:tcPr>
            <w:tcW w:w="306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1,897.55</w:t>
            </w:r>
          </w:p>
        </w:tc>
        <w:tc>
          <w:tcPr>
            <w:tcW w:w="306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1,796.86</w:t>
            </w:r>
          </w:p>
        </w:tc>
        <w:tc>
          <w:tcPr>
            <w:tcW w:w="3077"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default" w:ascii="Times New Roman" w:hAnsi="Times New Roman" w:eastAsia="Times New Roman" w:cs="Times New Roman"/>
                <w:b/>
                <w:bCs/>
                <w:sz w:val="17"/>
                <w:szCs w:val="17"/>
                <w:lang w:val="en-US" w:eastAsia="zh-CN"/>
              </w:rPr>
            </w:pPr>
            <w:r>
              <w:rPr>
                <w:rFonts w:hint="eastAsia" w:ascii="宋体" w:hAnsi="宋体" w:eastAsia="宋体" w:cs="宋体"/>
                <w:i w:val="0"/>
                <w:iCs w:val="0"/>
                <w:color w:val="000000"/>
                <w:kern w:val="0"/>
                <w:sz w:val="20"/>
                <w:szCs w:val="20"/>
                <w:u w:val="none"/>
                <w:lang w:val="en-US" w:eastAsia="zh-CN" w:bidi="ar"/>
              </w:rPr>
              <w:t>100.69</w:t>
            </w:r>
          </w:p>
        </w:tc>
      </w:tr>
    </w:tbl>
    <w:p>
      <w:pPr>
        <w:pStyle w:val="27"/>
        <w:jc w:val="left"/>
      </w:pPr>
      <w:r>
        <w:t>注：本报表金额单位转换时可能存在四舍五入尾数误差。</w:t>
      </w:r>
      <w:r>
        <w:br w:type="page"/>
      </w:r>
    </w:p>
    <w:p>
      <w:pPr>
        <w:pStyle w:val="21"/>
        <w:keepNext/>
        <w:keepLines/>
        <w:framePr w:w="14386" w:h="230" w:hSpace="13219" w:wrap="notBeside" w:vAnchor="text" w:hAnchor="page" w:x="882" w:y="21"/>
        <w:spacing w:after="240"/>
        <w:jc w:val="center"/>
      </w:pPr>
      <w:r>
        <w:t>一般公共预算</w:t>
      </w:r>
      <w:r>
        <w:rPr>
          <w:lang w:val="zh-CN" w:eastAsia="zh-CN" w:bidi="zh-CN"/>
        </w:rPr>
        <w:t>“三</w:t>
      </w:r>
      <w:r>
        <w:t>公”经费预算表</w:t>
      </w:r>
    </w:p>
    <w:p>
      <w:pPr>
        <w:pStyle w:val="25"/>
        <w:framePr w:w="14386" w:h="230" w:hSpace="13219" w:wrap="notBeside" w:vAnchor="text" w:hAnchor="page" w:x="882" w:y="21"/>
        <w:jc w:val="left"/>
      </w:pPr>
    </w:p>
    <w:p>
      <w:pPr>
        <w:pStyle w:val="25"/>
        <w:framePr w:w="14386" w:h="230" w:hSpace="13219" w:wrap="notBeside" w:vAnchor="text" w:hAnchor="page" w:x="882" w:y="21"/>
        <w:jc w:val="left"/>
      </w:pPr>
    </w:p>
    <w:p>
      <w:pPr>
        <w:pStyle w:val="25"/>
        <w:framePr w:w="14386" w:h="230" w:hSpace="13219" w:wrap="notBeside" w:vAnchor="text" w:hAnchor="page" w:x="882" w:y="21"/>
        <w:jc w:val="left"/>
      </w:pPr>
      <w:r>
        <w:t>单位名称：</w:t>
      </w:r>
      <w:r>
        <w:rPr>
          <w:rFonts w:hint="eastAsia"/>
          <w:lang w:eastAsia="zh-CN"/>
        </w:rPr>
        <w:t>环江毛南族自治县林业局</w:t>
      </w:r>
    </w:p>
    <w:p>
      <w:pPr>
        <w:spacing w:line="1" w:lineRule="exact"/>
        <w:jc w:val="left"/>
      </w:pPr>
    </w:p>
    <w:p>
      <w:pPr>
        <w:pStyle w:val="25"/>
        <w:framePr w:w="955" w:h="240" w:hSpace="14386" w:wrap="notBeside" w:vAnchor="text" w:hAnchor="text" w:x="14305" w:y="1"/>
        <w:jc w:val="left"/>
      </w:pPr>
      <w:r>
        <w:t>单位：万元</w:t>
      </w:r>
    </w:p>
    <w:p>
      <w:pPr>
        <w:pStyle w:val="25"/>
        <w:framePr w:w="4531" w:h="235" w:hSpace="10810" w:wrap="notBeside" w:vAnchor="text" w:hAnchor="page" w:x="686" w:y="3963"/>
        <w:jc w:val="left"/>
      </w:pPr>
      <w:r>
        <w:t>注：本报表金额单位转换时可能存在四舍五入尾数误差。</w:t>
      </w:r>
    </w:p>
    <w:tbl>
      <w:tblPr>
        <w:tblStyle w:val="5"/>
        <w:tblpPr w:leftFromText="180" w:rightFromText="180" w:vertAnchor="text" w:horzAnchor="page" w:tblpX="630" w:tblpY="-2245"/>
        <w:tblOverlap w:val="never"/>
        <w:tblW w:w="0" w:type="auto"/>
        <w:tblInd w:w="0" w:type="dxa"/>
        <w:tblLayout w:type="fixed"/>
        <w:tblCellMar>
          <w:top w:w="0" w:type="dxa"/>
          <w:left w:w="10" w:type="dxa"/>
          <w:bottom w:w="0" w:type="dxa"/>
          <w:right w:w="10" w:type="dxa"/>
        </w:tblCellMar>
      </w:tblPr>
      <w:tblGrid>
        <w:gridCol w:w="1765"/>
        <w:gridCol w:w="1876"/>
        <w:gridCol w:w="1890"/>
        <w:gridCol w:w="1775"/>
        <w:gridCol w:w="1785"/>
        <w:gridCol w:w="2087"/>
        <w:gridCol w:w="2070"/>
        <w:gridCol w:w="2090"/>
      </w:tblGrid>
      <w:tr>
        <w:tblPrEx>
          <w:tblCellMar>
            <w:top w:w="0" w:type="dxa"/>
            <w:left w:w="10" w:type="dxa"/>
            <w:bottom w:w="0" w:type="dxa"/>
            <w:right w:w="10" w:type="dxa"/>
          </w:tblCellMar>
        </w:tblPrEx>
        <w:trPr>
          <w:trHeight w:val="494" w:hRule="exact"/>
        </w:trPr>
        <w:tc>
          <w:tcPr>
            <w:tcW w:w="1765"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部门（单位）代码</w:t>
            </w:r>
          </w:p>
        </w:tc>
        <w:tc>
          <w:tcPr>
            <w:tcW w:w="1876"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部门（单位）名称</w:t>
            </w:r>
          </w:p>
        </w:tc>
        <w:tc>
          <w:tcPr>
            <w:tcW w:w="11697" w:type="dxa"/>
            <w:gridSpan w:val="6"/>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lang w:val="zh-CN" w:eastAsia="zh-CN" w:bidi="zh-CN"/>
              </w:rPr>
              <w:t>“三</w:t>
            </w:r>
            <w:r>
              <w:rPr>
                <w:sz w:val="17"/>
                <w:szCs w:val="17"/>
              </w:rPr>
              <w:t>公”经费</w:t>
            </w:r>
          </w:p>
        </w:tc>
      </w:tr>
      <w:tr>
        <w:tblPrEx>
          <w:tblCellMar>
            <w:top w:w="0" w:type="dxa"/>
            <w:left w:w="10" w:type="dxa"/>
            <w:bottom w:w="0" w:type="dxa"/>
            <w:right w:w="10" w:type="dxa"/>
          </w:tblCellMar>
        </w:tblPrEx>
        <w:trPr>
          <w:trHeight w:val="499" w:hRule="exact"/>
        </w:trPr>
        <w:tc>
          <w:tcPr>
            <w:tcW w:w="1765" w:type="dxa"/>
            <w:vMerge w:val="continue"/>
            <w:tcBorders>
              <w:left w:val="single" w:color="auto" w:sz="4" w:space="0"/>
            </w:tcBorders>
            <w:shd w:val="clear" w:color="auto" w:fill="FFFFFF"/>
            <w:vAlign w:val="center"/>
          </w:tcPr>
          <w:p>
            <w:pPr>
              <w:jc w:val="left"/>
            </w:pPr>
          </w:p>
        </w:tc>
        <w:tc>
          <w:tcPr>
            <w:tcW w:w="1876" w:type="dxa"/>
            <w:vMerge w:val="continue"/>
            <w:tcBorders>
              <w:left w:val="single" w:color="auto" w:sz="4" w:space="0"/>
            </w:tcBorders>
            <w:shd w:val="clear" w:color="auto" w:fill="FFFFFF"/>
            <w:vAlign w:val="center"/>
          </w:tcPr>
          <w:p>
            <w:pPr>
              <w:jc w:val="left"/>
            </w:pPr>
          </w:p>
        </w:tc>
        <w:tc>
          <w:tcPr>
            <w:tcW w:w="1890"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1775" w:type="dxa"/>
            <w:vMerge w:val="restart"/>
            <w:tcBorders>
              <w:top w:val="single" w:color="auto" w:sz="4" w:space="0"/>
              <w:left w:val="single" w:color="auto" w:sz="4" w:space="0"/>
            </w:tcBorders>
            <w:shd w:val="clear" w:color="auto" w:fill="FFFFFF"/>
            <w:vAlign w:val="center"/>
          </w:tcPr>
          <w:p>
            <w:pPr>
              <w:pStyle w:val="23"/>
              <w:spacing w:line="240" w:lineRule="auto"/>
              <w:ind w:firstLine="160"/>
              <w:jc w:val="left"/>
              <w:rPr>
                <w:sz w:val="17"/>
                <w:szCs w:val="17"/>
              </w:rPr>
            </w:pPr>
            <w:r>
              <w:rPr>
                <w:sz w:val="17"/>
                <w:szCs w:val="17"/>
              </w:rPr>
              <w:t>因公出国（境）费</w:t>
            </w:r>
          </w:p>
        </w:tc>
        <w:tc>
          <w:tcPr>
            <w:tcW w:w="5942" w:type="dxa"/>
            <w:gridSpan w:val="3"/>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公务用车购置及运行维护费</w:t>
            </w:r>
          </w:p>
        </w:tc>
        <w:tc>
          <w:tcPr>
            <w:tcW w:w="2090" w:type="dxa"/>
            <w:vMerge w:val="restart"/>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公务接待费</w:t>
            </w:r>
          </w:p>
        </w:tc>
      </w:tr>
      <w:tr>
        <w:tblPrEx>
          <w:tblCellMar>
            <w:top w:w="0" w:type="dxa"/>
            <w:left w:w="10" w:type="dxa"/>
            <w:bottom w:w="0" w:type="dxa"/>
            <w:right w:w="10" w:type="dxa"/>
          </w:tblCellMar>
        </w:tblPrEx>
        <w:trPr>
          <w:trHeight w:val="484" w:hRule="exact"/>
        </w:trPr>
        <w:tc>
          <w:tcPr>
            <w:tcW w:w="1765" w:type="dxa"/>
            <w:vMerge w:val="continue"/>
            <w:tcBorders>
              <w:left w:val="single" w:color="auto" w:sz="4" w:space="0"/>
            </w:tcBorders>
            <w:shd w:val="clear" w:color="auto" w:fill="FFFFFF"/>
            <w:vAlign w:val="center"/>
          </w:tcPr>
          <w:p>
            <w:pPr>
              <w:jc w:val="left"/>
            </w:pPr>
          </w:p>
        </w:tc>
        <w:tc>
          <w:tcPr>
            <w:tcW w:w="1876" w:type="dxa"/>
            <w:vMerge w:val="continue"/>
            <w:tcBorders>
              <w:left w:val="single" w:color="auto" w:sz="4" w:space="0"/>
            </w:tcBorders>
            <w:shd w:val="clear" w:color="auto" w:fill="FFFFFF"/>
            <w:vAlign w:val="center"/>
          </w:tcPr>
          <w:p>
            <w:pPr>
              <w:jc w:val="left"/>
            </w:pPr>
          </w:p>
        </w:tc>
        <w:tc>
          <w:tcPr>
            <w:tcW w:w="1890" w:type="dxa"/>
            <w:vMerge w:val="continue"/>
            <w:tcBorders>
              <w:left w:val="single" w:color="auto" w:sz="4" w:space="0"/>
            </w:tcBorders>
            <w:shd w:val="clear" w:color="auto" w:fill="FFFFFF"/>
            <w:vAlign w:val="center"/>
          </w:tcPr>
          <w:p>
            <w:pPr>
              <w:jc w:val="left"/>
            </w:pPr>
          </w:p>
        </w:tc>
        <w:tc>
          <w:tcPr>
            <w:tcW w:w="1775" w:type="dxa"/>
            <w:vMerge w:val="continue"/>
            <w:tcBorders>
              <w:left w:val="single" w:color="auto" w:sz="4" w:space="0"/>
            </w:tcBorders>
            <w:shd w:val="clear" w:color="auto" w:fill="FFFFFF"/>
            <w:vAlign w:val="center"/>
          </w:tcPr>
          <w:p>
            <w:pPr>
              <w:jc w:val="left"/>
            </w:pPr>
          </w:p>
        </w:tc>
        <w:tc>
          <w:tcPr>
            <w:tcW w:w="1785"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小计</w:t>
            </w:r>
          </w:p>
        </w:tc>
        <w:tc>
          <w:tcPr>
            <w:tcW w:w="2087" w:type="dxa"/>
            <w:tcBorders>
              <w:top w:val="single" w:color="auto" w:sz="4" w:space="0"/>
              <w:left w:val="single" w:color="auto" w:sz="4" w:space="0"/>
            </w:tcBorders>
            <w:shd w:val="clear" w:color="auto" w:fill="FFFFFF"/>
            <w:vAlign w:val="center"/>
          </w:tcPr>
          <w:p>
            <w:pPr>
              <w:pStyle w:val="23"/>
              <w:spacing w:line="240" w:lineRule="auto"/>
              <w:ind w:firstLine="220"/>
              <w:jc w:val="left"/>
              <w:rPr>
                <w:sz w:val="17"/>
                <w:szCs w:val="17"/>
              </w:rPr>
            </w:pPr>
            <w:r>
              <w:rPr>
                <w:sz w:val="17"/>
                <w:szCs w:val="17"/>
              </w:rPr>
              <w:t>公务用车运行维护费</w:t>
            </w:r>
          </w:p>
        </w:tc>
        <w:tc>
          <w:tcPr>
            <w:tcW w:w="2070" w:type="dxa"/>
            <w:tcBorders>
              <w:top w:val="single" w:color="auto" w:sz="4" w:space="0"/>
              <w:left w:val="single" w:color="auto" w:sz="4" w:space="0"/>
            </w:tcBorders>
            <w:shd w:val="clear" w:color="auto" w:fill="FFFFFF"/>
            <w:vAlign w:val="center"/>
          </w:tcPr>
          <w:p>
            <w:pPr>
              <w:pStyle w:val="23"/>
              <w:spacing w:line="240" w:lineRule="auto"/>
              <w:jc w:val="left"/>
              <w:rPr>
                <w:sz w:val="17"/>
                <w:szCs w:val="17"/>
              </w:rPr>
            </w:pPr>
            <w:r>
              <w:rPr>
                <w:sz w:val="17"/>
                <w:szCs w:val="17"/>
              </w:rPr>
              <w:t>公务用车购置费</w:t>
            </w:r>
          </w:p>
        </w:tc>
        <w:tc>
          <w:tcPr>
            <w:tcW w:w="2090" w:type="dxa"/>
            <w:vMerge w:val="continue"/>
            <w:tcBorders>
              <w:left w:val="single" w:color="auto" w:sz="4" w:space="0"/>
              <w:right w:val="single" w:color="auto" w:sz="4" w:space="0"/>
            </w:tcBorders>
            <w:shd w:val="clear" w:color="auto" w:fill="FFFFFF"/>
            <w:vAlign w:val="center"/>
          </w:tcPr>
          <w:p>
            <w:pPr>
              <w:jc w:val="left"/>
            </w:pPr>
          </w:p>
        </w:tc>
      </w:tr>
      <w:tr>
        <w:tblPrEx>
          <w:tblCellMar>
            <w:top w:w="0" w:type="dxa"/>
            <w:left w:w="10" w:type="dxa"/>
            <w:bottom w:w="0" w:type="dxa"/>
            <w:right w:w="10" w:type="dxa"/>
          </w:tblCellMar>
        </w:tblPrEx>
        <w:trPr>
          <w:trHeight w:val="478" w:hRule="exact"/>
        </w:trPr>
        <w:tc>
          <w:tcPr>
            <w:tcW w:w="1765" w:type="dxa"/>
            <w:tcBorders>
              <w:left w:val="single" w:color="auto" w:sz="4" w:space="0"/>
              <w:bottom w:val="single" w:color="auto" w:sz="4" w:space="0"/>
            </w:tcBorders>
            <w:shd w:val="clear" w:color="auto" w:fill="FFFFFF"/>
            <w:vAlign w:val="center"/>
          </w:tcPr>
          <w:p>
            <w:pPr>
              <w:jc w:val="left"/>
            </w:pPr>
          </w:p>
        </w:tc>
        <w:tc>
          <w:tcPr>
            <w:tcW w:w="1876" w:type="dxa"/>
            <w:tcBorders>
              <w:left w:val="single" w:color="auto" w:sz="4" w:space="0"/>
              <w:bottom w:val="single" w:color="auto" w:sz="4" w:space="0"/>
            </w:tcBorders>
            <w:shd w:val="clear" w:color="auto" w:fill="FFFFFF"/>
            <w:vAlign w:val="center"/>
          </w:tcPr>
          <w:p>
            <w:pPr>
              <w:jc w:val="left"/>
            </w:pPr>
          </w:p>
        </w:tc>
        <w:tc>
          <w:tcPr>
            <w:tcW w:w="1890"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1</w:t>
            </w:r>
          </w:p>
        </w:tc>
        <w:tc>
          <w:tcPr>
            <w:tcW w:w="1775"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2</w:t>
            </w:r>
          </w:p>
        </w:tc>
        <w:tc>
          <w:tcPr>
            <w:tcW w:w="1785"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3</w:t>
            </w:r>
          </w:p>
        </w:tc>
        <w:tc>
          <w:tcPr>
            <w:tcW w:w="2087"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4</w:t>
            </w:r>
          </w:p>
        </w:tc>
        <w:tc>
          <w:tcPr>
            <w:tcW w:w="2070"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5</w:t>
            </w: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6</w:t>
            </w:r>
          </w:p>
        </w:tc>
      </w:tr>
      <w:tr>
        <w:tblPrEx>
          <w:tblCellMar>
            <w:top w:w="0" w:type="dxa"/>
            <w:left w:w="10" w:type="dxa"/>
            <w:bottom w:w="0" w:type="dxa"/>
            <w:right w:w="10" w:type="dxa"/>
          </w:tblCellMar>
        </w:tblPrEx>
        <w:trPr>
          <w:trHeight w:val="505" w:hRule="exact"/>
        </w:trPr>
        <w:tc>
          <w:tcPr>
            <w:tcW w:w="1765" w:type="dxa"/>
            <w:tcBorders>
              <w:top w:val="single" w:color="auto" w:sz="4" w:space="0"/>
              <w:left w:val="single" w:color="auto" w:sz="4" w:space="0"/>
              <w:bottom w:val="single" w:color="auto" w:sz="4" w:space="0"/>
              <w:right w:val="single" w:color="auto" w:sz="4" w:space="0"/>
            </w:tcBorders>
            <w:shd w:val="clear" w:color="auto" w:fill="FFFFFF"/>
            <w:vAlign w:val="top"/>
          </w:tcPr>
          <w:p>
            <w:pPr>
              <w:pStyle w:val="23"/>
              <w:spacing w:line="240" w:lineRule="auto"/>
              <w:ind w:firstLine="0" w:firstLineChars="0"/>
              <w:jc w:val="left"/>
              <w:rPr>
                <w:rFonts w:hint="eastAsia"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sz w:val="17"/>
                <w:szCs w:val="17"/>
                <w:lang w:val="en-US" w:eastAsia="zh-CN"/>
              </w:rPr>
              <w:t>120</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eastAsia"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sz w:val="17"/>
                <w:szCs w:val="17"/>
                <w:lang w:val="en-US" w:eastAsia="zh-CN"/>
              </w:rPr>
              <w:t>环江毛南族自治县林业局</w:t>
            </w: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33.00</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imes New Roman" w:hAnsi="Times New Roman" w:eastAsia="Times New Roman" w:cs="Times New Roman"/>
                <w:b/>
                <w:bCs/>
                <w:color w:val="000000"/>
                <w:sz w:val="17"/>
                <w:szCs w:val="17"/>
                <w:lang w:val="en-US" w:eastAsia="zh-CN" w:bidi="zh-TW"/>
              </w:rPr>
            </w:pPr>
          </w:p>
        </w:tc>
        <w:tc>
          <w:tcPr>
            <w:tcW w:w="17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16.85</w:t>
            </w:r>
          </w:p>
        </w:tc>
        <w:tc>
          <w:tcPr>
            <w:tcW w:w="208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eastAsia"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color w:val="000000"/>
                <w:sz w:val="17"/>
                <w:szCs w:val="17"/>
                <w:lang w:val="en-US" w:eastAsia="zh-CN" w:bidi="zh-TW"/>
              </w:rPr>
              <w:t>16.85</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16.15</w:t>
            </w:r>
          </w:p>
        </w:tc>
      </w:tr>
      <w:tr>
        <w:tblPrEx>
          <w:tblCellMar>
            <w:top w:w="0" w:type="dxa"/>
            <w:left w:w="10" w:type="dxa"/>
            <w:bottom w:w="0" w:type="dxa"/>
            <w:right w:w="10" w:type="dxa"/>
          </w:tblCellMar>
        </w:tblPrEx>
        <w:trPr>
          <w:trHeight w:val="505" w:hRule="exact"/>
        </w:trPr>
        <w:tc>
          <w:tcPr>
            <w:tcW w:w="1765" w:type="dxa"/>
            <w:tcBorders>
              <w:top w:val="single" w:color="auto" w:sz="4" w:space="0"/>
              <w:left w:val="single" w:color="auto" w:sz="4" w:space="0"/>
              <w:bottom w:val="single" w:color="auto" w:sz="4" w:space="0"/>
              <w:right w:val="single" w:color="auto" w:sz="4" w:space="0"/>
            </w:tcBorders>
            <w:shd w:val="clear" w:color="auto" w:fill="FFFFFF"/>
            <w:vAlign w:val="top"/>
          </w:tcPr>
          <w:p>
            <w:pPr>
              <w:pStyle w:val="23"/>
              <w:spacing w:line="240" w:lineRule="auto"/>
              <w:ind w:firstLine="0" w:firstLineChars="0"/>
              <w:jc w:val="left"/>
              <w:rPr>
                <w:rFonts w:hint="eastAsia"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sz w:val="17"/>
                <w:szCs w:val="17"/>
                <w:lang w:val="en-US" w:eastAsia="zh-CN"/>
              </w:rPr>
              <w:t>120</w:t>
            </w:r>
          </w:p>
        </w:tc>
        <w:tc>
          <w:tcPr>
            <w:tcW w:w="18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firstLineChars="0"/>
              <w:jc w:val="left"/>
              <w:rPr>
                <w:rFonts w:hint="eastAsia"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sz w:val="17"/>
                <w:szCs w:val="17"/>
                <w:lang w:val="en-US" w:eastAsia="zh-CN"/>
              </w:rPr>
              <w:t>森林环江毛南族自治县林业局</w:t>
            </w: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33.00</w:t>
            </w:r>
          </w:p>
        </w:tc>
        <w:tc>
          <w:tcPr>
            <w:tcW w:w="1775" w:type="dxa"/>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Times New Roman" w:hAnsi="Times New Roman" w:eastAsia="Times New Roman" w:cs="Times New Roman"/>
                <w:b/>
                <w:bCs/>
                <w:color w:val="000000"/>
                <w:sz w:val="17"/>
                <w:szCs w:val="17"/>
                <w:lang w:val="en-US" w:eastAsia="zh-CN" w:bidi="zh-TW"/>
              </w:rPr>
            </w:pPr>
          </w:p>
        </w:tc>
        <w:tc>
          <w:tcPr>
            <w:tcW w:w="17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16.85</w:t>
            </w:r>
          </w:p>
        </w:tc>
        <w:tc>
          <w:tcPr>
            <w:tcW w:w="2087" w:type="dxa"/>
            <w:tcBorders>
              <w:top w:val="single" w:color="auto" w:sz="4" w:space="0"/>
              <w:left w:val="single" w:color="auto" w:sz="4" w:space="0"/>
              <w:bottom w:val="single" w:color="auto" w:sz="4" w:space="0"/>
              <w:right w:val="single" w:color="auto" w:sz="4" w:space="0"/>
            </w:tcBorders>
            <w:shd w:val="clear" w:color="auto" w:fill="FFFFFF"/>
            <w:vAlign w:val="center"/>
          </w:tcPr>
          <w:p>
            <w:pPr>
              <w:jc w:val="right"/>
              <w:rPr>
                <w:rFonts w:hint="default" w:ascii="Times New Roman" w:hAnsi="Times New Roman" w:eastAsia="Times New Roman" w:cs="Times New Roman"/>
                <w:b/>
                <w:bCs/>
                <w:color w:val="000000"/>
                <w:sz w:val="17"/>
                <w:szCs w:val="17"/>
                <w:lang w:val="en-US" w:eastAsia="zh-CN" w:bidi="zh-TW"/>
              </w:rPr>
            </w:pPr>
            <w:r>
              <w:rPr>
                <w:rFonts w:hint="eastAsia" w:ascii="Times New Roman" w:hAnsi="Times New Roman" w:eastAsia="Times New Roman" w:cs="Times New Roman"/>
                <w:b/>
                <w:bCs/>
                <w:color w:val="000000"/>
                <w:sz w:val="17"/>
                <w:szCs w:val="17"/>
                <w:lang w:val="en-US" w:eastAsia="zh-CN" w:bidi="zh-TW"/>
              </w:rPr>
              <w:t>16.85</w:t>
            </w: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p>
        </w:tc>
        <w:tc>
          <w:tcPr>
            <w:tcW w:w="20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jc w:val="right"/>
              <w:textAlignment w:val="center"/>
              <w:rPr>
                <w:rFonts w:hint="eastAsia" w:ascii="Times New Roman" w:hAnsi="Times New Roman" w:eastAsia="Times New Roman" w:cs="Times New Roman"/>
                <w:b/>
                <w:bCs/>
                <w:color w:val="000000"/>
                <w:sz w:val="17"/>
                <w:szCs w:val="17"/>
                <w:lang w:val="en-US" w:eastAsia="zh-CN" w:bidi="zh-TW"/>
              </w:rPr>
            </w:pPr>
            <w:r>
              <w:rPr>
                <w:rFonts w:hint="eastAsia" w:ascii="宋体" w:hAnsi="宋体" w:eastAsia="宋体" w:cs="宋体"/>
                <w:i w:val="0"/>
                <w:iCs w:val="0"/>
                <w:color w:val="000000"/>
                <w:kern w:val="0"/>
                <w:sz w:val="20"/>
                <w:szCs w:val="20"/>
                <w:u w:val="none"/>
                <w:lang w:val="en-US" w:eastAsia="zh-CN" w:bidi="ar"/>
              </w:rPr>
              <w:t>16.15</w:t>
            </w:r>
          </w:p>
        </w:tc>
      </w:tr>
    </w:tbl>
    <w:p>
      <w:pPr>
        <w:spacing w:line="1" w:lineRule="exact"/>
        <w:jc w:val="left"/>
        <w:sectPr>
          <w:headerReference r:id="rId32" w:type="default"/>
          <w:footerReference r:id="rId33"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1"/>
        <w:keepNext/>
        <w:keepLines/>
        <w:spacing w:after="240"/>
        <w:jc w:val="center"/>
      </w:pPr>
      <w:bookmarkStart w:id="34" w:name="bookmark66"/>
      <w:bookmarkStart w:id="35" w:name="bookmark67"/>
      <w:bookmarkStart w:id="36" w:name="bookmark65"/>
      <w:r>
        <w:t>政府性基金预算支出情况表</w:t>
      </w:r>
      <w:bookmarkEnd w:id="34"/>
      <w:bookmarkEnd w:id="35"/>
      <w:bookmarkEnd w:id="36"/>
    </w:p>
    <w:p>
      <w:pPr>
        <w:pStyle w:val="25"/>
        <w:tabs>
          <w:tab w:val="left" w:pos="14213"/>
        </w:tabs>
        <w:ind w:left="101"/>
        <w:jc w:val="left"/>
      </w:pPr>
      <w:r>
        <w:t>单位名称：</w:t>
      </w:r>
      <w:r>
        <w:rPr>
          <w:rFonts w:hint="eastAsia"/>
          <w:lang w:eastAsia="zh-CN"/>
        </w:rPr>
        <w:t>环江毛南族自治县林业局</w:t>
      </w:r>
      <w:r>
        <w:tab/>
      </w:r>
      <w:r>
        <w:t>单位：万元</w:t>
      </w:r>
    </w:p>
    <w:tbl>
      <w:tblPr>
        <w:tblStyle w:val="5"/>
        <w:tblW w:w="0" w:type="auto"/>
        <w:jc w:val="center"/>
        <w:tblLayout w:type="fixed"/>
        <w:tblCellMar>
          <w:top w:w="0" w:type="dxa"/>
          <w:left w:w="10" w:type="dxa"/>
          <w:bottom w:w="0" w:type="dxa"/>
          <w:right w:w="10" w:type="dxa"/>
        </w:tblCellMar>
      </w:tblPr>
      <w:tblGrid>
        <w:gridCol w:w="2203"/>
        <w:gridCol w:w="2174"/>
        <w:gridCol w:w="2194"/>
        <w:gridCol w:w="2194"/>
        <w:gridCol w:w="2194"/>
        <w:gridCol w:w="2179"/>
        <w:gridCol w:w="2203"/>
      </w:tblGrid>
      <w:tr>
        <w:tblPrEx>
          <w:tblCellMar>
            <w:top w:w="0" w:type="dxa"/>
            <w:left w:w="10" w:type="dxa"/>
            <w:bottom w:w="0" w:type="dxa"/>
            <w:right w:w="10" w:type="dxa"/>
          </w:tblCellMar>
        </w:tblPrEx>
        <w:trPr>
          <w:trHeight w:val="461" w:hRule="exact"/>
          <w:jc w:val="center"/>
        </w:trPr>
        <w:tc>
          <w:tcPr>
            <w:tcW w:w="2203"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科目编码</w:t>
            </w:r>
          </w:p>
        </w:tc>
        <w:tc>
          <w:tcPr>
            <w:tcW w:w="2174"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部门（单位）代码</w:t>
            </w:r>
          </w:p>
        </w:tc>
        <w:tc>
          <w:tcPr>
            <w:tcW w:w="2194" w:type="dxa"/>
            <w:vMerge w:val="restart"/>
            <w:tcBorders>
              <w:top w:val="single" w:color="auto" w:sz="4" w:space="0"/>
              <w:left w:val="single" w:color="auto" w:sz="4" w:space="0"/>
            </w:tcBorders>
            <w:shd w:val="clear" w:color="auto" w:fill="FFFFFF"/>
            <w:vAlign w:val="center"/>
          </w:tcPr>
          <w:p>
            <w:pPr>
              <w:pStyle w:val="23"/>
              <w:spacing w:line="350" w:lineRule="exact"/>
              <w:ind w:firstLine="0"/>
              <w:jc w:val="left"/>
              <w:rPr>
                <w:sz w:val="17"/>
                <w:szCs w:val="17"/>
              </w:rPr>
            </w:pPr>
            <w:r>
              <w:rPr>
                <w:sz w:val="17"/>
                <w:szCs w:val="17"/>
              </w:rPr>
              <w:t>部门（单位）名称 （功能分类科目名称）</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基本支出</w:t>
            </w:r>
          </w:p>
        </w:tc>
        <w:tc>
          <w:tcPr>
            <w:tcW w:w="2179"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项目支出</w:t>
            </w:r>
          </w:p>
        </w:tc>
        <w:tc>
          <w:tcPr>
            <w:tcW w:w="2203"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51" w:hRule="exact"/>
          <w:jc w:val="center"/>
        </w:trPr>
        <w:tc>
          <w:tcPr>
            <w:tcW w:w="2203" w:type="dxa"/>
            <w:vMerge w:val="continue"/>
            <w:tcBorders>
              <w:left w:val="single" w:color="auto" w:sz="4" w:space="0"/>
            </w:tcBorders>
            <w:shd w:val="clear" w:color="auto" w:fill="FFFFFF"/>
            <w:vAlign w:val="center"/>
          </w:tcPr>
          <w:p>
            <w:pPr>
              <w:jc w:val="left"/>
            </w:pPr>
          </w:p>
        </w:tc>
        <w:tc>
          <w:tcPr>
            <w:tcW w:w="2174" w:type="dxa"/>
            <w:vMerge w:val="continue"/>
            <w:tcBorders>
              <w:left w:val="single" w:color="auto" w:sz="4" w:space="0"/>
            </w:tcBorders>
            <w:shd w:val="clear" w:color="auto" w:fill="FFFFFF"/>
            <w:vAlign w:val="center"/>
          </w:tcPr>
          <w:p>
            <w:pPr>
              <w:jc w:val="left"/>
            </w:pPr>
          </w:p>
        </w:tc>
        <w:tc>
          <w:tcPr>
            <w:tcW w:w="2194" w:type="dxa"/>
            <w:vMerge w:val="continue"/>
            <w:tcBorders>
              <w:left w:val="single" w:color="auto" w:sz="4" w:space="0"/>
            </w:tcBorders>
            <w:shd w:val="clear" w:color="auto" w:fill="FFFFFF"/>
            <w:vAlign w:val="center"/>
          </w:tcPr>
          <w:p>
            <w:pPr>
              <w:jc w:val="left"/>
            </w:pP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1</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2</w:t>
            </w:r>
          </w:p>
        </w:tc>
        <w:tc>
          <w:tcPr>
            <w:tcW w:w="2179"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3</w:t>
            </w:r>
          </w:p>
        </w:tc>
        <w:tc>
          <w:tcPr>
            <w:tcW w:w="2203"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4</w:t>
            </w:r>
          </w:p>
        </w:tc>
      </w:tr>
      <w:tr>
        <w:tblPrEx>
          <w:tblCellMar>
            <w:top w:w="0" w:type="dxa"/>
            <w:left w:w="10" w:type="dxa"/>
            <w:bottom w:w="0" w:type="dxa"/>
            <w:right w:w="10" w:type="dxa"/>
          </w:tblCellMar>
        </w:tblPrEx>
        <w:trPr>
          <w:trHeight w:val="466" w:hRule="exact"/>
          <w:jc w:val="center"/>
        </w:trPr>
        <w:tc>
          <w:tcPr>
            <w:tcW w:w="2203"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center"/>
              <w:textAlignment w:val="center"/>
              <w:rPr>
                <w:rFonts w:hint="default" w:eastAsia="宋体"/>
                <w:sz w:val="10"/>
                <w:szCs w:val="10"/>
                <w:lang w:val="en-US" w:eastAsia="zh-CN"/>
              </w:rPr>
            </w:pPr>
            <w:r>
              <w:rPr>
                <w:rFonts w:hint="eastAsia" w:ascii="宋体" w:hAnsi="宋体" w:eastAsia="宋体" w:cs="宋体"/>
                <w:i w:val="0"/>
                <w:iCs w:val="0"/>
                <w:color w:val="000000"/>
                <w:kern w:val="0"/>
                <w:sz w:val="22"/>
                <w:szCs w:val="22"/>
                <w:u w:val="none"/>
                <w:lang w:val="en-US" w:eastAsia="zh-CN" w:bidi="ar"/>
              </w:rPr>
              <w:t>2121903</w:t>
            </w:r>
          </w:p>
        </w:tc>
        <w:tc>
          <w:tcPr>
            <w:tcW w:w="2174" w:type="dxa"/>
            <w:tcBorders>
              <w:top w:val="single" w:color="auto" w:sz="4" w:space="0"/>
              <w:left w:val="single" w:color="auto" w:sz="4" w:space="0"/>
              <w:bottom w:val="single" w:color="auto" w:sz="4" w:space="0"/>
            </w:tcBorders>
            <w:shd w:val="clear" w:color="auto" w:fill="FFFFFF"/>
            <w:vAlign w:val="center"/>
          </w:tcPr>
          <w:p>
            <w:pPr>
              <w:keepNext w:val="0"/>
              <w:keepLines w:val="0"/>
              <w:widowControl/>
              <w:suppressLineNumbers w:val="0"/>
              <w:jc w:val="left"/>
              <w:textAlignment w:val="center"/>
              <w:rPr>
                <w:sz w:val="10"/>
                <w:szCs w:val="10"/>
              </w:rPr>
            </w:pPr>
            <w:r>
              <w:rPr>
                <w:rFonts w:hint="eastAsia" w:ascii="宋体" w:hAnsi="宋体" w:eastAsia="宋体" w:cs="宋体"/>
                <w:i w:val="0"/>
                <w:iCs w:val="0"/>
                <w:color w:val="000000"/>
                <w:kern w:val="0"/>
                <w:sz w:val="22"/>
                <w:szCs w:val="22"/>
                <w:u w:val="none"/>
                <w:lang w:val="en-US" w:eastAsia="zh-CN" w:bidi="ar"/>
              </w:rPr>
              <w:t>城市建设支出</w:t>
            </w: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left="1700" w:firstLine="0"/>
              <w:jc w:val="left"/>
              <w:rPr>
                <w:rFonts w:hint="default" w:eastAsia="宋体"/>
                <w:sz w:val="17"/>
                <w:szCs w:val="17"/>
                <w:lang w:val="en-US" w:eastAsia="zh-CN"/>
              </w:rPr>
            </w:pPr>
            <w:r>
              <w:rPr>
                <w:rFonts w:hint="eastAsia" w:ascii="Times New Roman" w:hAnsi="Times New Roman" w:cs="Times New Roman"/>
                <w:b/>
                <w:bCs/>
                <w:sz w:val="17"/>
                <w:szCs w:val="17"/>
                <w:lang w:val="en-US" w:eastAsia="zh-CN" w:bidi="en-US"/>
              </w:rPr>
              <w:t>25.23</w:t>
            </w: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c>
          <w:tcPr>
            <w:tcW w:w="2179"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rFonts w:hint="default" w:eastAsia="宋体"/>
                <w:sz w:val="17"/>
                <w:szCs w:val="17"/>
                <w:lang w:val="en-US" w:eastAsia="zh-CN"/>
              </w:rPr>
            </w:pPr>
            <w:r>
              <w:rPr>
                <w:rFonts w:hint="eastAsia" w:ascii="Times New Roman" w:hAnsi="Times New Roman" w:cs="Times New Roman"/>
                <w:b/>
                <w:bCs/>
                <w:sz w:val="17"/>
                <w:szCs w:val="17"/>
                <w:lang w:val="en-US" w:eastAsia="zh-CN" w:bidi="en-US"/>
              </w:rPr>
              <w:t>25.23</w:t>
            </w:r>
          </w:p>
        </w:tc>
        <w:tc>
          <w:tcPr>
            <w:tcW w:w="22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r>
    </w:tbl>
    <w:p>
      <w:pPr>
        <w:pStyle w:val="25"/>
        <w:spacing w:line="302" w:lineRule="exact"/>
        <w:ind w:left="672"/>
        <w:jc w:val="left"/>
        <w:sectPr>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r>
        <w:t xml:space="preserve">注：本报表金额单位转换时可能存在四舍五入尾数误差。 </w:t>
      </w:r>
    </w:p>
    <w:p>
      <w:pPr>
        <w:pStyle w:val="21"/>
        <w:keepNext/>
        <w:keepLines/>
        <w:spacing w:after="240"/>
        <w:jc w:val="center"/>
      </w:pPr>
      <w:r>
        <w:t>国有资本经营预算支出情况表</w:t>
      </w:r>
    </w:p>
    <w:p>
      <w:pPr>
        <w:pStyle w:val="25"/>
        <w:tabs>
          <w:tab w:val="left" w:pos="14213"/>
        </w:tabs>
        <w:ind w:left="101"/>
        <w:jc w:val="left"/>
      </w:pPr>
      <w:r>
        <w:t>单位名称：</w:t>
      </w:r>
      <w:r>
        <w:rPr>
          <w:rFonts w:hint="eastAsia"/>
          <w:lang w:eastAsia="zh-CN"/>
        </w:rPr>
        <w:t>环江毛南族自治县林业局</w:t>
      </w:r>
      <w:r>
        <w:tab/>
      </w:r>
      <w:r>
        <w:t>单位：万元</w:t>
      </w:r>
    </w:p>
    <w:tbl>
      <w:tblPr>
        <w:tblStyle w:val="5"/>
        <w:tblW w:w="0" w:type="auto"/>
        <w:jc w:val="center"/>
        <w:tblLayout w:type="fixed"/>
        <w:tblCellMar>
          <w:top w:w="0" w:type="dxa"/>
          <w:left w:w="10" w:type="dxa"/>
          <w:bottom w:w="0" w:type="dxa"/>
          <w:right w:w="10" w:type="dxa"/>
        </w:tblCellMar>
      </w:tblPr>
      <w:tblGrid>
        <w:gridCol w:w="2203"/>
        <w:gridCol w:w="2174"/>
        <w:gridCol w:w="2194"/>
        <w:gridCol w:w="2194"/>
        <w:gridCol w:w="2194"/>
        <w:gridCol w:w="2179"/>
        <w:gridCol w:w="2203"/>
      </w:tblGrid>
      <w:tr>
        <w:tblPrEx>
          <w:tblCellMar>
            <w:top w:w="0" w:type="dxa"/>
            <w:left w:w="10" w:type="dxa"/>
            <w:bottom w:w="0" w:type="dxa"/>
            <w:right w:w="10" w:type="dxa"/>
          </w:tblCellMar>
        </w:tblPrEx>
        <w:trPr>
          <w:trHeight w:val="461" w:hRule="exact"/>
          <w:jc w:val="center"/>
        </w:trPr>
        <w:tc>
          <w:tcPr>
            <w:tcW w:w="2203"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科目编码</w:t>
            </w:r>
          </w:p>
        </w:tc>
        <w:tc>
          <w:tcPr>
            <w:tcW w:w="2174" w:type="dxa"/>
            <w:vMerge w:val="restart"/>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部门（单位）代码</w:t>
            </w:r>
          </w:p>
        </w:tc>
        <w:tc>
          <w:tcPr>
            <w:tcW w:w="2194" w:type="dxa"/>
            <w:vMerge w:val="restart"/>
            <w:tcBorders>
              <w:top w:val="single" w:color="auto" w:sz="4" w:space="0"/>
              <w:left w:val="single" w:color="auto" w:sz="4" w:space="0"/>
            </w:tcBorders>
            <w:shd w:val="clear" w:color="auto" w:fill="FFFFFF"/>
            <w:vAlign w:val="center"/>
          </w:tcPr>
          <w:p>
            <w:pPr>
              <w:pStyle w:val="23"/>
              <w:spacing w:line="350" w:lineRule="exact"/>
              <w:ind w:firstLine="0"/>
              <w:jc w:val="left"/>
              <w:rPr>
                <w:sz w:val="17"/>
                <w:szCs w:val="17"/>
              </w:rPr>
            </w:pPr>
            <w:r>
              <w:rPr>
                <w:sz w:val="17"/>
                <w:szCs w:val="17"/>
              </w:rPr>
              <w:t>部门（单位）名称 （功能分类科目名称）</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基本支出</w:t>
            </w:r>
          </w:p>
        </w:tc>
        <w:tc>
          <w:tcPr>
            <w:tcW w:w="2179"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sz w:val="17"/>
                <w:szCs w:val="17"/>
              </w:rPr>
              <w:t>项目支出</w:t>
            </w:r>
          </w:p>
        </w:tc>
        <w:tc>
          <w:tcPr>
            <w:tcW w:w="2203"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51" w:hRule="exact"/>
          <w:jc w:val="center"/>
        </w:trPr>
        <w:tc>
          <w:tcPr>
            <w:tcW w:w="2203" w:type="dxa"/>
            <w:vMerge w:val="continue"/>
            <w:tcBorders>
              <w:left w:val="single" w:color="auto" w:sz="4" w:space="0"/>
            </w:tcBorders>
            <w:shd w:val="clear" w:color="auto" w:fill="FFFFFF"/>
            <w:vAlign w:val="center"/>
          </w:tcPr>
          <w:p>
            <w:pPr>
              <w:jc w:val="left"/>
            </w:pPr>
          </w:p>
        </w:tc>
        <w:tc>
          <w:tcPr>
            <w:tcW w:w="2174" w:type="dxa"/>
            <w:vMerge w:val="continue"/>
            <w:tcBorders>
              <w:left w:val="single" w:color="auto" w:sz="4" w:space="0"/>
            </w:tcBorders>
            <w:shd w:val="clear" w:color="auto" w:fill="FFFFFF"/>
            <w:vAlign w:val="center"/>
          </w:tcPr>
          <w:p>
            <w:pPr>
              <w:jc w:val="left"/>
            </w:pPr>
          </w:p>
        </w:tc>
        <w:tc>
          <w:tcPr>
            <w:tcW w:w="2194" w:type="dxa"/>
            <w:vMerge w:val="continue"/>
            <w:tcBorders>
              <w:left w:val="single" w:color="auto" w:sz="4" w:space="0"/>
            </w:tcBorders>
            <w:shd w:val="clear" w:color="auto" w:fill="FFFFFF"/>
            <w:vAlign w:val="center"/>
          </w:tcPr>
          <w:p>
            <w:pPr>
              <w:jc w:val="left"/>
            </w:pP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1</w:t>
            </w:r>
          </w:p>
        </w:tc>
        <w:tc>
          <w:tcPr>
            <w:tcW w:w="2194"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2</w:t>
            </w:r>
          </w:p>
        </w:tc>
        <w:tc>
          <w:tcPr>
            <w:tcW w:w="2179" w:type="dxa"/>
            <w:tcBorders>
              <w:top w:val="single" w:color="auto" w:sz="4" w:space="0"/>
              <w:lef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3</w:t>
            </w:r>
          </w:p>
        </w:tc>
        <w:tc>
          <w:tcPr>
            <w:tcW w:w="2203" w:type="dxa"/>
            <w:tcBorders>
              <w:top w:val="single" w:color="auto" w:sz="4" w:space="0"/>
              <w:left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rPr>
              <w:t>4</w:t>
            </w:r>
          </w:p>
        </w:tc>
      </w:tr>
      <w:tr>
        <w:tblPrEx>
          <w:tblCellMar>
            <w:top w:w="0" w:type="dxa"/>
            <w:left w:w="10" w:type="dxa"/>
            <w:bottom w:w="0" w:type="dxa"/>
            <w:right w:w="10" w:type="dxa"/>
          </w:tblCellMar>
        </w:tblPrEx>
        <w:trPr>
          <w:trHeight w:val="466" w:hRule="exact"/>
          <w:jc w:val="center"/>
        </w:trPr>
        <w:tc>
          <w:tcPr>
            <w:tcW w:w="2203" w:type="dxa"/>
            <w:tcBorders>
              <w:top w:val="single" w:color="auto" w:sz="4" w:space="0"/>
              <w:left w:val="single" w:color="auto" w:sz="4" w:space="0"/>
              <w:bottom w:val="single" w:color="auto" w:sz="4" w:space="0"/>
            </w:tcBorders>
            <w:shd w:val="clear" w:color="auto" w:fill="FFFFFF"/>
          </w:tcPr>
          <w:p>
            <w:pPr>
              <w:jc w:val="left"/>
              <w:rPr>
                <w:sz w:val="10"/>
                <w:szCs w:val="10"/>
              </w:rPr>
            </w:pPr>
          </w:p>
        </w:tc>
        <w:tc>
          <w:tcPr>
            <w:tcW w:w="2174" w:type="dxa"/>
            <w:tcBorders>
              <w:top w:val="single" w:color="auto" w:sz="4" w:space="0"/>
              <w:left w:val="single" w:color="auto" w:sz="4" w:space="0"/>
              <w:bottom w:val="single" w:color="auto" w:sz="4" w:space="0"/>
            </w:tcBorders>
            <w:shd w:val="clear" w:color="auto" w:fill="FFFFFF"/>
          </w:tcPr>
          <w:p>
            <w:pPr>
              <w:jc w:val="left"/>
              <w:rPr>
                <w:sz w:val="10"/>
                <w:szCs w:val="10"/>
              </w:rPr>
            </w:pP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sz w:val="17"/>
                <w:szCs w:val="17"/>
              </w:rPr>
              <w:t>合计</w:t>
            </w: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left="1700"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c>
          <w:tcPr>
            <w:tcW w:w="2194"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c>
          <w:tcPr>
            <w:tcW w:w="2179" w:type="dxa"/>
            <w:tcBorders>
              <w:top w:val="single" w:color="auto" w:sz="4" w:space="0"/>
              <w:left w:val="single" w:color="auto" w:sz="4" w:space="0"/>
              <w:bottom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c>
          <w:tcPr>
            <w:tcW w:w="220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3"/>
              <w:spacing w:line="240" w:lineRule="auto"/>
              <w:ind w:firstLine="0"/>
              <w:jc w:val="left"/>
              <w:rPr>
                <w:sz w:val="17"/>
                <w:szCs w:val="17"/>
              </w:rPr>
            </w:pPr>
            <w:r>
              <w:rPr>
                <w:rFonts w:ascii="Times New Roman" w:hAnsi="Times New Roman" w:eastAsia="Times New Roman" w:cs="Times New Roman"/>
                <w:b/>
                <w:bCs/>
                <w:sz w:val="17"/>
                <w:szCs w:val="17"/>
                <w:lang w:val="en-US" w:eastAsia="en-US" w:bidi="en-US"/>
              </w:rPr>
              <w:t xml:space="preserve">0. </w:t>
            </w:r>
            <w:r>
              <w:rPr>
                <w:rFonts w:ascii="Times New Roman" w:hAnsi="Times New Roman" w:eastAsia="Times New Roman" w:cs="Times New Roman"/>
                <w:b/>
                <w:bCs/>
                <w:sz w:val="17"/>
                <w:szCs w:val="17"/>
              </w:rPr>
              <w:t>00</w:t>
            </w:r>
          </w:p>
        </w:tc>
      </w:tr>
    </w:tbl>
    <w:p>
      <w:pPr>
        <w:pStyle w:val="25"/>
        <w:spacing w:line="302" w:lineRule="exact"/>
        <w:ind w:left="672"/>
        <w:jc w:val="left"/>
        <w:rPr>
          <w:rFonts w:hint="eastAsia"/>
          <w:lang w:eastAsia="zh-CN"/>
        </w:rPr>
      </w:pPr>
      <w:r>
        <w:t>注：本报表金额单位转换时可能存在四舍五入尾数误差。 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r>
        <w:rPr>
          <w:rFonts w:hint="eastAsia"/>
          <w:lang w:eastAsia="zh-CN"/>
        </w:rPr>
        <w:t>。</w:t>
      </w: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tbl>
      <w:tblPr>
        <w:tblStyle w:val="5"/>
        <w:tblW w:w="153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2"/>
        <w:gridCol w:w="1050"/>
        <w:gridCol w:w="2534"/>
        <w:gridCol w:w="4200"/>
        <w:gridCol w:w="1016"/>
        <w:gridCol w:w="5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22"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5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534"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4200"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34"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15356"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2024年预算项目绩效目标公开表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trPr>
        <w:tc>
          <w:tcPr>
            <w:tcW w:w="15356" w:type="dxa"/>
            <w:gridSpan w:val="6"/>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单位代码</w:t>
            </w:r>
          </w:p>
        </w:tc>
        <w:tc>
          <w:tcPr>
            <w:tcW w:w="25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单位名称</w:t>
            </w:r>
          </w:p>
        </w:tc>
        <w:tc>
          <w:tcPr>
            <w:tcW w:w="42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w:t>
            </w:r>
          </w:p>
        </w:tc>
        <w:tc>
          <w:tcPr>
            <w:tcW w:w="593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5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93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59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**界子良风电场临时用地植被恢复项目资金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0.23</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界子良风电场临时用地植被恢复项目资金199.59144万元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**自治区退耕还林补助工程县工作经费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自治区退耕还林补助工程县工作经费137500元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**2021年自治区古树名木管护补助的报告</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2021年自治区古树名木管护补助的报告（桂整合〔2020〕46号）35000元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**森林植被恢复费项目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森林植被恢复费项目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**林业科技推广建设</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2022年底完成项目采购  1.手提电脑1台（高配置，制作图层专用），共计11000元；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2.彩色打印机3台，每台2000元，共计6000元；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3.无人机7台，其中：5台×25000万元＝125000元；2台（带ＲＴＫ系统）×29000元＝58000；总计183000元；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总计：200000元。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**《关于提前下达2022年中央财政林业改革发展资金的通知》(桂整合〔2021〕38号)天保工程区外天然商品林停伐管护补助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《关于提前下达2022年中央财政林业改革发展资金的通知》（桂整合〔2021〕38号）天保工程区外天然商品林停伐管护补助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**《关于提前下达2022年中央财政林业改革发展资金的通知》(桂整合〔2021〕38号)林业科技推广示范补助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《关于提前下达2022年中央财政林业改革发展资金的通知》（桂整合〔2021〕38号）林业科技推广示范补助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**《关于提前下达2022年自治区财政补助市县资金的通知》(桂财资环〔2021〕93号)育林基金减收补助资金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112.70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《关于提前下达2022年自治区财政补助市县资金的通知》（桂财资环〔2021〕93号）育林基金减收补助资金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**2022年自治区财政林业改革发展资金(木本油料等特色经济林产业发展补助-补助市县项目)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828.33</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2022年自治区财政林业改革发展资金(木本油料等特色经济林产业发展补助-补助市县项目)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**政策性补偿项目(森林植被恢复费返还市县支出)桂财资环〔2021〕93号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575.07</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政策性补偿项目（森林植被恢复费返还市县支出）桂财资环〔2021〕93号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**退耕还林补助工程县工作经费(桂财资环〔2021〕93号)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13.27</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退耕还林补助工程县工作经费（桂财资环〔2021〕93号）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**自治区财政林业改革发展资金(2022年自治区森林生态效益补偿-补助市县项目)桂整合〔2022〕2号</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16.71</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自治区财政林业改革发展资金(2022年自治区森林生态效益补偿-补助市县项目)桂整合〔2022〕2号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**《关于提前下达2022年中央财政林业改革发展资金的通知》(桂整合〔2021〕38号)中央造林补贴</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《关于提前下达2022年中央财政林业改革发展资金的通知》（桂整合〔2021〕38号）中央造林补贴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**《关于下达2022年自治区财政林业改革发展资金的通知》(桂整合〔2022〕2号)2022年自治区重点区域绿化补助(绿化景观提升补助)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《关于下达2022年自治区财政林业改革发展资金的通知》（桂整合〔2022〕2号）2022年自治区重点区域绿化补助（绿化景观提升补助）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**《关于下达2022年自治区财政林业改革发展资金的通知》(桂整合〔2022〕2号)2022年自治区林下经济发展补助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《关于下达2022年自治区财政林业改革发展资金的通知》（桂整合〔2022〕2号）2022年自治区林下经济发展补助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**《关于下达2022年自治区财政林业改革发展资金的通知》(桂整合〔2022〕2号)2022年自治区林业基础设施建设河池市林业产业示范园</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《关于下达2022年自治区财政林业改革发展资金的通知》（桂整合〔2022〕2号）2022年自治区林业基础设施建设河池市林业产业示范园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**2022年中央财政林业改革发展资金(林业科技推广示范项目)</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2022年中央财政林业改革发展资金（林业科技推广示范项目）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**2022年中央财政林业改革发展资金(森林防火补助)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5.21</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2022年中央财政林业改革发展资金（森林防火补助）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**2022年中央财政林业改革发展资金(天然林商品林停伐管护补助)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15.08</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2022年中央财政林业改革发展资金（天然林商品林停伐管护补助）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**2022年中央财政林业改革发展资金(森林生态效益补偿管护补助)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79.85</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2022年中央财政林业改革发展资金（森林生态效益补偿管护补助）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**2022年中央财政对广西产粮大县奖励资金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10.83</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2022年中央财政对广西产粮大县奖励资金{2022年中央产粮（油）大县奖励奖金收入}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**2022年重点区域生态保护和修复专项(第一批)中央基建投资</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990.40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《河池市财政局关于下达2022年重点区域生态保护和修复专项（第一批）中央基建投资预算的通知》（河财建{2022】32号）2022年重点区域生态保护和修复专项（第一批）中23央基建投资9904000元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**2022年天保工程区外天然商品林停伐管护补助调整资金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2022年天保工程区外天然商品林停伐管护补助调整资金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**2022年中央森林生态效益补偿补助调整资金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16.87</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2022年中央森林生态效益补偿补助调整资金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**国有天然商品林停伐管护补助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国有天然商品林停伐管护补助（桂财资环【2022】80号）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**自治区林业改革发展资金重点区域绿化补助(绿化景观提升补助)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自治区林业改革发展资金重点区域绿化补助（绿化景观提升补助） 60万元  桂整合〔2022〕36号  完成森林质量提升、森林景观改造和重点区域绿化工作任务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**自治区林业改革发展资金(湿地补助)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自治区林业改革发展资金（湿地补助）50万元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**自治区林业改革发展资金-林业经营性产业发展补助(林下经济发展补助)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自治区林业改革发展资金-林业经营性产业发展补助（林下经济发展补助） 100万元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29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**自治区林业改革发展资金(森林生态效益补偿)</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22.89</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自治区林业改革发展资金（森林生态效益补偿）230.66万元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**自治区林业改革发展资金-林业经营性产业发展补助(木本油料等特色经济林产业发展补助)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自治区林业改革发展资金-林业经营性产业发展补助（木本油料等特色经济林产业发展补助）180万元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**自治区林业改革发展等资金—森林植被恢复费返还资金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1074.00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自治区林业改革发展等资金—森林植被恢复费返还资金 1157.8万元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**自治区林业改革发展资金—古树名木管护补助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自治区林业改革发展资金—古树名木管护补助  7.74万元  桂整合〔2022〕36号  安排古树名木破硬化资金5.36万元，认选乡愁树资金2.38万元。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**自治区林业改革发展资金—育林金减收补助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238.12</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自治区林业改革发展资金—育林金减收补助  290万元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**自治区林业改革发展资金—林业基础设施建设补助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自治区林业改革发展资金—林业基础设施建设补助  150万元 桂整合〔2022〕36号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**自治区林业改革发展资金—花卉产业示范补助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自治区林业改革发展资金—花卉产业示范补助   桂整合〔2022〕36号  环江县花卉文化展示基地建设项目90万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**中央财政林业改革发展资金(非国有国家级公益林补助)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192.24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中央财政林业改革发展资金(非国有国家级公益林补助)   3278.6万元  桂整合〔2022〕37号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**中央财政林业改革发展资金(非国有天然商品林停伐管护补助)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87.04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中央财政林业改革发展资金(非国有天然商品林停伐管护补助)  96.34万元  桂整合〔2022〕37号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**2022年中央财政对广西产粮大县奖励资金收入</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《2022年中央财政对广西产粮大县奖励资金预算的通知》桂整合（2022）20号  产油茶大县13万  用于油茶低改项目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**2023年中央财政对广西产粮大县奖励资金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142.31</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《提前下达2023年中央财政对广西产粮大县奖励资金预算的通知》桂整合（2022）43号  117万元  统筹用于支持油茶“双千”计划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**古树和名木抢救复壮补助</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古树和名木抢救复壮补助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**2022年中央预算内投资林业项目自治区配套资金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79.23</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2022年中央预算内投资林业项目自治区配套资金，九万大山石漠化综合治理及生物多样性保护项目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**调整2023年中央财政林业草原改革发展资金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2023年非国有天然商品林停伐管护补助调整金额6.41万元，2023年非国有国家级公益林补助14.09万元。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**采伐迹地更新造林检查及造林绿化落地上图工作经费</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2022年采伐迹地更新造林检查及2023年造林绿化落地上图工作经费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林改项目经费（非三保）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1、办公费：更换打印机、复印机墨粉、打印纸张、购买笔具等办公费用 4000元。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2、差旅费：参加上级部门组织的培训会、下乡检查林下经济、森林保险、开展林权制度改革相关工作、林业经营主体建档立卡工作等的差旅费12000元。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3、接待费用：接待上级部门来检查林下经济、森林保险、林权制度改革相关工作、林业经营主体建档立卡工作等的接待费3000元。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4、公务用车费：下乡开展各项工作用车的加油费5000元。       5、水费：1500元。6、电费：2000元。7、培训费：5000元；8、会议费：2000元。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油茶产业宣传材料及测产工作劳务补助（非三保））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油茶产业宣传材料及测产工作劳务补助 ：根据广西壮族自治区油茶产业“双千”计划项目资金管理实施细则（桂林发〔2019〕7号）第八条要求，县级林业主管部门所需方案编制、作业设计、检查验收、技术指导等费用列入统计财政年度预算中予以保障，不得挤占油茶产业项目资金。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1、油茶测产工作采摘人工费及租车费19000元；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2、印刷宣传材料费用，计1000元。合计20000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全国重点工程区基层站标准化林业站建设县级工作经费（非三保）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1、电费：每个站每月平均约170元X12月X12站=24480元。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2、水费（含饮用）：每站每月平均约80元X12月X12站=11520元。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3、物业管理费（垃圾费）：每个站每年600元X12=7000元。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4、培训费：拟对林业站34名工作人员开展两期2天的岗位及业务培训：34X2X100元／天=6800元；站长或技术骨干参加上级主管部门组织的业务培训会议经费（住宿、伙食、交通费）8200元，合计15000元。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5、办公和印刷经费：全年林业站办公用品费12000元；全年纸张和电脑耗材约97000元，打印机2000元*3台=6000元，档案柜650元*2组=1300元，全年合计29000元。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6、维修（护）费：电脑、打印机维护费15000元。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7、林业站下队差旅费：全年合计约 45000元。8、接待费：3000元。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全年预算合计 150000元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绿化建设工作经费（非三保）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绿化建设工作经费预算：                                              组织、协调、指导和监督全县造林绿化工作，承担全县义务植树及古树名木保护工作，根据《森林法》《广西古树名木保护条例》各级人民政府承担义务植树活动及古树名木的日常养护费用。                                                                                                                                                                               1、办公耗材：A4纸200元*8=1600元，墨粉70元*8盒=560元，其他3040元，小计5200元，打印机2100*1台=2100元，档案柜650元*1组=650元，合计7950元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2、印刷费：绿化宣传费印刷费200元*5条=1000元，名木古树保护牌88块*60元=5250元，合计7000元。                      3、古树名木验收工作经费、12个乡镇古树名木巡视、检查是否完好费用、12个乡镇绿化工作验收检查费3000元。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4、局大院绿化经费：局大院摆花（春节、五一、国庆）6000元。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6、公务接待2000元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义务植树工作经费：购买苗木（杉木或者油茶约2000株）5000元，雨衣、水桶、铁铲800元，小计5800元。                                                                8、公务用车运行费1000元9、水费：2000元；10、电费4000元；11、培训费1000元；12：会议费：1000元；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全年预算合计40000元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防火专项工作经费（非三保）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1、办公用品及耗材费10450元。（A4、A3纸、笔等800元、打印机墨粉4盒及维修费1500元）；电脑4500元*1台=4500元，打印机1700元*1台=1700元，车载扩音器1950元*1套=1950元，合计10450元；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2、培训费用5050元。全县各乡（镇）生态护林员森林防火知识培训及半专业消防队森林防火演练培训费12期（600元／期）5200元；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3、宣传费用4000元。包括宣传册（单）、宣传横幅、标语、戒严令、通告等；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4、日常森林防火宣传、防火检查、火灾隐患排查及火灾灾后调查等旅差费4000元（5人）；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5、基础设施设备建设共2500元。其中了望台塔道维护1000元，全县固定宣传牌翻新维护1500元；6、接待费：5000元；7、水费：1000元；8、电费：8000元；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以上共计肆万圆（￥40000元）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森林病虫害防治项目经费（非三保）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森林病虫害防治工作经费预算：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1.春、秋季普查及复检经费（列入绩效）：50000元。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2.枯死木清理费（列入绩效）：41000元（310元／株）。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3.年印刷检疫证报检单费用：2000元。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4.参加检疫员、森林病虫害防治培训费：10000元（2000元／人次）。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5.差旅费：3000元。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6.公务接待费：4000元。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7.办公室用品各种耗材及维修费等，工作经费3000元。合计12万元 .8、水费：2000元。9、电费：5000元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林业山林纠纷调处项目经费（非三保）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1、办公费：更换打印机、复印机墨粉、打印纸张、购买笔具等办公费用 10000元；电脑4800元*3台=14400元，合计14400元。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2、差旅费：下乡开展山林权属纠纷调处工作、案件调查下乡和材料上报及二审案件出 庭应诉等工作差旅费4600元；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待费：住宿、伙食、交通、材料等费用6000元；5、会议2000元；6、培训费：培训期间住宿、伙食、培训资料等费用3000元；7、下乡开展各项工作用车运行费1000元；8、法律顾问费用：一审、二审案件应诉律师费用2000元；9、水费：2000元；10、电费：6000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林业综合行政执法项目经费（非三保）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5.81</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1、办公耗材：办案使用A4纸200元*3箱*12个月=7200元；墨粉60元*3盒*12个月=2160元；办案归档档案盒20元*20个=400元，其他耗材390元。办公电脑：5100元*3台=15300元，打印机2000元*3台=6000元,合计31450元。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2、各类普法宣传资料费用：绩效考评普法材料征计1000元，普法宣传手册8元*400本=3200元，林业普法横幅长的250元*15条=3750元，林业普法横幅短的180元*15条=2700元，合计：10650元。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3、差旅费：外出执法办案11人*12个月*10天*60元／天=47900元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4、接待费：3000元。5、会议费：2000元。6、培训费：6000元。7、水费：4000元。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8、公务用车运行费5000元。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林业产业化项目工作经费（非三保）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林业产业项目工作经费预算：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1.办公费：更换打印机、复印机墨粉、打印纸张、购买笔具等办公费用2000元；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2.差旅费：参加上级主管部门组织的培训会、下乡开展安全生产检查及林业产业建设项目现场查验和材料上报及跟踪监管等工作差旅费2000元；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3.公务接待费：接待上级部门检查安全生产工作及林业产业建设项目等工作接待费12000元；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4.会议费：住宿、伙食、交通、材料等费用2000元；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5.培训费：培训期间住宿、伙食、培训资料等费用2000元；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6.宣传费：年内“安全生产月”、防汛减灾活动月，宣传材料印刷费及宣传板报制作费2000元 ；7、水费：2000元；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8.下乡开展各项工作用车运行费1000元。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营造林工作经费（非三保）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1、办公费：复印机墨粉、打印纸张、购买笔具等办公费用 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2、差旅费：参加上级主管部门组织的培训会、下乡开展营造林、总苗工作、退耕工作、造林图斑核验抽查、伐后验收抽查等工作差旅费16000元；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3、公务接待费：接待上级部门营造林综合监测工作、种苗检查、退耕工程检查、造林督查等工作接待费10000元；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4、会议费：住宿、伙食、交通、材料等费用3000元；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5、培训费：培训期间住宿、伙食、培训资料等费用4000元；6、水费：2000元；7、电费：8000元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6、下乡开展各项工作用车运行费1000元；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7、林木种苗质量检查及宣传工作经费3000元.合计5万元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区、市、县林业项目绩效考评及档案管理项目工作经费（非三保）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1、办公经费：A4纸200元*12个月=2400元，墨粉更换60元*12盒=720元，档案盒20元*40个=800元，笔和夹子280元，硬盘500元*2个=1000元，购买打印机一台2000元，空调一台3800元，合计11000元。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2、水费（饮用水）：接待饮用水500元。 3.电费4000元    3、维修（护）费：电脑、打印机维护费500元。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4、业务培训费：拟对全局140名职工进行一期2天的岗位及业务培训，共计12000元。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5、差旅费：开展人才招聘、人事考察差旅费4000元，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6、系统维务费：人事工资管理软件服务费800元。总合计32800元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核桃产业化发展项目经费（非三保）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（一）日常办公费用，计2000.00元。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办公室用品各种耗材及维修等费用。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（二）印刷各种宣传材料费用，计1000元。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（三）差旅费费用，计3000元，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办公6人，核桃产业检查验收差旅10人.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（四）会议费，计3000元。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开会期间产生的住宿、伙食、交通、资料等费用。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（五）培训及开展宣传活动费用，计6000.00元。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培训期间产生的住宿、伙食、交通、资料等费用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（六）公务接待费，计10000.0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（七）劳务费，核桃测产工作费。5000元。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林业局党支部组织生活经费（非三保））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0.77</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党支部组织生活经费预算：1.机关支部活动经费3000元、营林支部活动经费3000元，合计6000元；2.政治生日蛋糕500元；3.慰问困难党员经费500元；4.发展党员、积极分子培训费700元。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77人*100元.人.年=7700元。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林政管理项目工作经费（非三保）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6.17</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1、办公费：更换打印机、复印机墨粉、打印纸张、购买笔具等办公费用 10000元；电脑：7250元*1台=7250元，打印机4800元*1台=4800元，档案柜650元*4组=2600元。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2、差旅费：参加上级主管部门组织的培训会、下乡开展林政、总站工作、森林督查及林地变更外业核查、伐区检查验收、建设项目使用林地现场查验和材料上报及跟踪监管等工作差旅费7450元；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3、公务接待费：接待上级部门检查林政工作、总站、森林督查、林地变更、建设项目使用林地检查等工作接待费20000元；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4、会议费：住宿、伙食、交通、材料等费用5000元；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5、培训费：培训期间住宿、伙食、培训资料等费用20000元；6、水费：6000元；7、电费：10000元；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8、下乡开展各项工作用车运行费2000元；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58</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油茶产业发展项目工作经费（非三保）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1、日常办公费用，计2000.00元。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办公室用品各种耗材及维修等费用。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2、差旅费费用，计8000元，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办公6人，油茶双千项目检查验收差旅48人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3、会议费，计3000元。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开会期间产生的住宿、伙食、交通、资料等费用。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4、培训及开展宣传活动费用，计8000.00元。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培训期间产生的住宿、伙食、交通、资料等费用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5、公务接待费，计15000.00元。6、水费：4000元。7、电费：10000元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各项目工作检查验收接待费用。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59</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林业行政办公系统维护项目经费（非三保）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1.办公耗材费：更换打印机、复印机墨粉、打印纸、购买笔具等办公费用 3000元；彩色复印机14800元*1台=14800元，电脑8720元*1台=8720元， 电脑（信创工程）6000元*1台=6000元，碎纸机900元*1台=900元，打印机（信创工程）1500元*1台，合计34920元。                                             2.水费：桶装水，上级领导调研、检查，会议等需要瓶装5000元，办公室用水5000元；                                    3.电费：日常电费支出10000元。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4.差旅费：参加上级主管部门组织的培训会、下乡开展工作差旅费5000元；                                              5.宣传板报、宣传资料等印刷费：年度制度宣传板报，印刷宣传资料等4000元；                                          6.电信服务费：OA系统年度费用支9000元；                              7.公务接待费：接待上级部门检查工作接待费20000元；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8.会议费：住宿、伙食、交通、材料等费用2000元；                        9.报刊征订：5000元；                                  10.办公楼日常维修：2330元；操作系统（信创工程）维护8000元                              11.培训费，住宿、伙食、交通、材料等费用5000元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生态护林员补助工作经费（非三保）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1、护林巡山手册4000本X9元=36000元。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2、护林员培训费：拟对3200护林员开展两期2天的岗位及业务培训：（资料费）8000元。 .3、下乡检查护林员工作差旅费6000元。合计5.0万元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61</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乡村振兴办工作经费（非三保）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1、办公费：购买办公用品耗材费用 3000元；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2、差旅费：入户开展帮扶工作、驻村工作队员驻村往返等工作差旅费20000元；                                          3、驻村工作队员体检费用11000元；                        4、对定点帮扶村“两委”、驻村工作队员及家属开展慰问活动9000元；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5、公务接待费：接待上级部门调研、检查乡村振兴等工作接待费3000元；                                               6、印刷费：印刷宣传资料、制作宣传牌费用2000元；7、水费：1000元；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7、下乡开展各项工作用车运行费1000元；合计5万元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62</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林业执法案件鉴定费（非三保）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林业执法案件鉴定费，图斑案件鉴定1300*107=140000元，一般执法案件鉴定1200*50=60000元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63</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全县林长制工作经费（非三保）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1.办公费：打印机墨盒1组，4000.00元／组（4盒）；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2.维护耗材约10000.00元；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3.差旅费合计8000.00元。年内计划下各乡镇开展专项督导、巡查、宣传、培训等工作各一次，每次6人，12个乡镇，共48次，每人60.00／天。</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4.公务接待费：接待上级部门调研林长制工作、检查各乡镇完成林长制等工作接待费约8000.00元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5.饮用水费：办公室日常桶装饮用水、会议接待瓶装水费用约2500.00元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6.培训费：培训期间住宿、伙食、交通、材料等费用3000.00元  7、会议费：2000元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7.下乡开展各项工作用车运行费：2500.00元。合计4万元。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名目古树去硬化以及复壮保护工作经费（非三保）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广西壮族自治区古树名木保护条例》第五条规定：县级以上人民政府应当将古树名木保护纳入城乡总体规划，并将古树名木保护所需经费列入本级预算，用于古树名木资源的普查、认定、养护、抢救以及古树名木保护的宣传、培训、科研等工作。         1、10株古树名木病虫害的防治经费：10000元；2、5株古树名木的修剪管护复壮经费：10000元；3、5株古树名木破硬化复壮的整治工作经费：30000元。全年预算合计50000元。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生态公益林管理站经费（非三保）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6.30</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一、生态公益林宣传、兑现资金材料印刷费、培训费共计31000元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 办公经费，日常办公用品及办公耗材 ：20000元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二、接待费，工作接待费10000元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四、差旅、生态公益林管理站5人全年差旅共5000元                                              五、会议费： 2000元                                            六、水费：2000元                                           合计70000元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66</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林业局项目工作经费（三保）</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25.65</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水费49020元，电费91480元，邮电费9000元，差旅费206950元，合计356450元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67</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502001</w:t>
            </w:r>
          </w:p>
        </w:tc>
        <w:tc>
          <w:tcPr>
            <w:tcW w:w="2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环江毛南族自治县林业局</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**界子良风电场临时用地植被恢复项目资金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0.23</w:t>
            </w:r>
          </w:p>
        </w:tc>
        <w:tc>
          <w:tcPr>
            <w:tcW w:w="5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界子良风电场临时用地植被恢复项目资金199.59144万元</w:t>
            </w:r>
          </w:p>
        </w:tc>
      </w:tr>
    </w:tbl>
    <w:p>
      <w:pPr>
        <w:jc w:val="left"/>
        <w:rPr>
          <w:rFonts w:hint="eastAsia"/>
          <w:lang w:eastAsia="zh-CN"/>
        </w:rPr>
        <w:sectPr>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1"/>
        <w:keepNext/>
        <w:keepLines/>
        <w:spacing w:before="200" w:after="0"/>
        <w:jc w:val="center"/>
      </w:pPr>
      <w:bookmarkStart w:id="37" w:name="bookmark95"/>
      <w:bookmarkStart w:id="38" w:name="bookmark96"/>
      <w:bookmarkStart w:id="39" w:name="bookmark94"/>
      <w:r>
        <w:t>第四部分名词解释</w:t>
      </w:r>
      <w:bookmarkEnd w:id="37"/>
      <w:bookmarkEnd w:id="38"/>
      <w:bookmarkEnd w:id="39"/>
    </w:p>
    <w:p>
      <w:pPr>
        <w:pStyle w:val="17"/>
        <w:tabs>
          <w:tab w:val="left" w:pos="1270"/>
        </w:tabs>
        <w:spacing w:line="626" w:lineRule="exact"/>
        <w:ind w:firstLine="640"/>
        <w:jc w:val="left"/>
      </w:pPr>
      <w:bookmarkStart w:id="40" w:name="bookmark97"/>
      <w:r>
        <w:t>一</w:t>
      </w:r>
      <w:bookmarkEnd w:id="40"/>
      <w:r>
        <w:t>、</w:t>
      </w:r>
      <w:r>
        <w:tab/>
      </w:r>
      <w:r>
        <w:t>财政拨款收入：指预算单位从本级财政部门取得的 财政预算资金收入。</w:t>
      </w:r>
    </w:p>
    <w:p>
      <w:pPr>
        <w:pStyle w:val="17"/>
        <w:tabs>
          <w:tab w:val="left" w:pos="1280"/>
        </w:tabs>
        <w:spacing w:line="626" w:lineRule="exact"/>
        <w:ind w:firstLine="640"/>
        <w:jc w:val="left"/>
      </w:pPr>
      <w:bookmarkStart w:id="41" w:name="bookmark98"/>
      <w:r>
        <w:t>二</w:t>
      </w:r>
      <w:bookmarkEnd w:id="41"/>
      <w:r>
        <w:t>、</w:t>
      </w:r>
      <w:r>
        <w:tab/>
      </w:r>
      <w:r>
        <w:t>事业收入：指事业单位开展专业业务活动及辅助活 动所取得的收入。</w:t>
      </w:r>
    </w:p>
    <w:p>
      <w:pPr>
        <w:pStyle w:val="17"/>
        <w:tabs>
          <w:tab w:val="left" w:pos="1275"/>
        </w:tabs>
        <w:spacing w:line="626" w:lineRule="exact"/>
        <w:ind w:firstLine="640"/>
        <w:jc w:val="left"/>
      </w:pPr>
      <w:bookmarkStart w:id="42" w:name="bookmark99"/>
      <w:r>
        <w:t>三</w:t>
      </w:r>
      <w:bookmarkEnd w:id="42"/>
      <w:r>
        <w:t>、</w:t>
      </w:r>
      <w:r>
        <w:tab/>
      </w:r>
      <w:r>
        <w:t>经营收入：指事业单位在专业业务活动及其辅助活 动之外开展非独立核算经营活动取得的收入。</w:t>
      </w:r>
    </w:p>
    <w:p>
      <w:pPr>
        <w:pStyle w:val="17"/>
        <w:tabs>
          <w:tab w:val="left" w:pos="1309"/>
        </w:tabs>
        <w:spacing w:line="626" w:lineRule="exact"/>
        <w:ind w:firstLine="640"/>
        <w:jc w:val="left"/>
      </w:pPr>
      <w:bookmarkStart w:id="43" w:name="bookmark100"/>
      <w:r>
        <w:t>四</w:t>
      </w:r>
      <w:bookmarkEnd w:id="43"/>
      <w:r>
        <w:t>、</w:t>
      </w:r>
      <w:r>
        <w:tab/>
      </w:r>
      <w:r>
        <w:t>其他收入：指除上述</w:t>
      </w:r>
      <w:r>
        <w:rPr>
          <w:lang w:val="zh-CN" w:eastAsia="zh-CN" w:bidi="zh-CN"/>
        </w:rPr>
        <w:t>“财</w:t>
      </w:r>
      <w:r>
        <w:t>政拨款收入”、</w:t>
      </w:r>
      <w:r>
        <w:rPr>
          <w:lang w:val="zh-CN" w:eastAsia="zh-CN" w:bidi="zh-CN"/>
        </w:rPr>
        <w:t>“事</w:t>
      </w:r>
      <w:r>
        <w:t>业收 入"、</w:t>
      </w:r>
      <w:r>
        <w:rPr>
          <w:lang w:val="zh-CN" w:eastAsia="zh-CN" w:bidi="zh-CN"/>
        </w:rPr>
        <w:t>“经营</w:t>
      </w:r>
      <w:r>
        <w:t>收入"等以外的收入。主要是非本级财政拨款、 存款利息收入、事业单位固定资产出租收入等。</w:t>
      </w:r>
    </w:p>
    <w:p>
      <w:pPr>
        <w:pStyle w:val="17"/>
        <w:tabs>
          <w:tab w:val="left" w:pos="1275"/>
        </w:tabs>
        <w:spacing w:line="626" w:lineRule="exact"/>
        <w:ind w:firstLine="640"/>
        <w:jc w:val="left"/>
      </w:pPr>
      <w:bookmarkStart w:id="44" w:name="bookmark101"/>
      <w:r>
        <w:t>五</w:t>
      </w:r>
      <w:bookmarkEnd w:id="44"/>
      <w:r>
        <w:t>、</w:t>
      </w:r>
      <w:r>
        <w:tab/>
      </w:r>
      <w:r>
        <w:t xml:space="preserve">用事业基金弥补收支差额：指事业单位在用当年的 </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 xml:space="preserve">“其他 </w:t>
      </w:r>
      <w:r>
        <w:t>收入"不足以安排当年支出的情况下，使用以前年度积累的 事业基金（事业单位当年收支相抵后按国家规定提取、用于 弥补以后年度收支差额的基金）弥补本年度收支缺口的资 金。</w:t>
      </w:r>
    </w:p>
    <w:p>
      <w:pPr>
        <w:pStyle w:val="17"/>
        <w:tabs>
          <w:tab w:val="left" w:pos="1270"/>
        </w:tabs>
        <w:spacing w:line="626" w:lineRule="exact"/>
        <w:ind w:firstLine="640"/>
        <w:jc w:val="left"/>
      </w:pPr>
      <w:bookmarkStart w:id="45" w:name="bookmark102"/>
      <w:r>
        <w:t>六</w:t>
      </w:r>
      <w:bookmarkEnd w:id="45"/>
      <w:r>
        <w:t>、</w:t>
      </w:r>
      <w:r>
        <w:tab/>
      </w:r>
      <w:r>
        <w:t>年初结转和结余：指以前年度尚未完成、结转到本 年按有关规定继续使用的资金。</w:t>
      </w:r>
    </w:p>
    <w:p>
      <w:pPr>
        <w:pStyle w:val="17"/>
        <w:tabs>
          <w:tab w:val="left" w:pos="1275"/>
        </w:tabs>
        <w:spacing w:line="626" w:lineRule="exact"/>
        <w:ind w:firstLine="640"/>
        <w:jc w:val="left"/>
      </w:pPr>
      <w:bookmarkStart w:id="46" w:name="bookmark103"/>
      <w:r>
        <w:t>七</w:t>
      </w:r>
      <w:bookmarkEnd w:id="46"/>
      <w:r>
        <w:t>、</w:t>
      </w:r>
      <w:r>
        <w:tab/>
      </w:r>
      <w:r>
        <w:t>结余分配：指事业单位按规定提取的职工福利基金、 事业基金和缴纳的所得税，以及建设单位按规定应交回的基 本建设竣工项目结余资金。</w:t>
      </w:r>
    </w:p>
    <w:p>
      <w:pPr>
        <w:pStyle w:val="17"/>
        <w:tabs>
          <w:tab w:val="left" w:pos="632"/>
        </w:tabs>
        <w:spacing w:line="626" w:lineRule="exact"/>
        <w:ind w:firstLine="640"/>
        <w:jc w:val="left"/>
      </w:pPr>
      <w:bookmarkStart w:id="47" w:name="bookmark104"/>
      <w:r>
        <w:t>八</w:t>
      </w:r>
      <w:bookmarkEnd w:id="47"/>
      <w:r>
        <w:t>、</w:t>
      </w:r>
      <w:r>
        <w:tab/>
      </w:r>
      <w:r>
        <w:t>年末结转和结余：指本年度或以前年度预算安排、 因客观条件发生变化无法按原计划实施，需要延迟到以后年 度按有关规定继续使用的资金。</w:t>
      </w:r>
    </w:p>
    <w:p>
      <w:pPr>
        <w:pStyle w:val="17"/>
        <w:spacing w:line="628" w:lineRule="exact"/>
        <w:ind w:firstLine="640"/>
        <w:jc w:val="left"/>
      </w:pPr>
      <w:bookmarkStart w:id="48" w:name="bookmark105"/>
      <w:r>
        <w:t>九</w:t>
      </w:r>
      <w:bookmarkEnd w:id="48"/>
      <w:r>
        <w:t>、基本支出：指为保障机构正常运转、完成日常工作任务而发生的人员支出和公用支出。</w:t>
      </w:r>
    </w:p>
    <w:p>
      <w:pPr>
        <w:pStyle w:val="17"/>
        <w:spacing w:line="628" w:lineRule="exact"/>
        <w:ind w:firstLine="640"/>
        <w:jc w:val="left"/>
      </w:pPr>
      <w:r>
        <w:t>十、项目支出：指在基本支出之外为完成特定行政任务和事业发展目标所发生的支出。</w:t>
      </w:r>
    </w:p>
    <w:p>
      <w:pPr>
        <w:pStyle w:val="17"/>
        <w:spacing w:line="628" w:lineRule="exact"/>
        <w:ind w:firstLine="640"/>
        <w:jc w:val="left"/>
      </w:pPr>
      <w:r>
        <w:t>十一、经营支出：指事业单位在专业业务活动及其辅助活动之外开展非独立核算经营活动所发生的支出。</w:t>
      </w:r>
    </w:p>
    <w:p>
      <w:pPr>
        <w:pStyle w:val="17"/>
        <w:spacing w:line="628" w:lineRule="exact"/>
        <w:ind w:firstLine="640"/>
        <w:jc w:val="left"/>
      </w:pPr>
      <w:r>
        <w:t>十二、</w:t>
      </w:r>
      <w:r>
        <w:rPr>
          <w:lang w:val="zh-CN" w:eastAsia="zh-CN" w:bidi="zh-CN"/>
        </w:rPr>
        <w:t>“三</w:t>
      </w:r>
      <w:r>
        <w:t>公”经费：纳入财政预决算管理的</w:t>
      </w:r>
      <w:r>
        <w:rPr>
          <w:lang w:val="zh-CN" w:eastAsia="zh-CN" w:bidi="zh-CN"/>
        </w:rPr>
        <w:t>“三公</w:t>
      </w:r>
      <w:r>
        <w:t>” 经费，是指市本级各部门用财政拨款安排的因公出国（境） 费、公务用车购置及运行费和公务接待费。其中，因公出国 （境）费反映单位公务出国（境）的国际旅费、国外城市间 交通费、住宿费、伙食费、培训费、公杂费等支出；公务用 车购置及运行费反映单位公务用车车辆购置支出（含车辆购 置税）及租用费、燃料费、维修费、过路过桥费、保险费、 安全奖励费用等支出；公务接待费反映单位按规定开支的各 类公务接待（含外宾接待）支出。</w:t>
      </w:r>
    </w:p>
    <w:p>
      <w:pPr>
        <w:pStyle w:val="17"/>
        <w:spacing w:line="628" w:lineRule="exact"/>
        <w:ind w:firstLine="640"/>
        <w:jc w:val="left"/>
      </w:pPr>
      <w:r>
        <w:t>十三、机关运行经费：为保障行政单位（含参照公务员法管理的事业单位、机关服务中心）运行用于购买货物和服 务的各项资金，包括办公及印刷费、邮电费、差旅费、会议 费</w:t>
      </w:r>
      <w:bookmarkStart w:id="49" w:name="_GoBack"/>
      <w:bookmarkEnd w:id="49"/>
      <w:r>
        <w:t>、福利费、日常维修费、专用材料及一般设备购置费、办 公用房水电费、办公用房取暖费、办公用房物业管理费、公务用车运行维护费以及其他费用。</w:t>
      </w:r>
    </w:p>
    <w:sectPr>
      <w:headerReference r:id="rId34" w:type="default"/>
      <w:footerReference r:id="rId35"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6381115</wp:posOffset>
              </wp:positionH>
              <wp:positionV relativeFrom="page">
                <wp:posOffset>10028555</wp:posOffset>
              </wp:positionV>
              <wp:extent cx="48895" cy="76200"/>
              <wp:effectExtent l="0" t="0" r="0" b="0"/>
              <wp:wrapNone/>
              <wp:docPr id="1" name="Shape 1"/>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pPr>
                            <w:pStyle w:val="13"/>
                            <w:rPr>
                              <w:sz w:val="17"/>
                              <w:szCs w:val="17"/>
                            </w:rPr>
                          </w:pPr>
                          <w:r>
                            <w:fldChar w:fldCharType="begin"/>
                          </w:r>
                          <w:r>
                            <w:instrText xml:space="preserve"> PAGE \* MERGEFORMAT </w:instrText>
                          </w:r>
                          <w:r>
                            <w:fldChar w:fldCharType="separate"/>
                          </w:r>
                          <w:r>
                            <w:rPr>
                              <w:b/>
                              <w:bCs/>
                              <w:sz w:val="17"/>
                              <w:szCs w:val="17"/>
                            </w:rPr>
                            <w:t>#</w:t>
                          </w:r>
                          <w:r>
                            <w:rPr>
                              <w:b/>
                              <w:bCs/>
                              <w:sz w:val="17"/>
                              <w:szCs w:val="17"/>
                            </w:rPr>
                            <w:fldChar w:fldCharType="end"/>
                          </w:r>
                        </w:p>
                      </w:txbxContent>
                    </wps:txbx>
                    <wps:bodyPr wrap="none" lIns="0" tIns="0" rIns="0" bIns="0">
                      <a:spAutoFit/>
                    </wps:bodyPr>
                  </wps:wsp>
                </a:graphicData>
              </a:graphic>
            </wp:anchor>
          </w:drawing>
        </mc:Choice>
        <mc:Fallback>
          <w:pict>
            <v:shape id="Shape 1" o:spid="_x0000_s1026" o:spt="202" type="#_x0000_t202" style="position:absolute;left:0pt;margin-left:502.45pt;margin-top:789.65pt;height:6pt;width:3.85pt;mso-position-horizontal-relative:page;mso-position-vertical-relative:page;mso-wrap-style:none;z-index:-251657216;mso-width-relative:page;mso-height-relative:page;" filled="f" stroked="f" coordsize="21600,21600" o:gfxdata="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3HN2gAA&#10;AA8BAAAPAAAAAAAAAAEAIAAAACIAAABkcnMvZG93bnJldi54bWxQSwECFAAUAAAACACHTuJAQ9GH&#10;nqoBAABtAwAADgAAAAAAAAABACAAAAApAQAAZHJzL2Uyb0RvYy54bWxQSwUGAAAAAAYABgBZAQAA&#10;RQUAAAAA&#10;">
              <v:fill on="f" focussize="0,0"/>
              <v:stroke on="f"/>
              <v:imagedata o:title=""/>
              <o:lock v:ext="edit" aspectratio="f"/>
              <v:textbox inset="0mm,0mm,0mm,0mm" style="mso-fit-shape-to-text:t;">
                <w:txbxContent>
                  <w:p>
                    <w:pPr>
                      <w:pStyle w:val="13"/>
                      <w:rPr>
                        <w:sz w:val="17"/>
                        <w:szCs w:val="17"/>
                      </w:rPr>
                    </w:pPr>
                    <w:r>
                      <w:fldChar w:fldCharType="begin"/>
                    </w:r>
                    <w:r>
                      <w:instrText xml:space="preserve"> PAGE \* MERGEFORMAT </w:instrText>
                    </w:r>
                    <w:r>
                      <w:fldChar w:fldCharType="separate"/>
                    </w:r>
                    <w:r>
                      <w:rPr>
                        <w:b/>
                        <w:bCs/>
                        <w:sz w:val="17"/>
                        <w:szCs w:val="17"/>
                      </w:rPr>
                      <w:t>#</w:t>
                    </w:r>
                    <w:r>
                      <w:rPr>
                        <w:b/>
                        <w:bCs/>
                        <w:sz w:val="17"/>
                        <w:szCs w:val="17"/>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22"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x2GP&#10;TK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24"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idgA&#10;AAAOAQAADwAAAAAAAAABACAAAAAiAAAAZHJzL2Rvd25yZXYueG1sUEsBAhQAFAAAAAgAh07iQL5e&#10;lDutAQAAcAMAAA4AAAAAAAAAAQAgAAAAJwEAAGRycy9lMm9Eb2MueG1sUEsFBgAAAAAGAAYAWQEA&#10;AEY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26"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VrZN&#10;oK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9720580</wp:posOffset>
              </wp:positionH>
              <wp:positionV relativeFrom="page">
                <wp:posOffset>6825615</wp:posOffset>
              </wp:positionV>
              <wp:extent cx="48895" cy="76200"/>
              <wp:effectExtent l="0" t="0" r="0" b="0"/>
              <wp:wrapNone/>
              <wp:docPr id="9" name="Shape 7"/>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7" o:spid="_x0000_s1026" o:spt="202" type="#_x0000_t202" style="position:absolute;left:0pt;margin-left:765.4pt;margin-top:537.45pt;height:6pt;width:3.85pt;mso-position-horizontal-relative:page;mso-position-vertical-relative:page;mso-wrap-style:none;z-index:-251655168;mso-width-relative:page;mso-height-relative:page;" filled="f" stroked="f" coordsize="21600,21600" o:gfxdata="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TNNW2gAA&#10;AA8BAAAPAAAAAAAAAAEAIAAAACIAAABkcnMvZG93bnJldi54bWxQSwECFAAUAAAACACHTuJAZRgy&#10;maoBAABtAwAADgAAAAAAAAABACAAAAAp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2336" behindDoc="1" locked="0" layoutInCell="1" allowOverlap="1">
              <wp:simplePos x="0" y="0"/>
              <wp:positionH relativeFrom="page">
                <wp:posOffset>9720580</wp:posOffset>
              </wp:positionH>
              <wp:positionV relativeFrom="page">
                <wp:posOffset>6825615</wp:posOffset>
              </wp:positionV>
              <wp:extent cx="48895" cy="76200"/>
              <wp:effectExtent l="0" t="0" r="0" b="0"/>
              <wp:wrapNone/>
              <wp:docPr id="11" name="Shape 9"/>
              <wp:cNvGraphicFramePr/>
              <a:graphic xmlns:a="http://schemas.openxmlformats.org/drawingml/2006/main">
                <a:graphicData uri="http://schemas.microsoft.com/office/word/2010/wordprocessingShape">
                  <wps:wsp>
                    <wps:cNvSpPr txBox="1"/>
                    <wps:spPr>
                      <a:xfrm>
                        <a:off x="0" y="0"/>
                        <a:ext cx="4889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9" o:spid="_x0000_s1026" o:spt="202" type="#_x0000_t202" style="position:absolute;left:0pt;margin-left:765.4pt;margin-top:537.45pt;height:6pt;width:3.85pt;mso-position-horizontal-relative:page;mso-position-vertical-relative:page;mso-wrap-style:none;z-index:-251654144;mso-width-relative:page;mso-height-relative:page;" filled="f" stroked="f" coordsize="21600,21600" o:gfxdata="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0zTVtoA&#10;AAAPAQAADwAAAAAAAAABACAAAAAiAAAAZHJzL2Rvd25yZXYueG1sUEsBAhQAFAAAAAgAh07iQBN0&#10;U5+rAQAAbgMAAA4AAAAAAAAAAQAgAAAAKQEAAGRycy9lMm9Eb2MueG1sUEsFBgAAAAAGAAYAWQEA&#10;AEYFA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3360" behindDoc="1" locked="0" layoutInCell="1" allowOverlap="1">
              <wp:simplePos x="0" y="0"/>
              <wp:positionH relativeFrom="page">
                <wp:posOffset>9668510</wp:posOffset>
              </wp:positionH>
              <wp:positionV relativeFrom="page">
                <wp:posOffset>6825615</wp:posOffset>
              </wp:positionV>
              <wp:extent cx="103505" cy="76200"/>
              <wp:effectExtent l="0" t="0" r="0" b="0"/>
              <wp:wrapNone/>
              <wp:docPr id="15" name="Shape 15"/>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761.3pt;margin-top:537.45pt;height:6pt;width:8.15pt;mso-position-horizontal-relative:page;mso-position-vertical-relative:page;mso-wrap-style:none;z-index:-251653120;mso-width-relative:page;mso-height-relative:page;" filled="f" stroked="f" coordsize="21600,21600" o:gfxdata="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6umYLZAAAA&#10;DwEAAA8AAAAAAAAAAQAgAAAAIgAAAGRycy9kb3ducmV2LnhtbFBLAQIUABQAAAAIAIdO4kAritcA&#10;qgEAAHADAAAOAAAAAAAAAAEAIAAAACgBAABkcnMvZTJvRG9jLnhtbFBLBQYAAAAABgAGAFkBAABE&#10;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4384" behindDoc="1" locked="0" layoutInCell="1" allowOverlap="1">
              <wp:simplePos x="0" y="0"/>
              <wp:positionH relativeFrom="page">
                <wp:posOffset>6323330</wp:posOffset>
              </wp:positionH>
              <wp:positionV relativeFrom="page">
                <wp:posOffset>9970770</wp:posOffset>
              </wp:positionV>
              <wp:extent cx="106680" cy="76200"/>
              <wp:effectExtent l="0" t="0" r="0" b="0"/>
              <wp:wrapNone/>
              <wp:docPr id="25" name="Shape 25"/>
              <wp:cNvGraphicFramePr/>
              <a:graphic xmlns:a="http://schemas.openxmlformats.org/drawingml/2006/main">
                <a:graphicData uri="http://schemas.microsoft.com/office/word/2010/wordprocessingShape">
                  <wps:wsp>
                    <wps:cNvSpPr txBox="1"/>
                    <wps:spPr>
                      <a:xfrm>
                        <a:off x="0" y="0"/>
                        <a:ext cx="106680" cy="76200"/>
                      </a:xfrm>
                      <a:prstGeom prst="rect">
                        <a:avLst/>
                      </a:prstGeom>
                      <a:noFill/>
                    </wps:spPr>
                    <wps:txbx>
                      <w:txbxContent>
                        <w:p>
                          <w:pPr>
                            <w:pStyle w:val="19"/>
                          </w:pPr>
                          <w:r>
                            <w:t>33</w:t>
                          </w:r>
                        </w:p>
                      </w:txbxContent>
                    </wps:txbx>
                    <wps:bodyPr wrap="none" lIns="0" tIns="0" rIns="0" bIns="0">
                      <a:spAutoFit/>
                    </wps:bodyPr>
                  </wps:wsp>
                </a:graphicData>
              </a:graphic>
            </wp:anchor>
          </w:drawing>
        </mc:Choice>
        <mc:Fallback>
          <w:pict>
            <v:shape id="Shape 25" o:spid="_x0000_s1026" o:spt="202" type="#_x0000_t202" style="position:absolute;left:0pt;margin-left:497.9pt;margin-top:785.1pt;height:6pt;width:8.4pt;mso-position-horizontal-relative:page;mso-position-vertical-relative:page;mso-wrap-style:none;z-index:-251652096;mso-width-relative:page;mso-height-relative:page;" filled="f" stroked="f" coordsize="21600,21600" o:gfxdata="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luPGjYAAAA&#10;DgEAAA8AAAAAAAAAAQAgAAAAIgAAAGRycy9kb3ducmV2LnhtbFBLAQIUABQAAAAIAIdO4kDKR3k2&#10;qwEAAHADAAAOAAAAAAAAAAEAIAAAACcBAABkcnMvZTJvRG9jLnhtbFBLBQYAAAAABgAGAFkBAABE&#10;BQAAAAA=&#10;">
              <v:fill on="f" focussize="0,0"/>
              <v:stroke on="f"/>
              <v:imagedata o:title=""/>
              <o:lock v:ext="edit" aspectratio="f"/>
              <v:textbox inset="0mm,0mm,0mm,0mm" style="mso-fit-shape-to-text:t;">
                <w:txbxContent>
                  <w:p>
                    <w:pPr>
                      <w:pStyle w:val="19"/>
                    </w:pPr>
                    <w:r>
                      <w:t>33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4"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onXE&#10;pKwBAABv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12"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tIvg&#10;ta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13"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wH8M&#10;+K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17"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YnYAAAA&#10;DgEAAA8AAAAAAAAAAQAgAAAAIgAAAGRycy9kb3ducmV2LnhtbFBLAQIUABQAAAAIAIdO4kBRqM4U&#10;qwEAAHADAAAOAAAAAAAAAAEAIAAAACcBAABkcnMvZTJvRG9jLnhtbFBLBQYAAAAABgAGAFkBAABE&#10;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18"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5YnYAAAA&#10;DgEAAA8AAAAAAAAAAQAgAAAAIgAAAGRycy9kb3ducmV2LnhtbFBLAQIUABQAAAAIAIdO4kA/ys0s&#10;qwEAAHADAAAOAAAAAAAAAAEAIAAAACcBAABkcnMvZTJvRG9jLnhtbFBLBQYAAAAABgAGAFkBAABE&#10;BQ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19"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Sz4h&#10;Ya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20"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L4lW&#10;16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6343650</wp:posOffset>
              </wp:positionH>
              <wp:positionV relativeFrom="page">
                <wp:posOffset>10046970</wp:posOffset>
              </wp:positionV>
              <wp:extent cx="103505" cy="76200"/>
              <wp:effectExtent l="0" t="0" r="0" b="0"/>
              <wp:wrapNone/>
              <wp:docPr id="21" name="Shape 17"/>
              <wp:cNvGraphicFramePr/>
              <a:graphic xmlns:a="http://schemas.openxmlformats.org/drawingml/2006/main">
                <a:graphicData uri="http://schemas.microsoft.com/office/word/2010/wordprocessingShape">
                  <wps:wsp>
                    <wps:cNvSpPr txBox="1"/>
                    <wps:spPr>
                      <a:xfrm>
                        <a:off x="0" y="0"/>
                        <a:ext cx="103505" cy="76200"/>
                      </a:xfrm>
                      <a:prstGeom prst="rect">
                        <a:avLst/>
                      </a:prstGeom>
                      <a:noFill/>
                    </wps:spPr>
                    <wps:txbx>
                      <w:txbxContent>
                        <w:p>
                          <w:pPr>
                            <w:pStyle w:val="19"/>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w:pict>
            <v:shape id="Shape 17" o:spid="_x0000_s1026" o:spt="202" type="#_x0000_t202" style="position:absolute;left:0pt;margin-left:499.5pt;margin-top:791.1pt;height:6pt;width:8.15pt;mso-position-horizontal-relative:page;mso-position-vertical-relative:page;mso-wrap-style:none;z-index:-251656192;mso-width-relative:page;mso-height-relative:page;" filled="f" stroked="f" coordsize="21600,21600" o:gfxdata="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WJ2AAA&#10;AA4BAAAPAAAAAAAAAAEAIAAAACIAAABkcnMvZG93bnJldi54bWxQSwECFAAUAAAACACHTuJAW326&#10;mqwBAABwAwAADgAAAAAAAAABACAAAAAnAQAAZHJzL2Uyb0RvYy54bWxQSwUGAAAAAAYABgBZAQAA&#10;RQUAAAAA&#10;">
              <v:fill on="f" focussize="0,0"/>
              <v:stroke on="f"/>
              <v:imagedata o:title=""/>
              <o:lock v:ext="edit" aspectratio="f"/>
              <v:textbox inset="0mm,0mm,0mm,0mm" style="mso-fit-shape-to-text:t;">
                <w:txbxContent>
                  <w:p>
                    <w:pPr>
                      <w:pStyle w:val="19"/>
                    </w:pPr>
                    <w:r>
                      <w:fldChar w:fldCharType="begin"/>
                    </w:r>
                    <w:r>
                      <w:instrText xml:space="preserve"> PAGE \* MERGEFORMAT </w:instrText>
                    </w:r>
                    <w:r>
                      <w:fldChar w:fldCharType="separate"/>
                    </w:r>
                    <w:r>
                      <w:t>#</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1312"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8" name="Shape 5"/>
              <wp:cNvGraphicFramePr/>
              <a:graphic xmlns:a="http://schemas.openxmlformats.org/drawingml/2006/main">
                <a:graphicData uri="http://schemas.microsoft.com/office/word/2010/wordprocessingShape">
                  <wps:wsp>
                    <wps:cNvSpPr txBox="1"/>
                    <wps:spPr>
                      <a:xfrm>
                        <a:off x="0" y="0"/>
                        <a:ext cx="581025" cy="109855"/>
                      </a:xfrm>
                      <a:prstGeom prst="rect">
                        <a:avLst/>
                      </a:prstGeom>
                      <a:noFill/>
                    </wps:spPr>
                    <wps:txbx>
                      <w:txbxContent>
                        <w:p>
                          <w:pPr>
                            <w:pStyle w:val="19"/>
                          </w:pPr>
                        </w:p>
                      </w:txbxContent>
                    </wps:txbx>
                    <wps:bodyPr wrap="square" lIns="0" tIns="0" rIns="0" bIns="0">
                      <a:spAutoFit/>
                    </wps:bodyPr>
                  </wps:wsp>
                </a:graphicData>
              </a:graphic>
            </wp:anchor>
          </w:drawing>
        </mc:Choice>
        <mc:Fallback>
          <w:pict>
            <v:shape id="Shape 5" o:spid="_x0000_s1026" o:spt="202" type="#_x0000_t202" style="position:absolute;left:0pt;margin-left:717.9pt;margin-top:95.85pt;height:8.65pt;width:45.75pt;mso-position-horizontal-relative:page;mso-position-vertical-relative:page;z-index:-251655168;mso-width-relative:page;mso-height-relative:page;" filled="f" stroked="f" coordsize="21600,21600" o:gfxdata="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qnqqe&#10;2QAAAA0BAAAPAAAAAAAAAAEAIAAAACIAAABkcnMvZG93bnJldi54bWxQSwECFAAUAAAACACHTuJA&#10;2mVGd64BAABxAwAADgAAAAAAAAABACAAAAAoAQAAZHJzL2Uyb0RvYy54bWxQSwUGAAAAAAYABgBZ&#10;AQAASAUAAAAA&#10;">
              <v:fill on="f" focussize="0,0"/>
              <v:stroke on="f"/>
              <v:imagedata o:title=""/>
              <o:lock v:ext="edit" aspectratio="f"/>
              <v:textbox inset="0mm,0mm,0mm,0mm" style="mso-fit-shape-to-text:t;">
                <w:txbxContent>
                  <w:p>
                    <w:pPr>
                      <w:pStyle w:val="19"/>
                    </w:pPr>
                  </w:p>
                </w:txbxContent>
              </v:textbox>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B1E605"/>
    <w:multiLevelType w:val="singleLevel"/>
    <w:tmpl w:val="ACB1E605"/>
    <w:lvl w:ilvl="0" w:tentative="0">
      <w:start w:val="2"/>
      <w:numFmt w:val="chineseCounting"/>
      <w:lvlText w:val="%1、"/>
      <w:lvlJc w:val="left"/>
      <w:rPr>
        <w:rFonts w:hint="eastAsia"/>
      </w:rPr>
    </w:lvl>
  </w:abstractNum>
  <w:abstractNum w:abstractNumId="1">
    <w:nsid w:val="F5BB17C6"/>
    <w:multiLevelType w:val="singleLevel"/>
    <w:tmpl w:val="F5BB17C6"/>
    <w:lvl w:ilvl="0" w:tentative="0">
      <w:start w:val="3"/>
      <w:numFmt w:val="chineseCounting"/>
      <w:lvlText w:val="%1、"/>
      <w:lvlJc w:val="left"/>
      <w:rPr>
        <w:rFonts w:hint="eastAsia"/>
      </w:rPr>
    </w:lvl>
  </w:abstractNum>
  <w:abstractNum w:abstractNumId="2">
    <w:nsid w:val="29FEBC45"/>
    <w:multiLevelType w:val="singleLevel"/>
    <w:tmpl w:val="29FEBC45"/>
    <w:lvl w:ilvl="0" w:tentative="0">
      <w:start w:val="2"/>
      <w:numFmt w:val="chineseCounting"/>
      <w:lvlText w:val="%1、"/>
      <w:lvlJc w:val="left"/>
      <w:rPr>
        <w:rFonts w:hint="eastAsia"/>
      </w:rPr>
    </w:lvl>
  </w:abstractNum>
  <w:abstractNum w:abstractNumId="3">
    <w:nsid w:val="33F99247"/>
    <w:multiLevelType w:val="singleLevel"/>
    <w:tmpl w:val="33F99247"/>
    <w:lvl w:ilvl="0" w:tentative="0">
      <w:start w:val="5"/>
      <w:numFmt w:val="chineseCount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FiOTZkYjkwN2Q1MTBhY2U1NDI3ZmEwNzcyMDM4OGMifQ=="/>
  </w:docVars>
  <w:rsids>
    <w:rsidRoot w:val="005D5212"/>
    <w:rsid w:val="000C729D"/>
    <w:rsid w:val="000E3066"/>
    <w:rsid w:val="00176BA9"/>
    <w:rsid w:val="00206207"/>
    <w:rsid w:val="003B66C8"/>
    <w:rsid w:val="005D5212"/>
    <w:rsid w:val="009D0EA3"/>
    <w:rsid w:val="00D376AB"/>
    <w:rsid w:val="00D53353"/>
    <w:rsid w:val="00DC1C70"/>
    <w:rsid w:val="014F1C07"/>
    <w:rsid w:val="018265AE"/>
    <w:rsid w:val="01844C4D"/>
    <w:rsid w:val="01C40DDD"/>
    <w:rsid w:val="02A14C7A"/>
    <w:rsid w:val="037D4C1C"/>
    <w:rsid w:val="0385634A"/>
    <w:rsid w:val="03E13BF1"/>
    <w:rsid w:val="04053497"/>
    <w:rsid w:val="041078B8"/>
    <w:rsid w:val="04632F4B"/>
    <w:rsid w:val="04B36EE7"/>
    <w:rsid w:val="05307910"/>
    <w:rsid w:val="07415A47"/>
    <w:rsid w:val="07427C1A"/>
    <w:rsid w:val="078621C1"/>
    <w:rsid w:val="08314C1A"/>
    <w:rsid w:val="08BD5CC9"/>
    <w:rsid w:val="08F5209D"/>
    <w:rsid w:val="09167A44"/>
    <w:rsid w:val="091A786E"/>
    <w:rsid w:val="0A0929BF"/>
    <w:rsid w:val="0A146CEE"/>
    <w:rsid w:val="0B0432C7"/>
    <w:rsid w:val="0CAA10FB"/>
    <w:rsid w:val="0CF120F0"/>
    <w:rsid w:val="0CFC7736"/>
    <w:rsid w:val="0D042F53"/>
    <w:rsid w:val="0D0D7D76"/>
    <w:rsid w:val="0E603A27"/>
    <w:rsid w:val="0E9F3D37"/>
    <w:rsid w:val="0FA66EE8"/>
    <w:rsid w:val="0FA9345E"/>
    <w:rsid w:val="0FBC30F4"/>
    <w:rsid w:val="0FCD3553"/>
    <w:rsid w:val="0FCE0873"/>
    <w:rsid w:val="0FE62FD1"/>
    <w:rsid w:val="10A52123"/>
    <w:rsid w:val="10F90960"/>
    <w:rsid w:val="11017E3D"/>
    <w:rsid w:val="11CB1D14"/>
    <w:rsid w:val="12026DD2"/>
    <w:rsid w:val="12360E39"/>
    <w:rsid w:val="12861023"/>
    <w:rsid w:val="12D238CE"/>
    <w:rsid w:val="13C46A1B"/>
    <w:rsid w:val="13DF3855"/>
    <w:rsid w:val="13FC3257"/>
    <w:rsid w:val="14893DF7"/>
    <w:rsid w:val="14D26F15"/>
    <w:rsid w:val="14E83DE8"/>
    <w:rsid w:val="15C90318"/>
    <w:rsid w:val="16703031"/>
    <w:rsid w:val="16E55624"/>
    <w:rsid w:val="16FD36E1"/>
    <w:rsid w:val="178E5AB5"/>
    <w:rsid w:val="17B53AF9"/>
    <w:rsid w:val="189B40B4"/>
    <w:rsid w:val="18C20600"/>
    <w:rsid w:val="190D008F"/>
    <w:rsid w:val="191D5EC2"/>
    <w:rsid w:val="1A9A2283"/>
    <w:rsid w:val="1AA513AA"/>
    <w:rsid w:val="1AC118F0"/>
    <w:rsid w:val="1B151DBA"/>
    <w:rsid w:val="1B4A13A6"/>
    <w:rsid w:val="1BA3160C"/>
    <w:rsid w:val="1BF8120A"/>
    <w:rsid w:val="1C50355D"/>
    <w:rsid w:val="1CA36708"/>
    <w:rsid w:val="1DC317C0"/>
    <w:rsid w:val="1DE1641B"/>
    <w:rsid w:val="1E360515"/>
    <w:rsid w:val="1E734785"/>
    <w:rsid w:val="1EE71898"/>
    <w:rsid w:val="1F6D61B8"/>
    <w:rsid w:val="1F791B6C"/>
    <w:rsid w:val="20250841"/>
    <w:rsid w:val="21294592"/>
    <w:rsid w:val="21E440F1"/>
    <w:rsid w:val="230E0702"/>
    <w:rsid w:val="232272BA"/>
    <w:rsid w:val="23462364"/>
    <w:rsid w:val="237241D7"/>
    <w:rsid w:val="23D902C0"/>
    <w:rsid w:val="23F1726E"/>
    <w:rsid w:val="24A3247F"/>
    <w:rsid w:val="24D92074"/>
    <w:rsid w:val="24DA0247"/>
    <w:rsid w:val="25170984"/>
    <w:rsid w:val="253F5976"/>
    <w:rsid w:val="25DA2FFB"/>
    <w:rsid w:val="27282C51"/>
    <w:rsid w:val="29723B0D"/>
    <w:rsid w:val="29AA4012"/>
    <w:rsid w:val="29C55D98"/>
    <w:rsid w:val="29EB58A7"/>
    <w:rsid w:val="2A571F3F"/>
    <w:rsid w:val="2AC577A9"/>
    <w:rsid w:val="2C5D7524"/>
    <w:rsid w:val="2CD2079F"/>
    <w:rsid w:val="2DD32153"/>
    <w:rsid w:val="2E155912"/>
    <w:rsid w:val="2EC3154C"/>
    <w:rsid w:val="2ED72064"/>
    <w:rsid w:val="2EE00401"/>
    <w:rsid w:val="2F1F7501"/>
    <w:rsid w:val="2F2E6FE6"/>
    <w:rsid w:val="3023353E"/>
    <w:rsid w:val="3082672A"/>
    <w:rsid w:val="31994BEB"/>
    <w:rsid w:val="32B80771"/>
    <w:rsid w:val="32E12E2E"/>
    <w:rsid w:val="334A3E2B"/>
    <w:rsid w:val="33C47747"/>
    <w:rsid w:val="33F8195A"/>
    <w:rsid w:val="34F14D3E"/>
    <w:rsid w:val="350F2EC0"/>
    <w:rsid w:val="35120A45"/>
    <w:rsid w:val="3624290C"/>
    <w:rsid w:val="36B83D65"/>
    <w:rsid w:val="36D97FB8"/>
    <w:rsid w:val="36E52680"/>
    <w:rsid w:val="36F7029B"/>
    <w:rsid w:val="381F1BC2"/>
    <w:rsid w:val="3821593A"/>
    <w:rsid w:val="38325D99"/>
    <w:rsid w:val="388132F8"/>
    <w:rsid w:val="38CF7CD0"/>
    <w:rsid w:val="3915693E"/>
    <w:rsid w:val="3AD2116E"/>
    <w:rsid w:val="3B01702C"/>
    <w:rsid w:val="3B3607BC"/>
    <w:rsid w:val="3B451481"/>
    <w:rsid w:val="3D30757E"/>
    <w:rsid w:val="3D7821F7"/>
    <w:rsid w:val="3DB976BB"/>
    <w:rsid w:val="3E4E3F13"/>
    <w:rsid w:val="3E546A69"/>
    <w:rsid w:val="3EDE6424"/>
    <w:rsid w:val="3EE331EA"/>
    <w:rsid w:val="3F63025C"/>
    <w:rsid w:val="3FBA548C"/>
    <w:rsid w:val="4050500F"/>
    <w:rsid w:val="40624D42"/>
    <w:rsid w:val="408847A8"/>
    <w:rsid w:val="40EA7211"/>
    <w:rsid w:val="41751F7E"/>
    <w:rsid w:val="41F87699"/>
    <w:rsid w:val="42A45AE6"/>
    <w:rsid w:val="446D7F8E"/>
    <w:rsid w:val="44AA6695"/>
    <w:rsid w:val="44E46A59"/>
    <w:rsid w:val="453452CF"/>
    <w:rsid w:val="456A501C"/>
    <w:rsid w:val="45977D11"/>
    <w:rsid w:val="45C2782D"/>
    <w:rsid w:val="46722A87"/>
    <w:rsid w:val="46D750A3"/>
    <w:rsid w:val="47280CB1"/>
    <w:rsid w:val="475542D8"/>
    <w:rsid w:val="49641D12"/>
    <w:rsid w:val="4A8A55C1"/>
    <w:rsid w:val="4AB875D0"/>
    <w:rsid w:val="4AF23ED8"/>
    <w:rsid w:val="4B18128E"/>
    <w:rsid w:val="4B906C07"/>
    <w:rsid w:val="4C6B0D0F"/>
    <w:rsid w:val="4C8F6EBF"/>
    <w:rsid w:val="4CA93C18"/>
    <w:rsid w:val="4D0A14C5"/>
    <w:rsid w:val="4DAB357C"/>
    <w:rsid w:val="4E48490D"/>
    <w:rsid w:val="4E901FC8"/>
    <w:rsid w:val="4F18319B"/>
    <w:rsid w:val="4F79125F"/>
    <w:rsid w:val="4F9F566B"/>
    <w:rsid w:val="51325FDE"/>
    <w:rsid w:val="51B51175"/>
    <w:rsid w:val="531C6FD2"/>
    <w:rsid w:val="535725FD"/>
    <w:rsid w:val="539C0118"/>
    <w:rsid w:val="53C10670"/>
    <w:rsid w:val="54073838"/>
    <w:rsid w:val="5488491F"/>
    <w:rsid w:val="54A07C64"/>
    <w:rsid w:val="54B40F14"/>
    <w:rsid w:val="55424DB3"/>
    <w:rsid w:val="55A3499A"/>
    <w:rsid w:val="55DD5E69"/>
    <w:rsid w:val="55E27377"/>
    <w:rsid w:val="55F4430B"/>
    <w:rsid w:val="563A60ED"/>
    <w:rsid w:val="56AC353A"/>
    <w:rsid w:val="56AF4736"/>
    <w:rsid w:val="56FE4C08"/>
    <w:rsid w:val="575B1A16"/>
    <w:rsid w:val="577105EE"/>
    <w:rsid w:val="57D26453"/>
    <w:rsid w:val="58234BE6"/>
    <w:rsid w:val="58716B86"/>
    <w:rsid w:val="58DF50D6"/>
    <w:rsid w:val="5953321D"/>
    <w:rsid w:val="59594ADC"/>
    <w:rsid w:val="598F5329"/>
    <w:rsid w:val="59CE7E9D"/>
    <w:rsid w:val="5AD56EA7"/>
    <w:rsid w:val="5B4F7911"/>
    <w:rsid w:val="5B830F38"/>
    <w:rsid w:val="5B975D90"/>
    <w:rsid w:val="5BBE7491"/>
    <w:rsid w:val="5BD87477"/>
    <w:rsid w:val="5BF54786"/>
    <w:rsid w:val="5C5B6190"/>
    <w:rsid w:val="5F6C386D"/>
    <w:rsid w:val="5F88611B"/>
    <w:rsid w:val="5FE62A90"/>
    <w:rsid w:val="602638BE"/>
    <w:rsid w:val="60BE2241"/>
    <w:rsid w:val="60BE57C3"/>
    <w:rsid w:val="61120431"/>
    <w:rsid w:val="61187170"/>
    <w:rsid w:val="6239194F"/>
    <w:rsid w:val="626A1B08"/>
    <w:rsid w:val="62FA724B"/>
    <w:rsid w:val="63300558"/>
    <w:rsid w:val="6377272F"/>
    <w:rsid w:val="637E2960"/>
    <w:rsid w:val="64137F7D"/>
    <w:rsid w:val="64820F45"/>
    <w:rsid w:val="64D11BF8"/>
    <w:rsid w:val="654079E2"/>
    <w:rsid w:val="65B93CE9"/>
    <w:rsid w:val="65E41BD1"/>
    <w:rsid w:val="660F66C6"/>
    <w:rsid w:val="675659D6"/>
    <w:rsid w:val="6815658F"/>
    <w:rsid w:val="694A319A"/>
    <w:rsid w:val="6AA53424"/>
    <w:rsid w:val="6AA66697"/>
    <w:rsid w:val="6B920E53"/>
    <w:rsid w:val="6B9454B1"/>
    <w:rsid w:val="6C4038DA"/>
    <w:rsid w:val="6CB22A29"/>
    <w:rsid w:val="6CD94209"/>
    <w:rsid w:val="6CDF30F3"/>
    <w:rsid w:val="6D510507"/>
    <w:rsid w:val="6D7900BF"/>
    <w:rsid w:val="6DEF7D40"/>
    <w:rsid w:val="6E1753FD"/>
    <w:rsid w:val="6F1843FB"/>
    <w:rsid w:val="6F347672"/>
    <w:rsid w:val="6F3C2A7E"/>
    <w:rsid w:val="6F8F7052"/>
    <w:rsid w:val="70A47A19"/>
    <w:rsid w:val="70E018C6"/>
    <w:rsid w:val="715F25B5"/>
    <w:rsid w:val="729B0717"/>
    <w:rsid w:val="72C26E7A"/>
    <w:rsid w:val="72DA4A88"/>
    <w:rsid w:val="73FE075C"/>
    <w:rsid w:val="74147B26"/>
    <w:rsid w:val="74327C85"/>
    <w:rsid w:val="744C3764"/>
    <w:rsid w:val="746A7D64"/>
    <w:rsid w:val="748C68D3"/>
    <w:rsid w:val="75BB6558"/>
    <w:rsid w:val="76100D7A"/>
    <w:rsid w:val="761D1CA8"/>
    <w:rsid w:val="763F5DC7"/>
    <w:rsid w:val="765D5EE8"/>
    <w:rsid w:val="76AB04C5"/>
    <w:rsid w:val="76BC5A14"/>
    <w:rsid w:val="76CE77B9"/>
    <w:rsid w:val="78D007C2"/>
    <w:rsid w:val="791B0B15"/>
    <w:rsid w:val="7A196361"/>
    <w:rsid w:val="7A5E0446"/>
    <w:rsid w:val="7A717202"/>
    <w:rsid w:val="7ACA7E35"/>
    <w:rsid w:val="7B0E5640"/>
    <w:rsid w:val="7B1B24E2"/>
    <w:rsid w:val="7B595F40"/>
    <w:rsid w:val="7B79766B"/>
    <w:rsid w:val="7C376D58"/>
    <w:rsid w:val="7D3723C4"/>
    <w:rsid w:val="7DBC63CA"/>
    <w:rsid w:val="7DEA1F33"/>
    <w:rsid w:val="7E421B40"/>
    <w:rsid w:val="7E7346E8"/>
    <w:rsid w:val="7F0F3038"/>
    <w:rsid w:val="7F374865"/>
    <w:rsid w:val="7F59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7">
    <w:name w:val="annotation reference"/>
    <w:basedOn w:val="6"/>
    <w:qFormat/>
    <w:uiPriority w:val="0"/>
    <w:rPr>
      <w:sz w:val="21"/>
      <w:szCs w:val="21"/>
    </w:rPr>
  </w:style>
  <w:style w:type="character" w:customStyle="1" w:styleId="8">
    <w:name w:val="Body text|5_"/>
    <w:basedOn w:val="6"/>
    <w:link w:val="9"/>
    <w:qFormat/>
    <w:uiPriority w:val="0"/>
    <w:rPr>
      <w:rFonts w:ascii="宋体" w:hAnsi="宋体" w:eastAsia="宋体" w:cs="宋体"/>
      <w:sz w:val="54"/>
      <w:szCs w:val="54"/>
      <w:u w:val="none"/>
      <w:shd w:val="clear" w:color="auto" w:fill="auto"/>
      <w:lang w:val="zh-TW" w:eastAsia="zh-TW" w:bidi="zh-TW"/>
    </w:rPr>
  </w:style>
  <w:style w:type="paragraph" w:customStyle="1" w:styleId="9">
    <w:name w:val="Body text|5"/>
    <w:basedOn w:val="1"/>
    <w:link w:val="8"/>
    <w:qFormat/>
    <w:uiPriority w:val="0"/>
    <w:pPr>
      <w:jc w:val="center"/>
    </w:pPr>
    <w:rPr>
      <w:rFonts w:ascii="宋体" w:hAnsi="宋体" w:eastAsia="宋体" w:cs="宋体"/>
      <w:sz w:val="54"/>
      <w:szCs w:val="54"/>
      <w:lang w:val="zh-TW" w:eastAsia="zh-TW" w:bidi="zh-TW"/>
    </w:rPr>
  </w:style>
  <w:style w:type="character" w:customStyle="1" w:styleId="10">
    <w:name w:val="Heading #1|1_"/>
    <w:basedOn w:val="6"/>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1|1"/>
    <w:basedOn w:val="1"/>
    <w:link w:val="10"/>
    <w:qFormat/>
    <w:uiPriority w:val="0"/>
    <w:pPr>
      <w:spacing w:after="400"/>
      <w:jc w:val="center"/>
      <w:outlineLvl w:val="0"/>
    </w:pPr>
    <w:rPr>
      <w:rFonts w:ascii="宋体" w:hAnsi="宋体" w:eastAsia="宋体" w:cs="宋体"/>
      <w:sz w:val="44"/>
      <w:szCs w:val="44"/>
      <w:lang w:val="zh-TW" w:eastAsia="zh-TW" w:bidi="zh-TW"/>
    </w:rPr>
  </w:style>
  <w:style w:type="character" w:customStyle="1" w:styleId="12">
    <w:name w:val="Header or footer|2_"/>
    <w:basedOn w:val="6"/>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Body text|2_"/>
    <w:basedOn w:val="6"/>
    <w:link w:val="15"/>
    <w:qFormat/>
    <w:uiPriority w:val="0"/>
    <w:rPr>
      <w:rFonts w:ascii="宋体" w:hAnsi="宋体" w:eastAsia="宋体" w:cs="宋体"/>
      <w:sz w:val="32"/>
      <w:szCs w:val="32"/>
      <w:u w:val="none"/>
      <w:shd w:val="clear" w:color="auto" w:fill="auto"/>
      <w:lang w:val="zh-TW" w:eastAsia="zh-TW" w:bidi="zh-TW"/>
    </w:rPr>
  </w:style>
  <w:style w:type="paragraph" w:customStyle="1" w:styleId="15">
    <w:name w:val="Body text|2"/>
    <w:basedOn w:val="1"/>
    <w:link w:val="14"/>
    <w:qFormat/>
    <w:uiPriority w:val="0"/>
    <w:pPr>
      <w:spacing w:after="240"/>
      <w:ind w:firstLine="560"/>
    </w:pPr>
    <w:rPr>
      <w:rFonts w:ascii="宋体" w:hAnsi="宋体" w:eastAsia="宋体" w:cs="宋体"/>
      <w:sz w:val="32"/>
      <w:szCs w:val="32"/>
      <w:lang w:val="zh-TW" w:eastAsia="zh-TW" w:bidi="zh-TW"/>
    </w:rPr>
  </w:style>
  <w:style w:type="character" w:customStyle="1" w:styleId="16">
    <w:name w:val="Body text|1_"/>
    <w:basedOn w:val="6"/>
    <w:link w:val="17"/>
    <w:qFormat/>
    <w:uiPriority w:val="0"/>
    <w:rPr>
      <w:rFonts w:ascii="宋体" w:hAnsi="宋体" w:eastAsia="宋体" w:cs="宋体"/>
      <w:sz w:val="28"/>
      <w:szCs w:val="28"/>
      <w:u w:val="none"/>
      <w:shd w:val="clear" w:color="auto" w:fill="auto"/>
      <w:lang w:val="zh-TW" w:eastAsia="zh-TW" w:bidi="zh-TW"/>
    </w:rPr>
  </w:style>
  <w:style w:type="paragraph" w:customStyle="1" w:styleId="17">
    <w:name w:val="Body text|1"/>
    <w:basedOn w:val="1"/>
    <w:link w:val="16"/>
    <w:qFormat/>
    <w:uiPriority w:val="0"/>
    <w:pPr>
      <w:spacing w:line="468" w:lineRule="auto"/>
      <w:ind w:firstLine="400"/>
    </w:pPr>
    <w:rPr>
      <w:rFonts w:ascii="宋体" w:hAnsi="宋体" w:eastAsia="宋体" w:cs="宋体"/>
      <w:sz w:val="28"/>
      <w:szCs w:val="28"/>
      <w:lang w:val="zh-TW" w:eastAsia="zh-TW" w:bidi="zh-TW"/>
    </w:rPr>
  </w:style>
  <w:style w:type="character" w:customStyle="1" w:styleId="18">
    <w:name w:val="Header or footer|1_"/>
    <w:basedOn w:val="6"/>
    <w:link w:val="19"/>
    <w:qFormat/>
    <w:uiPriority w:val="0"/>
    <w:rPr>
      <w:b/>
      <w:bCs/>
      <w:sz w:val="17"/>
      <w:szCs w:val="17"/>
      <w:u w:val="none"/>
      <w:shd w:val="clear" w:color="auto" w:fill="auto"/>
      <w:lang w:val="zh-TW" w:eastAsia="zh-TW" w:bidi="zh-TW"/>
    </w:rPr>
  </w:style>
  <w:style w:type="paragraph" w:customStyle="1" w:styleId="19">
    <w:name w:val="Header or footer|1"/>
    <w:basedOn w:val="1"/>
    <w:link w:val="18"/>
    <w:qFormat/>
    <w:uiPriority w:val="0"/>
    <w:rPr>
      <w:b/>
      <w:bCs/>
      <w:sz w:val="17"/>
      <w:szCs w:val="17"/>
      <w:lang w:val="zh-TW" w:eastAsia="zh-TW" w:bidi="zh-TW"/>
    </w:rPr>
  </w:style>
  <w:style w:type="character" w:customStyle="1" w:styleId="20">
    <w:name w:val="Heading #2|1_"/>
    <w:basedOn w:val="6"/>
    <w:link w:val="21"/>
    <w:qFormat/>
    <w:uiPriority w:val="0"/>
    <w:rPr>
      <w:rFonts w:ascii="宋体" w:hAnsi="宋体" w:eastAsia="宋体" w:cs="宋体"/>
      <w:sz w:val="26"/>
      <w:szCs w:val="26"/>
      <w:u w:val="none"/>
      <w:shd w:val="clear" w:color="auto" w:fill="auto"/>
      <w:lang w:val="zh-TW" w:eastAsia="zh-TW" w:bidi="zh-TW"/>
    </w:rPr>
  </w:style>
  <w:style w:type="paragraph" w:customStyle="1" w:styleId="21">
    <w:name w:val="Heading #2|1"/>
    <w:basedOn w:val="1"/>
    <w:link w:val="20"/>
    <w:qFormat/>
    <w:uiPriority w:val="0"/>
    <w:pPr>
      <w:spacing w:after="230"/>
      <w:jc w:val="center"/>
      <w:outlineLvl w:val="1"/>
    </w:pPr>
    <w:rPr>
      <w:rFonts w:ascii="宋体" w:hAnsi="宋体" w:eastAsia="宋体" w:cs="宋体"/>
      <w:sz w:val="26"/>
      <w:szCs w:val="26"/>
      <w:lang w:val="zh-TW" w:eastAsia="zh-TW" w:bidi="zh-TW"/>
    </w:rPr>
  </w:style>
  <w:style w:type="character" w:customStyle="1" w:styleId="22">
    <w:name w:val="Other|1_"/>
    <w:basedOn w:val="6"/>
    <w:link w:val="23"/>
    <w:qFormat/>
    <w:uiPriority w:val="0"/>
    <w:rPr>
      <w:rFonts w:ascii="宋体" w:hAnsi="宋体" w:eastAsia="宋体" w:cs="宋体"/>
      <w:sz w:val="28"/>
      <w:szCs w:val="28"/>
      <w:u w:val="none"/>
      <w:shd w:val="clear" w:color="auto" w:fill="auto"/>
      <w:lang w:val="zh-TW" w:eastAsia="zh-TW" w:bidi="zh-TW"/>
    </w:rPr>
  </w:style>
  <w:style w:type="paragraph" w:customStyle="1" w:styleId="23">
    <w:name w:val="Other|1"/>
    <w:basedOn w:val="1"/>
    <w:link w:val="22"/>
    <w:qFormat/>
    <w:uiPriority w:val="0"/>
    <w:pPr>
      <w:spacing w:line="468" w:lineRule="auto"/>
      <w:ind w:firstLine="400"/>
    </w:pPr>
    <w:rPr>
      <w:rFonts w:ascii="宋体" w:hAnsi="宋体" w:eastAsia="宋体" w:cs="宋体"/>
      <w:sz w:val="28"/>
      <w:szCs w:val="28"/>
      <w:lang w:val="zh-TW" w:eastAsia="zh-TW" w:bidi="zh-TW"/>
    </w:rPr>
  </w:style>
  <w:style w:type="character" w:customStyle="1" w:styleId="24">
    <w:name w:val="Table caption|1_"/>
    <w:basedOn w:val="6"/>
    <w:link w:val="25"/>
    <w:qFormat/>
    <w:uiPriority w:val="0"/>
    <w:rPr>
      <w:rFonts w:ascii="宋体" w:hAnsi="宋体" w:eastAsia="宋体" w:cs="宋体"/>
      <w:sz w:val="17"/>
      <w:szCs w:val="17"/>
      <w:u w:val="none"/>
      <w:shd w:val="clear" w:color="auto" w:fill="auto"/>
      <w:lang w:val="zh-TW" w:eastAsia="zh-TW" w:bidi="zh-TW"/>
    </w:rPr>
  </w:style>
  <w:style w:type="paragraph" w:customStyle="1" w:styleId="25">
    <w:name w:val="Table caption|1"/>
    <w:basedOn w:val="1"/>
    <w:link w:val="24"/>
    <w:qFormat/>
    <w:uiPriority w:val="0"/>
    <w:rPr>
      <w:rFonts w:ascii="宋体" w:hAnsi="宋体" w:eastAsia="宋体" w:cs="宋体"/>
      <w:sz w:val="17"/>
      <w:szCs w:val="17"/>
      <w:lang w:val="zh-TW" w:eastAsia="zh-TW" w:bidi="zh-TW"/>
    </w:rPr>
  </w:style>
  <w:style w:type="character" w:customStyle="1" w:styleId="26">
    <w:name w:val="Body text|4_"/>
    <w:basedOn w:val="6"/>
    <w:link w:val="27"/>
    <w:qFormat/>
    <w:uiPriority w:val="0"/>
    <w:rPr>
      <w:rFonts w:ascii="宋体" w:hAnsi="宋体" w:eastAsia="宋体" w:cs="宋体"/>
      <w:sz w:val="17"/>
      <w:szCs w:val="17"/>
      <w:u w:val="none"/>
      <w:shd w:val="clear" w:color="auto" w:fill="auto"/>
      <w:lang w:val="zh-TW" w:eastAsia="zh-TW" w:bidi="zh-TW"/>
    </w:rPr>
  </w:style>
  <w:style w:type="paragraph" w:customStyle="1" w:styleId="27">
    <w:name w:val="Body text|4"/>
    <w:basedOn w:val="1"/>
    <w:link w:val="26"/>
    <w:qFormat/>
    <w:uiPriority w:val="0"/>
    <w:pPr>
      <w:ind w:firstLine="680"/>
    </w:pPr>
    <w:rPr>
      <w:rFonts w:ascii="宋体" w:hAnsi="宋体" w:eastAsia="宋体" w:cs="宋体"/>
      <w:sz w:val="17"/>
      <w:szCs w:val="17"/>
      <w:lang w:val="zh-TW" w:eastAsia="zh-TW" w:bidi="zh-TW"/>
    </w:rPr>
  </w:style>
  <w:style w:type="character" w:customStyle="1" w:styleId="28">
    <w:name w:val="Body text|3_"/>
    <w:basedOn w:val="6"/>
    <w:link w:val="29"/>
    <w:qFormat/>
    <w:uiPriority w:val="0"/>
    <w:rPr>
      <w:sz w:val="30"/>
      <w:szCs w:val="30"/>
      <w:u w:val="none"/>
      <w:shd w:val="clear" w:color="auto" w:fill="auto"/>
      <w:lang w:val="zh-TW" w:eastAsia="zh-TW" w:bidi="zh-TW"/>
    </w:rPr>
  </w:style>
  <w:style w:type="paragraph" w:customStyle="1" w:styleId="29">
    <w:name w:val="Body text|3"/>
    <w:basedOn w:val="1"/>
    <w:link w:val="28"/>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chart" Target="charts/chart6.xml"/><Relationship Id="rId41" Type="http://schemas.openxmlformats.org/officeDocument/2006/relationships/chart" Target="charts/chart5.xml"/><Relationship Id="rId40" Type="http://schemas.openxmlformats.org/officeDocument/2006/relationships/chart" Target="charts/chart4.xml"/><Relationship Id="rId4" Type="http://schemas.openxmlformats.org/officeDocument/2006/relationships/endnotes" Target="endnotes.xml"/><Relationship Id="rId39" Type="http://schemas.openxmlformats.org/officeDocument/2006/relationships/chart" Target="charts/chart3.xml"/><Relationship Id="rId38" Type="http://schemas.openxmlformats.org/officeDocument/2006/relationships/chart" Target="charts/chart2.xml"/><Relationship Id="rId37" Type="http://schemas.openxmlformats.org/officeDocument/2006/relationships/chart" Target="charts/chart1.xml"/><Relationship Id="rId36" Type="http://schemas.openxmlformats.org/officeDocument/2006/relationships/theme" Target="theme/theme1.xml"/><Relationship Id="rId35" Type="http://schemas.openxmlformats.org/officeDocument/2006/relationships/footer" Target="footer16.xml"/><Relationship Id="rId34" Type="http://schemas.openxmlformats.org/officeDocument/2006/relationships/header" Target="header15.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footer" Target="footer14.xml"/><Relationship Id="rId30" Type="http://schemas.openxmlformats.org/officeDocument/2006/relationships/header" Target="header13.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header" Target="header11.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footer" Target="foot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formatCode>General</c:formatCode>
                <c:ptCount val="1"/>
                <c:pt idx="0">
                  <c:v>7912.46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Pt>
            <c:idx val="4"/>
            <c:bubble3D val="0"/>
          </c:dPt>
          <c:dPt>
            <c:idx val="5"/>
            <c:bubble3D val="0"/>
          </c:dPt>
          <c:dLbls>
            <c:delete val="1"/>
          </c:dLbls>
          <c:cat>
            <c:strRef>
              <c:f>Sheet1!$A$2:$A$7</c:f>
              <c:strCache>
                <c:ptCount val="6"/>
                <c:pt idx="0">
                  <c:v>一般公共服务支出</c:v>
                </c:pt>
                <c:pt idx="1">
                  <c:v>社会保障和就业支出</c:v>
                </c:pt>
                <c:pt idx="2">
                  <c:v>节能环保支出</c:v>
                </c:pt>
                <c:pt idx="3">
                  <c:v>城乡社区支出</c:v>
                </c:pt>
                <c:pt idx="4">
                  <c:v>农林水支出</c:v>
                </c:pt>
                <c:pt idx="5">
                  <c:v>住房保障支出</c:v>
                </c:pt>
              </c:strCache>
            </c:strRef>
          </c:cat>
          <c:val>
            <c:numRef>
              <c:f>Sheet1!$B$2:$B$7</c:f>
              <c:numCache>
                <c:formatCode>General</c:formatCode>
                <c:ptCount val="6"/>
                <c:pt idx="0">
                  <c:v>17.72</c:v>
                </c:pt>
                <c:pt idx="1">
                  <c:v>206.63</c:v>
                </c:pt>
                <c:pt idx="2">
                  <c:v>995.4</c:v>
                </c:pt>
                <c:pt idx="3">
                  <c:v>25.23</c:v>
                </c:pt>
                <c:pt idx="4">
                  <c:v>6489.59</c:v>
                </c:pt>
                <c:pt idx="5">
                  <c:v>177.89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1927.64</c:v>
                </c:pt>
                <c:pt idx="1">
                  <c:v>1927.64</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2026.13</c:v>
                </c:pt>
                <c:pt idx="1">
                  <c:v>2026.13</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1897.55</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当年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当年</c:v>
                </c:pt>
              </c:strCache>
            </c:strRef>
          </c:cat>
          <c:val>
            <c:numRef>
              <c:f>Sheet1!$D$2</c:f>
              <c:numCache>
                <c:formatCode>General</c:formatCode>
                <c:ptCount val="1"/>
                <c:pt idx="0">
                  <c:v>6014.91</c:v>
                </c:pt>
              </c:numCache>
            </c:numRef>
          </c:val>
        </c:ser>
        <c:ser>
          <c:idx val="3"/>
          <c:order val="3"/>
          <c:tx>
            <c:strRef>
              <c:f>Sheet1!$E$1</c:f>
              <c:strCache>
                <c:ptCount val="1"/>
                <c:pt idx="0">
                  <c:v>公用经费</c:v>
                </c:pt>
              </c:strCache>
            </c:strRef>
          </c:tx>
          <c:invertIfNegative val="0"/>
          <c:dLbls>
            <c:delete val="1"/>
          </c:dLbls>
          <c:cat>
            <c:strRef>
              <c:f>Sheet1!$A$2</c:f>
              <c:strCache>
                <c:ptCount val="1"/>
                <c:pt idx="0">
                  <c:v>当年</c:v>
                </c:pt>
              </c:strCache>
            </c:strRef>
          </c:cat>
          <c:val>
            <c:numRef>
              <c:f>Sheet1!$E$2</c:f>
              <c:numCache>
                <c:formatCode>General</c:formatCode>
                <c:ptCount val="1"/>
                <c:pt idx="0">
                  <c:v>100.69</c:v>
                </c:pt>
              </c:numCache>
            </c:numRef>
          </c:val>
        </c:ser>
        <c:ser>
          <c:idx val="4"/>
          <c:order val="4"/>
          <c:tx>
            <c:strRef>
              <c:f>Sheet1!$F$1</c:f>
              <c:strCache>
                <c:ptCount val="1"/>
                <c:pt idx="0">
                  <c:v>人员经费</c:v>
                </c:pt>
              </c:strCache>
            </c:strRef>
          </c:tx>
          <c:invertIfNegative val="0"/>
          <c:dLbls>
            <c:delete val="1"/>
          </c:dLbls>
          <c:cat>
            <c:strRef>
              <c:f>Sheet1!$A$2</c:f>
              <c:strCache>
                <c:ptCount val="1"/>
                <c:pt idx="0">
                  <c:v>当年</c:v>
                </c:pt>
              </c:strCache>
            </c:strRef>
          </c:cat>
          <c:val>
            <c:numRef>
              <c:f>Sheet1!$F$2</c:f>
              <c:numCache>
                <c:formatCode>General</c:formatCode>
                <c:ptCount val="1"/>
                <c:pt idx="0">
                  <c:v>1796.86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0"/>
        <c:axPos val="l"/>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Lbls>
            <c:delete val="1"/>
          </c:dLbls>
          <c:cat>
            <c:strRef>
              <c:f>Sheet1!$A$2:$A$3</c:f>
              <c:strCache>
                <c:ptCount val="2"/>
                <c:pt idx="0">
                  <c:v>人员经费</c:v>
                </c:pt>
                <c:pt idx="1">
                  <c:v>公用经费</c:v>
                </c:pt>
              </c:strCache>
            </c:strRef>
          </c:cat>
          <c:val>
            <c:numRef>
              <c:f>Sheet1!$B$2:$B$3</c:f>
              <c:numCache>
                <c:formatCode>General</c:formatCode>
                <c:ptCount val="2"/>
                <c:pt idx="0">
                  <c:v>1796.86</c:v>
                </c:pt>
                <c:pt idx="1">
                  <c:v>100.69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0</c:v>
                </c:pt>
                <c:pt idx="2">
                  <c:v>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7</TotalTime>
  <ScaleCrop>false</ScaleCrop>
  <LinksUpToDate>false</LinksUpToDate>
  <CharactersWithSpaces>11333</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wlf</cp:lastModifiedBy>
  <cp:lastPrinted>2024-02-29T09:24:21Z</cp:lastPrinted>
  <dcterms:modified xsi:type="dcterms:W3CDTF">2024-02-29T09:25:00Z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EC5A4C9BEDB041A6B750AC3ACB59CFB7_13</vt:lpwstr>
  </property>
</Properties>
</file>