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hint="eastAsia"/>
          <w:lang w:eastAsia="zh-CN"/>
        </w:rPr>
      </w:pPr>
      <w:bookmarkStart w:id="43" w:name="_GoBack"/>
      <w:bookmarkEnd w:id="43"/>
      <w:r>
        <w:rPr>
          <w:rFonts w:hint="eastAsia"/>
          <w:lang w:eastAsia="zh-CN"/>
        </w:rPr>
        <w:t>环江毛南族自治县农业农村局</w:t>
      </w:r>
    </w:p>
    <w:p>
      <w:pPr>
        <w:pStyle w:val="10"/>
        <w:jc w:val="center"/>
        <w:sectPr>
          <w:pgSz w:w="11900" w:h="16840"/>
          <w:pgMar w:top="4713" w:right="1913" w:bottom="4713" w:left="2020" w:header="4285" w:footer="4285" w:gutter="0"/>
          <w:pgBorders>
            <w:top w:val="none" w:sz="0" w:space="0"/>
            <w:left w:val="none" w:sz="0" w:space="0"/>
            <w:bottom w:val="none" w:sz="0" w:space="0"/>
            <w:right w:val="none" w:sz="0" w:space="0"/>
          </w:pgBorders>
          <w:pgNumType w:start="1"/>
          <w:cols w:space="720" w:num="1"/>
          <w:docGrid w:linePitch="360" w:charSpace="0"/>
        </w:sectPr>
      </w:pPr>
      <w:r>
        <w:rPr>
          <w:rFonts w:hint="eastAsia"/>
          <w:lang w:eastAsia="zh-CN"/>
        </w:rPr>
        <w:t>2024</w:t>
      </w:r>
      <w:r>
        <w:rPr>
          <w:rFonts w:ascii="Times New Roman" w:hAnsi="Times New Roman" w:eastAsia="Times New Roman" w:cs="Times New Roman"/>
          <w:sz w:val="56"/>
          <w:u w:color="auto"/>
        </w:rPr>
        <w:t>年</w:t>
      </w:r>
      <w:r>
        <w:t>度部门预算</w:t>
      </w:r>
    </w:p>
    <w:p>
      <w:pPr>
        <w:pStyle w:val="12"/>
        <w:keepNext/>
        <w:keepLines/>
        <w:spacing w:after="240"/>
        <w:jc w:val="center"/>
      </w:pPr>
      <w:bookmarkStart w:id="0" w:name="bookmark1"/>
      <w:bookmarkStart w:id="1" w:name="bookmark0"/>
      <w:bookmarkStart w:id="2" w:name="bookmark2"/>
      <w:r>
        <w:t>目录</w:t>
      </w:r>
      <w:bookmarkEnd w:id="0"/>
      <w:bookmarkEnd w:id="1"/>
      <w:bookmarkEnd w:id="2"/>
    </w:p>
    <w:p>
      <w:pPr>
        <w:pStyle w:val="16"/>
        <w:ind w:left="0" w:leftChars="0" w:firstLine="320" w:firstLineChars="100"/>
        <w:jc w:val="left"/>
      </w:pPr>
      <w:r>
        <w:t>第一部分</w:t>
      </w:r>
      <w:r>
        <w:rPr>
          <w:rFonts w:hint="eastAsia"/>
          <w:lang w:eastAsia="zh-CN"/>
        </w:rPr>
        <w:t>：</w:t>
      </w:r>
      <w:r>
        <w:rPr>
          <w:u w:color="auto"/>
        </w:rPr>
        <w:t>环江毛南族自治县农业农村局单位</w:t>
      </w:r>
      <w:r>
        <w:t>概况</w:t>
      </w:r>
    </w:p>
    <w:p>
      <w:pPr>
        <w:pStyle w:val="16"/>
        <w:jc w:val="left"/>
      </w:pPr>
      <w:r>
        <w:rPr>
          <w:lang w:val="en-US" w:eastAsia="zh-CN" w:bidi="en-US"/>
        </w:rPr>
        <w:t>—</w:t>
      </w:r>
      <w:r>
        <w:t>、主要职责</w:t>
      </w:r>
    </w:p>
    <w:p>
      <w:pPr>
        <w:pStyle w:val="16"/>
        <w:jc w:val="left"/>
        <w:rPr>
          <w:rFonts w:hint="eastAsia"/>
        </w:rPr>
      </w:pPr>
      <w:r>
        <w:rPr>
          <w:rFonts w:hint="eastAsia"/>
          <w:lang w:val="en-US" w:eastAsia="zh-CN"/>
        </w:rPr>
        <w:t>二、</w:t>
      </w:r>
      <w:r>
        <w:rPr>
          <w:rFonts w:hint="eastAsia"/>
        </w:rPr>
        <w:t>机构设置情况</w:t>
      </w:r>
    </w:p>
    <w:p>
      <w:pPr>
        <w:pStyle w:val="16"/>
        <w:ind w:left="0" w:leftChars="0" w:firstLine="320" w:firstLineChars="100"/>
        <w:jc w:val="left"/>
      </w:pPr>
      <w:r>
        <w:t>第二部分</w:t>
      </w:r>
      <w:r>
        <w:rPr>
          <w:rFonts w:hint="eastAsia"/>
          <w:lang w:eastAsia="zh-CN"/>
        </w:rPr>
        <w:t>：</w:t>
      </w:r>
      <w:r>
        <w:rPr>
          <w:u w:color="auto"/>
        </w:rPr>
        <w:t>环江毛南族自治县农业农村局2024</w:t>
      </w:r>
      <w:r>
        <w:t>部门预算情况说明</w:t>
      </w:r>
    </w:p>
    <w:p>
      <w:pPr>
        <w:pStyle w:val="16"/>
        <w:numPr>
          <w:ilvl w:val="0"/>
          <w:numId w:val="0"/>
        </w:numPr>
        <w:ind w:firstLine="640" w:firstLineChars="200"/>
        <w:jc w:val="left"/>
        <w:rPr>
          <w:rFonts w:hint="eastAsia"/>
        </w:rPr>
      </w:pPr>
      <w:r>
        <w:rPr>
          <w:rFonts w:hint="eastAsia"/>
        </w:rPr>
        <w:t>一、部门收支总体情况说明</w:t>
      </w:r>
    </w:p>
    <w:p>
      <w:pPr>
        <w:pStyle w:val="16"/>
        <w:numPr>
          <w:ilvl w:val="0"/>
          <w:numId w:val="0"/>
        </w:numPr>
        <w:ind w:firstLine="640" w:firstLineChars="200"/>
        <w:jc w:val="left"/>
        <w:rPr>
          <w:rFonts w:hint="eastAsia"/>
        </w:rPr>
      </w:pPr>
      <w:r>
        <w:rPr>
          <w:rFonts w:hint="eastAsia"/>
        </w:rPr>
        <w:t>二、部门收入总体情况说明</w:t>
      </w:r>
    </w:p>
    <w:p>
      <w:pPr>
        <w:pStyle w:val="16"/>
        <w:numPr>
          <w:ilvl w:val="0"/>
          <w:numId w:val="0"/>
        </w:numPr>
        <w:ind w:firstLine="640" w:firstLineChars="200"/>
        <w:jc w:val="left"/>
        <w:rPr>
          <w:rFonts w:hint="eastAsia"/>
        </w:rPr>
      </w:pPr>
      <w:r>
        <w:rPr>
          <w:rFonts w:hint="eastAsia"/>
        </w:rPr>
        <w:t>三、部门支出总体情况说明</w:t>
      </w:r>
    </w:p>
    <w:p>
      <w:pPr>
        <w:pStyle w:val="16"/>
        <w:numPr>
          <w:ilvl w:val="0"/>
          <w:numId w:val="0"/>
        </w:numPr>
        <w:ind w:firstLine="640" w:firstLineChars="200"/>
        <w:jc w:val="left"/>
        <w:rPr>
          <w:rFonts w:hint="eastAsia"/>
        </w:rPr>
      </w:pPr>
      <w:r>
        <w:rPr>
          <w:rFonts w:hint="eastAsia"/>
        </w:rPr>
        <w:t>四、财政拨款收支总体情况说明</w:t>
      </w:r>
    </w:p>
    <w:p>
      <w:pPr>
        <w:pStyle w:val="16"/>
        <w:numPr>
          <w:ilvl w:val="0"/>
          <w:numId w:val="0"/>
        </w:numPr>
        <w:ind w:firstLine="640" w:firstLineChars="200"/>
        <w:jc w:val="left"/>
        <w:rPr>
          <w:rFonts w:hint="eastAsia"/>
        </w:rPr>
      </w:pPr>
      <w:r>
        <w:rPr>
          <w:rFonts w:hint="eastAsia"/>
        </w:rPr>
        <w:t>五、一般公共预算支出情况说明</w:t>
      </w:r>
    </w:p>
    <w:p>
      <w:pPr>
        <w:pStyle w:val="16"/>
        <w:numPr>
          <w:ilvl w:val="0"/>
          <w:numId w:val="0"/>
        </w:numPr>
        <w:ind w:firstLine="640" w:firstLineChars="200"/>
        <w:jc w:val="left"/>
        <w:rPr>
          <w:rFonts w:hint="eastAsia"/>
        </w:rPr>
      </w:pPr>
      <w:r>
        <w:rPr>
          <w:rFonts w:hint="eastAsia"/>
        </w:rPr>
        <w:t>六、一般公共预算基本支出情况说明</w:t>
      </w:r>
    </w:p>
    <w:p>
      <w:pPr>
        <w:pStyle w:val="16"/>
        <w:numPr>
          <w:ilvl w:val="0"/>
          <w:numId w:val="0"/>
        </w:numPr>
        <w:ind w:firstLine="640" w:firstLineChars="200"/>
        <w:jc w:val="left"/>
        <w:rPr>
          <w:rFonts w:hint="eastAsia"/>
        </w:rPr>
      </w:pPr>
      <w:r>
        <w:rPr>
          <w:rFonts w:hint="eastAsia"/>
        </w:rPr>
        <w:t>七、一般公共预算“三公”经费支出情况说明</w:t>
      </w:r>
    </w:p>
    <w:p>
      <w:pPr>
        <w:pStyle w:val="16"/>
        <w:numPr>
          <w:ilvl w:val="0"/>
          <w:numId w:val="0"/>
        </w:numPr>
        <w:ind w:firstLine="640" w:firstLineChars="200"/>
        <w:jc w:val="left"/>
        <w:rPr>
          <w:rFonts w:hint="eastAsia"/>
        </w:rPr>
      </w:pPr>
      <w:r>
        <w:rPr>
          <w:rFonts w:hint="eastAsia"/>
        </w:rPr>
        <w:t>八、政府性基金预算支出情况说明</w:t>
      </w:r>
    </w:p>
    <w:p>
      <w:pPr>
        <w:pStyle w:val="16"/>
        <w:numPr>
          <w:ilvl w:val="0"/>
          <w:numId w:val="0"/>
        </w:numPr>
        <w:ind w:firstLine="640" w:firstLineChars="200"/>
        <w:jc w:val="left"/>
        <w:rPr>
          <w:rFonts w:hint="eastAsia"/>
        </w:rPr>
      </w:pPr>
      <w:r>
        <w:rPr>
          <w:rFonts w:hint="eastAsia"/>
        </w:rPr>
        <w:t>九、国有资本经营预算支出情况说明</w:t>
      </w:r>
    </w:p>
    <w:p>
      <w:pPr>
        <w:pStyle w:val="16"/>
        <w:numPr>
          <w:ilvl w:val="0"/>
          <w:numId w:val="0"/>
        </w:numPr>
        <w:ind w:firstLine="640" w:firstLineChars="200"/>
        <w:jc w:val="left"/>
      </w:pPr>
      <w:r>
        <w:rPr>
          <w:rFonts w:hint="eastAsia"/>
        </w:rPr>
        <w:t>十、其他重要事项情况说明</w:t>
      </w:r>
    </w:p>
    <w:p>
      <w:pPr>
        <w:pStyle w:val="16"/>
        <w:ind w:left="0" w:leftChars="0" w:firstLine="320" w:firstLineChars="100"/>
        <w:jc w:val="left"/>
      </w:pPr>
      <w:r>
        <w:t>第三部分</w:t>
      </w:r>
      <w:r>
        <w:rPr>
          <w:rFonts w:hint="eastAsia"/>
          <w:lang w:eastAsia="zh-CN"/>
        </w:rPr>
        <w:t>：</w:t>
      </w:r>
      <w:r>
        <w:rPr>
          <w:u w:color="auto"/>
        </w:rPr>
        <w:t>环江毛南族自治县农业农村局2024</w:t>
      </w:r>
      <w:r>
        <w:rPr>
          <w:rFonts w:ascii="Times New Roman" w:hAnsi="Times New Roman" w:cs="Times New Roman"/>
          <w:u w:color="auto"/>
        </w:rPr>
        <w:t>年</w:t>
      </w:r>
      <w:r>
        <w:t>部门预算</w:t>
      </w:r>
      <w:r>
        <w:rPr>
          <w:rFonts w:hint="eastAsia"/>
          <w:lang w:val="en-US" w:eastAsia="zh-CN"/>
        </w:rPr>
        <w:t>相关报</w:t>
      </w:r>
      <w:r>
        <w:t>表</w:t>
      </w:r>
    </w:p>
    <w:p>
      <w:pPr>
        <w:pStyle w:val="16"/>
        <w:jc w:val="left"/>
        <w:rPr>
          <w:rFonts w:hint="eastAsia"/>
        </w:rPr>
      </w:pPr>
      <w:r>
        <w:rPr>
          <w:rFonts w:hint="eastAsia"/>
        </w:rPr>
        <w:t>一、部门收支总体情况表</w:t>
      </w:r>
    </w:p>
    <w:p>
      <w:pPr>
        <w:pStyle w:val="16"/>
        <w:jc w:val="left"/>
        <w:rPr>
          <w:rFonts w:hint="eastAsia"/>
        </w:rPr>
      </w:pPr>
      <w:r>
        <w:rPr>
          <w:rFonts w:hint="eastAsia"/>
        </w:rPr>
        <w:t>二、部门收入总体情况表</w:t>
      </w:r>
    </w:p>
    <w:p>
      <w:pPr>
        <w:pStyle w:val="16"/>
        <w:jc w:val="left"/>
        <w:rPr>
          <w:rFonts w:hint="eastAsia"/>
        </w:rPr>
      </w:pPr>
      <w:r>
        <w:rPr>
          <w:rFonts w:hint="eastAsia"/>
        </w:rPr>
        <w:t>三、部门支出总体情况表</w:t>
      </w:r>
    </w:p>
    <w:p>
      <w:pPr>
        <w:pStyle w:val="16"/>
        <w:jc w:val="left"/>
        <w:rPr>
          <w:rFonts w:hint="eastAsia"/>
        </w:rPr>
      </w:pPr>
      <w:r>
        <w:rPr>
          <w:rFonts w:hint="eastAsia"/>
        </w:rPr>
        <w:t>四、财政拨款收支总体情况表</w:t>
      </w:r>
    </w:p>
    <w:p>
      <w:pPr>
        <w:pStyle w:val="16"/>
        <w:jc w:val="left"/>
        <w:rPr>
          <w:rFonts w:hint="eastAsia"/>
        </w:rPr>
      </w:pPr>
      <w:r>
        <w:rPr>
          <w:rFonts w:hint="eastAsia"/>
        </w:rPr>
        <w:t>五、一般公共预算支出情况表</w:t>
      </w:r>
    </w:p>
    <w:p>
      <w:pPr>
        <w:pStyle w:val="16"/>
        <w:jc w:val="left"/>
        <w:rPr>
          <w:rFonts w:hint="eastAsia"/>
        </w:rPr>
      </w:pPr>
      <w:r>
        <w:rPr>
          <w:rFonts w:hint="eastAsia"/>
        </w:rPr>
        <w:t>六、一般公共预算基本支出情况表</w:t>
      </w:r>
    </w:p>
    <w:p>
      <w:pPr>
        <w:pStyle w:val="16"/>
        <w:jc w:val="left"/>
        <w:rPr>
          <w:rFonts w:hint="eastAsia"/>
        </w:rPr>
      </w:pPr>
      <w:r>
        <w:rPr>
          <w:rFonts w:hint="eastAsia"/>
        </w:rPr>
        <w:t>七、一般公开预算“三公”经费支出情况表</w:t>
      </w:r>
    </w:p>
    <w:p>
      <w:pPr>
        <w:pStyle w:val="16"/>
        <w:jc w:val="left"/>
        <w:rPr>
          <w:rFonts w:hint="eastAsia"/>
        </w:rPr>
      </w:pPr>
      <w:r>
        <w:rPr>
          <w:rFonts w:hint="eastAsia"/>
        </w:rPr>
        <w:t>八、政府性基金预算支出情况表</w:t>
      </w:r>
    </w:p>
    <w:p>
      <w:pPr>
        <w:pStyle w:val="16"/>
        <w:jc w:val="left"/>
        <w:rPr>
          <w:rFonts w:hint="eastAsia"/>
        </w:rPr>
      </w:pPr>
      <w:r>
        <w:rPr>
          <w:rFonts w:hint="eastAsia"/>
        </w:rPr>
        <w:t>九、国有资本经营预算支出情况表</w:t>
      </w:r>
    </w:p>
    <w:p>
      <w:pPr>
        <w:pStyle w:val="16"/>
        <w:jc w:val="left"/>
        <w:rPr>
          <w:rFonts w:hint="eastAsia" w:eastAsia="宋体"/>
          <w:lang w:eastAsia="zh-CN"/>
        </w:rPr>
      </w:pPr>
      <w:r>
        <w:rPr>
          <w:rFonts w:hint="eastAsia"/>
        </w:rPr>
        <w:t>十、2024年度预算项目绩效目标公开表</w:t>
      </w:r>
    </w:p>
    <w:p>
      <w:pPr>
        <w:pStyle w:val="16"/>
        <w:ind w:left="0" w:leftChars="0" w:firstLine="320" w:firstLineChars="100"/>
        <w:jc w:val="left"/>
        <w:rPr>
          <w:rFonts w:hint="eastAsia" w:eastAsia="宋体"/>
          <w:lang w:eastAsia="zh-CN"/>
        </w:rPr>
        <w:sectPr>
          <w:footerReference r:id="rId3" w:type="default"/>
          <w:pgSz w:w="11900" w:h="16840"/>
          <w:pgMar w:top="1508" w:right="1674" w:bottom="1508" w:left="1851" w:header="1080" w:footer="3" w:gutter="0"/>
          <w:pgBorders>
            <w:top w:val="none" w:sz="0" w:space="0"/>
            <w:left w:val="none" w:sz="0" w:space="0"/>
            <w:bottom w:val="none" w:sz="0" w:space="0"/>
            <w:right w:val="none" w:sz="0" w:space="0"/>
          </w:pgBorders>
          <w:cols w:space="720" w:num="1"/>
          <w:docGrid w:linePitch="360" w:charSpace="0"/>
        </w:sectPr>
      </w:pPr>
      <w:r>
        <w:t>第四部分</w:t>
      </w:r>
      <w:r>
        <w:rPr>
          <w:rFonts w:hint="eastAsia"/>
          <w:lang w:eastAsia="zh-CN"/>
        </w:rPr>
        <w:t>：</w:t>
      </w:r>
      <w:r>
        <w:t>名词</w:t>
      </w:r>
      <w:r>
        <w:rPr>
          <w:rFonts w:hint="eastAsia"/>
          <w:lang w:val="en-US" w:eastAsia="zh-CN"/>
        </w:rPr>
        <w:t>解释</w:t>
      </w:r>
    </w:p>
    <w:p>
      <w:pPr>
        <w:pStyle w:val="12"/>
        <w:keepNext/>
        <w:keepLines/>
        <w:spacing w:after="560"/>
        <w:jc w:val="both"/>
      </w:pPr>
      <w:bookmarkStart w:id="3" w:name="bookmark14"/>
      <w:bookmarkStart w:id="4" w:name="bookmark13"/>
      <w:bookmarkStart w:id="5" w:name="bookmark12"/>
    </w:p>
    <w:p>
      <w:pPr>
        <w:pStyle w:val="12"/>
        <w:keepNext/>
        <w:keepLines/>
        <w:spacing w:after="560"/>
        <w:jc w:val="center"/>
        <w:rPr>
          <w:b/>
          <w:bCs/>
          <w:sz w:val="40"/>
          <w:szCs w:val="40"/>
        </w:rPr>
      </w:pPr>
      <w:r>
        <w:rPr>
          <w:b/>
          <w:bCs/>
          <w:sz w:val="40"/>
          <w:szCs w:val="40"/>
        </w:rPr>
        <w:t>第一部分</w:t>
      </w:r>
      <w:r>
        <w:rPr>
          <w:rFonts w:hint="eastAsia"/>
          <w:b/>
          <w:bCs/>
          <w:sz w:val="40"/>
          <w:szCs w:val="40"/>
          <w:lang w:eastAsia="zh-CN"/>
        </w:rPr>
        <w:t>：</w:t>
      </w:r>
      <w:r>
        <w:rPr>
          <w:b/>
          <w:sz w:val="40"/>
          <w:u w:color="auto"/>
        </w:rPr>
        <w:t>环江毛南族自治县农业农村局</w:t>
      </w:r>
      <w:r>
        <w:rPr>
          <w:b/>
          <w:bCs/>
          <w:sz w:val="40"/>
          <w:szCs w:val="40"/>
        </w:rPr>
        <w:t>概况</w:t>
      </w:r>
      <w:bookmarkEnd w:id="3"/>
      <w:bookmarkEnd w:id="4"/>
      <w:bookmarkEnd w:id="5"/>
    </w:p>
    <w:p>
      <w:pPr>
        <w:pStyle w:val="16"/>
        <w:spacing w:after="0" w:line="619" w:lineRule="exact"/>
        <w:ind w:firstLine="620"/>
        <w:jc w:val="left"/>
        <w:rPr>
          <w:b/>
          <w:bCs/>
        </w:rPr>
      </w:pPr>
      <w:r>
        <w:rPr>
          <w:rFonts w:hint="eastAsia"/>
          <w:b/>
          <w:bCs/>
          <w:lang w:val="en-US" w:eastAsia="zh-CN"/>
        </w:rPr>
        <w:t>一、</w:t>
      </w:r>
      <w:r>
        <w:rPr>
          <w:b/>
          <w:bCs/>
        </w:rPr>
        <w:t>主要职责</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环江毛南族自治县农业农村局的主要职能是：1.研究并组织实施全县“三农”工作的发展战略、中长期规划、重大政策、重大举措。组织开展全县农业农村改革发展重大问题的调查研究。2.负责提出全县“三农”发展的工作意见。参与农业行政执法体系建设，组织开展全县农业综合执法。参与涉农的财税中、价格、收储、金融保险、进出口等政策制定。3.统筹推动发展全县农村社会事业、农村公共服务、农村文化、农村基础设施和乡村治理。协调推进改善农村人居环境。指导农村精神文明和优秀农耕文化建设。指导农业行业安全生产工作。4.承担全县深化农村经济体制改革和巩固完善农村基本经营制度的职责并组织实施。负责农民承包地、农村宅基地改革和管理有关工作。牵头负责农村集体产权制度改革，指导农村集体经济组织发展和集体资产管理工作。指导农民合格经济组织农业社会化服务体系、新型农业经营主体建设与发展。指导农村有关改革试验区建设和美丽乡村建设。5.指导全县乡村特色产业、农产品加工业、休闲农业发展工作。提出促进大宗农产品流通的建议，培育、保护农业品牌。发布农业农村经济信息，监测分析农业农村经营运行。承担农业大数据和农业农村信息化有关工作。归口管理农业农村相关对外宣传及信息发布工作。6.负责全县种植业、畜牧业、渔业、农业机械化等农业各产业的监督管理。指导全县农产品生产。组织构建现代化农业产业体系、生产体系、经营体系，指导农业标准化生产。监督管理全县渔业和渔政渔港。7.监督管理全县农产品质量安全。组织开展农产品质量安全监测、追溯、风险评估，会同有关部门组织实施农产品质量安全国家标准及广西特色农产品安全标准。指导全县农业检验检测体系建设。8.组织全县农业资源综合区划与开发利用。承担农用地、渔业水域以及农业生物物种资源的保护与管理，参与水生野生动植物保护、耕地及永久基本农田质量保护工作。指导全县农产品产地环境管理和农业清洁生产，组织实施设施农业、生态循环农业、节水农业发展以及农村可再生能源综合开发利用、农业生特质产业发展。牵头管理农业外来物种。9.监督管理全县主要农业生产资料和农业投入品。指导农业生产资料市场体系建设。组织兽医医政、兽药药政药检工作，负责执业兽医和畜禽屠宰行业管理。10.指导全县农业防灾减灾、农作物重大病虫害防治工作。指导动植物防疫体系建设，组织、监督县内动植物防疫检疫，发布疫情并组织扑灭。11.负责全县农业投资管理。提出农业投融资体制机制改革建设。组织编制全县农业投资建设规划，提出农业投资规模和方向、扶持农业农村发展财政项目的建议，承担中央、自治区和河池市农业投资建设项目，按规定权限审批农业投资项目，参与农业投资项目资金安排和监督管理。12.推动全县农业科技体改革和农业科技创新体系建设。指导农业产业技术体系和基层农技推广体系建设，组织开展农业领域的科学研究、成果转化和技术推广，参与农业转基因生产安全监督管理和农业植物新品种保护。13.指导全县农业农村人才工作。拟定农业农村人才队伍建设规划并组织实施，指导农业教育和农业职业技能开发，指导新型职业农民培育、农业科技人才培养和农村实用人才培训工作。14.组织开展农村对外交流合作。提出全县农业对外开放的意见。组织开展有关经济、技术门交流与合作。15.完成自治县党委、自治县人民政府交办的其他任务。</w:t>
      </w:r>
    </w:p>
    <w:p>
      <w:pPr>
        <w:pStyle w:val="16"/>
        <w:tabs>
          <w:tab w:val="left" w:pos="1369"/>
        </w:tabs>
        <w:spacing w:after="0" w:line="623" w:lineRule="exact"/>
        <w:ind w:firstLine="620"/>
        <w:jc w:val="left"/>
        <w:rPr>
          <w:b/>
          <w:bCs/>
        </w:rPr>
      </w:pPr>
      <w:bookmarkStart w:id="6" w:name="bookmark24"/>
      <w:r>
        <w:rPr>
          <w:b/>
          <w:bCs/>
        </w:rPr>
        <w:t>二</w:t>
      </w:r>
      <w:bookmarkEnd w:id="6"/>
      <w:r>
        <w:rPr>
          <w:b/>
          <w:bCs/>
        </w:rPr>
        <w:t>、</w:t>
      </w:r>
      <w:r>
        <w:rPr>
          <w:b/>
          <w:bCs/>
        </w:rPr>
        <w:tab/>
      </w:r>
      <w:r>
        <w:rPr>
          <w:rFonts w:hint="eastAsia"/>
          <w:b/>
          <w:bCs/>
        </w:rPr>
        <w:t>机构设置情况</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本部门预算为汇总预算，包括：局本级预算，以及纳入编制范围的下属单位预算。下属单位具体包括：28个财政拨款事业单位和3个财政补助事业单位组成。28个财政拨款事业单位有：环江毛南族自治县农业综合开发中心、环江毛南族自治县桑蚕产业发展中心、环江毛南族自治县经济作物站、环江毛南族自治县农业科教站、环江毛南族自治县绿色食品发展站、环江毛南族自治县农业科学研究所、环江毛南族自治县土壤肥料工作站、环江毛南族自治县植物保护站、环江毛南族自治县农业技术中心推广站、环江毛南族自治县种子管理站、环江毛南族自治县畜牧站、环江毛南族自治县动物疫病预防控制中心、环江毛南族自治县环江香猪原种保种场、十二个乡镇农业技术推广站、环江毛南族自治县遥感监测站、环江毛南族自治县糖业发展中心、环江毛南族自治县水果发展中心、环江毛南族自治县平原园艺场、环江毛南族自治县平原畜牧场、环江毛南族自治县陈双畜牧场</w:t>
      </w:r>
    </w:p>
    <w:p>
      <w:pPr>
        <w:pStyle w:val="18"/>
        <w:spacing w:line="623" w:lineRule="exact"/>
        <w:ind w:firstLine="1018" w:firstLineChars="0"/>
        <w:jc w:val="left"/>
        <w:rPr>
          <w:rFonts w:hint="eastAsia"/>
          <w:highlight w:val="none"/>
          <w:lang w:val="en-US" w:eastAsia="zh-CN"/>
        </w:rPr>
      </w:pPr>
    </w:p>
    <w:p>
      <w:pPr>
        <w:pStyle w:val="18"/>
        <w:spacing w:line="623" w:lineRule="exact"/>
        <w:ind w:firstLine="1018" w:firstLineChars="0"/>
        <w:jc w:val="left"/>
        <w:rPr>
          <w:rFonts w:hint="eastAsia"/>
          <w:highlight w:val="none"/>
          <w:lang w:val="en-US" w:eastAsia="zh-CN"/>
        </w:rPr>
      </w:pPr>
    </w:p>
    <w:p>
      <w:r>
        <w:br w:type="page"/>
      </w:r>
    </w:p>
    <w:p>
      <w:pPr>
        <w:pStyle w:val="12"/>
        <w:keepNext/>
        <w:keepLines/>
        <w:spacing w:before="120" w:after="0" w:line="629" w:lineRule="exact"/>
        <w:jc w:val="center"/>
        <w:rPr>
          <w:b/>
          <w:bCs/>
          <w:sz w:val="40"/>
          <w:szCs w:val="40"/>
        </w:rPr>
      </w:pPr>
      <w:bookmarkStart w:id="7" w:name="bookmark70"/>
      <w:bookmarkStart w:id="8" w:name="bookmark68"/>
      <w:bookmarkStart w:id="9" w:name="bookmark69"/>
      <w:bookmarkStart w:id="10" w:name="bookmark28"/>
      <w:bookmarkStart w:id="11" w:name="bookmark27"/>
      <w:bookmarkStart w:id="12" w:name="bookmark26"/>
      <w:r>
        <w:rPr>
          <w:b/>
          <w:bCs/>
          <w:sz w:val="40"/>
          <w:szCs w:val="40"/>
        </w:rPr>
        <w:t>第</w:t>
      </w:r>
      <w:r>
        <w:rPr>
          <w:rFonts w:hint="eastAsia"/>
          <w:b/>
          <w:bCs/>
          <w:sz w:val="40"/>
          <w:szCs w:val="40"/>
          <w:lang w:val="en-US" w:eastAsia="zh-CN"/>
        </w:rPr>
        <w:t>二</w:t>
      </w:r>
      <w:r>
        <w:rPr>
          <w:b/>
          <w:bCs/>
          <w:sz w:val="40"/>
          <w:szCs w:val="40"/>
        </w:rPr>
        <w:t>部分</w:t>
      </w:r>
      <w:r>
        <w:rPr>
          <w:rFonts w:hint="eastAsia"/>
          <w:b/>
          <w:bCs/>
          <w:sz w:val="40"/>
          <w:szCs w:val="40"/>
          <w:lang w:eastAsia="zh-CN"/>
        </w:rPr>
        <w:t>：</w:t>
      </w:r>
      <w:bookmarkEnd w:id="7"/>
      <w:bookmarkEnd w:id="8"/>
      <w:bookmarkEnd w:id="9"/>
      <w:r>
        <w:rPr>
          <w:rFonts w:hint="eastAsia"/>
          <w:b/>
          <w:bCs/>
          <w:sz w:val="40"/>
          <w:szCs w:val="40"/>
          <w:lang w:eastAsia="zh-CN"/>
        </w:rPr>
        <w:t>环江毛南族自治县农业农村局</w:t>
      </w:r>
      <w:r>
        <w:rPr>
          <w:b/>
          <w:sz w:val="40"/>
          <w:u w:color="auto"/>
        </w:rPr>
        <w:t>2024年部门预算情况说明</w:t>
      </w:r>
    </w:p>
    <w:p>
      <w:pPr>
        <w:pStyle w:val="16"/>
        <w:tabs>
          <w:tab w:val="left" w:pos="1235"/>
        </w:tabs>
        <w:spacing w:after="0" w:line="624" w:lineRule="exact"/>
        <w:ind w:firstLine="580"/>
        <w:jc w:val="left"/>
        <w:rPr>
          <w:b/>
          <w:bCs/>
        </w:rPr>
      </w:pPr>
      <w:bookmarkStart w:id="13" w:name="bookmark71"/>
      <w:r>
        <w:rPr>
          <w:b/>
          <w:bCs/>
        </w:rPr>
        <w:t>一</w:t>
      </w:r>
      <w:bookmarkEnd w:id="13"/>
      <w:r>
        <w:rPr>
          <w:b/>
          <w:bCs/>
        </w:rPr>
        <w:t>、</w:t>
      </w:r>
      <w:r>
        <w:rPr>
          <w:b/>
          <w:bCs/>
        </w:rPr>
        <w:tab/>
      </w:r>
      <w:r>
        <w:rPr>
          <w:b/>
          <w:bCs/>
        </w:rPr>
        <w:t>部门预算收支总体情况说明</w:t>
      </w:r>
    </w:p>
    <w:p>
      <w:pPr>
        <w:pStyle w:val="18"/>
        <w:spacing w:line="623" w:lineRule="exact"/>
        <w:ind w:left="0" w:leftChars="0" w:firstLine="560" w:firstLineChars="200"/>
        <w:jc w:val="left"/>
        <w:rPr>
          <w:rFonts w:ascii="Times New Roman" w:hAnsi="Times New Roman" w:cs="Times New Roman"/>
          <w:b/>
          <w:bCs/>
          <w:sz w:val="28"/>
          <w:szCs w:val="28"/>
          <w:lang w:val="en-US" w:eastAsia="zh-CN"/>
        </w:rPr>
      </w:pPr>
      <w:r>
        <w:rPr>
          <w:rFonts w:hint="eastAsia"/>
          <w:b w:val="0"/>
          <w:bCs w:val="0"/>
          <w:sz w:val="28"/>
          <w:szCs w:val="28"/>
        </w:rPr>
        <w:t>我部门总收入</w:t>
      </w:r>
      <w:r>
        <w:rPr>
          <w:rFonts w:hint="eastAsia"/>
          <w:sz w:val="28"/>
          <w:szCs w:val="28"/>
          <w:lang w:val="en-US" w:eastAsia="zh-CN"/>
        </w:rPr>
        <w:t>8794.80</w:t>
      </w:r>
      <w:r>
        <w:rPr>
          <w:rFonts w:hint="eastAsia"/>
          <w:b w:val="0"/>
          <w:bCs w:val="0"/>
          <w:sz w:val="28"/>
          <w:szCs w:val="28"/>
        </w:rPr>
        <w:t>万元，总支出</w:t>
      </w:r>
      <w:r>
        <w:rPr>
          <w:rFonts w:hint="eastAsia"/>
          <w:sz w:val="28"/>
          <w:szCs w:val="28"/>
          <w:lang w:val="en-US" w:eastAsia="zh-CN"/>
        </w:rPr>
        <w:t>8794.80</w:t>
      </w:r>
      <w:r>
        <w:rPr>
          <w:rFonts w:hint="eastAsia"/>
          <w:b w:val="0"/>
          <w:bCs w:val="0"/>
          <w:sz w:val="28"/>
          <w:szCs w:val="28"/>
        </w:rPr>
        <w:t>万元。总收入较2023年度预算数</w:t>
      </w:r>
      <w:r>
        <w:rPr>
          <w:rFonts w:hint="eastAsia"/>
          <w:sz w:val="28"/>
          <w:szCs w:val="28"/>
          <w:lang w:val="en-US" w:eastAsia="zh-CN"/>
        </w:rPr>
        <w:t>9538.43</w:t>
      </w:r>
      <w:r>
        <w:rPr>
          <w:rFonts w:hint="eastAsia"/>
          <w:b w:val="0"/>
          <w:bCs w:val="0"/>
          <w:sz w:val="28"/>
          <w:szCs w:val="28"/>
        </w:rPr>
        <w:t>万元，</w:t>
      </w:r>
      <w:r>
        <w:rPr>
          <w:rFonts w:hint="eastAsia"/>
          <w:sz w:val="28"/>
          <w:szCs w:val="28"/>
        </w:rPr>
        <w:t>减少743.63</w:t>
      </w:r>
      <w:r>
        <w:rPr>
          <w:rFonts w:hint="eastAsia"/>
          <w:b w:val="0"/>
          <w:bCs w:val="0"/>
          <w:sz w:val="28"/>
          <w:szCs w:val="28"/>
        </w:rPr>
        <w:t>万元，</w:t>
      </w:r>
      <w:r>
        <w:rPr>
          <w:rFonts w:hint="eastAsia"/>
          <w:sz w:val="28"/>
          <w:szCs w:val="28"/>
        </w:rPr>
        <w:t>下降7.80%</w:t>
      </w:r>
      <w:r>
        <w:rPr>
          <w:rFonts w:hint="eastAsia"/>
          <w:b w:val="0"/>
          <w:bCs w:val="0"/>
          <w:sz w:val="28"/>
          <w:szCs w:val="28"/>
        </w:rPr>
        <w:t>，主要原因是</w:t>
      </w:r>
      <w:r>
        <w:rPr>
          <w:rFonts w:hint="eastAsia"/>
          <w:highlight w:val="none"/>
          <w:lang w:val="en-US" w:eastAsia="zh-CN"/>
        </w:rPr>
        <w:t>2024年年初预算项目支出比2023年年初预算项目支出少。</w:t>
      </w:r>
      <w:r>
        <w:rPr>
          <w:rFonts w:hint="eastAsia"/>
          <w:b w:val="0"/>
          <w:bCs w:val="0"/>
          <w:sz w:val="28"/>
          <w:szCs w:val="28"/>
        </w:rPr>
        <w:t>。总支出较2023年度预算数</w:t>
      </w:r>
      <w:r>
        <w:rPr>
          <w:rFonts w:hint="eastAsia"/>
          <w:sz w:val="28"/>
          <w:szCs w:val="28"/>
          <w:lang w:val="en-US" w:eastAsia="zh-CN"/>
        </w:rPr>
        <w:t>9538.43</w:t>
      </w:r>
      <w:r>
        <w:rPr>
          <w:rFonts w:hint="eastAsia"/>
          <w:b w:val="0"/>
          <w:bCs w:val="0"/>
          <w:sz w:val="28"/>
          <w:szCs w:val="28"/>
        </w:rPr>
        <w:t>万元，</w:t>
      </w:r>
      <w:r>
        <w:rPr>
          <w:rFonts w:hint="eastAsia"/>
          <w:sz w:val="28"/>
          <w:szCs w:val="28"/>
        </w:rPr>
        <w:t>减少743.63</w:t>
      </w:r>
      <w:r>
        <w:rPr>
          <w:rFonts w:hint="eastAsia"/>
          <w:b w:val="0"/>
          <w:bCs w:val="0"/>
          <w:sz w:val="28"/>
          <w:szCs w:val="28"/>
        </w:rPr>
        <w:t>万元，</w:t>
      </w:r>
      <w:r>
        <w:rPr>
          <w:rFonts w:hint="eastAsia"/>
          <w:sz w:val="28"/>
          <w:szCs w:val="28"/>
        </w:rPr>
        <w:t>下降7.80%</w:t>
      </w:r>
      <w:r>
        <w:rPr>
          <w:rFonts w:hint="eastAsia"/>
          <w:b w:val="0"/>
          <w:bCs w:val="0"/>
          <w:sz w:val="28"/>
          <w:szCs w:val="28"/>
        </w:rPr>
        <w:t>，主要原因是</w:t>
      </w:r>
      <w:r>
        <w:rPr>
          <w:rFonts w:hint="eastAsia"/>
          <w:highlight w:val="none"/>
          <w:lang w:val="en-US" w:eastAsia="zh-CN"/>
        </w:rPr>
        <w:t>2024年年初预算项目支出比2023年年初预算项目支出少。</w:t>
      </w:r>
      <w:r>
        <w:rPr>
          <w:rFonts w:hint="eastAsia"/>
          <w:b w:val="0"/>
          <w:bCs w:val="0"/>
          <w:sz w:val="28"/>
          <w:szCs w:val="28"/>
        </w:rPr>
        <w:t>。</w:t>
      </w:r>
    </w:p>
    <w:p>
      <w:pPr>
        <w:pStyle w:val="16"/>
        <w:tabs>
          <w:tab w:val="left" w:pos="1235"/>
        </w:tabs>
        <w:spacing w:after="0" w:line="624" w:lineRule="exact"/>
        <w:ind w:firstLine="580"/>
        <w:jc w:val="left"/>
        <w:rPr>
          <w:b/>
          <w:bCs/>
          <w:lang w:val="en-US" w:eastAsia="zh-CN"/>
        </w:rPr>
      </w:pPr>
      <w:r>
        <w:rPr>
          <w:rFonts w:hint="eastAsia"/>
          <w:b/>
          <w:bCs/>
          <w:lang w:val="en-US" w:eastAsia="zh-CN"/>
        </w:rPr>
        <w:t>二、</w:t>
      </w:r>
      <w:r>
        <w:rPr>
          <w:b/>
          <w:bCs/>
        </w:rPr>
        <w:t>部门收入总体情况说明</w:t>
      </w:r>
    </w:p>
    <w:p>
      <w:pPr>
        <w:pStyle w:val="18"/>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646"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pStyle w:val="18"/>
        <w:spacing w:line="623" w:lineRule="exact"/>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u w:color="auto"/>
          <w:lang w:eastAsia="zh-CN"/>
        </w:rPr>
        <w:t>2024</w:t>
      </w:r>
      <w:r>
        <w:rPr>
          <w:rFonts w:hint="eastAsia" w:ascii="宋体" w:hAnsi="宋体" w:eastAsia="宋体" w:cs="宋体"/>
          <w:sz w:val="28"/>
          <w:szCs w:val="28"/>
          <w:u w:color="auto"/>
        </w:rPr>
        <w:t>年我部门总收入</w:t>
      </w:r>
      <w:r>
        <w:rPr>
          <w:rFonts w:hint="eastAsia" w:ascii="宋体" w:hAnsi="宋体" w:eastAsia="宋体" w:cs="宋体"/>
          <w:sz w:val="28"/>
          <w:szCs w:val="28"/>
          <w:lang w:val="en-US" w:eastAsia="zh-CN"/>
        </w:rPr>
        <w:t>8794.80</w:t>
      </w:r>
      <w:r>
        <w:rPr>
          <w:rFonts w:hint="eastAsia" w:ascii="宋体" w:hAnsi="宋体" w:eastAsia="宋体" w:cs="宋体"/>
          <w:sz w:val="28"/>
          <w:szCs w:val="28"/>
          <w:u w:color="auto"/>
        </w:rPr>
        <w:t>万元，较2023年度预算数</w:t>
      </w:r>
      <w:r>
        <w:rPr>
          <w:rFonts w:hint="eastAsia" w:ascii="宋体" w:hAnsi="宋体" w:eastAsia="宋体" w:cs="宋体"/>
          <w:sz w:val="28"/>
          <w:szCs w:val="28"/>
          <w:lang w:val="en-US" w:eastAsia="zh-CN"/>
        </w:rPr>
        <w:t>9538.43</w:t>
      </w:r>
      <w:r>
        <w:rPr>
          <w:rFonts w:hint="eastAsia" w:ascii="宋体" w:hAnsi="宋体" w:eastAsia="宋体" w:cs="宋体"/>
          <w:sz w:val="28"/>
          <w:szCs w:val="28"/>
          <w:u w:color="auto"/>
        </w:rPr>
        <w:t>万元，</w:t>
      </w:r>
      <w:r>
        <w:rPr>
          <w:rFonts w:hint="eastAsia" w:ascii="宋体" w:hAnsi="宋体" w:eastAsia="宋体" w:cs="宋体"/>
          <w:sz w:val="28"/>
          <w:szCs w:val="28"/>
        </w:rPr>
        <w:t>减少743.63</w:t>
      </w:r>
      <w:r>
        <w:rPr>
          <w:rFonts w:hint="eastAsia" w:ascii="宋体" w:hAnsi="宋体" w:eastAsia="宋体" w:cs="宋体"/>
          <w:sz w:val="28"/>
          <w:szCs w:val="28"/>
          <w:u w:color="auto"/>
        </w:rPr>
        <w:t>万元，</w:t>
      </w:r>
      <w:r>
        <w:rPr>
          <w:rFonts w:hint="eastAsia" w:ascii="宋体" w:hAnsi="宋体" w:eastAsia="宋体" w:cs="宋体"/>
          <w:sz w:val="28"/>
          <w:szCs w:val="28"/>
        </w:rPr>
        <w:t>下降7.80%</w:t>
      </w:r>
      <w:r>
        <w:rPr>
          <w:rFonts w:hint="eastAsia" w:ascii="宋体" w:hAnsi="宋体" w:eastAsia="宋体" w:cs="宋体"/>
          <w:sz w:val="28"/>
          <w:szCs w:val="28"/>
          <w:u w:color="auto"/>
        </w:rPr>
        <w:t>，主要原因是</w:t>
      </w:r>
      <w:r>
        <w:rPr>
          <w:rFonts w:hint="eastAsia"/>
          <w:highlight w:val="none"/>
          <w:lang w:val="en-US" w:eastAsia="zh-CN"/>
        </w:rPr>
        <w:t>2024年年初预算项目支出比2023年年初预算项目支出少。</w:t>
      </w:r>
      <w:r>
        <w:rPr>
          <w:rFonts w:hint="eastAsia" w:ascii="宋体" w:hAnsi="宋体" w:eastAsia="宋体" w:cs="宋体"/>
          <w:sz w:val="28"/>
          <w:szCs w:val="28"/>
          <w:u w:color="auto"/>
        </w:rPr>
        <w:t>。</w:t>
      </w:r>
    </w:p>
    <w:p>
      <w:pPr>
        <w:pStyle w:val="16"/>
        <w:tabs>
          <w:tab w:val="left" w:pos="1235"/>
        </w:tabs>
        <w:spacing w:after="0" w:line="624" w:lineRule="exact"/>
        <w:ind w:firstLine="580"/>
        <w:jc w:val="left"/>
        <w:rPr>
          <w:b/>
          <w:bCs/>
        </w:rPr>
      </w:pPr>
      <w:r>
        <w:rPr>
          <w:rFonts w:hint="eastAsia"/>
          <w:b/>
          <w:bCs/>
          <w:lang w:val="en-US" w:eastAsia="zh-CN"/>
        </w:rPr>
        <w:t>三、</w:t>
      </w:r>
      <w:r>
        <w:rPr>
          <w:b/>
          <w:bCs/>
        </w:rPr>
        <w:t>部门支出总体情况说明</w:t>
      </w:r>
    </w:p>
    <w:p>
      <w:pPr>
        <w:pStyle w:val="18"/>
        <w:spacing w:line="240" w:lineRule="auto"/>
        <w:ind w:firstLine="0"/>
        <w:jc w:val="left"/>
        <w:rPr>
          <w:rFonts w:ascii="Times New Roman" w:hAnsi="Times New Roman" w:eastAsia="Times New Roman" w:cs="Times New Roman"/>
          <w:sz w:val="30"/>
          <w:szCs w:val="30"/>
        </w:rPr>
      </w:pPr>
      <w:r>
        <w:rPr>
          <w:rFonts w:ascii="Times New Roman" w:hAnsi="Times New Roman" w:eastAsia="Times New Roman" w:cs="Times New Roman"/>
          <w:sz w:val="30"/>
          <w:szCs w:val="30"/>
        </w:rPr>
        <w:drawing>
          <wp:inline distT="0" distB="0" distL="114300" distR="114300">
            <wp:extent cx="5080000" cy="3810000"/>
            <wp:effectExtent l="4445" t="4445" r="20955" b="14605"/>
            <wp:docPr id="647"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pStyle w:val="18"/>
        <w:spacing w:line="623" w:lineRule="exact"/>
        <w:ind w:left="0" w:leftChars="0" w:firstLine="560" w:firstLineChars="200"/>
        <w:jc w:val="left"/>
        <w:rPr>
          <w:rFonts w:hint="eastAsia" w:ascii="Times New Roman" w:hAnsi="Times New Roman" w:cs="Times New Roman"/>
          <w:sz w:val="30"/>
          <w:szCs w:val="30"/>
          <w:lang w:eastAsia="zh-CN"/>
        </w:rPr>
      </w:pPr>
      <w:r>
        <w:rPr>
          <w:rFonts w:hint="eastAsia" w:ascii="宋体" w:hAnsi="宋体" w:eastAsia="宋体" w:cs="宋体"/>
          <w:sz w:val="28"/>
          <w:szCs w:val="28"/>
          <w:lang w:eastAsia="zh-CN"/>
        </w:rPr>
        <w:t>2024</w:t>
      </w:r>
      <w:r>
        <w:rPr>
          <w:rFonts w:ascii="宋体" w:hAnsi="宋体" w:eastAsia="宋体" w:cs="宋体"/>
          <w:sz w:val="28"/>
          <w:u w:color="auto"/>
        </w:rPr>
        <w:t>年我部门总支出</w:t>
      </w:r>
      <w:r>
        <w:rPr>
          <w:rFonts w:hint="eastAsia" w:ascii="宋体" w:hAnsi="宋体" w:eastAsia="宋体" w:cs="宋体"/>
          <w:sz w:val="28"/>
          <w:szCs w:val="28"/>
          <w:lang w:val="en-US" w:eastAsia="zh-CN"/>
        </w:rPr>
        <w:t>8794.80</w:t>
      </w:r>
      <w:r>
        <w:rPr>
          <w:rFonts w:hint="eastAsia" w:ascii="宋体" w:hAnsi="宋体" w:eastAsia="宋体" w:cs="宋体"/>
          <w:sz w:val="28"/>
          <w:szCs w:val="28"/>
          <w:lang w:eastAsia="zh-CN"/>
        </w:rPr>
        <w:t>万元，较2023年度预算数</w:t>
      </w:r>
      <w:r>
        <w:rPr>
          <w:rFonts w:hint="eastAsia" w:ascii="宋体" w:hAnsi="宋体" w:eastAsia="宋体" w:cs="宋体"/>
          <w:sz w:val="28"/>
          <w:szCs w:val="28"/>
          <w:lang w:val="en-US" w:eastAsia="zh-CN"/>
        </w:rPr>
        <w:t>9538.43</w:t>
      </w:r>
      <w:r>
        <w:rPr>
          <w:rFonts w:hint="eastAsia" w:ascii="宋体" w:hAnsi="宋体" w:eastAsia="宋体" w:cs="宋体"/>
          <w:sz w:val="28"/>
          <w:szCs w:val="28"/>
          <w:lang w:eastAsia="zh-CN"/>
        </w:rPr>
        <w:t>万元，</w:t>
      </w:r>
      <w:r>
        <w:rPr>
          <w:rFonts w:hint="eastAsia" w:ascii="宋体" w:hAnsi="宋体" w:eastAsia="宋体" w:cs="宋体"/>
          <w:sz w:val="28"/>
          <w:szCs w:val="28"/>
        </w:rPr>
        <w:t>减少743.63</w:t>
      </w:r>
      <w:r>
        <w:rPr>
          <w:rFonts w:hint="eastAsia" w:ascii="宋体" w:hAnsi="宋体" w:eastAsia="宋体" w:cs="宋体"/>
          <w:sz w:val="28"/>
          <w:szCs w:val="28"/>
          <w:lang w:eastAsia="zh-CN"/>
        </w:rPr>
        <w:t>万元，</w:t>
      </w:r>
      <w:r>
        <w:rPr>
          <w:rFonts w:hint="eastAsia" w:ascii="宋体" w:hAnsi="宋体" w:eastAsia="宋体" w:cs="宋体"/>
          <w:sz w:val="28"/>
          <w:szCs w:val="28"/>
        </w:rPr>
        <w:t>下降7.80%</w:t>
      </w:r>
      <w:r>
        <w:rPr>
          <w:rFonts w:hint="eastAsia" w:ascii="宋体" w:hAnsi="宋体" w:eastAsia="宋体" w:cs="宋体"/>
          <w:sz w:val="28"/>
          <w:szCs w:val="28"/>
          <w:lang w:eastAsia="zh-CN"/>
        </w:rPr>
        <w:t>，主要原因是</w:t>
      </w:r>
      <w:r>
        <w:rPr>
          <w:rFonts w:hint="eastAsia"/>
          <w:highlight w:val="none"/>
          <w:lang w:val="en-US" w:eastAsia="zh-CN"/>
        </w:rPr>
        <w:t>2024年年初预算项目支出比2023年年初预算项目支出少。</w:t>
      </w:r>
      <w:r>
        <w:rPr>
          <w:rFonts w:hint="eastAsia" w:ascii="Times New Roman" w:hAnsi="Times New Roman" w:cs="Times New Roman"/>
          <w:sz w:val="30"/>
          <w:szCs w:val="30"/>
          <w:lang w:eastAsia="zh-CN"/>
        </w:rPr>
        <w:t>。主要包括：</w:t>
      </w:r>
      <w:r>
        <w:rPr>
          <w:rFonts w:hint="eastAsia"/>
          <w:highlight w:val="none"/>
          <w:lang w:val="en-US" w:eastAsia="zh-CN"/>
        </w:rPr>
        <w:t>高标准农田建设2023年年初预算数为3648.82万元，2024年年初预算数为2906.65万元。农业生产发展资金2023年年初预算数为712.84万元，2024年年初预算数为607.06万元，冷链建设项目2023年年初预算数为383.51万元。2024年年初没有预算数。其他小项目预算数有增有减，增减幅度不大。</w:t>
      </w:r>
      <w:r>
        <w:rPr>
          <w:rFonts w:hint="eastAsia" w:ascii="Times New Roman" w:hAnsi="Times New Roman" w:cs="Times New Roman"/>
          <w:sz w:val="30"/>
          <w:szCs w:val="30"/>
          <w:lang w:eastAsia="zh-CN"/>
        </w:rPr>
        <w:t>。</w:t>
      </w:r>
    </w:p>
    <w:p>
      <w:pPr>
        <w:pStyle w:val="18"/>
        <w:spacing w:after="140" w:line="240" w:lineRule="auto"/>
        <w:ind w:firstLine="0"/>
        <w:jc w:val="left"/>
      </w:pPr>
      <w:r>
        <w:t>（一）按支出功能分类科目划分，共分为</w:t>
      </w:r>
      <w:r>
        <w:rPr>
          <w:rFonts w:hint="eastAsia"/>
          <w:lang w:val="en-US" w:eastAsia="zh-CN"/>
        </w:rPr>
        <w:t>5</w:t>
      </w:r>
      <w:r>
        <w:t>类，其中:</w:t>
      </w:r>
    </w:p>
    <w:p>
      <w:pPr>
        <w:pStyle w:val="18"/>
        <w:spacing w:line="623" w:lineRule="exact"/>
        <w:ind w:left="0" w:leftChars="0" w:firstLine="560" w:firstLineChars="200"/>
        <w:jc w:val="left"/>
        <w:rPr>
          <w:rFonts w:hint="eastAsia"/>
        </w:rPr>
      </w:pPr>
      <w:r>
        <w:rPr>
          <w:rFonts w:hint="eastAsia"/>
        </w:rPr>
        <w:t>(</w:t>
      </w:r>
      <w:r>
        <w:rPr>
          <w:u w:color="auto"/>
        </w:rPr>
        <w:t>1)农林水支出</w:t>
      </w:r>
      <w:r>
        <w:rPr>
          <w:rFonts w:hint="eastAsia"/>
          <w:lang w:val="en-US" w:eastAsia="zh-CN"/>
        </w:rPr>
        <w:t>8009.45</w:t>
      </w:r>
      <w:r>
        <w:rPr>
          <w:rFonts w:hint="eastAsia"/>
        </w:rPr>
        <w:t>万元，占支出总预算</w:t>
      </w:r>
      <w:r>
        <w:rPr>
          <w:rFonts w:hint="eastAsia"/>
          <w:lang w:val="en-US" w:eastAsia="zh-CN"/>
        </w:rPr>
        <w:t>91.07%</w:t>
      </w:r>
      <w:r>
        <w:rPr>
          <w:rFonts w:hint="eastAsia"/>
        </w:rPr>
        <w:t>,比上年</w:t>
      </w:r>
      <w:r>
        <w:rPr>
          <w:rFonts w:hint="eastAsia"/>
          <w:lang w:val="en-US" w:eastAsia="zh-CN"/>
        </w:rPr>
        <w:t>减少661.27</w:t>
      </w:r>
      <w:r>
        <w:rPr>
          <w:rFonts w:hint="eastAsia"/>
        </w:rPr>
        <w:t>万元，</w:t>
      </w:r>
      <w:r>
        <w:rPr>
          <w:rFonts w:hint="eastAsia"/>
          <w:lang w:val="en-US" w:eastAsia="zh-CN"/>
        </w:rPr>
        <w:t>减少7.63%</w:t>
      </w:r>
      <w:r>
        <w:rPr>
          <w:rFonts w:hint="eastAsia"/>
        </w:rPr>
        <w:t>,</w:t>
      </w:r>
      <w:r>
        <w:rPr>
          <w:rFonts w:hint="eastAsia"/>
          <w:highlight w:val="none"/>
        </w:rPr>
        <w:t>主要原因是：</w:t>
      </w:r>
      <w:r>
        <w:rPr>
          <w:rFonts w:hint="eastAsia"/>
          <w:highlight w:val="none"/>
          <w:lang w:val="en-US" w:eastAsia="zh-CN"/>
        </w:rPr>
        <w:t>高标准农田建设2023年年初预算数为3648.82万元，2024年年初预算数为2906.65万元。农业生产发展资金2023年年初预算数为712.84万元，2024年年初预算数为607.06万元，冷链建设项目2023年年初预算数为383.51万元。2024年年初没有预算数。其他小项目预算数有增有减，增减幅度不大。</w:t>
      </w:r>
      <w:r>
        <w:rPr>
          <w:rFonts w:hint="eastAsia"/>
          <w:highlight w:val="none"/>
        </w:rPr>
        <w:t>。</w:t>
      </w:r>
    </w:p>
    <w:p>
      <w:pPr>
        <w:pStyle w:val="18"/>
        <w:spacing w:line="623" w:lineRule="exact"/>
        <w:ind w:left="0" w:leftChars="0" w:firstLine="560" w:firstLineChars="200"/>
        <w:jc w:val="left"/>
        <w:rPr>
          <w:rFonts w:hint="eastAsia"/>
        </w:rPr>
      </w:pPr>
      <w:r>
        <w:rPr>
          <w:rFonts w:hint="eastAsia"/>
        </w:rPr>
        <w:t>(</w:t>
      </w:r>
      <w:r>
        <w:rPr>
          <w:u w:color="auto"/>
        </w:rPr>
        <w:t>2)住房保障支出</w:t>
      </w:r>
      <w:r>
        <w:rPr>
          <w:rFonts w:hint="eastAsia"/>
          <w:lang w:val="en-US" w:eastAsia="zh-CN"/>
        </w:rPr>
        <w:t>346.27</w:t>
      </w:r>
      <w:r>
        <w:rPr>
          <w:rFonts w:hint="eastAsia"/>
        </w:rPr>
        <w:t>万元，占支出总预算</w:t>
      </w:r>
      <w:r>
        <w:rPr>
          <w:rFonts w:hint="eastAsia"/>
          <w:lang w:val="en-US" w:eastAsia="zh-CN"/>
        </w:rPr>
        <w:t>3.94%</w:t>
      </w:r>
      <w:r>
        <w:rPr>
          <w:rFonts w:hint="eastAsia"/>
        </w:rPr>
        <w:t>,比上年</w:t>
      </w:r>
      <w:r>
        <w:rPr>
          <w:rFonts w:hint="eastAsia"/>
          <w:lang w:val="en-US" w:eastAsia="zh-CN"/>
        </w:rPr>
        <w:t>增长48.64</w:t>
      </w:r>
      <w:r>
        <w:rPr>
          <w:rFonts w:hint="eastAsia"/>
        </w:rPr>
        <w:t>万元，</w:t>
      </w:r>
      <w:r>
        <w:rPr>
          <w:rFonts w:hint="eastAsia"/>
          <w:lang w:val="en-US" w:eastAsia="zh-CN"/>
        </w:rPr>
        <w:t>增长16.34%</w:t>
      </w:r>
      <w:r>
        <w:rPr>
          <w:rFonts w:hint="eastAsia"/>
        </w:rPr>
        <w:t>,</w:t>
      </w:r>
      <w:r>
        <w:rPr>
          <w:rFonts w:hint="eastAsia"/>
          <w:highlight w:val="none"/>
        </w:rPr>
        <w:t>主要原因是：</w:t>
      </w:r>
      <w:r>
        <w:rPr>
          <w:rFonts w:hint="eastAsia"/>
          <w:highlight w:val="none"/>
          <w:lang w:val="en-US" w:eastAsia="zh-CN"/>
        </w:rPr>
        <w:t>在职人员增加，2023年年初预算在职人员214人，2024年年初预算包括合并过来的遥感监测站、糖业发展中心，水果发展中心共计在职人员234人。</w:t>
      </w:r>
      <w:r>
        <w:rPr>
          <w:rFonts w:hint="eastAsia"/>
          <w:highlight w:val="none"/>
        </w:rPr>
        <w:t>。</w:t>
      </w:r>
    </w:p>
    <w:p>
      <w:pPr>
        <w:pStyle w:val="18"/>
        <w:spacing w:line="623" w:lineRule="exact"/>
        <w:ind w:left="0" w:leftChars="0" w:firstLine="560" w:firstLineChars="200"/>
        <w:jc w:val="left"/>
        <w:rPr>
          <w:rFonts w:hint="eastAsia"/>
        </w:rPr>
      </w:pPr>
      <w:r>
        <w:rPr>
          <w:rFonts w:hint="eastAsia"/>
        </w:rPr>
        <w:t>(</w:t>
      </w:r>
      <w:r>
        <w:rPr>
          <w:u w:color="auto"/>
        </w:rPr>
        <w:t>3)一般公共服务支出</w:t>
      </w:r>
      <w:r>
        <w:rPr>
          <w:rFonts w:hint="eastAsia"/>
          <w:lang w:val="en-US" w:eastAsia="zh-CN"/>
        </w:rPr>
        <w:t>35.24</w:t>
      </w:r>
      <w:r>
        <w:rPr>
          <w:rFonts w:hint="eastAsia"/>
        </w:rPr>
        <w:t>万元，占支出总预算</w:t>
      </w:r>
      <w:r>
        <w:rPr>
          <w:rFonts w:hint="eastAsia"/>
          <w:lang w:val="en-US" w:eastAsia="zh-CN"/>
        </w:rPr>
        <w:t>0.40%</w:t>
      </w:r>
      <w:r>
        <w:rPr>
          <w:rFonts w:hint="eastAsia"/>
        </w:rPr>
        <w:t>,比上年</w:t>
      </w:r>
      <w:r>
        <w:rPr>
          <w:rFonts w:hint="eastAsia"/>
          <w:lang w:val="en-US" w:eastAsia="zh-CN"/>
        </w:rPr>
        <w:t>减少14.36</w:t>
      </w:r>
      <w:r>
        <w:rPr>
          <w:rFonts w:hint="eastAsia"/>
        </w:rPr>
        <w:t>万元，</w:t>
      </w:r>
      <w:r>
        <w:rPr>
          <w:rFonts w:hint="eastAsia"/>
          <w:lang w:val="en-US" w:eastAsia="zh-CN"/>
        </w:rPr>
        <w:t>减少28.95%</w:t>
      </w:r>
      <w:r>
        <w:rPr>
          <w:rFonts w:hint="eastAsia"/>
        </w:rPr>
        <w:t>,</w:t>
      </w:r>
      <w:r>
        <w:rPr>
          <w:rFonts w:hint="eastAsia"/>
          <w:highlight w:val="none"/>
        </w:rPr>
        <w:t>主要原因是：</w:t>
      </w:r>
      <w:r>
        <w:rPr>
          <w:rFonts w:hint="eastAsia"/>
          <w:highlight w:val="none"/>
          <w:lang w:val="en-US" w:eastAsia="zh-CN"/>
        </w:rPr>
        <w:t>2024年年初预算县级预算车辆费用通过公车运行维护费列支，项目产生的车辆费用通知其他交通费用列支。2023年不管是县级预算或是上级项目支出的所有车辆费用都通过公车运行维护费列支。</w:t>
      </w:r>
      <w:r>
        <w:rPr>
          <w:rFonts w:hint="eastAsia"/>
          <w:highlight w:val="none"/>
        </w:rPr>
        <w:t>。</w:t>
      </w:r>
    </w:p>
    <w:p>
      <w:pPr>
        <w:pStyle w:val="18"/>
        <w:spacing w:line="623" w:lineRule="exact"/>
        <w:ind w:left="0" w:leftChars="0" w:firstLine="560" w:firstLineChars="200"/>
        <w:jc w:val="left"/>
        <w:rPr>
          <w:rFonts w:hint="eastAsia"/>
        </w:rPr>
      </w:pPr>
      <w:r>
        <w:rPr>
          <w:rFonts w:hint="eastAsia"/>
        </w:rPr>
        <w:t>(</w:t>
      </w:r>
      <w:r>
        <w:rPr>
          <w:u w:color="auto"/>
        </w:rPr>
        <w:t>4)节能环保支出</w:t>
      </w:r>
      <w:r>
        <w:rPr>
          <w:rFonts w:hint="eastAsia"/>
          <w:lang w:val="en-US" w:eastAsia="zh-CN"/>
        </w:rPr>
        <w:t>0.00</w:t>
      </w:r>
      <w:r>
        <w:rPr>
          <w:rFonts w:hint="eastAsia"/>
        </w:rPr>
        <w:t>万元，占支出总预算</w:t>
      </w:r>
      <w:r>
        <w:rPr>
          <w:rFonts w:hint="eastAsia"/>
          <w:lang w:val="en-US" w:eastAsia="zh-CN"/>
        </w:rPr>
        <w:t>0.00%</w:t>
      </w:r>
      <w:r>
        <w:rPr>
          <w:rFonts w:hint="eastAsia"/>
        </w:rPr>
        <w:t>,比上年</w:t>
      </w:r>
      <w:r>
        <w:rPr>
          <w:rFonts w:hint="eastAsia"/>
          <w:lang w:val="en-US" w:eastAsia="zh-CN"/>
        </w:rPr>
        <w:t>减少123.66</w:t>
      </w:r>
      <w:r>
        <w:rPr>
          <w:rFonts w:hint="eastAsia"/>
        </w:rPr>
        <w:t>万元，</w:t>
      </w:r>
      <w:r>
        <w:rPr>
          <w:rFonts w:hint="eastAsia"/>
          <w:lang w:val="en-US" w:eastAsia="zh-CN"/>
        </w:rPr>
        <w:t>减少100.00%</w:t>
      </w:r>
      <w:r>
        <w:rPr>
          <w:rFonts w:hint="eastAsia"/>
        </w:rPr>
        <w:t>,</w:t>
      </w:r>
      <w:r>
        <w:rPr>
          <w:rFonts w:hint="eastAsia"/>
          <w:highlight w:val="none"/>
        </w:rPr>
        <w:t>主要原因是：</w:t>
      </w:r>
      <w:r>
        <w:rPr>
          <w:rFonts w:hint="eastAsia"/>
          <w:highlight w:val="none"/>
          <w:lang w:val="en-US" w:eastAsia="zh-CN"/>
        </w:rPr>
        <w:t>2024年没有节能环保项目支付。</w:t>
      </w:r>
      <w:r>
        <w:rPr>
          <w:rFonts w:hint="eastAsia"/>
          <w:highlight w:val="none"/>
        </w:rPr>
        <w:t>。</w:t>
      </w:r>
    </w:p>
    <w:p>
      <w:pPr>
        <w:pStyle w:val="18"/>
        <w:spacing w:line="623" w:lineRule="exact"/>
        <w:ind w:left="0" w:leftChars="0" w:firstLine="560" w:firstLineChars="200"/>
        <w:jc w:val="left"/>
        <w:rPr>
          <w:rFonts w:hint="eastAsia"/>
        </w:rPr>
      </w:pPr>
      <w:r>
        <w:rPr>
          <w:rFonts w:hint="eastAsia"/>
        </w:rPr>
        <w:t>(</w:t>
      </w:r>
      <w:r>
        <w:rPr>
          <w:u w:color="auto"/>
        </w:rPr>
        <w:t>5)社会保障和就业支出</w:t>
      </w:r>
      <w:r>
        <w:rPr>
          <w:rFonts w:hint="eastAsia"/>
          <w:lang w:val="en-US" w:eastAsia="zh-CN"/>
        </w:rPr>
        <w:t>403.83</w:t>
      </w:r>
      <w:r>
        <w:rPr>
          <w:rFonts w:hint="eastAsia"/>
        </w:rPr>
        <w:t>万元，占支出总预算</w:t>
      </w:r>
      <w:r>
        <w:rPr>
          <w:rFonts w:hint="eastAsia"/>
          <w:lang w:val="en-US" w:eastAsia="zh-CN"/>
        </w:rPr>
        <w:t>4.59%</w:t>
      </w:r>
      <w:r>
        <w:rPr>
          <w:rFonts w:hint="eastAsia"/>
        </w:rPr>
        <w:t>,比上年</w:t>
      </w:r>
      <w:r>
        <w:rPr>
          <w:rFonts w:hint="eastAsia"/>
          <w:lang w:val="en-US" w:eastAsia="zh-CN"/>
        </w:rPr>
        <w:t>增长7.02</w:t>
      </w:r>
      <w:r>
        <w:rPr>
          <w:rFonts w:hint="eastAsia"/>
        </w:rPr>
        <w:t>万元，</w:t>
      </w:r>
      <w:r>
        <w:rPr>
          <w:rFonts w:hint="eastAsia"/>
          <w:lang w:val="en-US" w:eastAsia="zh-CN"/>
        </w:rPr>
        <w:t>增长1.77%</w:t>
      </w:r>
      <w:r>
        <w:rPr>
          <w:rFonts w:hint="eastAsia"/>
        </w:rPr>
        <w:t>,</w:t>
      </w:r>
      <w:r>
        <w:rPr>
          <w:rFonts w:hint="eastAsia"/>
          <w:highlight w:val="none"/>
        </w:rPr>
        <w:t>主要原因是：</w:t>
      </w:r>
      <w:r>
        <w:rPr>
          <w:rFonts w:hint="eastAsia"/>
          <w:highlight w:val="none"/>
          <w:lang w:val="en-US" w:eastAsia="zh-CN"/>
        </w:rPr>
        <w:t>在职人员增加，2023年年初预算在职人员214人，2024年年初预算包括合并过来的遥感监测站、糖业发展中心，水果发展中心共计在职人员234人。</w:t>
      </w:r>
      <w:r>
        <w:rPr>
          <w:rFonts w:hint="eastAsia"/>
          <w:highlight w:val="none"/>
        </w:rPr>
        <w:t>。</w:t>
      </w:r>
    </w:p>
    <w:p>
      <w:pPr>
        <w:pStyle w:val="18"/>
        <w:spacing w:line="635" w:lineRule="exact"/>
        <w:ind w:firstLine="740"/>
        <w:jc w:val="left"/>
      </w:pPr>
      <w:r>
        <w:t>(二)按支出结构分类划分，分为基本支出预算和项目支出预算。</w:t>
      </w:r>
    </w:p>
    <w:p>
      <w:pPr>
        <w:pStyle w:val="18"/>
        <w:spacing w:line="635" w:lineRule="exact"/>
        <w:ind w:firstLine="600"/>
        <w:jc w:val="left"/>
      </w:pPr>
      <w:r>
        <w:rPr>
          <w:rFonts w:ascii="Times New Roman" w:hAnsi="Times New Roman" w:eastAsia="Times New Roman" w:cs="Times New Roman"/>
          <w:sz w:val="30"/>
          <w:szCs w:val="30"/>
        </w:rPr>
        <w:t>1</w:t>
      </w:r>
      <w:r>
        <w:t>.基本支出预算。</w:t>
      </w:r>
    </w:p>
    <w:p>
      <w:pPr>
        <w:pStyle w:val="18"/>
        <w:spacing w:line="619" w:lineRule="exact"/>
        <w:ind w:firstLine="600"/>
        <w:jc w:val="left"/>
        <w:rPr>
          <w:rFonts w:hint="eastAsia"/>
          <w:lang w:val="en-US" w:eastAsia="zh-CN"/>
        </w:rPr>
      </w:pPr>
      <w:r>
        <w:rPr>
          <w:rFonts w:hint="eastAsia"/>
        </w:rPr>
        <w:t>基本支出预算</w:t>
      </w:r>
      <w:r>
        <w:rPr>
          <w:rFonts w:hint="eastAsia"/>
          <w:lang w:val="en-US" w:eastAsia="zh-CN"/>
        </w:rPr>
        <w:t>3756.88</w:t>
      </w:r>
      <w:r>
        <w:rPr>
          <w:rFonts w:hint="eastAsia"/>
        </w:rPr>
        <w:t>万元，占支出预算</w:t>
      </w:r>
      <w:r>
        <w:rPr>
          <w:u w:color="auto"/>
        </w:rPr>
        <w:t>42.72%,比上年增长538.07万元，增长16.72%</w:t>
      </w:r>
      <w:r>
        <w:t>。</w:t>
      </w:r>
      <w:r>
        <w:rPr>
          <w:rFonts w:hint="eastAsia"/>
          <w:lang w:val="en-US" w:eastAsia="zh-CN"/>
        </w:rPr>
        <w:t>其中：</w:t>
      </w:r>
    </w:p>
    <w:p>
      <w:pPr>
        <w:pStyle w:val="30"/>
        <w:spacing w:after="0" w:line="619" w:lineRule="exact"/>
        <w:ind w:firstLine="740"/>
        <w:jc w:val="left"/>
        <w:rPr>
          <w:rFonts w:hint="eastAsia"/>
          <w:highlight w:val="none"/>
          <w:lang w:val="en-US" w:eastAsia="zh-CN"/>
        </w:rPr>
      </w:pPr>
      <w:r>
        <w:rPr>
          <w:rFonts w:hint="eastAsia" w:ascii="宋体" w:hAnsi="宋体" w:eastAsia="宋体" w:cs="宋体"/>
          <w:sz w:val="28"/>
          <w:szCs w:val="28"/>
        </w:rPr>
        <w:t>(</w:t>
      </w:r>
      <w:r>
        <w:rPr>
          <w:rFonts w:ascii="宋体" w:hAnsi="宋体" w:eastAsia="宋体" w:cs="宋体"/>
          <w:sz w:val="28"/>
          <w:u w:color="auto"/>
        </w:rPr>
        <w:t>1)对个人和家庭的补助</w:t>
      </w:r>
      <w:r>
        <w:rPr>
          <w:rFonts w:hint="eastAsia" w:ascii="宋体" w:hAnsi="宋体" w:eastAsia="宋体" w:cs="宋体"/>
          <w:sz w:val="28"/>
          <w:szCs w:val="28"/>
          <w:lang w:val="en-US" w:eastAsia="zh-CN"/>
        </w:rPr>
        <w:t>208.11</w:t>
      </w:r>
      <w:r>
        <w:rPr>
          <w:rFonts w:hint="eastAsia" w:ascii="宋体" w:hAnsi="宋体" w:eastAsia="宋体" w:cs="宋体"/>
          <w:sz w:val="28"/>
          <w:szCs w:val="28"/>
        </w:rPr>
        <w:t>万</w:t>
      </w:r>
      <w:r>
        <w:rPr>
          <w:rFonts w:ascii="宋体" w:hAnsi="宋体" w:eastAsia="宋体" w:cs="宋体"/>
          <w:sz w:val="28"/>
          <w:szCs w:val="28"/>
        </w:rPr>
        <w:t>元，占基本支出总预算</w:t>
      </w:r>
      <w:r>
        <w:rPr>
          <w:rFonts w:hint="eastAsia" w:ascii="宋体" w:hAnsi="宋体" w:eastAsia="宋体" w:cs="宋体"/>
          <w:sz w:val="28"/>
          <w:szCs w:val="28"/>
          <w:lang w:val="en-US" w:eastAsia="zh-CN"/>
        </w:rPr>
        <w:t>5.54%</w:t>
      </w:r>
      <w:r>
        <w:rPr>
          <w:rFonts w:hint="eastAsia"/>
        </w:rPr>
        <w:t>,</w:t>
      </w:r>
      <w:r>
        <w:t>比上年</w:t>
      </w:r>
      <w:r>
        <w:rPr>
          <w:rFonts w:hint="eastAsia"/>
        </w:rPr>
        <w:t>增长87.53</w:t>
      </w:r>
      <w:r>
        <w:t>万元，</w:t>
      </w:r>
      <w:r>
        <w:rPr>
          <w:rFonts w:hint="eastAsia"/>
        </w:rPr>
        <w:t>增长72.59%</w:t>
      </w:r>
      <w:r>
        <w:rPr>
          <w:rFonts w:ascii="Times New Roman" w:hAnsi="Times New Roman" w:eastAsia="Times New Roman" w:cs="Times New Roman"/>
          <w:sz w:val="30"/>
          <w:szCs w:val="30"/>
          <w:highlight w:val="none"/>
        </w:rPr>
        <w:t>,</w:t>
      </w:r>
      <w:r>
        <w:rPr>
          <w:highlight w:val="none"/>
        </w:rPr>
        <w:t>主要原因是：</w:t>
      </w:r>
      <w:r>
        <w:rPr>
          <w:rFonts w:hint="eastAsia"/>
          <w:highlight w:val="none"/>
        </w:rPr>
        <w:t>2024年年初预算比2023年年初预算多了粮食补贴类的开支，例如双季稻轮作补贴和粮油单产提升补贴项目。</w:t>
      </w:r>
      <w:r>
        <w:rPr>
          <w:rFonts w:hint="eastAsia"/>
          <w:highlight w:val="none"/>
          <w:lang w:val="en-US" w:eastAsia="zh-CN"/>
        </w:rPr>
        <w:t>。</w:t>
      </w:r>
    </w:p>
    <w:p>
      <w:pPr>
        <w:pStyle w:val="30"/>
        <w:spacing w:after="0" w:line="619" w:lineRule="exact"/>
        <w:ind w:firstLine="740"/>
        <w:jc w:val="left"/>
        <w:rPr>
          <w:rFonts w:hint="eastAsia"/>
          <w:highlight w:val="none"/>
          <w:lang w:val="en-US" w:eastAsia="zh-CN"/>
        </w:rPr>
      </w:pPr>
      <w:r>
        <w:rPr>
          <w:rFonts w:hint="eastAsia" w:ascii="宋体" w:hAnsi="宋体" w:eastAsia="宋体" w:cs="宋体"/>
          <w:sz w:val="28"/>
          <w:szCs w:val="28"/>
        </w:rPr>
        <w:t>(</w:t>
      </w:r>
      <w:r>
        <w:rPr>
          <w:rFonts w:ascii="宋体" w:hAnsi="宋体" w:eastAsia="宋体" w:cs="宋体"/>
          <w:sz w:val="28"/>
          <w:u w:color="auto"/>
        </w:rPr>
        <w:t>2)商品和服务支出</w:t>
      </w:r>
      <w:r>
        <w:rPr>
          <w:rFonts w:hint="eastAsia" w:ascii="宋体" w:hAnsi="宋体" w:eastAsia="宋体" w:cs="宋体"/>
          <w:sz w:val="28"/>
          <w:szCs w:val="28"/>
          <w:lang w:val="en-US" w:eastAsia="zh-CN"/>
        </w:rPr>
        <w:t>178.18</w:t>
      </w:r>
      <w:r>
        <w:rPr>
          <w:rFonts w:hint="eastAsia" w:ascii="宋体" w:hAnsi="宋体" w:eastAsia="宋体" w:cs="宋体"/>
          <w:sz w:val="28"/>
          <w:szCs w:val="28"/>
        </w:rPr>
        <w:t>万</w:t>
      </w:r>
      <w:r>
        <w:rPr>
          <w:rFonts w:ascii="宋体" w:hAnsi="宋体" w:eastAsia="宋体" w:cs="宋体"/>
          <w:sz w:val="28"/>
          <w:szCs w:val="28"/>
        </w:rPr>
        <w:t>元，占基本支出总预算</w:t>
      </w:r>
      <w:r>
        <w:rPr>
          <w:rFonts w:hint="eastAsia" w:ascii="宋体" w:hAnsi="宋体" w:eastAsia="宋体" w:cs="宋体"/>
          <w:sz w:val="28"/>
          <w:szCs w:val="28"/>
          <w:lang w:val="en-US" w:eastAsia="zh-CN"/>
        </w:rPr>
        <w:t>4.74%</w:t>
      </w:r>
      <w:r>
        <w:rPr>
          <w:rFonts w:hint="eastAsia"/>
        </w:rPr>
        <w:t>,</w:t>
      </w:r>
      <w:r>
        <w:t>比上年</w:t>
      </w:r>
      <w:r>
        <w:rPr>
          <w:rFonts w:hint="eastAsia"/>
        </w:rPr>
        <w:t>减少0.13</w:t>
      </w:r>
      <w:r>
        <w:t>万元，</w:t>
      </w:r>
      <w:r>
        <w:rPr>
          <w:rFonts w:hint="eastAsia"/>
        </w:rPr>
        <w:t>减少0.07%</w:t>
      </w:r>
      <w:r>
        <w:rPr>
          <w:rFonts w:ascii="Times New Roman" w:hAnsi="Times New Roman" w:eastAsia="Times New Roman" w:cs="Times New Roman"/>
          <w:sz w:val="30"/>
          <w:szCs w:val="30"/>
          <w:highlight w:val="none"/>
        </w:rPr>
        <w:t>,</w:t>
      </w:r>
      <w:r>
        <w:rPr>
          <w:highlight w:val="none"/>
        </w:rPr>
        <w:t>主要原因是：</w:t>
      </w:r>
      <w:r>
        <w:rPr>
          <w:rFonts w:hint="eastAsia"/>
          <w:highlight w:val="none"/>
        </w:rPr>
        <w:t>财政审核要求2024年年初预算县级项目比2023年年初县级预算项目缩减10%。</w:t>
      </w:r>
      <w:r>
        <w:rPr>
          <w:rFonts w:hint="eastAsia"/>
          <w:highlight w:val="none"/>
          <w:lang w:val="en-US" w:eastAsia="zh-CN"/>
        </w:rPr>
        <w:t>。</w:t>
      </w:r>
    </w:p>
    <w:p>
      <w:pPr>
        <w:pStyle w:val="30"/>
        <w:spacing w:after="0" w:line="619" w:lineRule="exact"/>
        <w:ind w:firstLine="740"/>
        <w:jc w:val="left"/>
        <w:rPr>
          <w:rFonts w:hint="eastAsia"/>
          <w:highlight w:val="none"/>
          <w:lang w:val="en-US" w:eastAsia="zh-CN"/>
        </w:rPr>
      </w:pPr>
      <w:r>
        <w:rPr>
          <w:rFonts w:hint="eastAsia" w:ascii="宋体" w:hAnsi="宋体" w:eastAsia="宋体" w:cs="宋体"/>
          <w:sz w:val="28"/>
          <w:szCs w:val="28"/>
        </w:rPr>
        <w:t>(</w:t>
      </w:r>
      <w:r>
        <w:rPr>
          <w:rFonts w:ascii="宋体" w:hAnsi="宋体" w:eastAsia="宋体" w:cs="宋体"/>
          <w:sz w:val="28"/>
          <w:u w:color="auto"/>
        </w:rPr>
        <w:t>3)工资福利支出</w:t>
      </w:r>
      <w:r>
        <w:rPr>
          <w:rFonts w:hint="eastAsia" w:ascii="宋体" w:hAnsi="宋体" w:eastAsia="宋体" w:cs="宋体"/>
          <w:sz w:val="28"/>
          <w:szCs w:val="28"/>
          <w:lang w:val="en-US" w:eastAsia="zh-CN"/>
        </w:rPr>
        <w:t>3370.60</w:t>
      </w:r>
      <w:r>
        <w:rPr>
          <w:rFonts w:hint="eastAsia" w:ascii="宋体" w:hAnsi="宋体" w:eastAsia="宋体" w:cs="宋体"/>
          <w:sz w:val="28"/>
          <w:szCs w:val="28"/>
        </w:rPr>
        <w:t>万</w:t>
      </w:r>
      <w:r>
        <w:rPr>
          <w:rFonts w:ascii="宋体" w:hAnsi="宋体" w:eastAsia="宋体" w:cs="宋体"/>
          <w:sz w:val="28"/>
          <w:szCs w:val="28"/>
        </w:rPr>
        <w:t>元，占基本支出总预算</w:t>
      </w:r>
      <w:r>
        <w:rPr>
          <w:rFonts w:hint="eastAsia" w:ascii="宋体" w:hAnsi="宋体" w:eastAsia="宋体" w:cs="宋体"/>
          <w:sz w:val="28"/>
          <w:szCs w:val="28"/>
          <w:lang w:val="en-US" w:eastAsia="zh-CN"/>
        </w:rPr>
        <w:t>89.72%</w:t>
      </w:r>
      <w:r>
        <w:rPr>
          <w:rFonts w:hint="eastAsia"/>
        </w:rPr>
        <w:t>,</w:t>
      </w:r>
      <w:r>
        <w:t>比上年</w:t>
      </w:r>
      <w:r>
        <w:rPr>
          <w:rFonts w:hint="eastAsia"/>
        </w:rPr>
        <w:t>增长450.68</w:t>
      </w:r>
      <w:r>
        <w:t>万元，</w:t>
      </w:r>
      <w:r>
        <w:rPr>
          <w:rFonts w:hint="eastAsia"/>
        </w:rPr>
        <w:t>增长15.43%</w:t>
      </w:r>
      <w:r>
        <w:rPr>
          <w:rFonts w:ascii="Times New Roman" w:hAnsi="Times New Roman" w:eastAsia="Times New Roman" w:cs="Times New Roman"/>
          <w:sz w:val="30"/>
          <w:szCs w:val="30"/>
          <w:highlight w:val="none"/>
        </w:rPr>
        <w:t>,</w:t>
      </w:r>
      <w:r>
        <w:rPr>
          <w:highlight w:val="none"/>
        </w:rPr>
        <w:t>主要原因是：</w:t>
      </w:r>
      <w:r>
        <w:rPr>
          <w:rFonts w:hint="eastAsia"/>
          <w:highlight w:val="none"/>
        </w:rPr>
        <w:t>在职人员增加，2023年年初预算在职人员214人，2024年年初预算包括合并过来的遥感监测站、糖业发展中心，水果发展中心共计在职人员234人。</w:t>
      </w:r>
      <w:r>
        <w:rPr>
          <w:rFonts w:hint="eastAsia"/>
          <w:highlight w:val="none"/>
          <w:lang w:val="en-US" w:eastAsia="zh-CN"/>
        </w:rPr>
        <w:t>。</w:t>
      </w:r>
    </w:p>
    <w:p>
      <w:pPr>
        <w:pStyle w:val="18"/>
        <w:numPr>
          <w:ilvl w:val="0"/>
          <w:numId w:val="1"/>
        </w:numPr>
        <w:spacing w:line="614" w:lineRule="exact"/>
        <w:ind w:firstLine="600"/>
        <w:jc w:val="left"/>
      </w:pPr>
      <w:r>
        <w:t>项目支出预算。</w:t>
      </w:r>
    </w:p>
    <w:p>
      <w:pPr>
        <w:pStyle w:val="18"/>
        <w:spacing w:line="619" w:lineRule="exact"/>
        <w:ind w:firstLine="600"/>
        <w:jc w:val="left"/>
        <w:rPr>
          <w:rFonts w:hint="eastAsia"/>
          <w:lang w:val="en-US" w:eastAsia="zh-CN"/>
        </w:rPr>
      </w:pPr>
      <w:r>
        <w:rPr>
          <w:rFonts w:hint="eastAsia"/>
        </w:rPr>
        <w:t>项目支出预算</w:t>
      </w:r>
      <w:r>
        <w:rPr>
          <w:rFonts w:hint="eastAsia"/>
          <w:lang w:val="en-US" w:eastAsia="zh-CN"/>
        </w:rPr>
        <w:t>5037.91</w:t>
      </w:r>
      <w:r>
        <w:rPr>
          <w:rFonts w:hint="eastAsia"/>
        </w:rPr>
        <w:t>万元，占支出预算</w:t>
      </w:r>
      <w:r>
        <w:rPr>
          <w:u w:color="auto"/>
        </w:rPr>
        <w:t>57.28%</w:t>
      </w:r>
      <w:r>
        <w:rPr>
          <w:rFonts w:hint="eastAsia"/>
        </w:rPr>
        <w:t>,比上年</w:t>
      </w:r>
      <w:r>
        <w:rPr>
          <w:u w:color="auto"/>
        </w:rPr>
        <w:t>减少1281.70</w:t>
      </w:r>
      <w:r>
        <w:rPr>
          <w:rFonts w:hint="eastAsia"/>
        </w:rPr>
        <w:t>万元，</w:t>
      </w:r>
      <w:r>
        <w:rPr>
          <w:u w:color="auto"/>
        </w:rPr>
        <w:t>减少20.28%</w:t>
      </w:r>
      <w:r>
        <w:t>。</w:t>
      </w:r>
      <w:r>
        <w:rPr>
          <w:rFonts w:hint="eastAsia"/>
          <w:lang w:val="en-US" w:eastAsia="zh-CN"/>
        </w:rPr>
        <w:t>其中：</w:t>
      </w:r>
    </w:p>
    <w:p>
      <w:pPr>
        <w:pStyle w:val="30"/>
        <w:spacing w:after="0" w:line="619" w:lineRule="exact"/>
        <w:ind w:firstLine="740"/>
        <w:jc w:val="left"/>
        <w:rPr>
          <w:rFonts w:hint="eastAsia"/>
          <w:highlight w:val="none"/>
          <w:lang w:val="en-US" w:eastAsia="zh-CN"/>
        </w:rPr>
      </w:pPr>
      <w:r>
        <w:rPr>
          <w:rFonts w:hint="eastAsia" w:ascii="宋体" w:hAnsi="宋体" w:eastAsia="宋体" w:cs="宋体"/>
          <w:sz w:val="28"/>
          <w:szCs w:val="28"/>
        </w:rPr>
        <w:t>(</w:t>
      </w:r>
      <w:r>
        <w:rPr>
          <w:rFonts w:ascii="宋体" w:hAnsi="宋体" w:eastAsia="宋体" w:cs="宋体"/>
          <w:sz w:val="28"/>
          <w:u w:color="auto"/>
        </w:rPr>
        <w:t>1)商品和服务支出</w:t>
      </w:r>
      <w:r>
        <w:rPr>
          <w:rFonts w:hint="eastAsia" w:ascii="宋体" w:hAnsi="宋体" w:eastAsia="宋体" w:cs="宋体"/>
          <w:sz w:val="28"/>
          <w:szCs w:val="28"/>
          <w:lang w:val="en-US" w:eastAsia="zh-CN"/>
        </w:rPr>
        <w:t>887.96</w:t>
      </w:r>
      <w:r>
        <w:rPr>
          <w:rFonts w:hint="eastAsia" w:ascii="宋体" w:hAnsi="宋体" w:eastAsia="宋体" w:cs="宋体"/>
          <w:sz w:val="28"/>
          <w:szCs w:val="28"/>
        </w:rPr>
        <w:t>万</w:t>
      </w:r>
      <w:r>
        <w:rPr>
          <w:rFonts w:ascii="宋体" w:hAnsi="宋体" w:eastAsia="宋体" w:cs="宋体"/>
          <w:sz w:val="28"/>
          <w:szCs w:val="28"/>
        </w:rPr>
        <w:t>元，占</w:t>
      </w:r>
      <w:r>
        <w:rPr>
          <w:rFonts w:hint="eastAsia"/>
        </w:rPr>
        <w:t>项目</w:t>
      </w:r>
      <w:r>
        <w:rPr>
          <w:rFonts w:ascii="宋体" w:hAnsi="宋体" w:eastAsia="宋体" w:cs="宋体"/>
          <w:sz w:val="28"/>
          <w:szCs w:val="28"/>
        </w:rPr>
        <w:t>支出总预算</w:t>
      </w:r>
      <w:r>
        <w:rPr>
          <w:rFonts w:hint="eastAsia" w:ascii="宋体" w:hAnsi="宋体" w:eastAsia="宋体" w:cs="宋体"/>
          <w:sz w:val="28"/>
          <w:szCs w:val="28"/>
          <w:lang w:val="en-US" w:eastAsia="zh-CN"/>
        </w:rPr>
        <w:t>17.63%</w:t>
      </w:r>
      <w:r>
        <w:t>,比上年</w:t>
      </w:r>
      <w:r>
        <w:rPr>
          <w:rFonts w:hint="eastAsia"/>
        </w:rPr>
        <w:t>减少372.52</w:t>
      </w:r>
      <w:r>
        <w:t>万元，</w:t>
      </w:r>
      <w:r>
        <w:rPr>
          <w:rFonts w:hint="eastAsia"/>
        </w:rPr>
        <w:t>减少29.55%</w:t>
      </w:r>
      <w:r>
        <w:rPr>
          <w:rFonts w:ascii="Times New Roman" w:hAnsi="Times New Roman" w:eastAsia="Times New Roman" w:cs="Times New Roman"/>
          <w:sz w:val="30"/>
          <w:szCs w:val="30"/>
          <w:highlight w:val="none"/>
        </w:rPr>
        <w:t>,</w:t>
      </w:r>
      <w:r>
        <w:rPr>
          <w:highlight w:val="none"/>
        </w:rPr>
        <w:t>主要原因是：</w:t>
      </w:r>
      <w:r>
        <w:rPr>
          <w:rFonts w:hint="eastAsia"/>
          <w:highlight w:val="none"/>
        </w:rPr>
        <w:t>2024年年初预算项目中商品和服务支出项目比2023年年初预算项目少。</w:t>
      </w:r>
      <w:r>
        <w:rPr>
          <w:rFonts w:hint="eastAsia"/>
          <w:highlight w:val="none"/>
          <w:lang w:val="en-US" w:eastAsia="zh-CN"/>
        </w:rPr>
        <w:t>。</w:t>
      </w:r>
    </w:p>
    <w:p>
      <w:pPr>
        <w:pStyle w:val="30"/>
        <w:spacing w:after="0" w:line="619" w:lineRule="exact"/>
        <w:ind w:firstLine="740"/>
        <w:jc w:val="left"/>
        <w:rPr>
          <w:rFonts w:hint="eastAsia"/>
          <w:highlight w:val="none"/>
          <w:lang w:val="en-US" w:eastAsia="zh-CN"/>
        </w:rPr>
      </w:pPr>
      <w:r>
        <w:rPr>
          <w:rFonts w:hint="eastAsia" w:ascii="宋体" w:hAnsi="宋体" w:eastAsia="宋体" w:cs="宋体"/>
          <w:sz w:val="28"/>
          <w:szCs w:val="28"/>
        </w:rPr>
        <w:t>(</w:t>
      </w:r>
      <w:r>
        <w:rPr>
          <w:rFonts w:ascii="宋体" w:hAnsi="宋体" w:eastAsia="宋体" w:cs="宋体"/>
          <w:sz w:val="28"/>
          <w:u w:color="auto"/>
        </w:rPr>
        <w:t>2)对企业补助（基本建设）</w:t>
      </w:r>
      <w:r>
        <w:rPr>
          <w:rFonts w:hint="eastAsia" w:ascii="宋体" w:hAnsi="宋体" w:eastAsia="宋体" w:cs="宋体"/>
          <w:sz w:val="28"/>
          <w:szCs w:val="28"/>
          <w:lang w:val="en-US" w:eastAsia="zh-CN"/>
        </w:rPr>
        <w:t>170.00</w:t>
      </w:r>
      <w:r>
        <w:rPr>
          <w:rFonts w:hint="eastAsia" w:ascii="宋体" w:hAnsi="宋体" w:eastAsia="宋体" w:cs="宋体"/>
          <w:sz w:val="28"/>
          <w:szCs w:val="28"/>
        </w:rPr>
        <w:t>万</w:t>
      </w:r>
      <w:r>
        <w:rPr>
          <w:rFonts w:ascii="宋体" w:hAnsi="宋体" w:eastAsia="宋体" w:cs="宋体"/>
          <w:sz w:val="28"/>
          <w:szCs w:val="28"/>
        </w:rPr>
        <w:t>元，占</w:t>
      </w:r>
      <w:r>
        <w:rPr>
          <w:rFonts w:hint="eastAsia"/>
        </w:rPr>
        <w:t>项目</w:t>
      </w:r>
      <w:r>
        <w:rPr>
          <w:rFonts w:ascii="宋体" w:hAnsi="宋体" w:eastAsia="宋体" w:cs="宋体"/>
          <w:sz w:val="28"/>
          <w:szCs w:val="28"/>
        </w:rPr>
        <w:t>支出总预算</w:t>
      </w:r>
      <w:r>
        <w:rPr>
          <w:rFonts w:hint="eastAsia" w:ascii="宋体" w:hAnsi="宋体" w:eastAsia="宋体" w:cs="宋体"/>
          <w:sz w:val="28"/>
          <w:szCs w:val="28"/>
          <w:lang w:val="en-US" w:eastAsia="zh-CN"/>
        </w:rPr>
        <w:t>3.37%</w:t>
      </w:r>
      <w:r>
        <w:t>,比上年</w:t>
      </w:r>
      <w:r>
        <w:rPr>
          <w:rFonts w:hint="eastAsia"/>
        </w:rPr>
        <w:t>增长170.00</w:t>
      </w:r>
      <w:r>
        <w:t>万元，</w:t>
      </w:r>
      <w:r>
        <w:rPr>
          <w:rFonts w:hint="eastAsia"/>
        </w:rPr>
        <w:t>增长100%</w:t>
      </w:r>
      <w:r>
        <w:rPr>
          <w:rFonts w:ascii="Times New Roman" w:hAnsi="Times New Roman" w:eastAsia="Times New Roman" w:cs="Times New Roman"/>
          <w:sz w:val="30"/>
          <w:szCs w:val="30"/>
          <w:highlight w:val="none"/>
        </w:rPr>
        <w:t>,</w:t>
      </w:r>
      <w:r>
        <w:rPr>
          <w:highlight w:val="none"/>
        </w:rPr>
        <w:t>主要原因是：</w:t>
      </w:r>
      <w:r>
        <w:rPr>
          <w:rFonts w:hint="eastAsia"/>
          <w:highlight w:val="none"/>
        </w:rPr>
        <w:t>2023年中央转移支付项目设施桑蚕项目资金170万元当年未支付，结转至2024年预算。</w:t>
      </w:r>
      <w:r>
        <w:rPr>
          <w:rFonts w:hint="eastAsia"/>
          <w:highlight w:val="none"/>
          <w:lang w:val="en-US" w:eastAsia="zh-CN"/>
        </w:rPr>
        <w:t>。</w:t>
      </w:r>
    </w:p>
    <w:p>
      <w:pPr>
        <w:pStyle w:val="30"/>
        <w:spacing w:after="0" w:line="619" w:lineRule="exact"/>
        <w:ind w:firstLine="740"/>
        <w:jc w:val="left"/>
        <w:rPr>
          <w:rFonts w:hint="eastAsia"/>
          <w:highlight w:val="none"/>
          <w:lang w:val="en-US" w:eastAsia="zh-CN"/>
        </w:rPr>
      </w:pPr>
      <w:r>
        <w:rPr>
          <w:rFonts w:hint="eastAsia" w:ascii="宋体" w:hAnsi="宋体" w:eastAsia="宋体" w:cs="宋体"/>
          <w:sz w:val="28"/>
          <w:szCs w:val="28"/>
        </w:rPr>
        <w:t>(</w:t>
      </w:r>
      <w:r>
        <w:rPr>
          <w:rFonts w:ascii="宋体" w:hAnsi="宋体" w:eastAsia="宋体" w:cs="宋体"/>
          <w:sz w:val="28"/>
          <w:u w:color="auto"/>
        </w:rPr>
        <w:t>3)资本性支出（基本建设）</w:t>
      </w:r>
      <w:r>
        <w:rPr>
          <w:rFonts w:hint="eastAsia" w:ascii="宋体" w:hAnsi="宋体" w:eastAsia="宋体" w:cs="宋体"/>
          <w:sz w:val="28"/>
          <w:szCs w:val="28"/>
          <w:lang w:val="en-US" w:eastAsia="zh-CN"/>
        </w:rPr>
        <w:t>0.00</w:t>
      </w:r>
      <w:r>
        <w:rPr>
          <w:rFonts w:hint="eastAsia" w:ascii="宋体" w:hAnsi="宋体" w:eastAsia="宋体" w:cs="宋体"/>
          <w:sz w:val="28"/>
          <w:szCs w:val="28"/>
        </w:rPr>
        <w:t>万</w:t>
      </w:r>
      <w:r>
        <w:rPr>
          <w:rFonts w:ascii="宋体" w:hAnsi="宋体" w:eastAsia="宋体" w:cs="宋体"/>
          <w:sz w:val="28"/>
          <w:szCs w:val="28"/>
        </w:rPr>
        <w:t>元，占</w:t>
      </w:r>
      <w:r>
        <w:rPr>
          <w:rFonts w:hint="eastAsia"/>
        </w:rPr>
        <w:t>项目</w:t>
      </w:r>
      <w:r>
        <w:rPr>
          <w:rFonts w:ascii="宋体" w:hAnsi="宋体" w:eastAsia="宋体" w:cs="宋体"/>
          <w:sz w:val="28"/>
          <w:szCs w:val="28"/>
        </w:rPr>
        <w:t>支出总预算</w:t>
      </w:r>
      <w:r>
        <w:rPr>
          <w:rFonts w:hint="eastAsia" w:ascii="宋体" w:hAnsi="宋体" w:eastAsia="宋体" w:cs="宋体"/>
          <w:sz w:val="28"/>
          <w:szCs w:val="28"/>
          <w:lang w:val="en-US" w:eastAsia="zh-CN"/>
        </w:rPr>
        <w:t>0.00%</w:t>
      </w:r>
      <w:r>
        <w:t>,比上年</w:t>
      </w:r>
      <w:r>
        <w:rPr>
          <w:rFonts w:hint="eastAsia"/>
        </w:rPr>
        <w:t>减少2517.35</w:t>
      </w:r>
      <w:r>
        <w:t>万元，</w:t>
      </w:r>
      <w:r>
        <w:rPr>
          <w:rFonts w:hint="eastAsia"/>
        </w:rPr>
        <w:t>减少100.00%</w:t>
      </w:r>
      <w:r>
        <w:rPr>
          <w:rFonts w:ascii="Times New Roman" w:hAnsi="Times New Roman" w:eastAsia="Times New Roman" w:cs="Times New Roman"/>
          <w:sz w:val="30"/>
          <w:szCs w:val="30"/>
          <w:highlight w:val="none"/>
        </w:rPr>
        <w:t>,</w:t>
      </w:r>
      <w:r>
        <w:rPr>
          <w:highlight w:val="none"/>
        </w:rPr>
        <w:t>主要原因是：</w:t>
      </w:r>
      <w:r>
        <w:rPr>
          <w:rFonts w:hint="eastAsia"/>
          <w:highlight w:val="none"/>
        </w:rPr>
        <w:t>2024年年初预算项目在资金本性支出列支。</w:t>
      </w:r>
      <w:r>
        <w:rPr>
          <w:rFonts w:hint="eastAsia"/>
          <w:highlight w:val="none"/>
          <w:lang w:val="en-US" w:eastAsia="zh-CN"/>
        </w:rPr>
        <w:t>。</w:t>
      </w:r>
    </w:p>
    <w:p>
      <w:pPr>
        <w:pStyle w:val="30"/>
        <w:spacing w:after="0" w:line="619" w:lineRule="exact"/>
        <w:ind w:firstLine="740"/>
        <w:jc w:val="left"/>
        <w:rPr>
          <w:rFonts w:hint="eastAsia"/>
          <w:highlight w:val="none"/>
          <w:lang w:val="en-US" w:eastAsia="zh-CN"/>
        </w:rPr>
      </w:pPr>
      <w:r>
        <w:rPr>
          <w:rFonts w:hint="eastAsia" w:ascii="宋体" w:hAnsi="宋体" w:eastAsia="宋体" w:cs="宋体"/>
          <w:sz w:val="28"/>
          <w:szCs w:val="28"/>
        </w:rPr>
        <w:t>(</w:t>
      </w:r>
      <w:r>
        <w:rPr>
          <w:rFonts w:ascii="宋体" w:hAnsi="宋体" w:eastAsia="宋体" w:cs="宋体"/>
          <w:sz w:val="28"/>
          <w:u w:color="auto"/>
        </w:rPr>
        <w:t>4)对企业补助</w:t>
      </w:r>
      <w:r>
        <w:rPr>
          <w:rFonts w:hint="eastAsia" w:ascii="宋体" w:hAnsi="宋体" w:eastAsia="宋体" w:cs="宋体"/>
          <w:sz w:val="28"/>
          <w:szCs w:val="28"/>
          <w:lang w:val="en-US" w:eastAsia="zh-CN"/>
        </w:rPr>
        <w:t>744.07</w:t>
      </w:r>
      <w:r>
        <w:rPr>
          <w:rFonts w:hint="eastAsia" w:ascii="宋体" w:hAnsi="宋体" w:eastAsia="宋体" w:cs="宋体"/>
          <w:sz w:val="28"/>
          <w:szCs w:val="28"/>
        </w:rPr>
        <w:t>万</w:t>
      </w:r>
      <w:r>
        <w:rPr>
          <w:rFonts w:ascii="宋体" w:hAnsi="宋体" w:eastAsia="宋体" w:cs="宋体"/>
          <w:sz w:val="28"/>
          <w:szCs w:val="28"/>
        </w:rPr>
        <w:t>元，占</w:t>
      </w:r>
      <w:r>
        <w:rPr>
          <w:rFonts w:hint="eastAsia"/>
        </w:rPr>
        <w:t>项目</w:t>
      </w:r>
      <w:r>
        <w:rPr>
          <w:rFonts w:ascii="宋体" w:hAnsi="宋体" w:eastAsia="宋体" w:cs="宋体"/>
          <w:sz w:val="28"/>
          <w:szCs w:val="28"/>
        </w:rPr>
        <w:t>支出总预算</w:t>
      </w:r>
      <w:r>
        <w:rPr>
          <w:rFonts w:hint="eastAsia" w:ascii="宋体" w:hAnsi="宋体" w:eastAsia="宋体" w:cs="宋体"/>
          <w:sz w:val="28"/>
          <w:szCs w:val="28"/>
          <w:lang w:val="en-US" w:eastAsia="zh-CN"/>
        </w:rPr>
        <w:t>14.77%</w:t>
      </w:r>
      <w:r>
        <w:t>,比上年</w:t>
      </w:r>
      <w:r>
        <w:rPr>
          <w:rFonts w:hint="eastAsia"/>
        </w:rPr>
        <w:t>增长271.78</w:t>
      </w:r>
      <w:r>
        <w:t>万元，</w:t>
      </w:r>
      <w:r>
        <w:rPr>
          <w:rFonts w:hint="eastAsia"/>
        </w:rPr>
        <w:t>增长57.55%</w:t>
      </w:r>
      <w:r>
        <w:rPr>
          <w:rFonts w:ascii="Times New Roman" w:hAnsi="Times New Roman" w:eastAsia="Times New Roman" w:cs="Times New Roman"/>
          <w:sz w:val="30"/>
          <w:szCs w:val="30"/>
          <w:highlight w:val="none"/>
        </w:rPr>
        <w:t>,</w:t>
      </w:r>
      <w:r>
        <w:rPr>
          <w:highlight w:val="none"/>
        </w:rPr>
        <w:t>主要原因是：</w:t>
      </w:r>
      <w:r>
        <w:rPr>
          <w:rFonts w:hint="eastAsia"/>
          <w:highlight w:val="none"/>
        </w:rPr>
        <w:t>2024年年初预算有自治区奖补资金400万元。</w:t>
      </w:r>
      <w:r>
        <w:rPr>
          <w:rFonts w:hint="eastAsia"/>
          <w:highlight w:val="none"/>
          <w:lang w:val="en-US" w:eastAsia="zh-CN"/>
        </w:rPr>
        <w:t>。</w:t>
      </w:r>
    </w:p>
    <w:p>
      <w:pPr>
        <w:pStyle w:val="30"/>
        <w:spacing w:after="0" w:line="619" w:lineRule="exact"/>
        <w:ind w:firstLine="740"/>
        <w:jc w:val="left"/>
        <w:rPr>
          <w:rFonts w:hint="eastAsia"/>
          <w:highlight w:val="none"/>
          <w:lang w:val="en-US" w:eastAsia="zh-CN"/>
        </w:rPr>
      </w:pPr>
      <w:r>
        <w:rPr>
          <w:rFonts w:hint="eastAsia" w:ascii="宋体" w:hAnsi="宋体" w:eastAsia="宋体" w:cs="宋体"/>
          <w:sz w:val="28"/>
          <w:szCs w:val="28"/>
        </w:rPr>
        <w:t>(</w:t>
      </w:r>
      <w:r>
        <w:rPr>
          <w:rFonts w:ascii="宋体" w:hAnsi="宋体" w:eastAsia="宋体" w:cs="宋体"/>
          <w:sz w:val="28"/>
          <w:u w:color="auto"/>
        </w:rPr>
        <w:t>5)对个人和家庭的补助</w:t>
      </w:r>
      <w:r>
        <w:rPr>
          <w:rFonts w:hint="eastAsia" w:ascii="宋体" w:hAnsi="宋体" w:eastAsia="宋体" w:cs="宋体"/>
          <w:sz w:val="28"/>
          <w:szCs w:val="28"/>
          <w:lang w:val="en-US" w:eastAsia="zh-CN"/>
        </w:rPr>
        <w:t>156.42</w:t>
      </w:r>
      <w:r>
        <w:rPr>
          <w:rFonts w:hint="eastAsia" w:ascii="宋体" w:hAnsi="宋体" w:eastAsia="宋体" w:cs="宋体"/>
          <w:sz w:val="28"/>
          <w:szCs w:val="28"/>
        </w:rPr>
        <w:t>万</w:t>
      </w:r>
      <w:r>
        <w:rPr>
          <w:rFonts w:ascii="宋体" w:hAnsi="宋体" w:eastAsia="宋体" w:cs="宋体"/>
          <w:sz w:val="28"/>
          <w:szCs w:val="28"/>
        </w:rPr>
        <w:t>元，占</w:t>
      </w:r>
      <w:r>
        <w:rPr>
          <w:rFonts w:hint="eastAsia"/>
        </w:rPr>
        <w:t>项目</w:t>
      </w:r>
      <w:r>
        <w:rPr>
          <w:rFonts w:ascii="宋体" w:hAnsi="宋体" w:eastAsia="宋体" w:cs="宋体"/>
          <w:sz w:val="28"/>
          <w:szCs w:val="28"/>
        </w:rPr>
        <w:t>支出总预算</w:t>
      </w:r>
      <w:r>
        <w:rPr>
          <w:rFonts w:hint="eastAsia" w:ascii="宋体" w:hAnsi="宋体" w:eastAsia="宋体" w:cs="宋体"/>
          <w:sz w:val="28"/>
          <w:szCs w:val="28"/>
          <w:lang w:val="en-US" w:eastAsia="zh-CN"/>
        </w:rPr>
        <w:t>3.10%</w:t>
      </w:r>
      <w:r>
        <w:t>,比上年</w:t>
      </w:r>
      <w:r>
        <w:rPr>
          <w:rFonts w:hint="eastAsia"/>
        </w:rPr>
        <w:t>增长151.20</w:t>
      </w:r>
      <w:r>
        <w:t>万元，</w:t>
      </w:r>
      <w:r>
        <w:rPr>
          <w:rFonts w:hint="eastAsia"/>
        </w:rPr>
        <w:t>增长2896.55%</w:t>
      </w:r>
      <w:r>
        <w:rPr>
          <w:rFonts w:ascii="Times New Roman" w:hAnsi="Times New Roman" w:eastAsia="Times New Roman" w:cs="Times New Roman"/>
          <w:sz w:val="30"/>
          <w:szCs w:val="30"/>
          <w:highlight w:val="none"/>
        </w:rPr>
        <w:t>,</w:t>
      </w:r>
      <w:r>
        <w:rPr>
          <w:highlight w:val="none"/>
        </w:rPr>
        <w:t>主要原因是：</w:t>
      </w:r>
      <w:r>
        <w:rPr>
          <w:rFonts w:hint="eastAsia"/>
          <w:highlight w:val="none"/>
        </w:rPr>
        <w:t>2024年年初预算新增加3个单位人员，生意人对个人和家庭的补助项目也增加。</w:t>
      </w:r>
      <w:r>
        <w:rPr>
          <w:rFonts w:hint="eastAsia"/>
          <w:highlight w:val="none"/>
          <w:lang w:val="en-US" w:eastAsia="zh-CN"/>
        </w:rPr>
        <w:t>。</w:t>
      </w:r>
    </w:p>
    <w:p>
      <w:pPr>
        <w:pStyle w:val="30"/>
        <w:spacing w:after="0" w:line="619" w:lineRule="exact"/>
        <w:ind w:firstLine="740"/>
        <w:jc w:val="left"/>
        <w:rPr>
          <w:rFonts w:hint="eastAsia"/>
          <w:highlight w:val="none"/>
          <w:lang w:val="en-US" w:eastAsia="zh-CN"/>
        </w:rPr>
      </w:pPr>
      <w:r>
        <w:rPr>
          <w:rFonts w:hint="eastAsia" w:ascii="宋体" w:hAnsi="宋体" w:eastAsia="宋体" w:cs="宋体"/>
          <w:sz w:val="28"/>
          <w:szCs w:val="28"/>
        </w:rPr>
        <w:t>(</w:t>
      </w:r>
      <w:r>
        <w:rPr>
          <w:rFonts w:ascii="宋体" w:hAnsi="宋体" w:eastAsia="宋体" w:cs="宋体"/>
          <w:sz w:val="28"/>
          <w:u w:color="auto"/>
        </w:rPr>
        <w:t>6)资本性支出</w:t>
      </w:r>
      <w:r>
        <w:rPr>
          <w:rFonts w:hint="eastAsia" w:ascii="宋体" w:hAnsi="宋体" w:eastAsia="宋体" w:cs="宋体"/>
          <w:sz w:val="28"/>
          <w:szCs w:val="28"/>
          <w:lang w:val="en-US" w:eastAsia="zh-CN"/>
        </w:rPr>
        <w:t>3079.46</w:t>
      </w:r>
      <w:r>
        <w:rPr>
          <w:rFonts w:hint="eastAsia" w:ascii="宋体" w:hAnsi="宋体" w:eastAsia="宋体" w:cs="宋体"/>
          <w:sz w:val="28"/>
          <w:szCs w:val="28"/>
        </w:rPr>
        <w:t>万</w:t>
      </w:r>
      <w:r>
        <w:rPr>
          <w:rFonts w:ascii="宋体" w:hAnsi="宋体" w:eastAsia="宋体" w:cs="宋体"/>
          <w:sz w:val="28"/>
          <w:szCs w:val="28"/>
        </w:rPr>
        <w:t>元，占</w:t>
      </w:r>
      <w:r>
        <w:rPr>
          <w:rFonts w:hint="eastAsia"/>
        </w:rPr>
        <w:t>项目</w:t>
      </w:r>
      <w:r>
        <w:rPr>
          <w:rFonts w:ascii="宋体" w:hAnsi="宋体" w:eastAsia="宋体" w:cs="宋体"/>
          <w:sz w:val="28"/>
          <w:szCs w:val="28"/>
        </w:rPr>
        <w:t>支出总预算</w:t>
      </w:r>
      <w:r>
        <w:rPr>
          <w:rFonts w:hint="eastAsia" w:ascii="宋体" w:hAnsi="宋体" w:eastAsia="宋体" w:cs="宋体"/>
          <w:sz w:val="28"/>
          <w:szCs w:val="28"/>
          <w:lang w:val="en-US" w:eastAsia="zh-CN"/>
        </w:rPr>
        <w:t>61.13%</w:t>
      </w:r>
      <w:r>
        <w:t>,比上年</w:t>
      </w:r>
      <w:r>
        <w:rPr>
          <w:rFonts w:hint="eastAsia"/>
        </w:rPr>
        <w:t>增长1019.19</w:t>
      </w:r>
      <w:r>
        <w:t>万元，</w:t>
      </w:r>
      <w:r>
        <w:rPr>
          <w:rFonts w:hint="eastAsia"/>
        </w:rPr>
        <w:t>增长49.47%</w:t>
      </w:r>
      <w:r>
        <w:rPr>
          <w:rFonts w:ascii="Times New Roman" w:hAnsi="Times New Roman" w:eastAsia="Times New Roman" w:cs="Times New Roman"/>
          <w:sz w:val="30"/>
          <w:szCs w:val="30"/>
          <w:highlight w:val="none"/>
        </w:rPr>
        <w:t>,</w:t>
      </w:r>
      <w:r>
        <w:rPr>
          <w:highlight w:val="none"/>
        </w:rPr>
        <w:t>主要原因是：</w:t>
      </w:r>
      <w:r>
        <w:rPr>
          <w:rFonts w:hint="eastAsia"/>
          <w:highlight w:val="none"/>
        </w:rPr>
        <w:t>2024年年初预算项目类为资金性支出项目比2023年项目多。</w:t>
      </w:r>
      <w:r>
        <w:rPr>
          <w:rFonts w:hint="eastAsia"/>
          <w:highlight w:val="none"/>
          <w:lang w:val="en-US" w:eastAsia="zh-CN"/>
        </w:rPr>
        <w:t>。</w:t>
      </w:r>
    </w:p>
    <w:p>
      <w:pPr>
        <w:pStyle w:val="30"/>
        <w:spacing w:after="0" w:line="619" w:lineRule="exact"/>
        <w:ind w:firstLine="740"/>
        <w:jc w:val="left"/>
        <w:rPr>
          <w:rFonts w:hint="eastAsia"/>
          <w:highlight w:val="none"/>
          <w:lang w:val="en-US" w:eastAsia="zh-CN"/>
        </w:rPr>
      </w:pPr>
      <w:r>
        <w:rPr>
          <w:rFonts w:hint="eastAsia" w:ascii="宋体" w:hAnsi="宋体" w:eastAsia="宋体" w:cs="宋体"/>
          <w:sz w:val="28"/>
          <w:szCs w:val="28"/>
        </w:rPr>
        <w:t>(</w:t>
      </w:r>
      <w:r>
        <w:rPr>
          <w:rFonts w:ascii="宋体" w:hAnsi="宋体" w:eastAsia="宋体" w:cs="宋体"/>
          <w:sz w:val="28"/>
          <w:u w:color="auto"/>
        </w:rPr>
        <w:t>7)工资福利支出</w:t>
      </w:r>
      <w:r>
        <w:rPr>
          <w:rFonts w:hint="eastAsia" w:ascii="宋体" w:hAnsi="宋体" w:eastAsia="宋体" w:cs="宋体"/>
          <w:sz w:val="28"/>
          <w:szCs w:val="28"/>
          <w:lang w:val="en-US" w:eastAsia="zh-CN"/>
        </w:rPr>
        <w:t>0.00</w:t>
      </w:r>
      <w:r>
        <w:rPr>
          <w:rFonts w:hint="eastAsia" w:ascii="宋体" w:hAnsi="宋体" w:eastAsia="宋体" w:cs="宋体"/>
          <w:sz w:val="28"/>
          <w:szCs w:val="28"/>
        </w:rPr>
        <w:t>万</w:t>
      </w:r>
      <w:r>
        <w:rPr>
          <w:rFonts w:ascii="宋体" w:hAnsi="宋体" w:eastAsia="宋体" w:cs="宋体"/>
          <w:sz w:val="28"/>
          <w:szCs w:val="28"/>
        </w:rPr>
        <w:t>元，占</w:t>
      </w:r>
      <w:r>
        <w:rPr>
          <w:rFonts w:hint="eastAsia"/>
        </w:rPr>
        <w:t>项目</w:t>
      </w:r>
      <w:r>
        <w:rPr>
          <w:rFonts w:ascii="宋体" w:hAnsi="宋体" w:eastAsia="宋体" w:cs="宋体"/>
          <w:sz w:val="28"/>
          <w:szCs w:val="28"/>
        </w:rPr>
        <w:t>支出总预算</w:t>
      </w:r>
      <w:r>
        <w:rPr>
          <w:rFonts w:hint="eastAsia" w:ascii="宋体" w:hAnsi="宋体" w:eastAsia="宋体" w:cs="宋体"/>
          <w:sz w:val="28"/>
          <w:szCs w:val="28"/>
          <w:lang w:val="en-US" w:eastAsia="zh-CN"/>
        </w:rPr>
        <w:t>0.00%</w:t>
      </w:r>
      <w:r>
        <w:t>,比上年</w:t>
      </w:r>
      <w:r>
        <w:rPr>
          <w:rFonts w:hint="eastAsia"/>
        </w:rPr>
        <w:t>减少4.00</w:t>
      </w:r>
      <w:r>
        <w:t>万元，</w:t>
      </w:r>
      <w:r>
        <w:rPr>
          <w:rFonts w:hint="eastAsia"/>
        </w:rPr>
        <w:t>减少100.00%</w:t>
      </w:r>
      <w:r>
        <w:rPr>
          <w:rFonts w:ascii="Times New Roman" w:hAnsi="Times New Roman" w:eastAsia="Times New Roman" w:cs="Times New Roman"/>
          <w:sz w:val="30"/>
          <w:szCs w:val="30"/>
          <w:highlight w:val="none"/>
        </w:rPr>
        <w:t>,</w:t>
      </w:r>
      <w:r>
        <w:rPr>
          <w:highlight w:val="none"/>
        </w:rPr>
        <w:t>主要原因是：</w:t>
      </w:r>
      <w:r>
        <w:rPr>
          <w:rFonts w:hint="eastAsia"/>
          <w:highlight w:val="none"/>
        </w:rPr>
        <w:t>该项目主要用于安保支出，但决算时要求项目支出不能从其他工资福利支出列支，因此改由劳务费列支</w:t>
      </w:r>
      <w:r>
        <w:rPr>
          <w:rFonts w:hint="eastAsia"/>
          <w:highlight w:val="none"/>
          <w:lang w:val="en-US" w:eastAsia="zh-CN"/>
        </w:rPr>
        <w:t>。</w:t>
      </w:r>
    </w:p>
    <w:p>
      <w:pPr>
        <w:pStyle w:val="16"/>
        <w:numPr>
          <w:ilvl w:val="0"/>
          <w:numId w:val="0"/>
        </w:numPr>
        <w:tabs>
          <w:tab w:val="left" w:pos="1238"/>
        </w:tabs>
        <w:spacing w:after="0" w:line="625" w:lineRule="exact"/>
        <w:jc w:val="left"/>
        <w:rPr>
          <w:b/>
          <w:bCs/>
        </w:rPr>
      </w:pPr>
    </w:p>
    <w:p>
      <w:pPr>
        <w:pStyle w:val="16"/>
        <w:tabs>
          <w:tab w:val="left" w:pos="1235"/>
        </w:tabs>
        <w:spacing w:after="0" w:line="624" w:lineRule="exact"/>
        <w:ind w:firstLine="580"/>
        <w:jc w:val="left"/>
        <w:rPr>
          <w:b/>
          <w:bCs/>
        </w:rPr>
      </w:pPr>
      <w:r>
        <w:rPr>
          <w:rFonts w:hint="eastAsia"/>
          <w:b/>
          <w:bCs/>
          <w:lang w:val="en-US" w:eastAsia="zh-CN"/>
        </w:rPr>
        <w:t>四、</w:t>
      </w:r>
      <w:r>
        <w:rPr>
          <w:b/>
          <w:bCs/>
        </w:rPr>
        <w:t>财政拨款收支总体情况说明</w:t>
      </w:r>
    </w:p>
    <w:p>
      <w:pPr>
        <w:pStyle w:val="18"/>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20955" b="14605"/>
            <wp:docPr id="648"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18"/>
        <w:spacing w:line="624" w:lineRule="exact"/>
        <w:ind w:firstLine="600"/>
        <w:jc w:val="left"/>
        <w:rPr>
          <w:rFonts w:hint="eastAsia" w:ascii="宋体" w:hAnsi="宋体" w:eastAsia="宋体" w:cs="宋体"/>
          <w:sz w:val="28"/>
          <w:szCs w:val="28"/>
        </w:rPr>
      </w:pPr>
      <w:r>
        <w:rPr>
          <w:rFonts w:hint="eastAsia" w:ascii="宋体" w:hAnsi="宋体" w:eastAsia="宋体" w:cs="宋体"/>
          <w:sz w:val="28"/>
          <w:szCs w:val="28"/>
          <w:lang w:eastAsia="zh-CN"/>
        </w:rPr>
        <w:t>2024</w:t>
      </w:r>
      <w:r>
        <w:rPr>
          <w:rFonts w:hint="eastAsia" w:ascii="宋体" w:hAnsi="宋体" w:eastAsia="宋体" w:cs="宋体"/>
          <w:sz w:val="28"/>
          <w:szCs w:val="28"/>
          <w:u w:color="auto"/>
        </w:rPr>
        <w:t>年</w:t>
      </w:r>
      <w:r>
        <w:rPr>
          <w:rFonts w:hint="eastAsia" w:ascii="宋体" w:hAnsi="宋体" w:eastAsia="宋体" w:cs="宋体"/>
          <w:sz w:val="28"/>
          <w:szCs w:val="28"/>
        </w:rPr>
        <w:t>财政拨款收入我部门财政拨款总收入</w:t>
      </w:r>
      <w:r>
        <w:rPr>
          <w:rFonts w:hint="eastAsia" w:ascii="宋体" w:hAnsi="宋体" w:eastAsia="宋体" w:cs="宋体"/>
          <w:sz w:val="28"/>
          <w:szCs w:val="28"/>
          <w:lang w:val="en-US" w:eastAsia="zh-CN" w:bidi="en-US"/>
        </w:rPr>
        <w:t>8794.80</w:t>
      </w:r>
      <w:r>
        <w:rPr>
          <w:rFonts w:hint="eastAsia" w:ascii="宋体" w:hAnsi="宋体" w:eastAsia="宋体" w:cs="宋体"/>
          <w:sz w:val="28"/>
          <w:szCs w:val="28"/>
        </w:rPr>
        <w:t>万元，总支出</w:t>
      </w:r>
      <w:r>
        <w:rPr>
          <w:rFonts w:hint="eastAsia" w:ascii="宋体" w:hAnsi="宋体" w:eastAsia="宋体" w:cs="宋体"/>
          <w:sz w:val="28"/>
          <w:szCs w:val="28"/>
          <w:lang w:val="en-US" w:eastAsia="zh-CN" w:bidi="en-US"/>
        </w:rPr>
        <w:t>8794.80</w:t>
      </w:r>
      <w:r>
        <w:rPr>
          <w:rFonts w:hint="eastAsia" w:ascii="宋体" w:hAnsi="宋体" w:eastAsia="宋体" w:cs="宋体"/>
          <w:sz w:val="28"/>
          <w:szCs w:val="28"/>
        </w:rPr>
        <w:t>万元。财政拨款总收入较2023年度预算数</w:t>
      </w:r>
      <w:r>
        <w:rPr>
          <w:rFonts w:hint="eastAsia" w:ascii="宋体" w:hAnsi="宋体" w:eastAsia="宋体" w:cs="宋体"/>
          <w:sz w:val="28"/>
          <w:szCs w:val="28"/>
          <w:lang w:val="en-US" w:eastAsia="zh-CN" w:bidi="en-US"/>
        </w:rPr>
        <w:t>9538.43</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减少743.63</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下降7.80%</w:t>
      </w:r>
      <w:r>
        <w:rPr>
          <w:rFonts w:hint="eastAsia" w:ascii="宋体" w:hAnsi="宋体" w:eastAsia="宋体" w:cs="宋体"/>
          <w:sz w:val="28"/>
          <w:szCs w:val="28"/>
        </w:rPr>
        <w:t>，主要原因是</w:t>
      </w:r>
      <w:r>
        <w:rPr>
          <w:rFonts w:hint="eastAsia"/>
          <w:highlight w:val="none"/>
          <w:lang w:val="en-US" w:eastAsia="zh-CN"/>
        </w:rPr>
        <w:t>2024年年初预算项目支出比2023年年初预算项目支出少。</w:t>
      </w:r>
      <w:r>
        <w:rPr>
          <w:rFonts w:hint="eastAsia" w:ascii="宋体" w:hAnsi="宋体" w:eastAsia="宋体" w:cs="宋体"/>
          <w:sz w:val="28"/>
          <w:szCs w:val="28"/>
        </w:rPr>
        <w:t>。财政拨款总支出较2023年度预算数</w:t>
      </w:r>
      <w:r>
        <w:rPr>
          <w:rFonts w:hint="eastAsia" w:ascii="宋体" w:hAnsi="宋体" w:eastAsia="宋体" w:cs="宋体"/>
          <w:sz w:val="28"/>
          <w:szCs w:val="28"/>
          <w:lang w:val="en-US" w:eastAsia="zh-CN" w:bidi="en-US"/>
        </w:rPr>
        <w:t>9538.43</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减少743.63</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下降7.80%</w:t>
      </w:r>
      <w:r>
        <w:rPr>
          <w:rFonts w:hint="eastAsia" w:ascii="宋体" w:hAnsi="宋体" w:eastAsia="宋体" w:cs="宋体"/>
          <w:sz w:val="28"/>
          <w:szCs w:val="28"/>
        </w:rPr>
        <w:t>，主要原因是</w:t>
      </w:r>
      <w:r>
        <w:rPr>
          <w:rFonts w:hint="eastAsia"/>
          <w:highlight w:val="none"/>
          <w:lang w:val="en-US" w:eastAsia="zh-CN"/>
        </w:rPr>
        <w:t>2024年年初预算项目支出比2023年年初预算项目支出少</w:t>
      </w:r>
      <w:r>
        <w:rPr>
          <w:rFonts w:hint="eastAsia" w:ascii="宋体" w:hAnsi="宋体" w:eastAsia="宋体" w:cs="宋体"/>
          <w:sz w:val="28"/>
          <w:szCs w:val="28"/>
        </w:rPr>
        <w:t>。</w:t>
      </w:r>
    </w:p>
    <w:p>
      <w:pPr>
        <w:pStyle w:val="16"/>
        <w:numPr>
          <w:ilvl w:val="0"/>
          <w:numId w:val="0"/>
        </w:numPr>
        <w:tabs>
          <w:tab w:val="left" w:pos="1238"/>
        </w:tabs>
        <w:spacing w:after="0" w:line="625" w:lineRule="exact"/>
        <w:ind w:firstLine="560" w:firstLineChars="200"/>
        <w:jc w:val="left"/>
        <w:rPr>
          <w:rFonts w:hint="eastAsia"/>
          <w:sz w:val="28"/>
          <w:szCs w:val="28"/>
        </w:rPr>
      </w:pPr>
    </w:p>
    <w:p>
      <w:pPr>
        <w:pStyle w:val="16"/>
        <w:tabs>
          <w:tab w:val="left" w:pos="1235"/>
        </w:tabs>
        <w:spacing w:after="0" w:line="624" w:lineRule="exact"/>
        <w:ind w:firstLine="580"/>
        <w:jc w:val="left"/>
        <w:rPr>
          <w:b/>
          <w:bCs/>
        </w:rPr>
      </w:pPr>
      <w:r>
        <w:rPr>
          <w:rFonts w:hint="eastAsia"/>
          <w:b/>
          <w:bCs/>
          <w:lang w:val="en-US" w:eastAsia="zh-CN"/>
        </w:rPr>
        <w:t>五、</w:t>
      </w:r>
      <w:r>
        <w:rPr>
          <w:b/>
          <w:bCs/>
        </w:rPr>
        <w:t>一般公共预算支出情况说明</w:t>
      </w:r>
    </w:p>
    <w:p>
      <w:pPr>
        <w:pStyle w:val="18"/>
        <w:spacing w:line="240" w:lineRule="auto"/>
        <w:ind w:firstLine="0"/>
        <w:jc w:val="left"/>
        <w:rPr>
          <w:lang w:eastAsia="zh-CN"/>
        </w:rPr>
      </w:pPr>
      <w:r>
        <w:rPr>
          <w:lang w:eastAsia="zh-CN"/>
        </w:rPr>
        <w:drawing>
          <wp:inline distT="0" distB="0" distL="114300" distR="114300">
            <wp:extent cx="5080000" cy="3810000"/>
            <wp:effectExtent l="4445" t="4445" r="20955" b="14605"/>
            <wp:docPr id="649"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pStyle w:val="18"/>
        <w:spacing w:line="623" w:lineRule="exact"/>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lang w:eastAsia="zh-CN"/>
        </w:rPr>
        <w:t>2024</w:t>
      </w:r>
      <w:r>
        <w:rPr>
          <w:rFonts w:hint="eastAsia" w:ascii="宋体" w:hAnsi="宋体" w:eastAsia="宋体" w:cs="宋体"/>
          <w:sz w:val="28"/>
          <w:szCs w:val="28"/>
          <w:lang w:val="en-US" w:eastAsia="zh-CN"/>
        </w:rPr>
        <w:t>年</w:t>
      </w:r>
      <w:r>
        <w:rPr>
          <w:rFonts w:hint="eastAsia" w:ascii="宋体" w:hAnsi="宋体" w:eastAsia="宋体" w:cs="宋体"/>
          <w:sz w:val="28"/>
          <w:szCs w:val="28"/>
        </w:rPr>
        <w:t>一般公共预算支出共</w:t>
      </w:r>
      <w:r>
        <w:rPr>
          <w:rFonts w:hint="eastAsia" w:ascii="宋体" w:hAnsi="宋体" w:eastAsia="宋体" w:cs="宋体"/>
          <w:sz w:val="28"/>
          <w:szCs w:val="28"/>
          <w:lang w:val="en-US" w:eastAsia="zh-CN"/>
        </w:rPr>
        <w:t>8794.80</w:t>
      </w:r>
      <w:r>
        <w:rPr>
          <w:rFonts w:hint="eastAsia" w:ascii="宋体" w:hAnsi="宋体" w:eastAsia="宋体" w:cs="宋体"/>
          <w:sz w:val="28"/>
          <w:szCs w:val="28"/>
        </w:rPr>
        <w:t>万元，较2023年度预算数</w:t>
      </w:r>
      <w:r>
        <w:rPr>
          <w:rFonts w:hint="eastAsia" w:ascii="宋体" w:hAnsi="宋体" w:eastAsia="宋体" w:cs="宋体"/>
          <w:sz w:val="28"/>
          <w:szCs w:val="28"/>
          <w:lang w:val="en-US" w:eastAsia="zh-CN"/>
        </w:rPr>
        <w:t>9538.43</w:t>
      </w:r>
      <w:r>
        <w:rPr>
          <w:rFonts w:hint="eastAsia" w:ascii="宋体" w:hAnsi="宋体" w:eastAsia="宋体" w:cs="宋体"/>
          <w:sz w:val="28"/>
          <w:szCs w:val="28"/>
        </w:rPr>
        <w:t>万元，</w:t>
      </w:r>
      <w:r>
        <w:rPr>
          <w:rFonts w:hint="eastAsia" w:ascii="宋体" w:hAnsi="宋体" w:eastAsia="宋体" w:cs="宋体"/>
          <w:sz w:val="28"/>
          <w:szCs w:val="28"/>
          <w:lang w:val="en-US" w:eastAsia="zh-CN"/>
        </w:rPr>
        <w:t>减少743.63</w:t>
      </w:r>
      <w:r>
        <w:rPr>
          <w:rFonts w:hint="eastAsia" w:ascii="宋体" w:hAnsi="宋体" w:eastAsia="宋体" w:cs="宋体"/>
          <w:sz w:val="28"/>
          <w:szCs w:val="28"/>
        </w:rPr>
        <w:t>万元，</w:t>
      </w:r>
      <w:r>
        <w:rPr>
          <w:rFonts w:hint="eastAsia" w:ascii="宋体" w:hAnsi="宋体" w:eastAsia="宋体" w:cs="宋体"/>
          <w:sz w:val="28"/>
          <w:szCs w:val="28"/>
          <w:lang w:val="en-US" w:eastAsia="zh-CN"/>
        </w:rPr>
        <w:t>下降7.80%</w:t>
      </w:r>
      <w:r>
        <w:rPr>
          <w:rFonts w:hint="eastAsia" w:ascii="宋体" w:hAnsi="宋体" w:eastAsia="宋体" w:cs="宋体"/>
          <w:sz w:val="28"/>
          <w:szCs w:val="28"/>
        </w:rPr>
        <w:t>，主要原因是</w:t>
      </w:r>
      <w:r>
        <w:rPr>
          <w:rFonts w:hint="eastAsia"/>
          <w:highlight w:val="none"/>
          <w:lang w:val="en-US" w:eastAsia="zh-CN"/>
        </w:rPr>
        <w:t>2024年年初预算项目支出比2023年年初预算项目支出少</w:t>
      </w:r>
      <w:r>
        <w:rPr>
          <w:rFonts w:hint="eastAsia" w:ascii="宋体" w:hAnsi="宋体" w:eastAsia="宋体" w:cs="宋体"/>
          <w:sz w:val="28"/>
          <w:szCs w:val="28"/>
        </w:rPr>
        <w:t>。中央提前下达2024年一般公共预算转移支付资金安排的支出</w:t>
      </w:r>
      <w:r>
        <w:rPr>
          <w:rFonts w:hint="eastAsia" w:ascii="宋体" w:hAnsi="宋体" w:eastAsia="宋体" w:cs="宋体"/>
          <w:sz w:val="28"/>
          <w:szCs w:val="28"/>
          <w:lang w:val="en-US" w:eastAsia="zh-CN"/>
        </w:rPr>
        <w:t>1280.00</w:t>
      </w:r>
      <w:r>
        <w:rPr>
          <w:rFonts w:hint="eastAsia" w:ascii="宋体" w:hAnsi="宋体" w:eastAsia="宋体" w:cs="宋体"/>
          <w:sz w:val="28"/>
          <w:szCs w:val="28"/>
        </w:rPr>
        <w:t>万元。具体情况为：</w:t>
      </w:r>
    </w:p>
    <w:p>
      <w:pPr>
        <w:pStyle w:val="18"/>
        <w:spacing w:line="623" w:lineRule="exact"/>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rPr>
        <w:t>一般公共服务支出（类）支出</w:t>
      </w:r>
      <w:r>
        <w:rPr>
          <w:rFonts w:ascii="宋体" w:hAnsi="宋体" w:eastAsia="宋体" w:cs="宋体"/>
          <w:sz w:val="28"/>
          <w:u w:color="auto"/>
        </w:rPr>
        <w:t>35.24</w:t>
      </w:r>
      <w:r>
        <w:rPr>
          <w:rFonts w:hint="eastAsia" w:ascii="宋体" w:hAnsi="宋体" w:eastAsia="宋体" w:cs="宋体"/>
          <w:sz w:val="28"/>
          <w:szCs w:val="28"/>
        </w:rPr>
        <w:t>万元，占支出总预算的</w:t>
      </w:r>
      <w:r>
        <w:rPr>
          <w:rFonts w:ascii="宋体" w:hAnsi="宋体" w:eastAsia="宋体" w:cs="宋体"/>
          <w:sz w:val="28"/>
          <w:u w:color="auto"/>
        </w:rPr>
        <w:t>0.40%</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49.60</w:t>
      </w:r>
      <w:r>
        <w:rPr>
          <w:rFonts w:hint="eastAsia" w:ascii="宋体" w:hAnsi="宋体" w:eastAsia="宋体" w:cs="宋体"/>
          <w:sz w:val="28"/>
          <w:szCs w:val="28"/>
        </w:rPr>
        <w:t>万元，</w:t>
      </w:r>
      <w:r>
        <w:rPr>
          <w:rFonts w:ascii="宋体" w:hAnsi="宋体" w:eastAsia="宋体" w:cs="宋体"/>
          <w:sz w:val="28"/>
          <w:u w:color="auto"/>
        </w:rPr>
        <w:t>减少14.36</w:t>
      </w:r>
      <w:r>
        <w:rPr>
          <w:rFonts w:hint="eastAsia" w:ascii="宋体" w:hAnsi="宋体" w:eastAsia="宋体" w:cs="宋体"/>
          <w:sz w:val="28"/>
          <w:szCs w:val="28"/>
        </w:rPr>
        <w:t>万元，</w:t>
      </w:r>
      <w:r>
        <w:rPr>
          <w:rFonts w:ascii="宋体" w:hAnsi="宋体" w:eastAsia="宋体" w:cs="宋体"/>
          <w:sz w:val="28"/>
          <w:u w:color="auto"/>
        </w:rPr>
        <w:t>减少28.95%</w:t>
      </w:r>
      <w:r>
        <w:rPr>
          <w:rFonts w:hint="eastAsia" w:ascii="宋体" w:hAnsi="宋体" w:eastAsia="宋体" w:cs="宋体"/>
          <w:sz w:val="28"/>
          <w:szCs w:val="28"/>
        </w:rPr>
        <w:t>，主要原因是：</w:t>
      </w:r>
      <w:r>
        <w:rPr>
          <w:rFonts w:hint="eastAsia"/>
          <w:highlight w:val="none"/>
        </w:rPr>
        <w:t>2024年年初预算县级预算车辆费用通过公车运行维护费列支，项目产生的车辆费用通知其他交通费用列支。2023年不管是县级预算或是上级项目支出的所有车辆费用都通过公车运行维护费列支</w:t>
      </w:r>
      <w:r>
        <w:rPr>
          <w:rFonts w:hint="eastAsia" w:ascii="宋体" w:hAnsi="宋体" w:eastAsia="宋体" w:cs="宋体"/>
          <w:sz w:val="28"/>
          <w:szCs w:val="28"/>
        </w:rPr>
        <w:t>。</w:t>
      </w:r>
    </w:p>
    <w:p>
      <w:pPr>
        <w:pStyle w:val="18"/>
        <w:spacing w:line="623" w:lineRule="exact"/>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rPr>
        <w:t>住房保障支出（类）支出</w:t>
      </w:r>
      <w:r>
        <w:rPr>
          <w:rFonts w:ascii="宋体" w:hAnsi="宋体" w:eastAsia="宋体" w:cs="宋体"/>
          <w:sz w:val="28"/>
          <w:u w:color="auto"/>
        </w:rPr>
        <w:t>346.27</w:t>
      </w:r>
      <w:r>
        <w:rPr>
          <w:rFonts w:hint="eastAsia" w:ascii="宋体" w:hAnsi="宋体" w:eastAsia="宋体" w:cs="宋体"/>
          <w:sz w:val="28"/>
          <w:szCs w:val="28"/>
        </w:rPr>
        <w:t>万元，占支出总预算的</w:t>
      </w:r>
      <w:r>
        <w:rPr>
          <w:rFonts w:ascii="宋体" w:hAnsi="宋体" w:eastAsia="宋体" w:cs="宋体"/>
          <w:sz w:val="28"/>
          <w:u w:color="auto"/>
        </w:rPr>
        <w:t>3.94%</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297.63</w:t>
      </w:r>
      <w:r>
        <w:rPr>
          <w:rFonts w:hint="eastAsia" w:ascii="宋体" w:hAnsi="宋体" w:eastAsia="宋体" w:cs="宋体"/>
          <w:sz w:val="28"/>
          <w:szCs w:val="28"/>
        </w:rPr>
        <w:t>万元，</w:t>
      </w:r>
      <w:r>
        <w:rPr>
          <w:rFonts w:ascii="宋体" w:hAnsi="宋体" w:eastAsia="宋体" w:cs="宋体"/>
          <w:sz w:val="28"/>
          <w:u w:color="auto"/>
        </w:rPr>
        <w:t>增长48.64</w:t>
      </w:r>
      <w:r>
        <w:rPr>
          <w:rFonts w:hint="eastAsia" w:ascii="宋体" w:hAnsi="宋体" w:eastAsia="宋体" w:cs="宋体"/>
          <w:sz w:val="28"/>
          <w:szCs w:val="28"/>
        </w:rPr>
        <w:t>万元，</w:t>
      </w:r>
      <w:r>
        <w:rPr>
          <w:rFonts w:ascii="宋体" w:hAnsi="宋体" w:eastAsia="宋体" w:cs="宋体"/>
          <w:sz w:val="28"/>
          <w:u w:color="auto"/>
        </w:rPr>
        <w:t>增长16.34%</w:t>
      </w:r>
      <w:r>
        <w:rPr>
          <w:rFonts w:hint="eastAsia" w:ascii="宋体" w:hAnsi="宋体" w:eastAsia="宋体" w:cs="宋体"/>
          <w:sz w:val="28"/>
          <w:szCs w:val="28"/>
        </w:rPr>
        <w:t>，主要原因是：</w:t>
      </w:r>
      <w:r>
        <w:rPr>
          <w:rFonts w:hint="eastAsia"/>
          <w:highlight w:val="none"/>
        </w:rPr>
        <w:t>在职人员增加，2023年年初预算在职人员214人，2024年年初预算包括合并过来的遥感监测站、糖业发展中心，水果发展中心共计在职人员234人</w:t>
      </w:r>
      <w:r>
        <w:rPr>
          <w:rFonts w:hint="eastAsia" w:ascii="宋体" w:hAnsi="宋体" w:eastAsia="宋体" w:cs="宋体"/>
          <w:sz w:val="28"/>
          <w:szCs w:val="28"/>
        </w:rPr>
        <w:t>。</w:t>
      </w:r>
    </w:p>
    <w:p>
      <w:pPr>
        <w:pStyle w:val="18"/>
        <w:spacing w:line="623" w:lineRule="exact"/>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rPr>
        <w:t>农林水支出（类）支出</w:t>
      </w:r>
      <w:r>
        <w:rPr>
          <w:rFonts w:ascii="宋体" w:hAnsi="宋体" w:eastAsia="宋体" w:cs="宋体"/>
          <w:sz w:val="28"/>
          <w:u w:color="auto"/>
        </w:rPr>
        <w:t>8009.45</w:t>
      </w:r>
      <w:r>
        <w:rPr>
          <w:rFonts w:hint="eastAsia" w:ascii="宋体" w:hAnsi="宋体" w:eastAsia="宋体" w:cs="宋体"/>
          <w:sz w:val="28"/>
          <w:szCs w:val="28"/>
        </w:rPr>
        <w:t>万元，占支出总预算的</w:t>
      </w:r>
      <w:r>
        <w:rPr>
          <w:rFonts w:ascii="宋体" w:hAnsi="宋体" w:eastAsia="宋体" w:cs="宋体"/>
          <w:sz w:val="28"/>
          <w:u w:color="auto"/>
        </w:rPr>
        <w:t>91.07%</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8670.72</w:t>
      </w:r>
      <w:r>
        <w:rPr>
          <w:rFonts w:hint="eastAsia" w:ascii="宋体" w:hAnsi="宋体" w:eastAsia="宋体" w:cs="宋体"/>
          <w:sz w:val="28"/>
          <w:szCs w:val="28"/>
        </w:rPr>
        <w:t>万元，</w:t>
      </w:r>
      <w:r>
        <w:rPr>
          <w:rFonts w:ascii="宋体" w:hAnsi="宋体" w:eastAsia="宋体" w:cs="宋体"/>
          <w:sz w:val="28"/>
          <w:u w:color="auto"/>
        </w:rPr>
        <w:t>减少661.27</w:t>
      </w:r>
      <w:r>
        <w:rPr>
          <w:rFonts w:hint="eastAsia" w:ascii="宋体" w:hAnsi="宋体" w:eastAsia="宋体" w:cs="宋体"/>
          <w:sz w:val="28"/>
          <w:szCs w:val="28"/>
        </w:rPr>
        <w:t>万元，</w:t>
      </w:r>
      <w:r>
        <w:rPr>
          <w:rFonts w:ascii="宋体" w:hAnsi="宋体" w:eastAsia="宋体" w:cs="宋体"/>
          <w:sz w:val="28"/>
          <w:u w:color="auto"/>
        </w:rPr>
        <w:t>减少7.63%</w:t>
      </w:r>
      <w:r>
        <w:rPr>
          <w:rFonts w:hint="eastAsia" w:ascii="宋体" w:hAnsi="宋体" w:eastAsia="宋体" w:cs="宋体"/>
          <w:sz w:val="28"/>
          <w:szCs w:val="28"/>
        </w:rPr>
        <w:t>，主要原因是：</w:t>
      </w:r>
      <w:r>
        <w:rPr>
          <w:rFonts w:hint="eastAsia"/>
          <w:highlight w:val="none"/>
        </w:rPr>
        <w:t>高标准农田建设2023年年初预算数为3648.82万元，2024年年初预算数为2906.65万元。农业生产发展资金2023年年初预算数为712.84万元，2024年年初预算数为607.06万元，冷链建设项目2023年年初预算数为383.51万元。2024年年初没有预算数。其他小项目预算数有增有减，增减幅度不大</w:t>
      </w:r>
      <w:r>
        <w:rPr>
          <w:rFonts w:hint="eastAsia" w:ascii="宋体" w:hAnsi="宋体" w:eastAsia="宋体" w:cs="宋体"/>
          <w:sz w:val="28"/>
          <w:szCs w:val="28"/>
        </w:rPr>
        <w:t>。</w:t>
      </w:r>
    </w:p>
    <w:p>
      <w:pPr>
        <w:pStyle w:val="18"/>
        <w:spacing w:line="623" w:lineRule="exact"/>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rPr>
        <w:t>社会保障和就业支出（类）支出</w:t>
      </w:r>
      <w:r>
        <w:rPr>
          <w:rFonts w:ascii="宋体" w:hAnsi="宋体" w:eastAsia="宋体" w:cs="宋体"/>
          <w:sz w:val="28"/>
          <w:u w:color="auto"/>
        </w:rPr>
        <w:t>403.83</w:t>
      </w:r>
      <w:r>
        <w:rPr>
          <w:rFonts w:hint="eastAsia" w:ascii="宋体" w:hAnsi="宋体" w:eastAsia="宋体" w:cs="宋体"/>
          <w:sz w:val="28"/>
          <w:szCs w:val="28"/>
        </w:rPr>
        <w:t>万元，占支出总预算的</w:t>
      </w:r>
      <w:r>
        <w:rPr>
          <w:rFonts w:ascii="宋体" w:hAnsi="宋体" w:eastAsia="宋体" w:cs="宋体"/>
          <w:sz w:val="28"/>
          <w:u w:color="auto"/>
        </w:rPr>
        <w:t>4.59%</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396.81</w:t>
      </w:r>
      <w:r>
        <w:rPr>
          <w:rFonts w:hint="eastAsia" w:ascii="宋体" w:hAnsi="宋体" w:eastAsia="宋体" w:cs="宋体"/>
          <w:sz w:val="28"/>
          <w:szCs w:val="28"/>
        </w:rPr>
        <w:t>万元，</w:t>
      </w:r>
      <w:r>
        <w:rPr>
          <w:rFonts w:ascii="宋体" w:hAnsi="宋体" w:eastAsia="宋体" w:cs="宋体"/>
          <w:sz w:val="28"/>
          <w:u w:color="auto"/>
        </w:rPr>
        <w:t>增长7.02</w:t>
      </w:r>
      <w:r>
        <w:rPr>
          <w:rFonts w:hint="eastAsia" w:ascii="宋体" w:hAnsi="宋体" w:eastAsia="宋体" w:cs="宋体"/>
          <w:sz w:val="28"/>
          <w:szCs w:val="28"/>
        </w:rPr>
        <w:t>万元，</w:t>
      </w:r>
      <w:r>
        <w:rPr>
          <w:rFonts w:ascii="宋体" w:hAnsi="宋体" w:eastAsia="宋体" w:cs="宋体"/>
          <w:sz w:val="28"/>
          <w:u w:color="auto"/>
        </w:rPr>
        <w:t>增长1.77%</w:t>
      </w:r>
      <w:r>
        <w:rPr>
          <w:rFonts w:hint="eastAsia" w:ascii="宋体" w:hAnsi="宋体" w:eastAsia="宋体" w:cs="宋体"/>
          <w:sz w:val="28"/>
          <w:szCs w:val="28"/>
        </w:rPr>
        <w:t>，主要原因是：</w:t>
      </w:r>
      <w:r>
        <w:rPr>
          <w:rFonts w:hint="eastAsia"/>
          <w:highlight w:val="none"/>
        </w:rPr>
        <w:t>在职人员增加，2023年年初预算在职人员214人，2024年年初预算包括合并过来的遥感监测站、糖业发展中心，水果发展中心共计在职人员234人</w:t>
      </w:r>
      <w:r>
        <w:rPr>
          <w:rFonts w:hint="eastAsia" w:ascii="宋体" w:hAnsi="宋体" w:eastAsia="宋体" w:cs="宋体"/>
          <w:sz w:val="28"/>
          <w:szCs w:val="28"/>
        </w:rPr>
        <w:t>。</w:t>
      </w:r>
    </w:p>
    <w:p>
      <w:pPr>
        <w:pStyle w:val="18"/>
        <w:spacing w:line="623" w:lineRule="exact"/>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rPr>
        <w:t>节能环保支出（类）支出</w:t>
      </w:r>
      <w:r>
        <w:rPr>
          <w:rFonts w:ascii="宋体" w:hAnsi="宋体" w:eastAsia="宋体" w:cs="宋体"/>
          <w:sz w:val="28"/>
          <w:u w:color="auto"/>
        </w:rPr>
        <w:t>0.00</w:t>
      </w:r>
      <w:r>
        <w:rPr>
          <w:rFonts w:hint="eastAsia" w:ascii="宋体" w:hAnsi="宋体" w:eastAsia="宋体" w:cs="宋体"/>
          <w:sz w:val="28"/>
          <w:szCs w:val="28"/>
        </w:rPr>
        <w:t>万元，占支出总预算的</w:t>
      </w:r>
      <w:r>
        <w:rPr>
          <w:rFonts w:ascii="宋体" w:hAnsi="宋体" w:eastAsia="宋体" w:cs="宋体"/>
          <w:sz w:val="28"/>
          <w:u w:color="auto"/>
        </w:rPr>
        <w:t>0.00%</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123.66</w:t>
      </w:r>
      <w:r>
        <w:rPr>
          <w:rFonts w:hint="eastAsia" w:ascii="宋体" w:hAnsi="宋体" w:eastAsia="宋体" w:cs="宋体"/>
          <w:sz w:val="28"/>
          <w:szCs w:val="28"/>
        </w:rPr>
        <w:t>万元，</w:t>
      </w:r>
      <w:r>
        <w:rPr>
          <w:rFonts w:ascii="宋体" w:hAnsi="宋体" w:eastAsia="宋体" w:cs="宋体"/>
          <w:sz w:val="28"/>
          <w:u w:color="auto"/>
        </w:rPr>
        <w:t>减少123.66</w:t>
      </w:r>
      <w:r>
        <w:rPr>
          <w:rFonts w:hint="eastAsia" w:ascii="宋体" w:hAnsi="宋体" w:eastAsia="宋体" w:cs="宋体"/>
          <w:sz w:val="28"/>
          <w:szCs w:val="28"/>
        </w:rPr>
        <w:t>万元，</w:t>
      </w:r>
      <w:r>
        <w:rPr>
          <w:rFonts w:ascii="宋体" w:hAnsi="宋体" w:eastAsia="宋体" w:cs="宋体"/>
          <w:sz w:val="28"/>
          <w:u w:color="auto"/>
        </w:rPr>
        <w:t>减少100.00%</w:t>
      </w:r>
      <w:r>
        <w:rPr>
          <w:rFonts w:hint="eastAsia" w:ascii="宋体" w:hAnsi="宋体" w:eastAsia="宋体" w:cs="宋体"/>
          <w:sz w:val="28"/>
          <w:szCs w:val="28"/>
        </w:rPr>
        <w:t>，主要原因是：</w:t>
      </w:r>
      <w:r>
        <w:rPr>
          <w:rFonts w:hint="eastAsia"/>
          <w:highlight w:val="none"/>
        </w:rPr>
        <w:t>2024年没有节能环保项目支付</w:t>
      </w:r>
      <w:r>
        <w:rPr>
          <w:rFonts w:hint="eastAsia" w:ascii="宋体" w:hAnsi="宋体" w:eastAsia="宋体" w:cs="宋体"/>
          <w:sz w:val="28"/>
          <w:szCs w:val="28"/>
        </w:rPr>
        <w:t>。</w:t>
      </w:r>
    </w:p>
    <w:p>
      <w:pPr>
        <w:pStyle w:val="16"/>
        <w:tabs>
          <w:tab w:val="left" w:pos="1235"/>
        </w:tabs>
        <w:spacing w:after="0" w:line="624" w:lineRule="exact"/>
        <w:ind w:firstLine="580"/>
        <w:jc w:val="left"/>
        <w:rPr>
          <w:b/>
          <w:bCs/>
        </w:rPr>
      </w:pPr>
      <w:r>
        <w:rPr>
          <w:rFonts w:hint="eastAsia"/>
          <w:b/>
          <w:bCs/>
          <w:lang w:val="en-US" w:eastAsia="zh-CN"/>
        </w:rPr>
        <w:t>六、</w:t>
      </w:r>
      <w:r>
        <w:rPr>
          <w:b/>
          <w:bCs/>
        </w:rPr>
        <w:t>一般公共预算基本支出情况说明</w:t>
      </w:r>
    </w:p>
    <w:p>
      <w:pPr>
        <w:pStyle w:val="16"/>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650"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pStyle w:val="18"/>
        <w:spacing w:line="623" w:lineRule="exact"/>
        <w:ind w:left="0" w:leftChars="0" w:firstLine="560" w:firstLineChars="200"/>
        <w:jc w:val="left"/>
        <w:rPr>
          <w:rFonts w:hint="eastAsia"/>
          <w:lang w:val="en-US" w:eastAsia="zh-CN"/>
        </w:rPr>
      </w:pPr>
      <w:r>
        <w:rPr>
          <w:rFonts w:hint="eastAsia"/>
          <w:lang w:val="en-US" w:eastAsia="zh-CN"/>
        </w:rPr>
        <w:t>2024</w:t>
      </w:r>
      <w:r>
        <w:rPr>
          <w:u w:color="auto"/>
        </w:rPr>
        <w:t>年</w:t>
      </w:r>
      <w:r>
        <w:rPr>
          <w:rFonts w:hint="eastAsia"/>
        </w:rPr>
        <w:t>一般公共预算基本支出共</w:t>
      </w:r>
      <w:r>
        <w:rPr>
          <w:rFonts w:hint="eastAsia"/>
          <w:lang w:val="en-US" w:eastAsia="zh-CN"/>
        </w:rPr>
        <w:t>3756.88</w:t>
      </w:r>
      <w:r>
        <w:rPr>
          <w:rFonts w:hint="eastAsia"/>
        </w:rPr>
        <w:t>万元，较2023年度预算数</w:t>
      </w:r>
      <w:r>
        <w:rPr>
          <w:rFonts w:hint="eastAsia"/>
          <w:lang w:val="en-US" w:eastAsia="zh-CN"/>
        </w:rPr>
        <w:t>3218.81</w:t>
      </w:r>
      <w:r>
        <w:rPr>
          <w:rFonts w:hint="eastAsia"/>
        </w:rPr>
        <w:t>万元</w:t>
      </w:r>
      <w:r>
        <w:rPr>
          <w:rFonts w:hint="eastAsia"/>
          <w:lang w:val="en-US" w:eastAsia="zh-CN"/>
        </w:rPr>
        <w:t>,</w:t>
      </w:r>
      <w:r>
        <w:rPr>
          <w:u w:color="auto"/>
        </w:rPr>
        <w:t>增加538.07</w:t>
      </w:r>
      <w:r>
        <w:rPr>
          <w:rFonts w:hint="eastAsia"/>
        </w:rPr>
        <w:t>万元，</w:t>
      </w:r>
      <w:r>
        <w:rPr>
          <w:rFonts w:hint="eastAsia"/>
          <w:lang w:val="en-US" w:eastAsia="zh-CN"/>
        </w:rPr>
        <w:t>增长16.72%</w:t>
      </w:r>
      <w:r>
        <w:rPr>
          <w:rFonts w:hint="eastAsia"/>
        </w:rPr>
        <w:t>，主要原因是</w:t>
      </w:r>
      <w:r>
        <w:rPr>
          <w:rFonts w:hint="eastAsia"/>
          <w:highlight w:val="none"/>
          <w:lang w:val="en-US" w:eastAsia="zh-CN"/>
        </w:rPr>
        <w:t>在职人员增加，2023年年初预算在职人员214人，2024年年初预算包括合并过来的遥感监测站、糖业发展中心，水果发展中心共计在职人员234人</w:t>
      </w:r>
      <w:r>
        <w:rPr>
          <w:rFonts w:hint="eastAsia"/>
        </w:rPr>
        <w:t>。具体情况为：</w:t>
      </w:r>
    </w:p>
    <w:p>
      <w:pPr>
        <w:pStyle w:val="18"/>
        <w:spacing w:line="626" w:lineRule="exact"/>
        <w:ind w:firstLine="600"/>
        <w:jc w:val="left"/>
        <w:rPr>
          <w:rFonts w:hint="default"/>
          <w:lang w:val="en-US" w:eastAsia="zh-CN"/>
        </w:rPr>
      </w:pPr>
      <w:r>
        <w:rPr>
          <w:rFonts w:hint="eastAsia"/>
          <w:lang w:val="en-US" w:eastAsia="zh-CN"/>
        </w:rPr>
        <w:t>对个人和家庭的补助</w:t>
      </w:r>
      <w:r>
        <w:rPr>
          <w:rFonts w:hint="eastAsia"/>
        </w:rPr>
        <w:t>支出预算</w:t>
      </w:r>
      <w:r>
        <w:rPr>
          <w:rFonts w:hint="eastAsia"/>
          <w:lang w:val="en-US" w:eastAsia="zh-CN"/>
        </w:rPr>
        <w:t>208.11</w:t>
      </w:r>
      <w:r>
        <w:t>万元</w:t>
      </w:r>
      <w:r>
        <w:rPr>
          <w:rFonts w:hint="eastAsia"/>
          <w:lang w:eastAsia="zh-CN"/>
        </w:rPr>
        <w:t>，</w:t>
      </w:r>
      <w:r>
        <w:rPr>
          <w:rFonts w:hint="eastAsia"/>
        </w:rPr>
        <w:t>占基本支出预算的</w:t>
      </w:r>
      <w:r>
        <w:rPr>
          <w:rFonts w:hint="eastAsia"/>
          <w:lang w:val="en-US" w:eastAsia="zh-CN"/>
        </w:rPr>
        <w:t>5.54%</w:t>
      </w:r>
      <w:r>
        <w:rPr>
          <w:rFonts w:hint="eastAsia"/>
        </w:rPr>
        <w:t>，较2023年度预算数</w:t>
      </w:r>
      <w:r>
        <w:rPr>
          <w:rFonts w:hint="eastAsia"/>
          <w:lang w:val="en-US" w:eastAsia="zh-CN"/>
        </w:rPr>
        <w:t>120.58</w:t>
      </w:r>
      <w:r>
        <w:rPr>
          <w:rFonts w:hint="eastAsia"/>
        </w:rPr>
        <w:t>万元，</w:t>
      </w:r>
      <w:r>
        <w:rPr>
          <w:rFonts w:hint="eastAsia"/>
          <w:lang w:val="en-US" w:eastAsia="zh-CN"/>
        </w:rPr>
        <w:t>增长87.53</w:t>
      </w:r>
      <w:r>
        <w:rPr>
          <w:rFonts w:hint="eastAsia"/>
        </w:rPr>
        <w:t>万元，</w:t>
      </w:r>
      <w:r>
        <w:rPr>
          <w:rFonts w:hint="eastAsia"/>
          <w:lang w:val="en-US" w:eastAsia="zh-CN"/>
        </w:rPr>
        <w:t>增长72.59%</w:t>
      </w:r>
      <w:r>
        <w:rPr>
          <w:rFonts w:hint="eastAsia"/>
        </w:rPr>
        <w:t>，主要原因是：</w:t>
      </w:r>
      <w:r>
        <w:rPr>
          <w:rFonts w:hint="eastAsia"/>
          <w:highlight w:val="none"/>
        </w:rPr>
        <w:t>2024年年初预算比2023年年初预算多了粮食补贴类的开支，例如双季稻轮作补贴和粮油单产提升补贴项目</w:t>
      </w:r>
      <w:r>
        <w:rPr>
          <w:rFonts w:hint="eastAsia"/>
          <w:highlight w:val="none"/>
          <w:lang w:val="en-US" w:eastAsia="zh-CN"/>
        </w:rPr>
        <w:t>。</w:t>
      </w:r>
    </w:p>
    <w:p>
      <w:pPr>
        <w:pStyle w:val="18"/>
        <w:spacing w:line="626" w:lineRule="exact"/>
        <w:ind w:firstLine="600"/>
        <w:jc w:val="left"/>
        <w:rPr>
          <w:rFonts w:hint="default"/>
          <w:lang w:val="en-US" w:eastAsia="zh-CN"/>
        </w:rPr>
      </w:pPr>
      <w:r>
        <w:rPr>
          <w:rFonts w:hint="eastAsia"/>
          <w:lang w:val="en-US" w:eastAsia="zh-CN"/>
        </w:rPr>
        <w:t>商品和服务支出</w:t>
      </w:r>
      <w:r>
        <w:rPr>
          <w:rFonts w:hint="eastAsia"/>
        </w:rPr>
        <w:t>支出预算</w:t>
      </w:r>
      <w:r>
        <w:rPr>
          <w:rFonts w:hint="eastAsia"/>
          <w:lang w:val="en-US" w:eastAsia="zh-CN"/>
        </w:rPr>
        <w:t>178.18</w:t>
      </w:r>
      <w:r>
        <w:t>万元</w:t>
      </w:r>
      <w:r>
        <w:rPr>
          <w:rFonts w:hint="eastAsia"/>
          <w:lang w:eastAsia="zh-CN"/>
        </w:rPr>
        <w:t>，</w:t>
      </w:r>
      <w:r>
        <w:rPr>
          <w:rFonts w:hint="eastAsia"/>
        </w:rPr>
        <w:t>占基本支出预算的</w:t>
      </w:r>
      <w:r>
        <w:rPr>
          <w:rFonts w:hint="eastAsia"/>
          <w:lang w:val="en-US" w:eastAsia="zh-CN"/>
        </w:rPr>
        <w:t>4.74%</w:t>
      </w:r>
      <w:r>
        <w:rPr>
          <w:rFonts w:hint="eastAsia"/>
        </w:rPr>
        <w:t>，较2023年度预算数</w:t>
      </w:r>
      <w:r>
        <w:rPr>
          <w:rFonts w:hint="eastAsia"/>
          <w:lang w:val="en-US" w:eastAsia="zh-CN"/>
        </w:rPr>
        <w:t>178.31</w:t>
      </w:r>
      <w:r>
        <w:rPr>
          <w:rFonts w:hint="eastAsia"/>
        </w:rPr>
        <w:t>万元，</w:t>
      </w:r>
      <w:r>
        <w:rPr>
          <w:rFonts w:hint="eastAsia"/>
          <w:lang w:val="en-US" w:eastAsia="zh-CN"/>
        </w:rPr>
        <w:t>减少0.13</w:t>
      </w:r>
      <w:r>
        <w:rPr>
          <w:rFonts w:hint="eastAsia"/>
        </w:rPr>
        <w:t>万元，</w:t>
      </w:r>
      <w:r>
        <w:rPr>
          <w:rFonts w:hint="eastAsia"/>
          <w:lang w:val="en-US" w:eastAsia="zh-CN"/>
        </w:rPr>
        <w:t>减少0.07%</w:t>
      </w:r>
      <w:r>
        <w:rPr>
          <w:rFonts w:hint="eastAsia"/>
        </w:rPr>
        <w:t>，主要原因是：</w:t>
      </w:r>
      <w:r>
        <w:rPr>
          <w:rFonts w:hint="eastAsia"/>
          <w:highlight w:val="none"/>
        </w:rPr>
        <w:t>2024年年初预算项目中商品和服务支出项目比2023年年初预算项目少</w:t>
      </w:r>
      <w:r>
        <w:rPr>
          <w:rFonts w:hint="eastAsia"/>
          <w:highlight w:val="none"/>
          <w:lang w:val="en-US" w:eastAsia="zh-CN"/>
        </w:rPr>
        <w:t>。</w:t>
      </w:r>
    </w:p>
    <w:p>
      <w:pPr>
        <w:pStyle w:val="18"/>
        <w:spacing w:line="626" w:lineRule="exact"/>
        <w:ind w:firstLine="600"/>
        <w:jc w:val="left"/>
        <w:rPr>
          <w:rFonts w:hint="default"/>
          <w:lang w:val="en-US" w:eastAsia="zh-CN"/>
        </w:rPr>
      </w:pPr>
      <w:r>
        <w:rPr>
          <w:rFonts w:hint="eastAsia"/>
          <w:lang w:val="en-US" w:eastAsia="zh-CN"/>
        </w:rPr>
        <w:t>工资福利支出</w:t>
      </w:r>
      <w:r>
        <w:rPr>
          <w:rFonts w:hint="eastAsia"/>
        </w:rPr>
        <w:t>支出预算</w:t>
      </w:r>
      <w:r>
        <w:rPr>
          <w:rFonts w:hint="eastAsia"/>
          <w:lang w:val="en-US" w:eastAsia="zh-CN"/>
        </w:rPr>
        <w:t>3370.60</w:t>
      </w:r>
      <w:r>
        <w:t>万元</w:t>
      </w:r>
      <w:r>
        <w:rPr>
          <w:rFonts w:hint="eastAsia"/>
          <w:lang w:eastAsia="zh-CN"/>
        </w:rPr>
        <w:t>，</w:t>
      </w:r>
      <w:r>
        <w:rPr>
          <w:rFonts w:hint="eastAsia"/>
        </w:rPr>
        <w:t>占基本支出预算的</w:t>
      </w:r>
      <w:r>
        <w:rPr>
          <w:rFonts w:hint="eastAsia"/>
          <w:lang w:val="en-US" w:eastAsia="zh-CN"/>
        </w:rPr>
        <w:t>89.72%</w:t>
      </w:r>
      <w:r>
        <w:rPr>
          <w:rFonts w:hint="eastAsia"/>
        </w:rPr>
        <w:t>，较2023年度预算数</w:t>
      </w:r>
      <w:r>
        <w:rPr>
          <w:rFonts w:hint="eastAsia"/>
          <w:lang w:val="en-US" w:eastAsia="zh-CN"/>
        </w:rPr>
        <w:t>2919.92</w:t>
      </w:r>
      <w:r>
        <w:rPr>
          <w:rFonts w:hint="eastAsia"/>
        </w:rPr>
        <w:t>万元，</w:t>
      </w:r>
      <w:r>
        <w:rPr>
          <w:rFonts w:hint="eastAsia"/>
          <w:lang w:val="en-US" w:eastAsia="zh-CN"/>
        </w:rPr>
        <w:t>增长450.68</w:t>
      </w:r>
      <w:r>
        <w:rPr>
          <w:rFonts w:hint="eastAsia"/>
        </w:rPr>
        <w:t>万元，</w:t>
      </w:r>
      <w:r>
        <w:rPr>
          <w:rFonts w:hint="eastAsia"/>
          <w:lang w:val="en-US" w:eastAsia="zh-CN"/>
        </w:rPr>
        <w:t>增长15.43%</w:t>
      </w:r>
      <w:r>
        <w:rPr>
          <w:rFonts w:hint="eastAsia"/>
        </w:rPr>
        <w:t>，主要原因是：</w:t>
      </w:r>
      <w:r>
        <w:rPr>
          <w:rFonts w:hint="eastAsia"/>
          <w:highlight w:val="none"/>
        </w:rPr>
        <w:t>在职人员增加，2023年年初预算在职人员214人，2024年年初预算包括合并过来的遥感监测站、糖业发展中心，水果发展中心共计在职人员234人</w:t>
      </w:r>
      <w:r>
        <w:rPr>
          <w:rFonts w:hint="eastAsia"/>
          <w:highlight w:val="none"/>
          <w:lang w:val="en-US" w:eastAsia="zh-CN"/>
        </w:rPr>
        <w:t>。</w:t>
      </w:r>
    </w:p>
    <w:p>
      <w:pPr>
        <w:pStyle w:val="16"/>
        <w:tabs>
          <w:tab w:val="left" w:pos="1235"/>
        </w:tabs>
        <w:spacing w:after="0" w:line="624" w:lineRule="exact"/>
        <w:ind w:firstLine="580"/>
        <w:jc w:val="left"/>
        <w:rPr>
          <w:rFonts w:hint="eastAsia"/>
          <w:b/>
          <w:bCs/>
        </w:rPr>
      </w:pPr>
      <w:r>
        <w:rPr>
          <w:rFonts w:hint="eastAsia"/>
          <w:b/>
          <w:bCs/>
          <w:lang w:val="en-US" w:eastAsia="zh-CN"/>
        </w:rPr>
        <w:t>七、</w:t>
      </w:r>
      <w:r>
        <w:rPr>
          <w:b/>
          <w:bCs/>
        </w:rPr>
        <w:t>一般公共预算</w:t>
      </w:r>
      <w:r>
        <w:rPr>
          <w:b/>
          <w:bCs/>
          <w:lang w:val="zh-CN" w:eastAsia="zh-CN" w:bidi="zh-CN"/>
        </w:rPr>
        <w:t>“三</w:t>
      </w:r>
      <w:r>
        <w:rPr>
          <w:b/>
          <w:bCs/>
        </w:rPr>
        <w:t>公”</w:t>
      </w:r>
      <w:r>
        <w:rPr>
          <w:rFonts w:hint="eastAsia"/>
          <w:b/>
          <w:bCs/>
        </w:rPr>
        <w:t>经费支出情况说明</w:t>
      </w:r>
    </w:p>
    <w:p>
      <w:pPr>
        <w:pStyle w:val="16"/>
        <w:numPr>
          <w:ilvl w:val="0"/>
          <w:numId w:val="0"/>
        </w:numPr>
        <w:spacing w:after="0"/>
        <w:jc w:val="left"/>
        <w:rPr>
          <w:rFonts w:hint="eastAsia"/>
          <w:b/>
          <w:bCs/>
        </w:rPr>
      </w:pPr>
    </w:p>
    <w:p>
      <w:pPr>
        <w:pStyle w:val="16"/>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651"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pStyle w:val="16"/>
        <w:tabs>
          <w:tab w:val="left" w:pos="1253"/>
        </w:tabs>
        <w:spacing w:after="0" w:line="629" w:lineRule="exact"/>
        <w:ind w:firstLine="600"/>
        <w:jc w:val="left"/>
        <w:rPr>
          <w:rFonts w:hint="eastAsia"/>
          <w:b w:val="0"/>
          <w:bCs w:val="0"/>
          <w:sz w:val="28"/>
          <w:szCs w:val="28"/>
          <w:lang w:eastAsia="zh-CN"/>
        </w:rPr>
      </w:pPr>
      <w:bookmarkStart w:id="14" w:name="bookmark90"/>
      <w:r>
        <w:rPr>
          <w:rFonts w:hint="eastAsia"/>
          <w:b w:val="0"/>
          <w:bCs w:val="0"/>
          <w:sz w:val="28"/>
          <w:szCs w:val="28"/>
          <w:lang w:eastAsia="zh-CN"/>
        </w:rPr>
        <w:t>（</w:t>
      </w:r>
      <w:r>
        <w:rPr>
          <w:rFonts w:hint="eastAsia"/>
          <w:b w:val="0"/>
          <w:bCs w:val="0"/>
          <w:sz w:val="28"/>
          <w:szCs w:val="28"/>
          <w:lang w:val="en-US" w:eastAsia="zh-CN"/>
        </w:rPr>
        <w:t>一</w:t>
      </w:r>
      <w:r>
        <w:rPr>
          <w:rFonts w:hint="eastAsia"/>
          <w:b w:val="0"/>
          <w:bCs w:val="0"/>
          <w:sz w:val="28"/>
          <w:szCs w:val="28"/>
          <w:lang w:eastAsia="zh-CN"/>
        </w:rPr>
        <w:t>）</w:t>
      </w:r>
      <w:r>
        <w:rPr>
          <w:sz w:val="28"/>
          <w:u w:color="auto"/>
        </w:rPr>
        <w:t>2024年部门预算共安排</w:t>
      </w:r>
      <w:r>
        <w:rPr>
          <w:rFonts w:hint="eastAsia"/>
          <w:b w:val="0"/>
          <w:bCs w:val="0"/>
          <w:sz w:val="28"/>
          <w:szCs w:val="28"/>
          <w:lang w:val="zh-CN" w:eastAsia="zh-CN"/>
        </w:rPr>
        <w:t>“三公</w:t>
      </w:r>
      <w:r>
        <w:rPr>
          <w:rFonts w:hint="eastAsia"/>
          <w:b w:val="0"/>
          <w:bCs w:val="0"/>
          <w:sz w:val="28"/>
          <w:szCs w:val="28"/>
          <w:lang w:val="en-US" w:eastAsia="zh-CN"/>
        </w:rPr>
        <w:t>"</w:t>
      </w:r>
      <w:r>
        <w:rPr>
          <w:rFonts w:hint="eastAsia"/>
          <w:b w:val="0"/>
          <w:bCs w:val="0"/>
          <w:sz w:val="28"/>
          <w:szCs w:val="28"/>
          <w:lang w:eastAsia="zh-CN"/>
        </w:rPr>
        <w:t>经费支出预算</w:t>
      </w:r>
      <w:r>
        <w:rPr>
          <w:rFonts w:hint="eastAsia"/>
          <w:b w:val="0"/>
          <w:bCs w:val="0"/>
          <w:sz w:val="28"/>
          <w:szCs w:val="28"/>
          <w:lang w:val="en-US" w:eastAsia="zh-CN"/>
        </w:rPr>
        <w:t>26.65</w:t>
      </w:r>
      <w:r>
        <w:rPr>
          <w:rFonts w:hint="eastAsia"/>
          <w:b w:val="0"/>
          <w:bCs w:val="0"/>
          <w:sz w:val="28"/>
          <w:szCs w:val="28"/>
          <w:lang w:eastAsia="zh-CN"/>
        </w:rPr>
        <w:t>万元（全口径），其中：因公出国（境）经费支出预算</w:t>
      </w:r>
      <w:r>
        <w:rPr>
          <w:rFonts w:hint="eastAsia"/>
          <w:b w:val="0"/>
          <w:bCs w:val="0"/>
          <w:sz w:val="28"/>
          <w:szCs w:val="28"/>
          <w:lang w:val="en-US" w:eastAsia="zh-CN"/>
        </w:rPr>
        <w:t>0.00</w:t>
      </w:r>
      <w:r>
        <w:rPr>
          <w:rFonts w:hint="eastAsia"/>
          <w:b w:val="0"/>
          <w:bCs w:val="0"/>
          <w:sz w:val="28"/>
          <w:szCs w:val="28"/>
          <w:lang w:eastAsia="zh-CN"/>
        </w:rPr>
        <w:t>万元，公务接待费支出预算</w:t>
      </w:r>
      <w:r>
        <w:rPr>
          <w:rFonts w:hint="eastAsia"/>
          <w:b w:val="0"/>
          <w:bCs w:val="0"/>
          <w:sz w:val="28"/>
          <w:szCs w:val="28"/>
          <w:lang w:val="en-US" w:eastAsia="zh-CN"/>
        </w:rPr>
        <w:t>4.80</w:t>
      </w:r>
      <w:r>
        <w:rPr>
          <w:rFonts w:hint="eastAsia"/>
          <w:b w:val="0"/>
          <w:bCs w:val="0"/>
          <w:sz w:val="28"/>
          <w:szCs w:val="28"/>
          <w:lang w:eastAsia="zh-CN"/>
        </w:rPr>
        <w:t>万元，公务用车购置及运行费支出预算</w:t>
      </w:r>
      <w:r>
        <w:rPr>
          <w:rFonts w:hint="eastAsia"/>
          <w:b w:val="0"/>
          <w:bCs w:val="0"/>
          <w:sz w:val="28"/>
          <w:szCs w:val="28"/>
          <w:lang w:val="en-US" w:eastAsia="zh-CN"/>
        </w:rPr>
        <w:t>21.85</w:t>
      </w:r>
      <w:r>
        <w:rPr>
          <w:rFonts w:hint="eastAsia"/>
          <w:b w:val="0"/>
          <w:bCs w:val="0"/>
          <w:sz w:val="28"/>
          <w:szCs w:val="28"/>
          <w:lang w:eastAsia="zh-CN"/>
        </w:rPr>
        <w:t>万元（公务用车购置费</w:t>
      </w:r>
      <w:r>
        <w:rPr>
          <w:rFonts w:hint="eastAsia"/>
          <w:b w:val="0"/>
          <w:bCs w:val="0"/>
          <w:sz w:val="28"/>
          <w:szCs w:val="28"/>
          <w:lang w:val="en-US" w:eastAsia="zh-CN"/>
        </w:rPr>
        <w:t>0.00</w:t>
      </w:r>
      <w:r>
        <w:rPr>
          <w:rFonts w:hint="eastAsia"/>
          <w:b w:val="0"/>
          <w:bCs w:val="0"/>
          <w:sz w:val="28"/>
          <w:szCs w:val="28"/>
          <w:lang w:eastAsia="zh-CN"/>
        </w:rPr>
        <w:t>万元,公务用车运行维护费</w:t>
      </w:r>
      <w:r>
        <w:rPr>
          <w:rFonts w:hint="eastAsia"/>
          <w:b w:val="0"/>
          <w:bCs w:val="0"/>
          <w:sz w:val="28"/>
          <w:szCs w:val="28"/>
          <w:lang w:val="en-US" w:eastAsia="zh-CN"/>
        </w:rPr>
        <w:t>21.85</w:t>
      </w:r>
      <w:r>
        <w:rPr>
          <w:rFonts w:hint="eastAsia"/>
          <w:b w:val="0"/>
          <w:bCs w:val="0"/>
          <w:sz w:val="28"/>
          <w:szCs w:val="28"/>
          <w:lang w:eastAsia="zh-CN"/>
        </w:rPr>
        <w:t>万元）。</w:t>
      </w:r>
    </w:p>
    <w:p>
      <w:pPr>
        <w:pStyle w:val="16"/>
        <w:tabs>
          <w:tab w:val="left" w:pos="1253"/>
        </w:tabs>
        <w:spacing w:after="0" w:line="629" w:lineRule="exact"/>
        <w:ind w:firstLine="600"/>
        <w:jc w:val="left"/>
        <w:rPr>
          <w:rFonts w:hint="eastAsia"/>
          <w:b w:val="0"/>
          <w:bCs w:val="0"/>
          <w:sz w:val="28"/>
          <w:szCs w:val="28"/>
        </w:rPr>
      </w:pPr>
      <w:r>
        <w:rPr>
          <w:rFonts w:hint="eastAsia"/>
          <w:b w:val="0"/>
          <w:bCs w:val="0"/>
          <w:sz w:val="28"/>
          <w:szCs w:val="28"/>
          <w:lang w:eastAsia="zh-CN"/>
        </w:rPr>
        <w:t>（</w:t>
      </w:r>
      <w:r>
        <w:rPr>
          <w:rFonts w:hint="eastAsia"/>
          <w:b w:val="0"/>
          <w:bCs w:val="0"/>
          <w:sz w:val="28"/>
          <w:szCs w:val="28"/>
          <w:lang w:val="en-US" w:eastAsia="zh-CN"/>
        </w:rPr>
        <w:t>二</w:t>
      </w:r>
      <w:r>
        <w:rPr>
          <w:rFonts w:hint="eastAsia"/>
          <w:b w:val="0"/>
          <w:bCs w:val="0"/>
          <w:sz w:val="28"/>
          <w:szCs w:val="28"/>
          <w:lang w:eastAsia="zh-CN"/>
        </w:rPr>
        <w:t>）</w:t>
      </w:r>
      <w:r>
        <w:rPr>
          <w:sz w:val="28"/>
          <w:u w:color="auto"/>
        </w:rPr>
        <w:t>2024</w:t>
      </w:r>
      <w:r>
        <w:rPr>
          <w:rFonts w:hint="eastAsia"/>
          <w:b w:val="0"/>
          <w:bCs w:val="0"/>
          <w:sz w:val="28"/>
          <w:szCs w:val="28"/>
        </w:rPr>
        <w:t>年一般公共预算安排的“三公”经费支出预算</w:t>
      </w:r>
      <w:r>
        <w:rPr>
          <w:rFonts w:hint="eastAsia"/>
          <w:b w:val="0"/>
          <w:bCs w:val="0"/>
          <w:sz w:val="28"/>
          <w:szCs w:val="28"/>
          <w:lang w:val="en-US" w:eastAsia="zh-CN"/>
        </w:rPr>
        <w:t>26.65</w:t>
      </w:r>
      <w:r>
        <w:rPr>
          <w:rFonts w:hint="eastAsia"/>
          <w:b w:val="0"/>
          <w:bCs w:val="0"/>
          <w:sz w:val="28"/>
          <w:szCs w:val="28"/>
        </w:rPr>
        <w:t>万元，同口径较2023年度预算数</w:t>
      </w:r>
      <w:r>
        <w:rPr>
          <w:rFonts w:hint="eastAsia"/>
          <w:b w:val="0"/>
          <w:bCs w:val="0"/>
          <w:sz w:val="28"/>
          <w:szCs w:val="28"/>
          <w:lang w:val="en-US" w:eastAsia="zh-CN"/>
        </w:rPr>
        <w:t>29.65</w:t>
      </w:r>
      <w:r>
        <w:rPr>
          <w:rFonts w:hint="eastAsia"/>
          <w:b w:val="0"/>
          <w:bCs w:val="0"/>
          <w:sz w:val="28"/>
          <w:szCs w:val="28"/>
        </w:rPr>
        <w:t>万元，</w:t>
      </w:r>
      <w:r>
        <w:rPr>
          <w:rFonts w:hint="eastAsia"/>
          <w:b w:val="0"/>
          <w:bCs w:val="0"/>
          <w:sz w:val="28"/>
          <w:szCs w:val="28"/>
          <w:lang w:val="en-US" w:eastAsia="zh-CN"/>
        </w:rPr>
        <w:t>减少3.00</w:t>
      </w:r>
      <w:r>
        <w:rPr>
          <w:rFonts w:hint="eastAsia"/>
          <w:b w:val="0"/>
          <w:bCs w:val="0"/>
          <w:sz w:val="28"/>
          <w:szCs w:val="28"/>
        </w:rPr>
        <w:t>万元，</w:t>
      </w:r>
      <w:r>
        <w:rPr>
          <w:rFonts w:hint="eastAsia"/>
          <w:b w:val="0"/>
          <w:bCs w:val="0"/>
          <w:sz w:val="28"/>
          <w:szCs w:val="28"/>
          <w:lang w:val="en-US" w:eastAsia="zh-CN"/>
        </w:rPr>
        <w:t>减少10.12%</w:t>
      </w:r>
      <w:r>
        <w:rPr>
          <w:rFonts w:hint="eastAsia"/>
          <w:b w:val="0"/>
          <w:bCs w:val="0"/>
          <w:sz w:val="28"/>
          <w:szCs w:val="28"/>
        </w:rPr>
        <w:t>，具体如下：</w:t>
      </w:r>
    </w:p>
    <w:p>
      <w:pPr>
        <w:pStyle w:val="16"/>
        <w:tabs>
          <w:tab w:val="left" w:pos="1253"/>
        </w:tabs>
        <w:spacing w:after="0" w:line="629" w:lineRule="exact"/>
        <w:ind w:firstLine="600"/>
        <w:jc w:val="left"/>
        <w:rPr>
          <w:rFonts w:hint="eastAsia" w:eastAsia="宋体"/>
          <w:b w:val="0"/>
          <w:bCs w:val="0"/>
          <w:sz w:val="28"/>
          <w:szCs w:val="28"/>
          <w:lang w:eastAsia="zh-CN"/>
        </w:rPr>
      </w:pPr>
      <w:r>
        <w:rPr>
          <w:rFonts w:hint="eastAsia"/>
          <w:b w:val="0"/>
          <w:bCs w:val="0"/>
          <w:sz w:val="28"/>
          <w:szCs w:val="28"/>
        </w:rPr>
        <w:t>1.因公出国（境）费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w:t>
      </w:r>
      <w:r>
        <w:rPr>
          <w:rFonts w:hint="eastAsia"/>
          <w:b w:val="0"/>
          <w:bCs w:val="0"/>
          <w:sz w:val="28"/>
          <w:szCs w:val="28"/>
        </w:rPr>
        <w:t>，主要原因是</w:t>
      </w:r>
      <w:r>
        <w:rPr>
          <w:rFonts w:hint="eastAsia"/>
          <w:highlight w:val="none"/>
          <w:lang w:val="en-US" w:eastAsia="zh-CN"/>
        </w:rPr>
        <w:t>本局没有因公出国出（境）费2024年预算安排</w:t>
      </w:r>
      <w:r>
        <w:rPr>
          <w:rFonts w:hint="eastAsia"/>
          <w:b w:val="0"/>
          <w:bCs w:val="0"/>
          <w:sz w:val="28"/>
          <w:szCs w:val="28"/>
        </w:rPr>
        <w:t>。</w:t>
      </w:r>
    </w:p>
    <w:p>
      <w:pPr>
        <w:pStyle w:val="16"/>
        <w:tabs>
          <w:tab w:val="left" w:pos="1253"/>
        </w:tabs>
        <w:spacing w:after="0" w:line="629" w:lineRule="exact"/>
        <w:ind w:firstLine="600"/>
        <w:jc w:val="left"/>
        <w:rPr>
          <w:rFonts w:hint="eastAsia" w:eastAsia="宋体"/>
          <w:b w:val="0"/>
          <w:bCs w:val="0"/>
          <w:sz w:val="28"/>
          <w:szCs w:val="28"/>
          <w:lang w:eastAsia="zh-CN"/>
        </w:rPr>
      </w:pPr>
      <w:r>
        <w:rPr>
          <w:rFonts w:hint="eastAsia"/>
          <w:b w:val="0"/>
          <w:bCs w:val="0"/>
          <w:sz w:val="28"/>
          <w:szCs w:val="28"/>
        </w:rPr>
        <w:t>2.公务接待费</w:t>
      </w:r>
      <w:r>
        <w:rPr>
          <w:rFonts w:hint="eastAsia"/>
          <w:b w:val="0"/>
          <w:bCs w:val="0"/>
          <w:sz w:val="28"/>
          <w:szCs w:val="28"/>
          <w:lang w:eastAsia="zh-CN"/>
        </w:rPr>
        <w:t>2024</w:t>
      </w:r>
      <w:r>
        <w:rPr>
          <w:rFonts w:hint="eastAsia"/>
          <w:b w:val="0"/>
          <w:bCs w:val="0"/>
          <w:sz w:val="28"/>
          <w:szCs w:val="28"/>
        </w:rPr>
        <w:t>年预算安排</w:t>
      </w:r>
      <w:r>
        <w:rPr>
          <w:sz w:val="28"/>
          <w:u w:color="auto"/>
        </w:rPr>
        <w:t>4.80</w:t>
      </w:r>
      <w:r>
        <w:rPr>
          <w:rFonts w:hint="eastAsia"/>
          <w:b w:val="0"/>
          <w:bCs w:val="0"/>
          <w:sz w:val="28"/>
          <w:szCs w:val="28"/>
        </w:rPr>
        <w:t>万元，较2023年度预算数</w:t>
      </w:r>
      <w:r>
        <w:rPr>
          <w:sz w:val="28"/>
          <w:u w:color="auto"/>
        </w:rPr>
        <w:t>5.30</w:t>
      </w:r>
      <w:r>
        <w:rPr>
          <w:rFonts w:hint="eastAsia"/>
          <w:b w:val="0"/>
          <w:bCs w:val="0"/>
          <w:sz w:val="28"/>
          <w:szCs w:val="28"/>
        </w:rPr>
        <w:t>万元，</w:t>
      </w:r>
      <w:r>
        <w:rPr>
          <w:sz w:val="28"/>
          <w:u w:color="auto"/>
        </w:rPr>
        <w:t>减少0.50</w:t>
      </w:r>
      <w:r>
        <w:rPr>
          <w:rFonts w:hint="eastAsia"/>
          <w:b w:val="0"/>
          <w:bCs w:val="0"/>
          <w:sz w:val="28"/>
          <w:szCs w:val="28"/>
        </w:rPr>
        <w:t>万元，</w:t>
      </w:r>
      <w:r>
        <w:rPr>
          <w:sz w:val="28"/>
          <w:u w:color="auto"/>
        </w:rPr>
        <w:t>减少9.43%</w:t>
      </w:r>
      <w:r>
        <w:rPr>
          <w:rFonts w:hint="eastAsia"/>
          <w:b w:val="0"/>
          <w:bCs w:val="0"/>
          <w:sz w:val="28"/>
          <w:szCs w:val="28"/>
        </w:rPr>
        <w:t>，主要原因是</w:t>
      </w:r>
      <w:r>
        <w:rPr>
          <w:rFonts w:hint="eastAsia"/>
          <w:highlight w:val="none"/>
          <w:lang w:val="en-US" w:eastAsia="zh-CN"/>
        </w:rPr>
        <w:t>本着厉行节约，减少公务接待费用支出预算</w:t>
      </w:r>
      <w:r>
        <w:rPr>
          <w:rFonts w:hint="eastAsia"/>
          <w:b w:val="0"/>
          <w:bCs w:val="0"/>
          <w:sz w:val="28"/>
          <w:szCs w:val="28"/>
        </w:rPr>
        <w:t>。</w:t>
      </w:r>
    </w:p>
    <w:p>
      <w:pPr>
        <w:pStyle w:val="16"/>
        <w:tabs>
          <w:tab w:val="left" w:pos="1253"/>
        </w:tabs>
        <w:spacing w:after="0" w:line="629" w:lineRule="exact"/>
        <w:ind w:firstLine="600"/>
        <w:jc w:val="left"/>
        <w:rPr>
          <w:rFonts w:hint="eastAsia"/>
          <w:b w:val="0"/>
          <w:bCs w:val="0"/>
          <w:sz w:val="28"/>
          <w:szCs w:val="28"/>
        </w:rPr>
      </w:pPr>
      <w:r>
        <w:rPr>
          <w:rFonts w:hint="eastAsia"/>
          <w:b w:val="0"/>
          <w:bCs w:val="0"/>
          <w:sz w:val="28"/>
          <w:szCs w:val="28"/>
        </w:rPr>
        <w:t>3.公务用车购置及运行费</w:t>
      </w:r>
      <w:r>
        <w:rPr>
          <w:rFonts w:hint="eastAsia"/>
          <w:b w:val="0"/>
          <w:bCs w:val="0"/>
          <w:sz w:val="28"/>
          <w:szCs w:val="28"/>
          <w:lang w:eastAsia="zh-CN"/>
        </w:rPr>
        <w:t>2024</w:t>
      </w:r>
      <w:r>
        <w:rPr>
          <w:rFonts w:hint="eastAsia"/>
          <w:b w:val="0"/>
          <w:bCs w:val="0"/>
          <w:sz w:val="28"/>
          <w:szCs w:val="28"/>
        </w:rPr>
        <w:t>年预算安排</w:t>
      </w:r>
      <w:r>
        <w:rPr>
          <w:sz w:val="28"/>
          <w:u w:color="auto"/>
        </w:rPr>
        <w:t>21.85</w:t>
      </w:r>
      <w:r>
        <w:rPr>
          <w:rFonts w:hint="eastAsia"/>
          <w:b w:val="0"/>
          <w:bCs w:val="0"/>
          <w:sz w:val="28"/>
          <w:szCs w:val="28"/>
        </w:rPr>
        <w:t>万元，较2023年度预算数</w:t>
      </w:r>
      <w:r>
        <w:rPr>
          <w:sz w:val="28"/>
          <w:u w:color="auto"/>
        </w:rPr>
        <w:t>24.35</w:t>
      </w:r>
      <w:r>
        <w:rPr>
          <w:rFonts w:hint="eastAsia"/>
          <w:b w:val="0"/>
          <w:bCs w:val="0"/>
          <w:sz w:val="28"/>
          <w:szCs w:val="28"/>
        </w:rPr>
        <w:t>万元，</w:t>
      </w:r>
      <w:r>
        <w:rPr>
          <w:sz w:val="28"/>
          <w:u w:color="auto"/>
        </w:rPr>
        <w:t>减少2.50</w:t>
      </w:r>
      <w:r>
        <w:rPr>
          <w:rFonts w:hint="eastAsia"/>
          <w:b w:val="0"/>
          <w:bCs w:val="0"/>
          <w:sz w:val="28"/>
          <w:szCs w:val="28"/>
        </w:rPr>
        <w:t>万元，</w:t>
      </w:r>
      <w:r>
        <w:rPr>
          <w:sz w:val="28"/>
          <w:u w:color="auto"/>
        </w:rPr>
        <w:t>减少10.27%</w:t>
      </w:r>
      <w:r>
        <w:rPr>
          <w:rFonts w:hint="eastAsia"/>
          <w:b w:val="0"/>
          <w:bCs w:val="0"/>
          <w:sz w:val="28"/>
          <w:szCs w:val="28"/>
        </w:rPr>
        <w:t>，其中：</w:t>
      </w:r>
    </w:p>
    <w:p>
      <w:pPr>
        <w:pStyle w:val="16"/>
        <w:tabs>
          <w:tab w:val="left" w:pos="1253"/>
        </w:tabs>
        <w:spacing w:after="0" w:line="629" w:lineRule="exact"/>
        <w:ind w:firstLine="600"/>
        <w:jc w:val="left"/>
        <w:rPr>
          <w:rFonts w:hint="eastAsia" w:eastAsia="宋体"/>
          <w:b w:val="0"/>
          <w:bCs w:val="0"/>
          <w:sz w:val="28"/>
          <w:szCs w:val="28"/>
          <w:lang w:eastAsia="zh-CN"/>
        </w:rPr>
      </w:pPr>
      <w:r>
        <w:rPr>
          <w:rFonts w:hint="eastAsia"/>
          <w:b w:val="0"/>
          <w:bCs w:val="0"/>
          <w:sz w:val="28"/>
          <w:szCs w:val="28"/>
        </w:rPr>
        <w:t>公务用车购置费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w:t>
      </w:r>
      <w:r>
        <w:rPr>
          <w:rFonts w:hint="eastAsia"/>
          <w:b w:val="0"/>
          <w:bCs w:val="0"/>
          <w:sz w:val="28"/>
          <w:szCs w:val="28"/>
        </w:rPr>
        <w:t>，主要原因是</w:t>
      </w:r>
      <w:r>
        <w:rPr>
          <w:rFonts w:hint="eastAsia"/>
          <w:highlight w:val="none"/>
          <w:lang w:val="en-US" w:eastAsia="zh-CN"/>
        </w:rPr>
        <w:t>本年度本单位没有公车购置费预算安排</w:t>
      </w:r>
      <w:r>
        <w:rPr>
          <w:rFonts w:hint="eastAsia"/>
          <w:b w:val="0"/>
          <w:bCs w:val="0"/>
          <w:sz w:val="28"/>
          <w:szCs w:val="28"/>
        </w:rPr>
        <w:t>。</w:t>
      </w:r>
    </w:p>
    <w:p>
      <w:pPr>
        <w:pStyle w:val="16"/>
        <w:tabs>
          <w:tab w:val="left" w:pos="1253"/>
        </w:tabs>
        <w:spacing w:after="0" w:line="629" w:lineRule="exact"/>
        <w:ind w:firstLine="600"/>
        <w:jc w:val="left"/>
        <w:rPr>
          <w:rFonts w:hint="eastAsia"/>
          <w:b w:val="0"/>
          <w:bCs w:val="0"/>
          <w:sz w:val="28"/>
          <w:szCs w:val="28"/>
        </w:rPr>
      </w:pPr>
      <w:r>
        <w:rPr>
          <w:rFonts w:hint="eastAsia"/>
          <w:b w:val="0"/>
          <w:bCs w:val="0"/>
          <w:sz w:val="28"/>
          <w:szCs w:val="28"/>
        </w:rPr>
        <w:t>公务用车运行维护费</w:t>
      </w:r>
      <w:r>
        <w:rPr>
          <w:rFonts w:hint="eastAsia"/>
          <w:b w:val="0"/>
          <w:bCs w:val="0"/>
          <w:sz w:val="28"/>
          <w:szCs w:val="28"/>
          <w:lang w:eastAsia="zh-CN"/>
        </w:rPr>
        <w:t>2024</w:t>
      </w:r>
      <w:r>
        <w:rPr>
          <w:rFonts w:hint="eastAsia"/>
          <w:b w:val="0"/>
          <w:bCs w:val="0"/>
          <w:sz w:val="28"/>
          <w:szCs w:val="28"/>
        </w:rPr>
        <w:t>年预算安排</w:t>
      </w:r>
      <w:r>
        <w:rPr>
          <w:sz w:val="28"/>
          <w:u w:color="auto"/>
        </w:rPr>
        <w:t>21.85</w:t>
      </w:r>
      <w:r>
        <w:rPr>
          <w:rFonts w:hint="eastAsia"/>
          <w:b w:val="0"/>
          <w:bCs w:val="0"/>
          <w:sz w:val="28"/>
          <w:szCs w:val="28"/>
        </w:rPr>
        <w:t>万元，较2023年度预算数</w:t>
      </w:r>
      <w:r>
        <w:rPr>
          <w:sz w:val="28"/>
          <w:u w:color="auto"/>
        </w:rPr>
        <w:t>24.35</w:t>
      </w:r>
      <w:r>
        <w:rPr>
          <w:rFonts w:hint="eastAsia"/>
          <w:b w:val="0"/>
          <w:bCs w:val="0"/>
          <w:sz w:val="28"/>
          <w:szCs w:val="28"/>
        </w:rPr>
        <w:t>万元，</w:t>
      </w:r>
      <w:r>
        <w:rPr>
          <w:sz w:val="28"/>
          <w:u w:color="auto"/>
        </w:rPr>
        <w:t>减少2.50</w:t>
      </w:r>
      <w:r>
        <w:rPr>
          <w:rFonts w:hint="eastAsia"/>
          <w:b w:val="0"/>
          <w:bCs w:val="0"/>
          <w:sz w:val="28"/>
          <w:szCs w:val="28"/>
        </w:rPr>
        <w:t>万元，</w:t>
      </w:r>
      <w:r>
        <w:rPr>
          <w:sz w:val="28"/>
          <w:u w:color="auto"/>
        </w:rPr>
        <w:t>减少10.27%</w:t>
      </w:r>
      <w:r>
        <w:rPr>
          <w:rFonts w:hint="eastAsia"/>
          <w:b w:val="0"/>
          <w:bCs w:val="0"/>
          <w:sz w:val="28"/>
          <w:szCs w:val="28"/>
        </w:rPr>
        <w:t>，主要原因是</w:t>
      </w:r>
      <w:r>
        <w:rPr>
          <w:rFonts w:hint="eastAsia"/>
          <w:highlight w:val="none"/>
          <w:lang w:val="en-US" w:eastAsia="zh-CN"/>
        </w:rPr>
        <w:t>2024年年初预算县级预算车辆费用通过公车运行维护费列支，项目产生的车辆费用通知其他交通费用列支。2023年不管是县级预算或是上级项目支出的所有车辆费用都通过公车运行维护费列支。</w:t>
      </w:r>
      <w:r>
        <w:rPr>
          <w:rFonts w:hint="eastAsia"/>
          <w:b w:val="0"/>
          <w:bCs w:val="0"/>
          <w:sz w:val="28"/>
          <w:szCs w:val="28"/>
        </w:rPr>
        <w:t>。</w:t>
      </w:r>
    </w:p>
    <w:p>
      <w:pPr>
        <w:pStyle w:val="16"/>
        <w:tabs>
          <w:tab w:val="left" w:pos="1235"/>
        </w:tabs>
        <w:spacing w:after="0" w:line="624" w:lineRule="exact"/>
        <w:ind w:firstLine="580"/>
        <w:jc w:val="left"/>
        <w:rPr>
          <w:b/>
          <w:bCs/>
        </w:rPr>
      </w:pPr>
      <w:r>
        <w:rPr>
          <w:b/>
          <w:bCs/>
        </w:rPr>
        <w:t>八</w:t>
      </w:r>
      <w:bookmarkEnd w:id="14"/>
      <w:r>
        <w:rPr>
          <w:b/>
          <w:bCs/>
        </w:rPr>
        <w:t>、</w:t>
      </w:r>
      <w:r>
        <w:rPr>
          <w:b/>
          <w:bCs/>
        </w:rPr>
        <w:tab/>
      </w:r>
      <w:r>
        <w:rPr>
          <w:b/>
          <w:bCs/>
        </w:rPr>
        <w:t>政府性基金预算支出情况说明</w:t>
      </w:r>
    </w:p>
    <w:p>
      <w:pPr>
        <w:pStyle w:val="18"/>
        <w:spacing w:line="629" w:lineRule="exact"/>
        <w:ind w:firstLine="600"/>
        <w:jc w:val="left"/>
        <w:rPr>
          <w:rFonts w:hint="eastAsia" w:eastAsia="宋体"/>
          <w:lang w:eastAsia="zh-CN"/>
        </w:rPr>
      </w:pPr>
      <w:r>
        <w:rPr>
          <w:rFonts w:hint="eastAsia"/>
        </w:rPr>
        <w:t>我部门</w:t>
      </w:r>
      <w:r>
        <w:rPr>
          <w:rFonts w:hint="eastAsia"/>
          <w:b w:val="0"/>
          <w:bCs w:val="0"/>
          <w:sz w:val="28"/>
          <w:szCs w:val="28"/>
          <w:lang w:eastAsia="zh-CN"/>
        </w:rPr>
        <w:t>2024</w:t>
      </w:r>
      <w:r>
        <w:rPr>
          <w:rFonts w:hint="eastAsia"/>
        </w:rPr>
        <w:t>年政府性基金预算支出共</w:t>
      </w:r>
      <w:r>
        <w:rPr>
          <w:rFonts w:hint="eastAsia"/>
          <w:b w:val="0"/>
          <w:bCs w:val="0"/>
          <w:sz w:val="28"/>
          <w:szCs w:val="28"/>
          <w:lang w:eastAsia="zh-CN"/>
        </w:rPr>
        <w:t>0.00</w:t>
      </w:r>
      <w:r>
        <w:rPr>
          <w:rFonts w:hint="eastAsia"/>
        </w:rPr>
        <w:t>万元，较2023年度预算数</w:t>
      </w:r>
      <w:r>
        <w:rPr>
          <w:rFonts w:hint="eastAsia"/>
          <w:b w:val="0"/>
          <w:bCs w:val="0"/>
          <w:sz w:val="28"/>
          <w:szCs w:val="28"/>
          <w:lang w:eastAsia="zh-CN"/>
        </w:rPr>
        <w:t>0.00</w:t>
      </w:r>
      <w:r>
        <w:rPr>
          <w:rFonts w:hint="eastAsia"/>
        </w:rPr>
        <w:t>万元，</w:t>
      </w:r>
      <w:r>
        <w:rPr>
          <w:rFonts w:hint="eastAsia"/>
          <w:b w:val="0"/>
          <w:bCs w:val="0"/>
          <w:sz w:val="28"/>
          <w:szCs w:val="28"/>
          <w:lang w:eastAsia="zh-CN"/>
        </w:rPr>
        <w:t>增加0.00</w:t>
      </w:r>
      <w:r>
        <w:rPr>
          <w:rFonts w:hint="eastAsia"/>
        </w:rPr>
        <w:t>万元，</w:t>
      </w:r>
      <w:r>
        <w:rPr>
          <w:rFonts w:hint="eastAsia"/>
          <w:b w:val="0"/>
          <w:bCs w:val="0"/>
          <w:sz w:val="28"/>
          <w:szCs w:val="28"/>
          <w:lang w:eastAsia="zh-CN"/>
        </w:rPr>
        <w:t>增长0%</w:t>
      </w:r>
      <w:r>
        <w:rPr>
          <w:rFonts w:hint="eastAsia"/>
        </w:rPr>
        <w:t>，主要原因是</w:t>
      </w:r>
      <w:r>
        <w:rPr>
          <w:rFonts w:hint="eastAsia"/>
          <w:highlight w:val="none"/>
          <w:lang w:val="en-US" w:eastAsia="zh-CN"/>
        </w:rPr>
        <w:t>年内无此类支出</w:t>
      </w:r>
      <w:r>
        <w:rPr>
          <w:rFonts w:hint="eastAsia"/>
        </w:rPr>
        <w:t>。</w:t>
      </w:r>
    </w:p>
    <w:p>
      <w:pPr>
        <w:pStyle w:val="16"/>
        <w:tabs>
          <w:tab w:val="left" w:pos="1235"/>
        </w:tabs>
        <w:spacing w:after="0" w:line="624" w:lineRule="exact"/>
        <w:ind w:firstLine="580"/>
        <w:jc w:val="left"/>
        <w:rPr>
          <w:b/>
          <w:bCs/>
        </w:rPr>
      </w:pPr>
      <w:bookmarkStart w:id="15" w:name="bookmark91"/>
      <w:r>
        <w:rPr>
          <w:b/>
          <w:bCs/>
        </w:rPr>
        <w:t>九</w:t>
      </w:r>
      <w:bookmarkEnd w:id="15"/>
      <w:r>
        <w:rPr>
          <w:b/>
          <w:bCs/>
        </w:rPr>
        <w:t>、</w:t>
      </w:r>
      <w:r>
        <w:rPr>
          <w:b/>
          <w:bCs/>
        </w:rPr>
        <w:tab/>
      </w:r>
      <w:r>
        <w:rPr>
          <w:b/>
          <w:bCs/>
        </w:rPr>
        <w:t>国有资本经营预算支出情况说明</w:t>
      </w:r>
    </w:p>
    <w:p>
      <w:pPr>
        <w:pStyle w:val="18"/>
        <w:spacing w:line="437" w:lineRule="auto"/>
        <w:ind w:firstLine="600"/>
        <w:jc w:val="left"/>
        <w:rPr>
          <w:rFonts w:hint="eastAsia" w:eastAsia="宋体"/>
          <w:lang w:eastAsia="zh-CN"/>
        </w:rPr>
      </w:pPr>
      <w:r>
        <w:rPr>
          <w:rFonts w:hint="eastAsia"/>
        </w:rPr>
        <w:t>我部门</w:t>
      </w:r>
      <w:r>
        <w:rPr>
          <w:rFonts w:hint="eastAsia"/>
          <w:lang w:eastAsia="zh-CN"/>
        </w:rPr>
        <w:t>2024</w:t>
      </w:r>
      <w:r>
        <w:rPr>
          <w:rFonts w:hint="eastAsia"/>
        </w:rPr>
        <w:t>年国有资本经营预算支出共</w:t>
      </w:r>
      <w:r>
        <w:rPr>
          <w:rFonts w:hint="eastAsia"/>
          <w:lang w:eastAsia="zh-CN"/>
        </w:rPr>
        <w:t>0.00</w:t>
      </w:r>
      <w:r>
        <w:rPr>
          <w:rFonts w:hint="eastAsia"/>
        </w:rPr>
        <w:t>万元，较2023年度预算数</w:t>
      </w:r>
      <w:r>
        <w:rPr>
          <w:rFonts w:hint="eastAsia"/>
          <w:lang w:eastAsia="zh-CN"/>
        </w:rPr>
        <w:t>0.00</w:t>
      </w:r>
      <w:r>
        <w:rPr>
          <w:rFonts w:hint="eastAsia"/>
        </w:rPr>
        <w:t>万元，</w:t>
      </w:r>
      <w:r>
        <w:rPr>
          <w:rFonts w:hint="eastAsia"/>
          <w:lang w:eastAsia="zh-CN"/>
        </w:rPr>
        <w:t>增加0.00</w:t>
      </w:r>
      <w:r>
        <w:rPr>
          <w:rFonts w:hint="eastAsia"/>
        </w:rPr>
        <w:t>万元，</w:t>
      </w:r>
      <w:r>
        <w:rPr>
          <w:rFonts w:hint="eastAsia"/>
          <w:lang w:eastAsia="zh-CN"/>
        </w:rPr>
        <w:t>增长0%</w:t>
      </w:r>
      <w:r>
        <w:rPr>
          <w:rFonts w:hint="eastAsia"/>
        </w:rPr>
        <w:t>，主要原因是</w:t>
      </w:r>
      <w:r>
        <w:rPr>
          <w:rFonts w:hint="eastAsia"/>
          <w:lang w:val="en-US" w:eastAsia="zh-CN"/>
        </w:rPr>
        <w:t>2024年没有此类支出</w:t>
      </w:r>
      <w:r>
        <w:rPr>
          <w:rFonts w:hint="eastAsia"/>
        </w:rPr>
        <w:t>。</w:t>
      </w:r>
    </w:p>
    <w:p>
      <w:pPr>
        <w:pStyle w:val="16"/>
        <w:tabs>
          <w:tab w:val="left" w:pos="1235"/>
        </w:tabs>
        <w:spacing w:after="0" w:line="624" w:lineRule="exact"/>
        <w:ind w:firstLine="580"/>
        <w:jc w:val="left"/>
        <w:rPr>
          <w:b/>
          <w:bCs/>
        </w:rPr>
      </w:pPr>
      <w:r>
        <w:rPr>
          <w:b/>
          <w:bCs/>
        </w:rPr>
        <w:t>十、其他重要事项</w:t>
      </w:r>
      <w:r>
        <w:rPr>
          <w:rFonts w:hint="eastAsia"/>
          <w:b/>
          <w:bCs/>
          <w:lang w:val="en-US" w:eastAsia="zh-CN"/>
        </w:rPr>
        <w:t>情况</w:t>
      </w:r>
      <w:r>
        <w:rPr>
          <w:b/>
          <w:bCs/>
        </w:rPr>
        <w:t>说明</w:t>
      </w:r>
    </w:p>
    <w:p>
      <w:pPr>
        <w:pStyle w:val="1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（一）机关运行经费安排情况说明</w:t>
      </w:r>
    </w:p>
    <w:p>
      <w:pPr>
        <w:pStyle w:val="1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b w:val="0"/>
          <w:bCs w:val="0"/>
          <w:sz w:val="28"/>
          <w:szCs w:val="28"/>
          <w:lang w:eastAsia="zh-CN"/>
        </w:rPr>
        <w:t>2024</w:t>
      </w:r>
      <w:r>
        <w:rPr>
          <w:rFonts w:hint="eastAsia" w:ascii="宋体" w:hAnsi="宋体" w:eastAsia="宋体" w:cs="宋体"/>
          <w:sz w:val="28"/>
          <w:szCs w:val="28"/>
          <w:lang w:eastAsia="zh-CN"/>
        </w:rPr>
        <w:t>年本部门机关运行经费预算</w:t>
      </w:r>
      <w:r>
        <w:rPr>
          <w:rFonts w:hint="eastAsia" w:ascii="宋体" w:hAnsi="宋体" w:eastAsia="宋体" w:cs="宋体"/>
          <w:sz w:val="28"/>
          <w:szCs w:val="28"/>
          <w:lang w:val="en-US" w:eastAsia="zh-CN"/>
        </w:rPr>
        <w:t>178.18</w:t>
      </w:r>
      <w:r>
        <w:rPr>
          <w:rFonts w:hint="eastAsia" w:ascii="宋体" w:hAnsi="宋体" w:eastAsia="宋体" w:cs="宋体"/>
          <w:sz w:val="28"/>
          <w:szCs w:val="28"/>
          <w:lang w:eastAsia="zh-CN"/>
        </w:rPr>
        <w:t>万元，较2023年度预算数</w:t>
      </w:r>
      <w:r>
        <w:rPr>
          <w:rFonts w:hint="eastAsia" w:ascii="宋体" w:hAnsi="宋体" w:eastAsia="宋体" w:cs="宋体"/>
          <w:sz w:val="28"/>
          <w:szCs w:val="28"/>
          <w:lang w:val="en-US" w:eastAsia="zh-CN"/>
        </w:rPr>
        <w:t>178.31</w:t>
      </w:r>
      <w:r>
        <w:rPr>
          <w:rFonts w:hint="eastAsia" w:ascii="宋体" w:hAnsi="宋体" w:eastAsia="宋体" w:cs="宋体"/>
          <w:sz w:val="28"/>
          <w:szCs w:val="28"/>
          <w:lang w:eastAsia="zh-CN"/>
        </w:rPr>
        <w:t>万元，</w:t>
      </w:r>
      <w:r>
        <w:rPr>
          <w:rFonts w:hint="eastAsia" w:ascii="宋体" w:hAnsi="宋体" w:eastAsia="宋体" w:cs="宋体"/>
          <w:sz w:val="28"/>
          <w:szCs w:val="28"/>
          <w:lang w:val="en-US" w:eastAsia="zh-CN"/>
        </w:rPr>
        <w:t>减少0.13</w:t>
      </w:r>
      <w:r>
        <w:rPr>
          <w:rFonts w:hint="eastAsia" w:ascii="宋体" w:hAnsi="宋体" w:eastAsia="宋体" w:cs="宋体"/>
          <w:sz w:val="28"/>
          <w:szCs w:val="28"/>
          <w:lang w:eastAsia="zh-CN"/>
        </w:rPr>
        <w:t>万元，</w:t>
      </w:r>
      <w:r>
        <w:rPr>
          <w:rFonts w:hint="eastAsia" w:ascii="宋体" w:hAnsi="宋体" w:eastAsia="宋体" w:cs="宋体"/>
          <w:sz w:val="28"/>
          <w:szCs w:val="28"/>
          <w:lang w:val="en-US" w:eastAsia="zh-CN"/>
        </w:rPr>
        <w:t>下降0.07%</w:t>
      </w:r>
      <w:r>
        <w:rPr>
          <w:rFonts w:hint="eastAsia" w:ascii="宋体" w:hAnsi="宋体" w:eastAsia="宋体" w:cs="宋体"/>
          <w:sz w:val="28"/>
          <w:szCs w:val="28"/>
          <w:lang w:eastAsia="zh-CN"/>
        </w:rPr>
        <w:t>，主要原因是：</w:t>
      </w:r>
      <w:r>
        <w:rPr>
          <w:rFonts w:hint="eastAsia"/>
          <w:highlight w:val="none"/>
          <w:lang w:val="en-US" w:eastAsia="zh-CN"/>
        </w:rPr>
        <w:t>2024年年初预算人员增加，但工会经费计划比例与上年不同，因此本年度机关运行经费有所下降，机关运行经费2024年预算178.18万元，办公费8万元；印刷费3.5万元；水费4万元；电费7万元；邮电费2万元；差旅费31万元；维修费4万元；会议费2万元；培训费1万元；公务接待费4万元；专用材料费1万元；公务用车运行维护费20.7万元；工会经费35.24万元；公务交通补贴47.1万元；机关公务移动通信补贴7.63万元。</w:t>
      </w:r>
      <w:r>
        <w:rPr>
          <w:rFonts w:hint="eastAsia" w:ascii="宋体" w:hAnsi="宋体" w:eastAsia="宋体" w:cs="宋体"/>
          <w:sz w:val="28"/>
          <w:szCs w:val="28"/>
          <w:lang w:eastAsia="zh-CN"/>
        </w:rPr>
        <w:t>。</w:t>
      </w:r>
    </w:p>
    <w:p>
      <w:pPr>
        <w:pStyle w:val="1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（二）政府采购预算安排情况说明</w:t>
      </w:r>
    </w:p>
    <w:p>
      <w:pPr>
        <w:pStyle w:val="18"/>
        <w:spacing w:line="624" w:lineRule="exact"/>
        <w:ind w:firstLine="600"/>
        <w:jc w:val="left"/>
        <w:rPr>
          <w:rFonts w:hint="default" w:ascii="宋体" w:hAnsi="宋体" w:eastAsia="宋体" w:cs="宋体"/>
          <w:sz w:val="28"/>
          <w:szCs w:val="28"/>
          <w:lang w:val="en-US" w:eastAsia="zh-CN"/>
        </w:rPr>
      </w:pPr>
      <w:r>
        <w:rPr>
          <w:rFonts w:hint="eastAsia" w:ascii="宋体" w:hAnsi="宋体" w:eastAsia="宋体" w:cs="宋体"/>
          <w:sz w:val="28"/>
          <w:szCs w:val="28"/>
          <w:lang w:eastAsia="zh-CN"/>
        </w:rPr>
        <w:t>我部门2024年政府采购预算总金额</w:t>
      </w:r>
      <w:r>
        <w:rPr>
          <w:rFonts w:hint="eastAsia"/>
          <w:highlight w:val="none"/>
          <w:lang w:val="en-US" w:eastAsia="zh-CN"/>
        </w:rPr>
        <w:t>33.6</w:t>
      </w:r>
      <w:r>
        <w:rPr>
          <w:rFonts w:hint="eastAsia" w:ascii="宋体" w:hAnsi="宋体" w:eastAsia="宋体" w:cs="宋体"/>
          <w:sz w:val="28"/>
          <w:szCs w:val="28"/>
          <w:lang w:eastAsia="zh-CN"/>
        </w:rPr>
        <w:t>万元。其中：货物类采购</w:t>
      </w:r>
      <w:r>
        <w:rPr>
          <w:rFonts w:hint="eastAsia"/>
          <w:highlight w:val="none"/>
          <w:lang w:val="en-US" w:eastAsia="zh-CN"/>
        </w:rPr>
        <w:t>14.3</w:t>
      </w:r>
      <w:r>
        <w:rPr>
          <w:rFonts w:hint="eastAsia" w:ascii="宋体" w:hAnsi="宋体" w:eastAsia="宋体" w:cs="宋体"/>
          <w:sz w:val="28"/>
          <w:szCs w:val="28"/>
          <w:lang w:eastAsia="zh-CN"/>
        </w:rPr>
        <w:t>万元、工程类采购</w:t>
      </w:r>
      <w:r>
        <w:rPr>
          <w:rFonts w:hint="eastAsia"/>
          <w:highlight w:val="none"/>
          <w:lang w:val="en-US" w:eastAsia="zh-CN"/>
        </w:rPr>
        <w:t>0</w:t>
      </w:r>
      <w:r>
        <w:rPr>
          <w:rFonts w:hint="eastAsia" w:ascii="宋体" w:hAnsi="宋体" w:eastAsia="宋体" w:cs="宋体"/>
          <w:sz w:val="28"/>
          <w:szCs w:val="28"/>
          <w:lang w:eastAsia="zh-CN"/>
        </w:rPr>
        <w:t>万元、服务类采购</w:t>
      </w:r>
      <w:r>
        <w:rPr>
          <w:rFonts w:hint="eastAsia"/>
          <w:highlight w:val="none"/>
          <w:lang w:val="en-US" w:eastAsia="zh-CN"/>
        </w:rPr>
        <w:t>19.7</w:t>
      </w:r>
      <w:r>
        <w:rPr>
          <w:rFonts w:hint="eastAsia" w:ascii="宋体" w:hAnsi="宋体" w:eastAsia="宋体" w:cs="宋体"/>
          <w:sz w:val="28"/>
          <w:szCs w:val="28"/>
          <w:lang w:eastAsia="zh-CN"/>
        </w:rPr>
        <w:t>万元。</w:t>
      </w:r>
      <w:r>
        <w:rPr>
          <w:rFonts w:hint="eastAsia" w:cs="宋体"/>
          <w:sz w:val="28"/>
          <w:szCs w:val="28"/>
          <w:lang w:val="en-US" w:eastAsia="zh-CN"/>
        </w:rPr>
        <w:t>主要用于：</w:t>
      </w:r>
      <w:r>
        <w:rPr>
          <w:rFonts w:hint="eastAsia"/>
          <w:highlight w:val="none"/>
          <w:lang w:val="en-US" w:eastAsia="zh-CN"/>
        </w:rPr>
        <w:t>日常办公用品购置及车辆运行维护</w:t>
      </w:r>
    </w:p>
    <w:p>
      <w:pPr>
        <w:pStyle w:val="1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（三）国有资产占用情况说明</w:t>
      </w:r>
    </w:p>
    <w:p>
      <w:pPr>
        <w:pStyle w:val="1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截至2023年12月31日，本部门共有车辆</w:t>
      </w:r>
      <w:r>
        <w:rPr>
          <w:rFonts w:hint="eastAsia"/>
          <w:highlight w:val="none"/>
          <w:lang w:val="en-US" w:eastAsia="zh-CN"/>
        </w:rPr>
        <w:t>9</w:t>
      </w:r>
      <w:r>
        <w:rPr>
          <w:rFonts w:hint="eastAsia" w:ascii="宋体" w:hAnsi="宋体" w:eastAsia="宋体" w:cs="宋体"/>
          <w:sz w:val="28"/>
          <w:szCs w:val="28"/>
          <w:lang w:eastAsia="zh-CN"/>
        </w:rPr>
        <w:t>辆，其中，应急机要通信用车</w:t>
      </w:r>
      <w:r>
        <w:rPr>
          <w:rFonts w:hint="eastAsia"/>
          <w:highlight w:val="none"/>
          <w:lang w:val="en-US" w:eastAsia="zh-CN"/>
        </w:rPr>
        <w:t>0</w:t>
      </w:r>
      <w:r>
        <w:rPr>
          <w:rFonts w:hint="eastAsia" w:ascii="宋体" w:hAnsi="宋体" w:eastAsia="宋体" w:cs="宋体"/>
          <w:sz w:val="28"/>
          <w:szCs w:val="28"/>
          <w:lang w:eastAsia="zh-CN"/>
        </w:rPr>
        <w:t>辆、一般执法执勤用车</w:t>
      </w:r>
      <w:r>
        <w:rPr>
          <w:rFonts w:hint="eastAsia"/>
          <w:highlight w:val="none"/>
          <w:lang w:val="en-US" w:eastAsia="zh-CN"/>
        </w:rPr>
        <w:t>0</w:t>
      </w:r>
      <w:r>
        <w:rPr>
          <w:rFonts w:hint="eastAsia" w:ascii="宋体" w:hAnsi="宋体" w:eastAsia="宋体" w:cs="宋体"/>
          <w:sz w:val="28"/>
          <w:szCs w:val="28"/>
          <w:lang w:eastAsia="zh-CN"/>
        </w:rPr>
        <w:t>辆、特种专业技术用车</w:t>
      </w:r>
      <w:r>
        <w:rPr>
          <w:rFonts w:hint="eastAsia"/>
          <w:highlight w:val="none"/>
          <w:lang w:val="en-US" w:eastAsia="zh-CN"/>
        </w:rPr>
        <w:t>0</w:t>
      </w:r>
      <w:r>
        <w:rPr>
          <w:rFonts w:hint="eastAsia" w:ascii="宋体" w:hAnsi="宋体" w:eastAsia="宋体" w:cs="宋体"/>
          <w:sz w:val="28"/>
          <w:szCs w:val="28"/>
          <w:lang w:eastAsia="zh-CN"/>
        </w:rPr>
        <w:t>辆、其他用车</w:t>
      </w:r>
      <w:r>
        <w:rPr>
          <w:rFonts w:hint="eastAsia"/>
          <w:highlight w:val="none"/>
          <w:lang w:val="en-US" w:eastAsia="zh-CN"/>
        </w:rPr>
        <w:t>9</w:t>
      </w:r>
      <w:r>
        <w:rPr>
          <w:rFonts w:hint="eastAsia" w:ascii="宋体" w:hAnsi="宋体" w:eastAsia="宋体" w:cs="宋体"/>
          <w:sz w:val="28"/>
          <w:szCs w:val="28"/>
          <w:lang w:eastAsia="zh-CN"/>
        </w:rPr>
        <w:t>辆，单位价值200万元以上大型设备</w:t>
      </w:r>
      <w:r>
        <w:rPr>
          <w:rFonts w:hint="eastAsia"/>
          <w:highlight w:val="none"/>
          <w:lang w:val="en-US" w:eastAsia="zh-CN"/>
        </w:rPr>
        <w:t>0</w:t>
      </w:r>
      <w:r>
        <w:rPr>
          <w:rFonts w:hint="eastAsia" w:ascii="宋体" w:hAnsi="宋体" w:eastAsia="宋体" w:cs="宋体"/>
          <w:sz w:val="28"/>
          <w:szCs w:val="28"/>
          <w:lang w:eastAsia="zh-CN"/>
        </w:rPr>
        <w:t>台（套）。</w:t>
      </w:r>
    </w:p>
    <w:p>
      <w:pPr>
        <w:pStyle w:val="1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（四）预算绩效目标情况说明</w:t>
      </w:r>
    </w:p>
    <w:p>
      <w:pPr>
        <w:pStyle w:val="1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1.我部门2024年所有项目支出全面实施绩效目标管理，涉及项目</w:t>
      </w:r>
      <w:r>
        <w:rPr>
          <w:rFonts w:hint="eastAsia"/>
          <w:highlight w:val="none"/>
          <w:lang w:val="en-US" w:eastAsia="zh-CN"/>
        </w:rPr>
        <w:t>72</w:t>
      </w:r>
      <w:r>
        <w:rPr>
          <w:rFonts w:hint="eastAsia" w:ascii="宋体" w:hAnsi="宋体" w:eastAsia="宋体" w:cs="宋体"/>
          <w:sz w:val="28"/>
          <w:szCs w:val="28"/>
          <w:lang w:eastAsia="zh-CN"/>
        </w:rPr>
        <w:t>个，预算资金</w:t>
      </w:r>
      <w:r>
        <w:rPr>
          <w:rFonts w:hint="eastAsia"/>
          <w:highlight w:val="none"/>
          <w:lang w:val="en-US" w:eastAsia="zh-CN"/>
        </w:rPr>
        <w:t>5037.9</w:t>
      </w:r>
      <w:r>
        <w:rPr>
          <w:rFonts w:hint="eastAsia" w:ascii="宋体" w:hAnsi="宋体" w:eastAsia="宋体" w:cs="宋体"/>
          <w:sz w:val="28"/>
          <w:szCs w:val="28"/>
          <w:lang w:eastAsia="zh-CN"/>
        </w:rPr>
        <w:t>万元。绩效目标情况详见报表（日常运转类项目、工资类人员经费项目和涉密项目等除外）。</w:t>
      </w:r>
    </w:p>
    <w:p>
      <w:pPr>
        <w:pStyle w:val="1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2.重点项目预算绩效目标说明。</w:t>
      </w:r>
    </w:p>
    <w:p>
      <w:pPr>
        <w:pStyle w:val="18"/>
        <w:spacing w:line="624" w:lineRule="exact"/>
        <w:ind w:firstLine="600"/>
        <w:jc w:val="left"/>
        <w:rPr>
          <w:rFonts w:hint="eastAsia"/>
          <w:highlight w:val="none"/>
          <w:lang w:val="en-US" w:eastAsia="zh-CN"/>
        </w:rPr>
      </w:pPr>
      <w:r>
        <w:rPr>
          <w:rFonts w:hint="eastAsia"/>
          <w:highlight w:val="none"/>
          <w:lang w:val="en-US" w:eastAsia="zh-CN"/>
        </w:rPr>
        <w:t>重点项目一：项目名称基层动物防疫强制免疫(村防治员)县级补助经费，预算资金33万元，2024年度绩效目标为春秋两防工作依法开展，基层动物防疫强制免疫（村防治员）补助经费足额发放，设一条数量指标：村级防治员≤177人；设一条质量指标：基层动物防疫强制免疫完成率=100%；设一条时效指标：年内基层动物防疫强制免疫（村防治员)补助经费发放完成率=100%；设一条成本指标：基层动物防疫强制免疫（村防治员）补助经费=33万元；设一条社会效益指标：基层动物防疫强制免疫工作规范化实施；设一条满意度指标：群众满意度≥90%。</w:t>
      </w:r>
    </w:p>
    <w:p>
      <w:pPr>
        <w:pStyle w:val="18"/>
        <w:spacing w:line="624" w:lineRule="exact"/>
        <w:ind w:firstLine="600"/>
        <w:jc w:val="left"/>
        <w:rPr>
          <w:rFonts w:hint="eastAsia"/>
          <w:highlight w:val="none"/>
          <w:lang w:val="en-US" w:eastAsia="zh-CN"/>
        </w:rPr>
      </w:pPr>
      <w:r>
        <w:rPr>
          <w:rFonts w:hint="eastAsia"/>
          <w:highlight w:val="none"/>
          <w:lang w:val="en-US" w:eastAsia="zh-CN"/>
        </w:rPr>
        <w:t>重点项目二：项目名称高素质农民培育，预算资金43.12万元，2024年度绩效目标为按照相关规划或实施方案，完成新型农民培育任务800人，设一条数量指标：高素质农民培育数量≥800人；设一条质量指标：项目验收合格率≥95%；设一条时效指标：任务完成及时性定性于2024年12月31日前；设一条成本指标：项目资金≤100万元；设一条社会效益指标：资金使用无重大违规违纪问题；设一条满意度指标：高素质农民培育对象满意度≥85%。</w:t>
      </w:r>
    </w:p>
    <w:p>
      <w:pPr>
        <w:pStyle w:val="18"/>
        <w:spacing w:line="624" w:lineRule="exact"/>
        <w:ind w:firstLine="600"/>
        <w:jc w:val="left"/>
        <w:rPr>
          <w:rFonts w:hint="eastAsia"/>
          <w:highlight w:val="none"/>
          <w:lang w:val="en-US" w:eastAsia="zh-CN"/>
        </w:rPr>
      </w:pPr>
    </w:p>
    <w:p>
      <w:pPr>
        <w:pStyle w:val="18"/>
        <w:spacing w:line="624" w:lineRule="exact"/>
        <w:ind w:firstLine="600"/>
        <w:jc w:val="left"/>
        <w:rPr>
          <w:rFonts w:hint="default"/>
          <w:highlight w:val="none"/>
          <w:lang w:val="en-US" w:eastAsia="zh-CN"/>
        </w:rPr>
        <w:sectPr>
          <w:headerReference r:id="rId4" w:type="default"/>
          <w:footerReference r:id="rId5" w:type="default"/>
          <w:pgSz w:w="11900" w:h="16840"/>
          <w:pgMar w:top="1440" w:right="1800" w:bottom="1440" w:left="1800" w:header="0" w:footer="3" w:gutter="0"/>
          <w:pgBorders>
            <w:top w:val="none" w:sz="0" w:space="0"/>
            <w:left w:val="none" w:sz="0" w:space="0"/>
            <w:bottom w:val="none" w:sz="0" w:space="0"/>
            <w:right w:val="none" w:sz="0" w:space="0"/>
          </w:pgBorders>
          <w:cols w:space="720" w:num="1"/>
          <w:docGrid w:linePitch="360" w:charSpace="0"/>
        </w:sectPr>
      </w:pPr>
    </w:p>
    <w:bookmarkEnd w:id="10"/>
    <w:bookmarkEnd w:id="11"/>
    <w:bookmarkEnd w:id="12"/>
    <w:p>
      <w:pPr>
        <w:pStyle w:val="12"/>
        <w:keepNext/>
        <w:keepLines/>
        <w:spacing w:after="980"/>
        <w:jc w:val="center"/>
        <w:rPr>
          <w:rFonts w:hint="eastAsia" w:ascii="宋体" w:hAnsi="宋体" w:eastAsia="宋体" w:cs="宋体"/>
          <w:b/>
          <w:bCs/>
          <w:sz w:val="36"/>
          <w:szCs w:val="36"/>
        </w:rPr>
      </w:pPr>
      <w:r>
        <w:rPr>
          <w:rFonts w:hint="eastAsia" w:ascii="宋体" w:hAnsi="宋体" w:eastAsia="宋体" w:cs="宋体"/>
          <w:b/>
          <w:bCs/>
          <w:sz w:val="36"/>
          <w:szCs w:val="36"/>
        </w:rPr>
        <w:t>第</w:t>
      </w:r>
      <w:r>
        <w:rPr>
          <w:rFonts w:hint="eastAsia" w:ascii="宋体" w:hAnsi="宋体" w:eastAsia="宋体" w:cs="宋体"/>
          <w:b/>
          <w:bCs/>
          <w:sz w:val="36"/>
          <w:szCs w:val="36"/>
          <w:lang w:val="en-US" w:eastAsia="zh-CN"/>
        </w:rPr>
        <w:t>三</w:t>
      </w:r>
      <w:r>
        <w:rPr>
          <w:rFonts w:hint="eastAsia" w:ascii="宋体" w:hAnsi="宋体" w:eastAsia="宋体" w:cs="宋体"/>
          <w:b/>
          <w:bCs/>
          <w:sz w:val="36"/>
          <w:szCs w:val="36"/>
        </w:rPr>
        <w:t>部分</w:t>
      </w:r>
      <w:r>
        <w:rPr>
          <w:rFonts w:hint="eastAsia" w:ascii="宋体" w:hAnsi="宋体" w:eastAsia="宋体" w:cs="宋体"/>
          <w:b/>
          <w:bCs/>
          <w:sz w:val="36"/>
          <w:szCs w:val="36"/>
          <w:lang w:eastAsia="zh-CN"/>
        </w:rPr>
        <w:t>环江毛南族自治县农业农村局</w:t>
      </w:r>
      <w:r>
        <w:rPr>
          <w:rFonts w:ascii="宋体" w:hAnsi="宋体" w:eastAsia="宋体" w:cs="宋体"/>
          <w:b/>
          <w:sz w:val="36"/>
          <w:u w:color="auto"/>
        </w:rPr>
        <w:t>2024年</w:t>
      </w:r>
      <w:r>
        <w:rPr>
          <w:rFonts w:hint="eastAsia" w:ascii="宋体" w:hAnsi="宋体" w:eastAsia="宋体" w:cs="宋体"/>
          <w:b/>
          <w:bCs/>
          <w:sz w:val="36"/>
          <w:szCs w:val="36"/>
        </w:rPr>
        <w:t>部门预算表</w:t>
      </w:r>
    </w:p>
    <w:p>
      <w:pPr>
        <w:pStyle w:val="22"/>
        <w:keepNext/>
        <w:keepLines/>
        <w:spacing w:after="240"/>
        <w:jc w:val="center"/>
      </w:pPr>
      <w:bookmarkStart w:id="16" w:name="bookmark31"/>
      <w:bookmarkStart w:id="17" w:name="bookmark29"/>
      <w:bookmarkStart w:id="18" w:name="bookmark30"/>
      <w:r>
        <w:t>收支总体情况表</w:t>
      </w:r>
      <w:bookmarkEnd w:id="16"/>
      <w:bookmarkEnd w:id="17"/>
      <w:bookmarkEnd w:id="18"/>
    </w:p>
    <w:tbl>
      <w:tblPr>
        <w:tblStyle w:val="4"/>
        <w:tblW w:w="0" w:type="auto"/>
        <w:tblInd w:w="0" w:type="dxa"/>
        <w:tblLayout w:type="fixed"/>
        <w:tblCellMar>
          <w:top w:w="0" w:type="dxa"/>
          <w:left w:w="10" w:type="dxa"/>
          <w:bottom w:w="0" w:type="dxa"/>
          <w:right w:w="10" w:type="dxa"/>
        </w:tblCellMar>
      </w:tblPr>
      <w:tblGrid>
        <w:gridCol w:w="3339"/>
        <w:gridCol w:w="3760"/>
        <w:gridCol w:w="3542"/>
        <w:gridCol w:w="3571"/>
      </w:tblGrid>
      <w:tr>
        <w:tblPrEx>
          <w:tblCellMar>
            <w:top w:w="0" w:type="dxa"/>
            <w:left w:w="10" w:type="dxa"/>
            <w:bottom w:w="0" w:type="dxa"/>
            <w:right w:w="10" w:type="dxa"/>
          </w:tblCellMar>
        </w:tblPrEx>
        <w:trPr>
          <w:trHeight w:val="331" w:hRule="exact"/>
        </w:trPr>
        <w:tc>
          <w:tcPr>
            <w:tcW w:w="10641" w:type="dxa"/>
            <w:gridSpan w:val="3"/>
            <w:tcBorders>
              <w:bottom w:val="single" w:color="auto" w:sz="4" w:space="0"/>
            </w:tcBorders>
            <w:shd w:val="clear" w:color="auto" w:fill="FFFFFF"/>
          </w:tcPr>
          <w:p>
            <w:pPr>
              <w:pStyle w:val="24"/>
              <w:spacing w:line="240" w:lineRule="auto"/>
              <w:ind w:firstLine="0"/>
              <w:jc w:val="left"/>
              <w:rPr>
                <w:sz w:val="17"/>
                <w:szCs w:val="17"/>
              </w:rPr>
            </w:pPr>
            <w:r>
              <w:rPr>
                <w:sz w:val="17"/>
                <w:szCs w:val="17"/>
              </w:rPr>
              <w:t>单位名称：</w:t>
            </w:r>
            <w:r>
              <w:rPr>
                <w:rFonts w:hint="eastAsia"/>
                <w:sz w:val="17"/>
                <w:szCs w:val="17"/>
                <w:lang w:eastAsia="zh-CN"/>
              </w:rPr>
              <w:t>环江毛南族自治县农业农村局</w:t>
            </w:r>
          </w:p>
        </w:tc>
        <w:tc>
          <w:tcPr>
            <w:tcW w:w="3571" w:type="dxa"/>
            <w:tcBorders>
              <w:bottom w:val="single" w:color="auto" w:sz="4" w:space="0"/>
            </w:tcBorders>
            <w:shd w:val="clear" w:color="auto" w:fill="FFFFFF"/>
          </w:tcPr>
          <w:p>
            <w:pPr>
              <w:pStyle w:val="24"/>
              <w:spacing w:line="240" w:lineRule="auto"/>
              <w:ind w:firstLine="2380" w:firstLineChars="1400"/>
              <w:jc w:val="left"/>
              <w:rPr>
                <w:sz w:val="17"/>
                <w:szCs w:val="17"/>
              </w:rPr>
            </w:pPr>
            <w:r>
              <w:rPr>
                <w:sz w:val="17"/>
                <w:szCs w:val="17"/>
              </w:rPr>
              <w:t>单位：万元</w:t>
            </w:r>
          </w:p>
        </w:tc>
      </w:tr>
      <w:tr>
        <w:tblPrEx>
          <w:tblCellMar>
            <w:top w:w="0" w:type="dxa"/>
            <w:left w:w="10" w:type="dxa"/>
            <w:bottom w:w="0" w:type="dxa"/>
            <w:right w:w="10" w:type="dxa"/>
          </w:tblCellMar>
        </w:tblPrEx>
        <w:trPr>
          <w:trHeight w:val="456" w:hRule="exact"/>
        </w:trPr>
        <w:tc>
          <w:tcPr>
            <w:tcW w:w="70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2890" w:firstLineChars="1700"/>
              <w:jc w:val="both"/>
              <w:rPr>
                <w:sz w:val="17"/>
                <w:szCs w:val="17"/>
              </w:rPr>
            </w:pPr>
            <w:r>
              <w:rPr>
                <w:sz w:val="17"/>
                <w:szCs w:val="17"/>
              </w:rPr>
              <w:t>收入</w:t>
            </w:r>
          </w:p>
        </w:tc>
        <w:tc>
          <w:tcPr>
            <w:tcW w:w="71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right="340" w:firstLine="2890" w:firstLineChars="1700"/>
              <w:jc w:val="both"/>
              <w:rPr>
                <w:sz w:val="17"/>
                <w:szCs w:val="17"/>
              </w:rPr>
            </w:pPr>
            <w:r>
              <w:rPr>
                <w:sz w:val="17"/>
                <w:szCs w:val="17"/>
              </w:rPr>
              <w:t>支出</w:t>
            </w:r>
          </w:p>
        </w:tc>
      </w:tr>
      <w:tr>
        <w:tblPrEx>
          <w:tblCellMar>
            <w:top w:w="0" w:type="dxa"/>
            <w:left w:w="10" w:type="dxa"/>
            <w:bottom w:w="0" w:type="dxa"/>
            <w:right w:w="10" w:type="dxa"/>
          </w:tblCellMar>
        </w:tblPrEx>
        <w:trPr>
          <w:trHeight w:val="432"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sz w:val="17"/>
                <w:szCs w:val="17"/>
              </w:rPr>
            </w:pPr>
            <w:r>
              <w:rPr>
                <w:sz w:val="17"/>
                <w:szCs w:val="17"/>
              </w:rPr>
              <w:t>项目</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sz w:val="17"/>
                <w:szCs w:val="17"/>
              </w:rPr>
            </w:pPr>
            <w:r>
              <w:rPr>
                <w:sz w:val="17"/>
                <w:szCs w:val="17"/>
              </w:rPr>
              <w:t>预算数</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tabs>
                <w:tab w:val="left" w:pos="894"/>
              </w:tabs>
              <w:spacing w:line="240" w:lineRule="auto"/>
              <w:jc w:val="left"/>
              <w:rPr>
                <w:sz w:val="17"/>
                <w:szCs w:val="17"/>
              </w:rPr>
            </w:pPr>
            <w:r>
              <w:rPr>
                <w:sz w:val="17"/>
                <w:szCs w:val="17"/>
              </w:rPr>
              <w:t>项</w:t>
            </w:r>
            <w:r>
              <w:rPr>
                <w:sz w:val="17"/>
                <w:szCs w:val="17"/>
              </w:rPr>
              <w:tab/>
            </w:r>
            <w:r>
              <w:rPr>
                <w:sz w:val="17"/>
                <w:szCs w:val="17"/>
              </w:rPr>
              <w:t>目（按支出功能科目分类）</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sz w:val="17"/>
                <w:szCs w:val="17"/>
              </w:rPr>
            </w:pPr>
            <w:r>
              <w:rPr>
                <w:sz w:val="17"/>
                <w:szCs w:val="17"/>
              </w:rPr>
              <w:t>预算数</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一、一般公共预算拨款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8794.80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一、一般公共服务支出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35.24</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 xml:space="preserve">     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6047.19</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二、外交支出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 xml:space="preserve">     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2747.60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三、国防支出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二、政府性基金预算拨款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四、公共安全支出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 xml:space="preserve">     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五、教育支出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 xml:space="preserve">     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六、科学技术支出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三、国有资本经营预算拨款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七、文化旅游体育与传媒支出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八、社会保障和就业支出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403.83</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九、卫生健康支出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四、财政专户管理资金收入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十、节能环保支出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五、事业收入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十一、城乡社区支出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六、事业单位经营收入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十二、农林水支出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8009.45</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七、上级补助收入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十三、交通运输支出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八、附属单位上缴收入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十四、资源勘探工业信息等支出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九、其他收入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十五、商业服务业等支出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十六、金融支出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十七、援助其他地区支出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十八、自然资源海洋气象等支出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十九、住房保障支出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346.27</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二十、粮油物资储备支出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二十一、国有资本经营预算支出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二十二、灾害防治及应急管理支出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二十三、其他支出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二十四、债务还本支出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二十五、债务付息支出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二十六、债务发行费用支出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本年收入合计</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8794.80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本年支出合计</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8794.80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上年结转结余</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结转下年支出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收入总计</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8794.80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支出总计</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8794.80</w:t>
            </w:r>
          </w:p>
        </w:tc>
      </w:tr>
    </w:tbl>
    <w:p>
      <w:pPr>
        <w:pStyle w:val="26"/>
        <w:ind w:left="101"/>
        <w:jc w:val="left"/>
      </w:pPr>
      <w:r>
        <w:t>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r:id="rId6" w:type="default"/>
          <w:footerReference r:id="rId7" w:type="default"/>
          <w:pgSz w:w="16840" w:h="11900" w:orient="landscape"/>
          <w:pgMar w:top="2397" w:right="761" w:bottom="1966" w:left="739" w:header="0" w:footer="3" w:gutter="0"/>
          <w:pgBorders>
            <w:top w:val="none" w:sz="0" w:space="0"/>
            <w:left w:val="none" w:sz="0" w:space="0"/>
            <w:bottom w:val="none" w:sz="0" w:space="0"/>
            <w:right w:val="none" w:sz="0" w:space="0"/>
          </w:pgBorders>
          <w:cols w:space="720" w:num="1"/>
          <w:docGrid w:linePitch="360" w:charSpace="0"/>
        </w:sectPr>
      </w:pPr>
    </w:p>
    <w:p>
      <w:pPr>
        <w:tabs>
          <w:tab w:val="left" w:pos="859"/>
        </w:tabs>
        <w:jc w:val="left"/>
        <w:rPr>
          <w:rFonts w:eastAsia="宋体"/>
          <w:lang w:eastAsia="zh-CN"/>
        </w:rPr>
      </w:pPr>
    </w:p>
    <w:p>
      <w:pPr>
        <w:tabs>
          <w:tab w:val="left" w:pos="859"/>
        </w:tabs>
        <w:jc w:val="center"/>
        <w:rPr>
          <w:rFonts w:hint="eastAsia" w:eastAsia="宋体"/>
          <w:lang w:val="en-US" w:eastAsia="zh-CN"/>
        </w:rPr>
      </w:pPr>
    </w:p>
    <w:p>
      <w:pPr>
        <w:tabs>
          <w:tab w:val="left" w:pos="859"/>
        </w:tabs>
        <w:jc w:val="center"/>
        <w:rPr>
          <w:rFonts w:hint="eastAsia" w:eastAsia="宋体"/>
          <w:lang w:val="en-US" w:eastAsia="zh-CN"/>
        </w:rPr>
      </w:pPr>
      <w:r>
        <w:rPr>
          <w:rFonts w:hint="eastAsia" w:eastAsia="宋体"/>
          <w:lang w:val="en-US" w:eastAsia="zh-CN"/>
        </w:rPr>
        <w:t>收入总体情况表</w:t>
      </w:r>
    </w:p>
    <w:p>
      <w:pPr>
        <w:tabs>
          <w:tab w:val="left" w:pos="859"/>
        </w:tabs>
        <w:jc w:val="center"/>
        <w:rPr>
          <w:rFonts w:hint="eastAsia" w:eastAsia="宋体"/>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1279"/>
        <w:gridCol w:w="990"/>
        <w:gridCol w:w="926"/>
        <w:gridCol w:w="909"/>
        <w:gridCol w:w="1161"/>
        <w:gridCol w:w="1031"/>
        <w:gridCol w:w="844"/>
        <w:gridCol w:w="856"/>
        <w:gridCol w:w="1035"/>
        <w:gridCol w:w="1011"/>
        <w:gridCol w:w="859"/>
        <w:gridCol w:w="944"/>
        <w:gridCol w:w="150"/>
        <w:gridCol w:w="872"/>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481" w:type="dxa"/>
            <w:gridSpan w:val="13"/>
            <w:tcBorders>
              <w:top w:val="nil"/>
              <w:left w:val="nil"/>
              <w:right w:val="nil"/>
            </w:tcBorders>
          </w:tcPr>
          <w:p>
            <w:pPr>
              <w:pStyle w:val="26"/>
              <w:jc w:val="both"/>
              <w:rPr>
                <w:rFonts w:hint="eastAsia"/>
                <w:lang w:val="en-US" w:eastAsia="zh-CN"/>
              </w:rPr>
            </w:pPr>
            <w:r>
              <w:rPr>
                <w:sz w:val="17"/>
                <w:szCs w:val="17"/>
              </w:rPr>
              <w:t>单位名称：</w:t>
            </w:r>
            <w:r>
              <w:rPr>
                <w:rFonts w:hint="eastAsia"/>
                <w:sz w:val="17"/>
                <w:szCs w:val="17"/>
                <w:lang w:eastAsia="zh-CN"/>
              </w:rPr>
              <w:t>环江毛南族自治县农业农村局</w:t>
            </w:r>
            <w:r>
              <w:rPr>
                <w:rFonts w:hint="eastAsia"/>
                <w:lang w:val="en-US" w:eastAsia="zh-CN"/>
              </w:rPr>
              <w:t xml:space="preserve">                                                                                  </w:t>
            </w:r>
          </w:p>
        </w:tc>
        <w:tc>
          <w:tcPr>
            <w:tcW w:w="2076" w:type="dxa"/>
            <w:gridSpan w:val="3"/>
            <w:tcBorders>
              <w:top w:val="nil"/>
              <w:left w:val="nil"/>
              <w:right w:val="nil"/>
            </w:tcBorders>
          </w:tcPr>
          <w:p>
            <w:pPr>
              <w:pStyle w:val="26"/>
              <w:ind w:firstLine="340" w:firstLineChars="200"/>
              <w:jc w:val="left"/>
              <w:rPr>
                <w:rFonts w:hint="eastAsia"/>
                <w:lang w:val="en-US" w:eastAsia="zh-CN"/>
              </w:rPr>
            </w:pPr>
            <w:r>
              <w:rPr>
                <w:sz w:val="17"/>
                <w:szCs w:val="17"/>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vMerge w:val="restart"/>
          </w:tcPr>
          <w:p>
            <w:pPr>
              <w:tabs>
                <w:tab w:val="left" w:pos="859"/>
              </w:tabs>
              <w:jc w:val="both"/>
              <w:rPr>
                <w:rFonts w:hint="eastAsia" w:eastAsia="宋体"/>
                <w:vertAlign w:val="baseline"/>
                <w:lang w:val="en-US" w:eastAsia="zh-CN"/>
              </w:rPr>
            </w:pPr>
            <w:r>
              <w:rPr>
                <w:sz w:val="17"/>
                <w:szCs w:val="17"/>
              </w:rPr>
              <w:t>部门（单位）代码</w:t>
            </w:r>
          </w:p>
        </w:tc>
        <w:tc>
          <w:tcPr>
            <w:tcW w:w="1279" w:type="dxa"/>
            <w:vMerge w:val="restart"/>
          </w:tcPr>
          <w:p>
            <w:pPr>
              <w:tabs>
                <w:tab w:val="left" w:pos="859"/>
              </w:tabs>
              <w:jc w:val="both"/>
              <w:rPr>
                <w:rFonts w:hint="eastAsia" w:eastAsia="宋体"/>
                <w:vertAlign w:val="baseline"/>
                <w:lang w:val="en-US" w:eastAsia="zh-CN"/>
              </w:rPr>
            </w:pPr>
            <w:r>
              <w:rPr>
                <w:sz w:val="17"/>
                <w:szCs w:val="17"/>
              </w:rPr>
              <w:t>部门（单位）名称</w:t>
            </w:r>
          </w:p>
        </w:tc>
        <w:tc>
          <w:tcPr>
            <w:tcW w:w="990" w:type="dxa"/>
            <w:vMerge w:val="restart"/>
          </w:tcPr>
          <w:p>
            <w:pPr>
              <w:pStyle w:val="24"/>
              <w:spacing w:line="240" w:lineRule="auto"/>
              <w:ind w:firstLine="300" w:firstLineChars="0"/>
              <w:jc w:val="left"/>
              <w:rPr>
                <w:rFonts w:hint="eastAsia" w:eastAsia="宋体"/>
                <w:vertAlign w:val="baseline"/>
                <w:lang w:val="en-US" w:eastAsia="zh-CN"/>
              </w:rPr>
            </w:pPr>
            <w:r>
              <w:rPr>
                <w:rFonts w:hint="eastAsia"/>
                <w:sz w:val="17"/>
                <w:szCs w:val="17"/>
                <w:lang w:val="en-US" w:eastAsia="zh-CN"/>
              </w:rPr>
              <w:t>合</w:t>
            </w:r>
            <w:r>
              <w:rPr>
                <w:sz w:val="17"/>
                <w:szCs w:val="17"/>
              </w:rPr>
              <w:t>计</w:t>
            </w:r>
          </w:p>
        </w:tc>
        <w:tc>
          <w:tcPr>
            <w:tcW w:w="4871" w:type="dxa"/>
            <w:gridSpan w:val="5"/>
          </w:tcPr>
          <w:p>
            <w:pPr>
              <w:tabs>
                <w:tab w:val="left" w:pos="859"/>
              </w:tabs>
              <w:jc w:val="both"/>
              <w:rPr>
                <w:rFonts w:hint="eastAsia" w:eastAsia="宋体"/>
                <w:vertAlign w:val="baseline"/>
                <w:lang w:val="en-US" w:eastAsia="zh-CN"/>
              </w:rPr>
            </w:pPr>
            <w:r>
              <w:rPr>
                <w:sz w:val="17"/>
                <w:szCs w:val="17"/>
              </w:rPr>
              <w:t>本年收入</w:t>
            </w:r>
          </w:p>
        </w:tc>
        <w:tc>
          <w:tcPr>
            <w:tcW w:w="6781" w:type="dxa"/>
            <w:gridSpan w:val="8"/>
          </w:tcPr>
          <w:p>
            <w:pPr>
              <w:tabs>
                <w:tab w:val="left" w:pos="859"/>
              </w:tabs>
              <w:jc w:val="both"/>
              <w:rPr>
                <w:rFonts w:hint="eastAsia" w:eastAsia="宋体"/>
                <w:vertAlign w:val="baseline"/>
                <w:lang w:val="en-US" w:eastAsia="zh-CN"/>
              </w:rPr>
            </w:pPr>
            <w:r>
              <w:rPr>
                <w:sz w:val="17"/>
                <w:szCs w:val="17"/>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636" w:type="dxa"/>
            <w:vMerge w:val="continue"/>
          </w:tcPr>
          <w:p>
            <w:pPr>
              <w:tabs>
                <w:tab w:val="left" w:pos="859"/>
              </w:tabs>
              <w:jc w:val="both"/>
              <w:rPr>
                <w:rFonts w:hint="eastAsia" w:eastAsia="宋体"/>
                <w:vertAlign w:val="baseline"/>
                <w:lang w:val="en-US" w:eastAsia="zh-CN"/>
              </w:rPr>
            </w:pPr>
          </w:p>
        </w:tc>
        <w:tc>
          <w:tcPr>
            <w:tcW w:w="1279" w:type="dxa"/>
            <w:vMerge w:val="continue"/>
          </w:tcPr>
          <w:p>
            <w:pPr>
              <w:tabs>
                <w:tab w:val="left" w:pos="859"/>
              </w:tabs>
              <w:jc w:val="both"/>
              <w:rPr>
                <w:rFonts w:hint="eastAsia" w:eastAsia="宋体"/>
                <w:vertAlign w:val="baseline"/>
                <w:lang w:val="en-US" w:eastAsia="zh-CN"/>
              </w:rPr>
            </w:pPr>
          </w:p>
        </w:tc>
        <w:tc>
          <w:tcPr>
            <w:tcW w:w="990" w:type="dxa"/>
            <w:vMerge w:val="continue"/>
            <w:vAlign w:val="center"/>
          </w:tcPr>
          <w:p>
            <w:pPr>
              <w:pStyle w:val="24"/>
              <w:spacing w:line="240" w:lineRule="auto"/>
              <w:ind w:firstLine="300" w:firstLineChars="0"/>
              <w:jc w:val="left"/>
              <w:rPr>
                <w:rFonts w:hint="eastAsia" w:eastAsia="宋体"/>
                <w:vertAlign w:val="baseline"/>
                <w:lang w:val="en-US" w:eastAsia="zh-CN"/>
              </w:rPr>
            </w:pPr>
          </w:p>
        </w:tc>
        <w:tc>
          <w:tcPr>
            <w:tcW w:w="926" w:type="dxa"/>
            <w:vAlign w:val="center"/>
          </w:tcPr>
          <w:p>
            <w:pPr>
              <w:pStyle w:val="24"/>
              <w:spacing w:line="240" w:lineRule="auto"/>
              <w:ind w:firstLine="300" w:firstLineChars="0"/>
              <w:jc w:val="left"/>
              <w:rPr>
                <w:rFonts w:hint="eastAsia" w:eastAsia="宋体"/>
                <w:vertAlign w:val="baseline"/>
                <w:lang w:val="en-US" w:eastAsia="zh-CN"/>
              </w:rPr>
            </w:pPr>
            <w:r>
              <w:rPr>
                <w:sz w:val="17"/>
                <w:szCs w:val="17"/>
              </w:rPr>
              <w:t>小计</w:t>
            </w:r>
          </w:p>
        </w:tc>
        <w:tc>
          <w:tcPr>
            <w:tcW w:w="909" w:type="dxa"/>
            <w:vAlign w:val="center"/>
          </w:tcPr>
          <w:p>
            <w:pPr>
              <w:pStyle w:val="24"/>
              <w:spacing w:line="317" w:lineRule="exact"/>
              <w:ind w:firstLine="0" w:firstLineChars="0"/>
              <w:jc w:val="left"/>
              <w:rPr>
                <w:rFonts w:hint="eastAsia" w:eastAsia="宋体"/>
                <w:vertAlign w:val="baseline"/>
                <w:lang w:val="en-US" w:eastAsia="zh-CN"/>
              </w:rPr>
            </w:pPr>
            <w:r>
              <w:rPr>
                <w:sz w:val="17"/>
                <w:szCs w:val="17"/>
              </w:rPr>
              <w:t>一般公共预算</w:t>
            </w:r>
          </w:p>
        </w:tc>
        <w:tc>
          <w:tcPr>
            <w:tcW w:w="1161" w:type="dxa"/>
            <w:vAlign w:val="center"/>
          </w:tcPr>
          <w:p>
            <w:pPr>
              <w:pStyle w:val="24"/>
              <w:spacing w:line="317" w:lineRule="exact"/>
              <w:ind w:firstLine="0" w:firstLineChars="0"/>
              <w:jc w:val="left"/>
              <w:rPr>
                <w:rFonts w:hint="eastAsia" w:eastAsia="宋体"/>
                <w:vertAlign w:val="baseline"/>
                <w:lang w:val="en-US" w:eastAsia="zh-CN"/>
              </w:rPr>
            </w:pPr>
            <w:r>
              <w:rPr>
                <w:sz w:val="17"/>
                <w:szCs w:val="17"/>
              </w:rPr>
              <w:t>政府性基金预算</w:t>
            </w:r>
          </w:p>
        </w:tc>
        <w:tc>
          <w:tcPr>
            <w:tcW w:w="1031" w:type="dxa"/>
            <w:vAlign w:val="center"/>
          </w:tcPr>
          <w:p>
            <w:pPr>
              <w:pStyle w:val="24"/>
              <w:spacing w:line="317" w:lineRule="exact"/>
              <w:ind w:firstLine="0" w:firstLineChars="0"/>
              <w:jc w:val="left"/>
              <w:rPr>
                <w:rFonts w:hint="eastAsia" w:eastAsia="宋体"/>
                <w:vertAlign w:val="baseline"/>
                <w:lang w:val="en-US" w:eastAsia="zh-CN"/>
              </w:rPr>
            </w:pPr>
            <w:r>
              <w:rPr>
                <w:sz w:val="17"/>
                <w:szCs w:val="17"/>
              </w:rPr>
              <w:t>国有资本经营预算</w:t>
            </w:r>
          </w:p>
        </w:tc>
        <w:tc>
          <w:tcPr>
            <w:tcW w:w="844" w:type="dxa"/>
          </w:tcPr>
          <w:p>
            <w:pPr>
              <w:pStyle w:val="24"/>
              <w:spacing w:line="312" w:lineRule="exact"/>
              <w:ind w:firstLine="0"/>
              <w:jc w:val="left"/>
              <w:rPr>
                <w:sz w:val="17"/>
                <w:szCs w:val="17"/>
              </w:rPr>
            </w:pPr>
            <w:r>
              <w:rPr>
                <w:sz w:val="17"/>
                <w:szCs w:val="17"/>
              </w:rPr>
              <w:t>财政专户管理资金</w:t>
            </w:r>
          </w:p>
          <w:p>
            <w:pPr>
              <w:pStyle w:val="24"/>
              <w:spacing w:line="312" w:lineRule="exact"/>
              <w:ind w:firstLine="0" w:firstLineChars="0"/>
              <w:jc w:val="left"/>
              <w:rPr>
                <w:rFonts w:hint="eastAsia" w:eastAsia="宋体"/>
                <w:vertAlign w:val="baseline"/>
                <w:lang w:val="en-US" w:eastAsia="zh-CN"/>
              </w:rPr>
            </w:pPr>
            <w:r>
              <w:rPr>
                <w:sz w:val="17"/>
                <w:szCs w:val="17"/>
              </w:rPr>
              <w:t>收入</w:t>
            </w:r>
          </w:p>
        </w:tc>
        <w:tc>
          <w:tcPr>
            <w:tcW w:w="856" w:type="dxa"/>
            <w:vAlign w:val="center"/>
          </w:tcPr>
          <w:p>
            <w:pPr>
              <w:pStyle w:val="24"/>
              <w:spacing w:line="240" w:lineRule="auto"/>
              <w:ind w:firstLine="0" w:firstLineChars="0"/>
              <w:jc w:val="left"/>
              <w:rPr>
                <w:rFonts w:hint="eastAsia" w:eastAsia="宋体"/>
                <w:vertAlign w:val="baseline"/>
                <w:lang w:val="en-US" w:eastAsia="zh-CN"/>
              </w:rPr>
            </w:pPr>
            <w:r>
              <w:rPr>
                <w:sz w:val="17"/>
                <w:szCs w:val="17"/>
              </w:rPr>
              <w:t>单位资金</w:t>
            </w:r>
          </w:p>
        </w:tc>
        <w:tc>
          <w:tcPr>
            <w:tcW w:w="1035" w:type="dxa"/>
            <w:vAlign w:val="center"/>
          </w:tcPr>
          <w:p>
            <w:pPr>
              <w:pStyle w:val="24"/>
              <w:spacing w:line="240" w:lineRule="auto"/>
              <w:ind w:firstLine="300" w:firstLineChars="0"/>
              <w:jc w:val="left"/>
              <w:rPr>
                <w:rFonts w:hint="eastAsia" w:eastAsia="宋体"/>
                <w:vertAlign w:val="baseline"/>
                <w:lang w:val="en-US" w:eastAsia="zh-CN"/>
              </w:rPr>
            </w:pPr>
            <w:r>
              <w:rPr>
                <w:sz w:val="17"/>
                <w:szCs w:val="17"/>
              </w:rPr>
              <w:t>小计</w:t>
            </w:r>
          </w:p>
        </w:tc>
        <w:tc>
          <w:tcPr>
            <w:tcW w:w="1011" w:type="dxa"/>
            <w:vAlign w:val="center"/>
          </w:tcPr>
          <w:p>
            <w:pPr>
              <w:pStyle w:val="24"/>
              <w:spacing w:line="317" w:lineRule="exact"/>
              <w:ind w:firstLine="0" w:firstLineChars="0"/>
              <w:jc w:val="left"/>
              <w:rPr>
                <w:rFonts w:hint="eastAsia" w:eastAsia="宋体"/>
                <w:vertAlign w:val="baseline"/>
                <w:lang w:val="en-US" w:eastAsia="zh-CN"/>
              </w:rPr>
            </w:pPr>
            <w:r>
              <w:rPr>
                <w:sz w:val="17"/>
                <w:szCs w:val="17"/>
              </w:rPr>
              <w:t>一般公共预算</w:t>
            </w:r>
          </w:p>
        </w:tc>
        <w:tc>
          <w:tcPr>
            <w:tcW w:w="859" w:type="dxa"/>
            <w:vAlign w:val="center"/>
          </w:tcPr>
          <w:p>
            <w:pPr>
              <w:pStyle w:val="24"/>
              <w:spacing w:line="317" w:lineRule="exact"/>
              <w:ind w:firstLine="0" w:firstLineChars="0"/>
              <w:jc w:val="left"/>
              <w:rPr>
                <w:rFonts w:hint="eastAsia" w:eastAsia="宋体"/>
                <w:vertAlign w:val="baseline"/>
                <w:lang w:val="en-US" w:eastAsia="zh-CN"/>
              </w:rPr>
            </w:pPr>
            <w:r>
              <w:rPr>
                <w:sz w:val="17"/>
                <w:szCs w:val="17"/>
              </w:rPr>
              <w:t>政府性基金预算</w:t>
            </w:r>
          </w:p>
        </w:tc>
        <w:tc>
          <w:tcPr>
            <w:tcW w:w="1094" w:type="dxa"/>
            <w:gridSpan w:val="2"/>
            <w:vAlign w:val="center"/>
          </w:tcPr>
          <w:p>
            <w:pPr>
              <w:pStyle w:val="24"/>
              <w:spacing w:line="317" w:lineRule="exact"/>
              <w:ind w:firstLine="0" w:firstLineChars="0"/>
              <w:jc w:val="left"/>
              <w:rPr>
                <w:rFonts w:hint="eastAsia" w:eastAsia="宋体"/>
                <w:vertAlign w:val="baseline"/>
                <w:lang w:val="en-US" w:eastAsia="zh-CN"/>
              </w:rPr>
            </w:pPr>
            <w:r>
              <w:rPr>
                <w:sz w:val="17"/>
                <w:szCs w:val="17"/>
              </w:rPr>
              <w:t>国有资本经营预算</w:t>
            </w:r>
          </w:p>
        </w:tc>
        <w:tc>
          <w:tcPr>
            <w:tcW w:w="872" w:type="dxa"/>
          </w:tcPr>
          <w:p>
            <w:pPr>
              <w:pStyle w:val="24"/>
              <w:spacing w:line="312" w:lineRule="exact"/>
              <w:ind w:firstLine="0"/>
              <w:jc w:val="left"/>
              <w:rPr>
                <w:sz w:val="17"/>
                <w:szCs w:val="17"/>
              </w:rPr>
            </w:pPr>
            <w:r>
              <w:rPr>
                <w:sz w:val="17"/>
                <w:szCs w:val="17"/>
              </w:rPr>
              <w:t>财政专户管理资金</w:t>
            </w:r>
          </w:p>
          <w:p>
            <w:pPr>
              <w:pStyle w:val="24"/>
              <w:spacing w:line="312" w:lineRule="exact"/>
              <w:ind w:right="280" w:rightChars="0" w:firstLine="0" w:firstLineChars="0"/>
              <w:jc w:val="left"/>
              <w:rPr>
                <w:rFonts w:hint="eastAsia" w:eastAsia="宋体"/>
                <w:vertAlign w:val="baseline"/>
                <w:lang w:val="en-US" w:eastAsia="zh-CN"/>
              </w:rPr>
            </w:pPr>
            <w:r>
              <w:rPr>
                <w:sz w:val="17"/>
                <w:szCs w:val="17"/>
              </w:rPr>
              <w:t>收入</w:t>
            </w:r>
          </w:p>
        </w:tc>
        <w:tc>
          <w:tcPr>
            <w:tcW w:w="1054" w:type="dxa"/>
            <w:vAlign w:val="center"/>
          </w:tcPr>
          <w:p>
            <w:pPr>
              <w:pStyle w:val="24"/>
              <w:spacing w:line="240" w:lineRule="auto"/>
              <w:ind w:firstLine="140" w:firstLineChars="0"/>
              <w:jc w:val="left"/>
              <w:rPr>
                <w:rFonts w:hint="eastAsia" w:eastAsia="宋体"/>
                <w:vertAlign w:val="baseline"/>
                <w:lang w:val="en-US" w:eastAsia="zh-CN"/>
              </w:rPr>
            </w:pPr>
            <w:r>
              <w:rPr>
                <w:sz w:val="17"/>
                <w:szCs w:val="17"/>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tcPr>
          <w:p>
            <w:pPr>
              <w:tabs>
                <w:tab w:val="left" w:pos="859"/>
              </w:tabs>
              <w:jc w:val="both"/>
              <w:rPr>
                <w:rFonts w:hint="eastAsia" w:eastAsia="宋体"/>
                <w:vertAlign w:val="baseline"/>
                <w:lang w:val="en-US" w:eastAsia="zh-CN"/>
              </w:rPr>
            </w:pPr>
          </w:p>
        </w:tc>
        <w:tc>
          <w:tcPr>
            <w:tcW w:w="1279" w:type="dxa"/>
          </w:tcPr>
          <w:p>
            <w:pPr>
              <w:tabs>
                <w:tab w:val="left" w:pos="859"/>
              </w:tabs>
              <w:jc w:val="both"/>
              <w:rPr>
                <w:rFonts w:hint="eastAsia" w:eastAsia="宋体"/>
                <w:vertAlign w:val="baseline"/>
                <w:lang w:val="en-US" w:eastAsia="zh-CN"/>
              </w:rPr>
            </w:pPr>
          </w:p>
        </w:tc>
        <w:tc>
          <w:tcPr>
            <w:tcW w:w="990" w:type="dxa"/>
            <w:vAlign w:val="center"/>
          </w:tcPr>
          <w:p>
            <w:pPr>
              <w:pStyle w:val="24"/>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w:t>
            </w:r>
          </w:p>
        </w:tc>
        <w:tc>
          <w:tcPr>
            <w:tcW w:w="926" w:type="dxa"/>
            <w:vAlign w:val="center"/>
          </w:tcPr>
          <w:p>
            <w:pPr>
              <w:pStyle w:val="24"/>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2</w:t>
            </w:r>
          </w:p>
        </w:tc>
        <w:tc>
          <w:tcPr>
            <w:tcW w:w="909" w:type="dxa"/>
            <w:vAlign w:val="center"/>
          </w:tcPr>
          <w:p>
            <w:pPr>
              <w:pStyle w:val="24"/>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3</w:t>
            </w:r>
          </w:p>
        </w:tc>
        <w:tc>
          <w:tcPr>
            <w:tcW w:w="1161" w:type="dxa"/>
            <w:vAlign w:val="center"/>
          </w:tcPr>
          <w:p>
            <w:pPr>
              <w:pStyle w:val="24"/>
              <w:spacing w:line="240" w:lineRule="auto"/>
              <w:ind w:firstLine="44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4</w:t>
            </w:r>
          </w:p>
        </w:tc>
        <w:tc>
          <w:tcPr>
            <w:tcW w:w="1031" w:type="dxa"/>
            <w:vAlign w:val="center"/>
          </w:tcPr>
          <w:p>
            <w:pPr>
              <w:pStyle w:val="24"/>
              <w:spacing w:line="240" w:lineRule="auto"/>
              <w:ind w:firstLine="42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5</w:t>
            </w:r>
          </w:p>
        </w:tc>
        <w:tc>
          <w:tcPr>
            <w:tcW w:w="844" w:type="dxa"/>
            <w:vAlign w:val="center"/>
          </w:tcPr>
          <w:p>
            <w:pPr>
              <w:pStyle w:val="24"/>
              <w:spacing w:line="240" w:lineRule="auto"/>
              <w:ind w:firstLine="42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6</w:t>
            </w:r>
          </w:p>
        </w:tc>
        <w:tc>
          <w:tcPr>
            <w:tcW w:w="856" w:type="dxa"/>
            <w:vAlign w:val="center"/>
          </w:tcPr>
          <w:p>
            <w:pPr>
              <w:pStyle w:val="24"/>
              <w:spacing w:line="240" w:lineRule="auto"/>
              <w:ind w:firstLine="44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7</w:t>
            </w:r>
          </w:p>
        </w:tc>
        <w:tc>
          <w:tcPr>
            <w:tcW w:w="1035" w:type="dxa"/>
            <w:vAlign w:val="center"/>
          </w:tcPr>
          <w:p>
            <w:pPr>
              <w:pStyle w:val="24"/>
              <w:spacing w:line="240" w:lineRule="auto"/>
              <w:ind w:firstLine="44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8</w:t>
            </w:r>
          </w:p>
        </w:tc>
        <w:tc>
          <w:tcPr>
            <w:tcW w:w="1011" w:type="dxa"/>
            <w:vAlign w:val="center"/>
          </w:tcPr>
          <w:p>
            <w:pPr>
              <w:pStyle w:val="24"/>
              <w:spacing w:line="240" w:lineRule="auto"/>
              <w:ind w:firstLine="42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9</w:t>
            </w:r>
          </w:p>
        </w:tc>
        <w:tc>
          <w:tcPr>
            <w:tcW w:w="859" w:type="dxa"/>
            <w:vAlign w:val="center"/>
          </w:tcPr>
          <w:p>
            <w:pPr>
              <w:pStyle w:val="24"/>
              <w:spacing w:line="240" w:lineRule="auto"/>
              <w:ind w:right="360" w:rightChars="0"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10</w:t>
            </w:r>
          </w:p>
        </w:tc>
        <w:tc>
          <w:tcPr>
            <w:tcW w:w="1094" w:type="dxa"/>
            <w:gridSpan w:val="2"/>
            <w:vAlign w:val="center"/>
          </w:tcPr>
          <w:p>
            <w:pPr>
              <w:pStyle w:val="24"/>
              <w:spacing w:line="240" w:lineRule="auto"/>
              <w:ind w:firstLine="44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11</w:t>
            </w:r>
          </w:p>
        </w:tc>
        <w:tc>
          <w:tcPr>
            <w:tcW w:w="872" w:type="dxa"/>
            <w:vAlign w:val="center"/>
          </w:tcPr>
          <w:p>
            <w:pPr>
              <w:pStyle w:val="24"/>
              <w:spacing w:line="240" w:lineRule="auto"/>
              <w:ind w:right="380" w:rightChars="0"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12</w:t>
            </w:r>
          </w:p>
        </w:tc>
        <w:tc>
          <w:tcPr>
            <w:tcW w:w="1054" w:type="dxa"/>
            <w:vAlign w:val="center"/>
          </w:tcPr>
          <w:p>
            <w:pPr>
              <w:pStyle w:val="24"/>
              <w:spacing w:line="240" w:lineRule="auto"/>
              <w:ind w:right="420" w:rightChars="0"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vAlign w:val="center"/>
          </w:tcPr>
          <w:p>
            <w:pPr>
              <w:pStyle w:val="24"/>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rPr>
              <w:t xml:space="preserve"> </w:t>
            </w:r>
          </w:p>
        </w:tc>
        <w:tc>
          <w:tcPr>
            <w:tcW w:w="1279" w:type="dxa"/>
          </w:tcPr>
          <w:p>
            <w:pPr>
              <w:pStyle w:val="24"/>
              <w:spacing w:line="326" w:lineRule="exact"/>
              <w:ind w:firstLine="0" w:firstLineChars="0"/>
              <w:jc w:val="left"/>
              <w:rPr>
                <w:rFonts w:hint="eastAsia" w:eastAsia="宋体"/>
                <w:vertAlign w:val="baseline"/>
                <w:lang w:val="en-US" w:eastAsia="zh-CN"/>
              </w:rPr>
            </w:pPr>
            <w:r>
              <w:rPr>
                <w:rFonts w:hint="eastAsia"/>
                <w:sz w:val="17"/>
                <w:szCs w:val="17"/>
                <w:lang w:val="en-US" w:eastAsia="zh-CN"/>
              </w:rPr>
              <w:t>合计</w:t>
            </w:r>
          </w:p>
        </w:tc>
        <w:tc>
          <w:tcPr>
            <w:tcW w:w="990" w:type="dxa"/>
            <w:vAlign w:val="center"/>
          </w:tcPr>
          <w:p>
            <w:pPr>
              <w:pStyle w:val="24"/>
              <w:spacing w:line="240" w:lineRule="auto"/>
              <w:ind w:firstLine="4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8794.80</w:t>
            </w:r>
          </w:p>
        </w:tc>
        <w:tc>
          <w:tcPr>
            <w:tcW w:w="926" w:type="dxa"/>
            <w:vAlign w:val="center"/>
          </w:tcPr>
          <w:p>
            <w:pPr>
              <w:pStyle w:val="24"/>
              <w:spacing w:line="240" w:lineRule="auto"/>
              <w:ind w:firstLine="300" w:firstLineChars="0"/>
              <w:jc w:val="left"/>
              <w:rPr>
                <w:rFonts w:hint="eastAsia" w:eastAsia="宋体"/>
                <w:vertAlign w:val="baseline"/>
                <w:lang w:val="en-US" w:eastAsia="zh-CN"/>
              </w:rPr>
            </w:pPr>
            <w:r>
              <w:rPr>
                <w:rFonts w:hint="eastAsia"/>
                <w:sz w:val="17"/>
                <w:szCs w:val="17"/>
                <w:lang w:val="en-US" w:eastAsia="zh-CN"/>
              </w:rPr>
              <w:t>8794.80</w:t>
            </w:r>
          </w:p>
        </w:tc>
        <w:tc>
          <w:tcPr>
            <w:tcW w:w="909" w:type="dxa"/>
            <w:vAlign w:val="center"/>
          </w:tcPr>
          <w:p>
            <w:pPr>
              <w:pStyle w:val="24"/>
              <w:spacing w:line="240" w:lineRule="auto"/>
              <w:ind w:firstLine="2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8794.80</w:t>
            </w:r>
          </w:p>
        </w:tc>
        <w:tc>
          <w:tcPr>
            <w:tcW w:w="1161" w:type="dxa"/>
            <w:vAlign w:val="center"/>
          </w:tcPr>
          <w:p>
            <w:pPr>
              <w:pStyle w:val="24"/>
              <w:spacing w:line="240" w:lineRule="auto"/>
              <w:ind w:firstLine="520" w:firstLineChars="0"/>
              <w:jc w:val="left"/>
              <w:rPr>
                <w:rFonts w:hint="eastAsia" w:eastAsia="宋体"/>
                <w:vertAlign w:val="baseline"/>
                <w:lang w:val="en-US" w:eastAsia="zh-CN"/>
              </w:rPr>
            </w:pPr>
            <w:r>
              <w:rPr>
                <w:rFonts w:hint="eastAsia"/>
                <w:sz w:val="17"/>
                <w:szCs w:val="17"/>
                <w:lang w:val="en-US" w:eastAsia="zh-CN"/>
              </w:rPr>
              <w:t>0.00</w:t>
            </w:r>
          </w:p>
        </w:tc>
        <w:tc>
          <w:tcPr>
            <w:tcW w:w="1031" w:type="dxa"/>
            <w:vAlign w:val="center"/>
          </w:tcPr>
          <w:p>
            <w:pPr>
              <w:pStyle w:val="24"/>
              <w:spacing w:line="240" w:lineRule="auto"/>
              <w:ind w:firstLine="4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844" w:type="dxa"/>
            <w:vAlign w:val="center"/>
          </w:tcPr>
          <w:p>
            <w:pPr>
              <w:pStyle w:val="24"/>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856" w:type="dxa"/>
            <w:vAlign w:val="center"/>
          </w:tcPr>
          <w:p>
            <w:pPr>
              <w:pStyle w:val="24"/>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1035" w:type="dxa"/>
            <w:vAlign w:val="center"/>
          </w:tcPr>
          <w:p>
            <w:pPr>
              <w:pStyle w:val="24"/>
              <w:spacing w:line="240" w:lineRule="auto"/>
              <w:ind w:firstLine="52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11" w:type="dxa"/>
            <w:vAlign w:val="center"/>
          </w:tcPr>
          <w:p>
            <w:pPr>
              <w:pStyle w:val="24"/>
              <w:spacing w:line="240" w:lineRule="auto"/>
              <w:ind w:firstLine="48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859" w:type="dxa"/>
            <w:vAlign w:val="center"/>
          </w:tcPr>
          <w:p>
            <w:pPr>
              <w:pStyle w:val="24"/>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94" w:type="dxa"/>
            <w:gridSpan w:val="2"/>
            <w:vAlign w:val="center"/>
          </w:tcPr>
          <w:p>
            <w:pPr>
              <w:pStyle w:val="24"/>
              <w:spacing w:line="240" w:lineRule="auto"/>
              <w:ind w:firstLine="58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872" w:type="dxa"/>
            <w:vAlign w:val="center"/>
          </w:tcPr>
          <w:p>
            <w:pPr>
              <w:pStyle w:val="24"/>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54" w:type="dxa"/>
            <w:vAlign w:val="center"/>
          </w:tcPr>
          <w:p>
            <w:pPr>
              <w:pStyle w:val="24"/>
              <w:spacing w:line="240" w:lineRule="auto"/>
              <w:ind w:firstLine="54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vAlign w:val="center"/>
          </w:tcPr>
          <w:p>
            <w:pPr>
              <w:pStyle w:val="24"/>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rPr>
              <w:t>501001</w:t>
            </w:r>
          </w:p>
        </w:tc>
        <w:tc>
          <w:tcPr>
            <w:tcW w:w="1279" w:type="dxa"/>
          </w:tcPr>
          <w:p>
            <w:pPr>
              <w:pStyle w:val="24"/>
              <w:spacing w:line="326" w:lineRule="exact"/>
              <w:ind w:firstLine="0" w:firstLineChars="0"/>
              <w:jc w:val="left"/>
              <w:rPr>
                <w:rFonts w:hint="eastAsia" w:eastAsia="宋体"/>
                <w:vertAlign w:val="baseline"/>
                <w:lang w:val="en-US" w:eastAsia="zh-CN"/>
              </w:rPr>
            </w:pPr>
          </w:p>
        </w:tc>
        <w:tc>
          <w:tcPr>
            <w:tcW w:w="990" w:type="dxa"/>
            <w:vAlign w:val="center"/>
          </w:tcPr>
          <w:p>
            <w:pPr>
              <w:pStyle w:val="24"/>
              <w:spacing w:line="240" w:lineRule="auto"/>
              <w:ind w:firstLine="4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8794.80</w:t>
            </w:r>
          </w:p>
        </w:tc>
        <w:tc>
          <w:tcPr>
            <w:tcW w:w="926" w:type="dxa"/>
            <w:vAlign w:val="center"/>
          </w:tcPr>
          <w:p>
            <w:pPr>
              <w:pStyle w:val="24"/>
              <w:spacing w:line="240" w:lineRule="auto"/>
              <w:ind w:firstLine="300" w:firstLineChars="0"/>
              <w:jc w:val="left"/>
              <w:rPr>
                <w:rFonts w:hint="eastAsia" w:eastAsia="宋体"/>
                <w:vertAlign w:val="baseline"/>
                <w:lang w:val="en-US" w:eastAsia="zh-CN"/>
              </w:rPr>
            </w:pPr>
            <w:r>
              <w:rPr>
                <w:rFonts w:hint="eastAsia"/>
                <w:sz w:val="17"/>
                <w:szCs w:val="17"/>
                <w:lang w:val="en-US" w:eastAsia="zh-CN"/>
              </w:rPr>
              <w:t>8794.80</w:t>
            </w:r>
          </w:p>
        </w:tc>
        <w:tc>
          <w:tcPr>
            <w:tcW w:w="909" w:type="dxa"/>
            <w:vAlign w:val="center"/>
          </w:tcPr>
          <w:p>
            <w:pPr>
              <w:pStyle w:val="24"/>
              <w:spacing w:line="240" w:lineRule="auto"/>
              <w:ind w:firstLine="2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8794.80</w:t>
            </w:r>
          </w:p>
        </w:tc>
        <w:tc>
          <w:tcPr>
            <w:tcW w:w="1161" w:type="dxa"/>
            <w:vAlign w:val="center"/>
          </w:tcPr>
          <w:p>
            <w:pPr>
              <w:pStyle w:val="24"/>
              <w:spacing w:line="240" w:lineRule="auto"/>
              <w:ind w:firstLine="520" w:firstLineChars="0"/>
              <w:jc w:val="left"/>
              <w:rPr>
                <w:rFonts w:hint="eastAsia" w:eastAsia="宋体"/>
                <w:vertAlign w:val="baseline"/>
                <w:lang w:val="en-US" w:eastAsia="zh-CN"/>
              </w:rPr>
            </w:pPr>
            <w:r>
              <w:rPr>
                <w:rFonts w:hint="eastAsia"/>
                <w:sz w:val="17"/>
                <w:szCs w:val="17"/>
                <w:lang w:val="en-US" w:eastAsia="zh-CN"/>
              </w:rPr>
              <w:t>0.00</w:t>
            </w:r>
          </w:p>
        </w:tc>
        <w:tc>
          <w:tcPr>
            <w:tcW w:w="1031" w:type="dxa"/>
            <w:vAlign w:val="center"/>
          </w:tcPr>
          <w:p>
            <w:pPr>
              <w:pStyle w:val="24"/>
              <w:spacing w:line="240" w:lineRule="auto"/>
              <w:ind w:firstLine="4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844" w:type="dxa"/>
            <w:vAlign w:val="center"/>
          </w:tcPr>
          <w:p>
            <w:pPr>
              <w:pStyle w:val="24"/>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856" w:type="dxa"/>
            <w:vAlign w:val="center"/>
          </w:tcPr>
          <w:p>
            <w:pPr>
              <w:pStyle w:val="24"/>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1035" w:type="dxa"/>
            <w:vAlign w:val="center"/>
          </w:tcPr>
          <w:p>
            <w:pPr>
              <w:pStyle w:val="24"/>
              <w:spacing w:line="240" w:lineRule="auto"/>
              <w:ind w:firstLine="52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11" w:type="dxa"/>
            <w:vAlign w:val="center"/>
          </w:tcPr>
          <w:p>
            <w:pPr>
              <w:pStyle w:val="24"/>
              <w:spacing w:line="240" w:lineRule="auto"/>
              <w:ind w:firstLine="48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859" w:type="dxa"/>
            <w:vAlign w:val="center"/>
          </w:tcPr>
          <w:p>
            <w:pPr>
              <w:pStyle w:val="24"/>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94" w:type="dxa"/>
            <w:gridSpan w:val="2"/>
            <w:vAlign w:val="center"/>
          </w:tcPr>
          <w:p>
            <w:pPr>
              <w:pStyle w:val="24"/>
              <w:spacing w:line="240" w:lineRule="auto"/>
              <w:ind w:firstLine="58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872" w:type="dxa"/>
            <w:vAlign w:val="center"/>
          </w:tcPr>
          <w:p>
            <w:pPr>
              <w:pStyle w:val="24"/>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54" w:type="dxa"/>
            <w:vAlign w:val="center"/>
          </w:tcPr>
          <w:p>
            <w:pPr>
              <w:pStyle w:val="24"/>
              <w:spacing w:line="240" w:lineRule="auto"/>
              <w:ind w:firstLine="54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7" w:type="dxa"/>
            <w:gridSpan w:val="16"/>
            <w:tcBorders>
              <w:left w:val="nil"/>
              <w:bottom w:val="nil"/>
              <w:right w:val="nil"/>
            </w:tcBorders>
          </w:tcPr>
          <w:p>
            <w:pPr>
              <w:pStyle w:val="26"/>
              <w:jc w:val="left"/>
              <w:rPr>
                <w:rFonts w:hint="eastAsia" w:eastAsia="宋体"/>
                <w:vertAlign w:val="baseline"/>
                <w:lang w:val="en-US" w:eastAsia="zh-CN"/>
              </w:rPr>
            </w:pPr>
            <w:r>
              <w:t>注：本报表金额单位转换时可能存在四舍五入尾数误差。</w:t>
            </w:r>
          </w:p>
        </w:tc>
      </w:tr>
    </w:tbl>
    <w:p>
      <w:pPr>
        <w:tabs>
          <w:tab w:val="left" w:pos="859"/>
        </w:tabs>
        <w:jc w:val="both"/>
        <w:rPr>
          <w:rFonts w:hint="eastAsia" w:eastAsia="宋体"/>
          <w:lang w:val="en-US" w:eastAsia="zh-CN"/>
        </w:rPr>
      </w:pPr>
    </w:p>
    <w:p>
      <w:pPr>
        <w:tabs>
          <w:tab w:val="left" w:pos="859"/>
        </w:tabs>
        <w:jc w:val="center"/>
        <w:rPr>
          <w:rFonts w:hint="eastAsia" w:eastAsia="宋体"/>
          <w:lang w:val="en-US" w:eastAsia="zh-CN"/>
        </w:rPr>
      </w:pPr>
    </w:p>
    <w:p>
      <w:pPr>
        <w:tabs>
          <w:tab w:val="left" w:pos="859"/>
        </w:tabs>
        <w:jc w:val="both"/>
        <w:rPr>
          <w:rFonts w:hint="eastAsia" w:eastAsia="宋体"/>
          <w:lang w:val="en-US" w:eastAsia="zh-CN"/>
        </w:rPr>
      </w:pPr>
    </w:p>
    <w:p>
      <w:pPr>
        <w:spacing w:line="1" w:lineRule="exact"/>
        <w:jc w:val="left"/>
        <w:rPr>
          <w:lang w:eastAsia="zh-CN"/>
        </w:rPr>
        <w:sectPr>
          <w:headerReference r:id="rId8" w:type="default"/>
          <w:footerReference r:id="rId9" w:type="default"/>
          <w:pgSz w:w="16840" w:h="11900" w:orient="landscape"/>
          <w:pgMar w:top="2709" w:right="764" w:bottom="2709" w:left="735" w:header="2281" w:footer="3" w:gutter="0"/>
          <w:pgBorders>
            <w:top w:val="none" w:sz="0" w:space="0"/>
            <w:left w:val="none" w:sz="0" w:space="0"/>
            <w:bottom w:val="none" w:sz="0" w:space="0"/>
            <w:right w:val="none" w:sz="0" w:space="0"/>
          </w:pgBorders>
          <w:cols w:space="720" w:num="1"/>
          <w:docGrid w:linePitch="360" w:charSpace="0"/>
        </w:sectPr>
      </w:pPr>
    </w:p>
    <w:p>
      <w:pPr>
        <w:pStyle w:val="22"/>
        <w:keepNext/>
        <w:keepLines/>
        <w:spacing w:after="240"/>
        <w:jc w:val="center"/>
      </w:pPr>
      <w:bookmarkStart w:id="19" w:name="bookmark42"/>
      <w:bookmarkStart w:id="20" w:name="bookmark43"/>
      <w:bookmarkStart w:id="21" w:name="bookmark41"/>
      <w:r>
        <w:t>支出总体情况表</w:t>
      </w:r>
      <w:bookmarkEnd w:id="19"/>
      <w:bookmarkEnd w:id="20"/>
      <w:bookmarkEnd w:id="21"/>
    </w:p>
    <w:tbl>
      <w:tblPr>
        <w:tblStyle w:val="4"/>
        <w:tblW w:w="0" w:type="auto"/>
        <w:tblInd w:w="0" w:type="dxa"/>
        <w:tblLayout w:type="fixed"/>
        <w:tblCellMar>
          <w:top w:w="0" w:type="dxa"/>
          <w:left w:w="10" w:type="dxa"/>
          <w:bottom w:w="0" w:type="dxa"/>
          <w:right w:w="10" w:type="dxa"/>
        </w:tblCellMar>
      </w:tblPr>
      <w:tblGrid>
        <w:gridCol w:w="1843"/>
        <w:gridCol w:w="1934"/>
        <w:gridCol w:w="2390"/>
        <w:gridCol w:w="2280"/>
        <w:gridCol w:w="2299"/>
        <w:gridCol w:w="2222"/>
        <w:gridCol w:w="2371"/>
      </w:tblGrid>
      <w:tr>
        <w:tblPrEx>
          <w:tblCellMar>
            <w:top w:w="0" w:type="dxa"/>
            <w:left w:w="10" w:type="dxa"/>
            <w:bottom w:w="0" w:type="dxa"/>
            <w:right w:w="10" w:type="dxa"/>
          </w:tblCellMar>
        </w:tblPrEx>
        <w:trPr>
          <w:trHeight w:val="346" w:hRule="exact"/>
        </w:trPr>
        <w:tc>
          <w:tcPr>
            <w:tcW w:w="12968" w:type="dxa"/>
            <w:gridSpan w:val="6"/>
            <w:shd w:val="clear" w:color="auto" w:fill="FFFFFF"/>
          </w:tcPr>
          <w:p>
            <w:pPr>
              <w:pStyle w:val="24"/>
              <w:spacing w:line="240" w:lineRule="auto"/>
              <w:ind w:firstLine="0"/>
              <w:jc w:val="left"/>
              <w:rPr>
                <w:sz w:val="17"/>
                <w:szCs w:val="17"/>
              </w:rPr>
            </w:pPr>
            <w:r>
              <w:rPr>
                <w:sz w:val="17"/>
                <w:szCs w:val="17"/>
              </w:rPr>
              <w:t>单位名称：</w:t>
            </w:r>
            <w:r>
              <w:rPr>
                <w:rFonts w:hint="eastAsia"/>
                <w:sz w:val="17"/>
                <w:szCs w:val="17"/>
                <w:lang w:eastAsia="zh-CN"/>
              </w:rPr>
              <w:t>环江毛南族自治县农业农村局</w:t>
            </w:r>
          </w:p>
        </w:tc>
        <w:tc>
          <w:tcPr>
            <w:tcW w:w="2371" w:type="dxa"/>
            <w:shd w:val="clear" w:color="auto" w:fill="FFFFFF"/>
          </w:tcPr>
          <w:p>
            <w:pPr>
              <w:pStyle w:val="24"/>
              <w:spacing w:line="240" w:lineRule="auto"/>
              <w:ind w:firstLine="1190" w:firstLineChars="700"/>
              <w:jc w:val="left"/>
              <w:rPr>
                <w:sz w:val="17"/>
                <w:szCs w:val="17"/>
              </w:rPr>
            </w:pPr>
            <w:r>
              <w:rPr>
                <w:sz w:val="17"/>
                <w:szCs w:val="17"/>
              </w:rPr>
              <w:t>单位：万元</w:t>
            </w:r>
          </w:p>
        </w:tc>
      </w:tr>
      <w:tr>
        <w:tblPrEx>
          <w:tblCellMar>
            <w:top w:w="0" w:type="dxa"/>
            <w:left w:w="10" w:type="dxa"/>
            <w:bottom w:w="0" w:type="dxa"/>
            <w:right w:w="10" w:type="dxa"/>
          </w:tblCellMar>
        </w:tblPrEx>
        <w:trPr>
          <w:trHeight w:val="854" w:hRule="exact"/>
        </w:trPr>
        <w:tc>
          <w:tcPr>
            <w:tcW w:w="1843"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left"/>
              <w:rPr>
                <w:sz w:val="17"/>
                <w:szCs w:val="17"/>
              </w:rPr>
            </w:pPr>
            <w:r>
              <w:rPr>
                <w:sz w:val="17"/>
                <w:szCs w:val="17"/>
              </w:rPr>
              <w:t>科目编码</w:t>
            </w:r>
          </w:p>
        </w:tc>
        <w:tc>
          <w:tcPr>
            <w:tcW w:w="1934"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40"/>
              <w:jc w:val="left"/>
              <w:rPr>
                <w:sz w:val="17"/>
                <w:szCs w:val="17"/>
              </w:rPr>
            </w:pPr>
            <w:r>
              <w:rPr>
                <w:sz w:val="17"/>
                <w:szCs w:val="17"/>
              </w:rPr>
              <w:t>部门（单位）代码</w:t>
            </w:r>
          </w:p>
        </w:tc>
        <w:tc>
          <w:tcPr>
            <w:tcW w:w="2390" w:type="dxa"/>
            <w:tcBorders>
              <w:top w:val="single" w:color="auto" w:sz="4" w:space="0"/>
              <w:left w:val="single" w:color="auto" w:sz="4" w:space="0"/>
              <w:bottom w:val="single" w:color="auto" w:sz="4" w:space="0"/>
            </w:tcBorders>
            <w:shd w:val="clear" w:color="auto" w:fill="FFFFFF"/>
            <w:vAlign w:val="center"/>
          </w:tcPr>
          <w:p>
            <w:pPr>
              <w:pStyle w:val="24"/>
              <w:spacing w:after="120" w:line="240" w:lineRule="auto"/>
              <w:ind w:firstLine="0"/>
              <w:jc w:val="left"/>
              <w:rPr>
                <w:sz w:val="17"/>
                <w:szCs w:val="17"/>
              </w:rPr>
            </w:pPr>
            <w:r>
              <w:rPr>
                <w:sz w:val="17"/>
                <w:szCs w:val="17"/>
              </w:rPr>
              <w:t>部门（单位）名称</w:t>
            </w:r>
          </w:p>
          <w:p>
            <w:pPr>
              <w:pStyle w:val="24"/>
              <w:spacing w:line="240" w:lineRule="auto"/>
              <w:ind w:firstLine="0"/>
              <w:jc w:val="left"/>
              <w:rPr>
                <w:sz w:val="17"/>
                <w:szCs w:val="17"/>
              </w:rPr>
            </w:pPr>
            <w:r>
              <w:rPr>
                <w:sz w:val="17"/>
                <w:szCs w:val="17"/>
              </w:rPr>
              <w:t>（功能分类科目名称）</w:t>
            </w:r>
          </w:p>
        </w:tc>
        <w:tc>
          <w:tcPr>
            <w:tcW w:w="228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left"/>
              <w:rPr>
                <w:sz w:val="17"/>
                <w:szCs w:val="17"/>
              </w:rPr>
            </w:pPr>
            <w:r>
              <w:rPr>
                <w:sz w:val="17"/>
                <w:szCs w:val="17"/>
              </w:rPr>
              <w:t>合计</w:t>
            </w:r>
          </w:p>
        </w:tc>
        <w:tc>
          <w:tcPr>
            <w:tcW w:w="2299"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left"/>
              <w:rPr>
                <w:sz w:val="17"/>
                <w:szCs w:val="17"/>
              </w:rPr>
            </w:pPr>
            <w:r>
              <w:rPr>
                <w:sz w:val="17"/>
                <w:szCs w:val="17"/>
              </w:rPr>
              <w:t>基本支出</w:t>
            </w:r>
          </w:p>
        </w:tc>
        <w:tc>
          <w:tcPr>
            <w:tcW w:w="2222"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left"/>
              <w:rPr>
                <w:sz w:val="17"/>
                <w:szCs w:val="17"/>
              </w:rPr>
            </w:pPr>
            <w:r>
              <w:rPr>
                <w:sz w:val="17"/>
                <w:szCs w:val="17"/>
              </w:rPr>
              <w:t>项目支出</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sz w:val="17"/>
                <w:szCs w:val="17"/>
              </w:rPr>
            </w:pPr>
            <w:r>
              <w:rPr>
                <w:sz w:val="17"/>
                <w:szCs w:val="17"/>
              </w:rPr>
              <w:t>结转下年支出</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 xml:space="preserve"> </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 xml:space="preserve"> </w:t>
            </w: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合计</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8794.80</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3756.88</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5037.91</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501001</w:t>
            </w: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8794.80</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3756.88</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5037.91</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2012999</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其他群众团体事务支出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35.24</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35.24</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2080505</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机关事业单位基本养老保险缴费支出</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403.83</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403.83</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2130101</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行政运行</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2284.06</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2282.56</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1.50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2130104</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事业运行</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717.39</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684.98</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32.41</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2130106</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科技转化与推广服务</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176.78</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176.78</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2130108</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病虫害控制</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67.44</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67.44</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2130109</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农产品质量安全</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15.08</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15.08</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2130110</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执法监管</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24.10</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24.10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2130111</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统计监测与信息服务</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1.27</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1.27</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2130119</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防灾救灾</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40.26</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40.26</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2130120</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稳定农民收入补贴</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0.01</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0.01</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2130121</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农业结构调整补贴</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3.59</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3.59</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2130122</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农业生产发展</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1154.72</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1154.72</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2130125</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农产品加工与促销</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146.40</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146.40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2130126</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农村社会事业</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31.31</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31.31</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2130135</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农业生态资源保护</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450.15</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450.15</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2130153</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耕地建设与利用</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2790.53</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2790.53</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2130199</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其他农业农村支出</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87.86</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87.86</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2130201</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行政运行</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4.00</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4.00</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2130599</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其他巩固脱贫攻坚成果衔接乡村振兴支出</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10.50</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10.50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2130999</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其他目标价格补贴</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4.00</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4.00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2210201</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住房公积金</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346.27</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346.27</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bl>
    <w:p>
      <w:pPr>
        <w:pStyle w:val="26"/>
        <w:ind w:left="672"/>
        <w:jc w:val="left"/>
      </w:pPr>
      <w:r>
        <w:t>注：本报表金额单位转换时可能存在四舍五入尾数误差。</w:t>
      </w:r>
      <w:r>
        <w:br w:type="page"/>
      </w:r>
    </w:p>
    <w:p>
      <w:pPr>
        <w:pStyle w:val="22"/>
        <w:keepNext/>
        <w:keepLines/>
        <w:spacing w:after="240"/>
        <w:jc w:val="center"/>
      </w:pPr>
      <w:bookmarkStart w:id="22" w:name="bookmark46"/>
      <w:bookmarkStart w:id="23" w:name="bookmark44"/>
      <w:bookmarkStart w:id="24" w:name="bookmark45"/>
      <w:r>
        <w:t>财政拨款收支总体情况表</w:t>
      </w:r>
      <w:bookmarkEnd w:id="22"/>
      <w:bookmarkEnd w:id="23"/>
      <w:bookmarkEnd w:id="24"/>
    </w:p>
    <w:tbl>
      <w:tblPr>
        <w:tblStyle w:val="4"/>
        <w:tblW w:w="0" w:type="auto"/>
        <w:tblInd w:w="0" w:type="dxa"/>
        <w:tblLayout w:type="fixed"/>
        <w:tblCellMar>
          <w:top w:w="0" w:type="dxa"/>
          <w:left w:w="10" w:type="dxa"/>
          <w:bottom w:w="0" w:type="dxa"/>
          <w:right w:w="10" w:type="dxa"/>
        </w:tblCellMar>
      </w:tblPr>
      <w:tblGrid>
        <w:gridCol w:w="2885"/>
        <w:gridCol w:w="955"/>
        <w:gridCol w:w="3830"/>
        <w:gridCol w:w="3826"/>
        <w:gridCol w:w="3845"/>
        <w:gridCol w:w="1"/>
      </w:tblGrid>
      <w:tr>
        <w:tblPrEx>
          <w:tblCellMar>
            <w:top w:w="0" w:type="dxa"/>
            <w:left w:w="10" w:type="dxa"/>
            <w:bottom w:w="0" w:type="dxa"/>
            <w:right w:w="10" w:type="dxa"/>
          </w:tblCellMar>
        </w:tblPrEx>
        <w:trPr>
          <w:gridAfter w:val="1"/>
          <w:wAfter w:w="1" w:type="dxa"/>
          <w:trHeight w:val="346" w:hRule="exact"/>
        </w:trPr>
        <w:tc>
          <w:tcPr>
            <w:tcW w:w="11496" w:type="dxa"/>
            <w:gridSpan w:val="4"/>
            <w:shd w:val="clear" w:color="auto" w:fill="FFFFFF"/>
          </w:tcPr>
          <w:p>
            <w:pPr>
              <w:pStyle w:val="24"/>
              <w:spacing w:line="240" w:lineRule="auto"/>
              <w:ind w:firstLine="0"/>
              <w:jc w:val="left"/>
              <w:rPr>
                <w:rFonts w:hint="default"/>
                <w:sz w:val="17"/>
                <w:szCs w:val="17"/>
                <w:lang w:val="en-US"/>
              </w:rPr>
            </w:pPr>
            <w:r>
              <w:rPr>
                <w:sz w:val="17"/>
                <w:szCs w:val="17"/>
              </w:rPr>
              <w:t>单位名称：</w:t>
            </w:r>
            <w:r>
              <w:rPr>
                <w:rFonts w:hint="eastAsia"/>
                <w:sz w:val="17"/>
                <w:szCs w:val="17"/>
                <w:lang w:eastAsia="zh-CN"/>
              </w:rPr>
              <w:t>环江毛南族自治县农业农村局</w:t>
            </w:r>
            <w:r>
              <w:rPr>
                <w:rFonts w:hint="eastAsia"/>
                <w:sz w:val="17"/>
                <w:szCs w:val="17"/>
                <w:lang w:val="en-US" w:eastAsia="zh-CN"/>
              </w:rPr>
              <w:t xml:space="preserve">                         </w:t>
            </w:r>
          </w:p>
        </w:tc>
        <w:tc>
          <w:tcPr>
            <w:tcW w:w="3845" w:type="dxa"/>
            <w:shd w:val="clear" w:color="auto" w:fill="FFFFFF"/>
          </w:tcPr>
          <w:p>
            <w:pPr>
              <w:pStyle w:val="24"/>
              <w:spacing w:line="240" w:lineRule="auto"/>
              <w:jc w:val="left"/>
              <w:rPr>
                <w:sz w:val="17"/>
                <w:szCs w:val="17"/>
              </w:rPr>
            </w:pPr>
            <w:r>
              <w:rPr>
                <w:sz w:val="17"/>
                <w:szCs w:val="17"/>
              </w:rPr>
              <w:t>单位：万元</w:t>
            </w:r>
          </w:p>
        </w:tc>
      </w:tr>
      <w:tr>
        <w:tblPrEx>
          <w:tblCellMar>
            <w:top w:w="0" w:type="dxa"/>
            <w:left w:w="10" w:type="dxa"/>
            <w:bottom w:w="0" w:type="dxa"/>
            <w:right w:w="10" w:type="dxa"/>
          </w:tblCellMar>
        </w:tblPrEx>
        <w:trPr>
          <w:gridAfter w:val="1"/>
          <w:wAfter w:w="1" w:type="dxa"/>
          <w:trHeight w:val="437" w:hRule="exact"/>
        </w:trPr>
        <w:tc>
          <w:tcPr>
            <w:tcW w:w="2885" w:type="dxa"/>
            <w:tcBorders>
              <w:top w:val="single" w:color="auto" w:sz="4" w:space="0"/>
              <w:left w:val="single" w:color="auto" w:sz="4" w:space="0"/>
            </w:tcBorders>
            <w:shd w:val="clear" w:color="auto" w:fill="FFFFFF"/>
          </w:tcPr>
          <w:p>
            <w:pPr>
              <w:jc w:val="left"/>
              <w:rPr>
                <w:sz w:val="10"/>
                <w:szCs w:val="10"/>
              </w:rPr>
            </w:pPr>
          </w:p>
        </w:tc>
        <w:tc>
          <w:tcPr>
            <w:tcW w:w="955" w:type="dxa"/>
            <w:tcBorders>
              <w:top w:val="single" w:color="auto" w:sz="4" w:space="0"/>
            </w:tcBorders>
            <w:shd w:val="clear" w:color="auto" w:fill="FFFFFF"/>
            <w:vAlign w:val="center"/>
          </w:tcPr>
          <w:p>
            <w:pPr>
              <w:pStyle w:val="24"/>
              <w:spacing w:line="240" w:lineRule="auto"/>
              <w:ind w:firstLine="0"/>
              <w:jc w:val="left"/>
              <w:rPr>
                <w:sz w:val="17"/>
                <w:szCs w:val="17"/>
              </w:rPr>
            </w:pPr>
            <w:r>
              <w:rPr>
                <w:sz w:val="17"/>
                <w:szCs w:val="17"/>
              </w:rPr>
              <w:t>收</w:t>
            </w:r>
          </w:p>
        </w:tc>
        <w:tc>
          <w:tcPr>
            <w:tcW w:w="3830" w:type="dxa"/>
            <w:tcBorders>
              <w:top w:val="single" w:color="auto" w:sz="4" w:space="0"/>
            </w:tcBorders>
            <w:shd w:val="clear" w:color="auto" w:fill="FFFFFF"/>
            <w:vAlign w:val="center"/>
          </w:tcPr>
          <w:p>
            <w:pPr>
              <w:pStyle w:val="24"/>
              <w:spacing w:line="240" w:lineRule="auto"/>
              <w:ind w:firstLine="340"/>
              <w:jc w:val="left"/>
              <w:rPr>
                <w:sz w:val="17"/>
                <w:szCs w:val="17"/>
              </w:rPr>
            </w:pPr>
            <w:r>
              <w:rPr>
                <w:sz w:val="17"/>
                <w:szCs w:val="17"/>
              </w:rPr>
              <w:t>入</w:t>
            </w:r>
          </w:p>
        </w:tc>
        <w:tc>
          <w:tcPr>
            <w:tcW w:w="3826" w:type="dxa"/>
            <w:tcBorders>
              <w:top w:val="single" w:color="auto" w:sz="4" w:space="0"/>
              <w:left w:val="single" w:color="auto" w:sz="4" w:space="0"/>
            </w:tcBorders>
            <w:shd w:val="clear" w:color="auto" w:fill="FFFFFF"/>
            <w:vAlign w:val="center"/>
          </w:tcPr>
          <w:p>
            <w:pPr>
              <w:pStyle w:val="24"/>
              <w:spacing w:line="240" w:lineRule="auto"/>
              <w:ind w:right="340" w:firstLine="2720" w:firstLineChars="1600"/>
              <w:jc w:val="left"/>
              <w:rPr>
                <w:sz w:val="17"/>
                <w:szCs w:val="17"/>
              </w:rPr>
            </w:pPr>
            <w:r>
              <w:rPr>
                <w:sz w:val="17"/>
                <w:szCs w:val="17"/>
              </w:rPr>
              <w:t>支</w:t>
            </w:r>
          </w:p>
        </w:tc>
        <w:tc>
          <w:tcPr>
            <w:tcW w:w="3845" w:type="dxa"/>
            <w:tcBorders>
              <w:top w:val="single" w:color="auto" w:sz="4" w:space="0"/>
              <w:right w:val="single" w:color="auto" w:sz="4" w:space="0"/>
            </w:tcBorders>
            <w:shd w:val="clear" w:color="auto" w:fill="FFFFFF"/>
            <w:vAlign w:val="center"/>
          </w:tcPr>
          <w:p>
            <w:pPr>
              <w:pStyle w:val="24"/>
              <w:spacing w:line="240" w:lineRule="auto"/>
              <w:ind w:firstLine="935" w:firstLineChars="550"/>
              <w:jc w:val="left"/>
              <w:rPr>
                <w:sz w:val="17"/>
                <w:szCs w:val="17"/>
              </w:rPr>
            </w:pPr>
            <w:r>
              <w:rPr>
                <w:sz w:val="17"/>
                <w:szCs w:val="17"/>
              </w:rPr>
              <w:t>出</w:t>
            </w:r>
          </w:p>
        </w:tc>
      </w:tr>
      <w:tr>
        <w:tblPrEx>
          <w:tblCellMar>
            <w:top w:w="0" w:type="dxa"/>
            <w:left w:w="10" w:type="dxa"/>
            <w:bottom w:w="0" w:type="dxa"/>
            <w:right w:w="10" w:type="dxa"/>
          </w:tblCellMar>
        </w:tblPrEx>
        <w:trPr>
          <w:gridAfter w:val="1"/>
          <w:wAfter w:w="1" w:type="dxa"/>
          <w:trHeight w:val="451" w:hRule="exact"/>
        </w:trPr>
        <w:tc>
          <w:tcPr>
            <w:tcW w:w="3840" w:type="dxa"/>
            <w:gridSpan w:val="2"/>
            <w:tcBorders>
              <w:top w:val="single" w:color="auto" w:sz="4" w:space="0"/>
              <w:left w:val="single" w:color="auto" w:sz="4" w:space="0"/>
            </w:tcBorders>
            <w:shd w:val="clear" w:color="auto" w:fill="FFFFFF"/>
            <w:vAlign w:val="center"/>
          </w:tcPr>
          <w:p>
            <w:pPr>
              <w:pStyle w:val="24"/>
              <w:spacing w:line="240" w:lineRule="auto"/>
              <w:ind w:firstLine="0"/>
              <w:jc w:val="center"/>
              <w:rPr>
                <w:sz w:val="17"/>
                <w:szCs w:val="17"/>
              </w:rPr>
            </w:pPr>
            <w:r>
              <w:rPr>
                <w:sz w:val="17"/>
                <w:szCs w:val="17"/>
              </w:rPr>
              <w:t>项目</w:t>
            </w:r>
          </w:p>
        </w:tc>
        <w:tc>
          <w:tcPr>
            <w:tcW w:w="3830" w:type="dxa"/>
            <w:tcBorders>
              <w:top w:val="single" w:color="auto" w:sz="4" w:space="0"/>
              <w:left w:val="single" w:color="auto" w:sz="4" w:space="0"/>
            </w:tcBorders>
            <w:shd w:val="clear" w:color="auto" w:fill="FFFFFF"/>
            <w:vAlign w:val="center"/>
          </w:tcPr>
          <w:p>
            <w:pPr>
              <w:pStyle w:val="24"/>
              <w:spacing w:line="240" w:lineRule="auto"/>
              <w:ind w:firstLine="0"/>
              <w:jc w:val="center"/>
              <w:rPr>
                <w:sz w:val="17"/>
                <w:szCs w:val="17"/>
              </w:rPr>
            </w:pPr>
            <w:r>
              <w:rPr>
                <w:sz w:val="17"/>
                <w:szCs w:val="17"/>
              </w:rPr>
              <w:t>预算数</w:t>
            </w:r>
          </w:p>
        </w:tc>
        <w:tc>
          <w:tcPr>
            <w:tcW w:w="3826" w:type="dxa"/>
            <w:tcBorders>
              <w:top w:val="single" w:color="auto" w:sz="4" w:space="0"/>
              <w:left w:val="single" w:color="auto" w:sz="4" w:space="0"/>
            </w:tcBorders>
            <w:shd w:val="clear" w:color="auto" w:fill="FFFFFF"/>
            <w:vAlign w:val="center"/>
          </w:tcPr>
          <w:p>
            <w:pPr>
              <w:pStyle w:val="24"/>
              <w:tabs>
                <w:tab w:val="left" w:pos="1034"/>
              </w:tabs>
              <w:spacing w:line="240" w:lineRule="auto"/>
              <w:ind w:firstLine="540"/>
              <w:jc w:val="center"/>
              <w:rPr>
                <w:sz w:val="17"/>
                <w:szCs w:val="17"/>
              </w:rPr>
            </w:pPr>
            <w:r>
              <w:rPr>
                <w:sz w:val="17"/>
                <w:szCs w:val="17"/>
              </w:rPr>
              <w:t>项</w:t>
            </w:r>
            <w:r>
              <w:rPr>
                <w:sz w:val="17"/>
                <w:szCs w:val="17"/>
              </w:rPr>
              <w:tab/>
            </w:r>
            <w:r>
              <w:rPr>
                <w:sz w:val="17"/>
                <w:szCs w:val="17"/>
              </w:rPr>
              <w:t>目（按支出功能科目分类）</w:t>
            </w:r>
          </w:p>
        </w:tc>
        <w:tc>
          <w:tcPr>
            <w:tcW w:w="3845"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0"/>
              <w:jc w:val="center"/>
              <w:rPr>
                <w:sz w:val="17"/>
                <w:szCs w:val="17"/>
              </w:rPr>
            </w:pPr>
            <w:r>
              <w:rPr>
                <w:sz w:val="17"/>
                <w:szCs w:val="17"/>
              </w:rPr>
              <w:t>预算数</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一、一般公共预算拨款</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8794.80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一、一般公共服务支出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35.24</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6047.19</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二、外交支出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2747.60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三、国防支出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二、政府性基金预算拨款</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四、公共安全支出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五、教育支出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六、科学技术支出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三、国有资本经营预算拨款</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七、文化旅游体育与传媒支出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1、上级补助</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八、社会保障和就业支出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403.83</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2、本级</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九、卫生健康支出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十、节能环保支出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十一、城乡社区支出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十二、农林水支出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8009.45</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十三、交通运输支出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十四、资源勘探工业信息等支出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十五、商业服务业等支出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十六、金融支出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十七、援助其他地区支出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十八、自然资源海洋气象等支出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十九、住房保障支出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346.27</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二十、粮油物资储备支出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二十一、国有资本经营预算支出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二十二、灾害防治及应急管理支出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二十三、其他支出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二十四、债务还本支出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二十五、债务付息支出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二十六、债务发行费用支出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本年收入合计</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8794.80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本年支出合计</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8794.80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上年结转结余</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结转下年支出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收入总计</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8794.80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支出总计</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8794.80</w:t>
            </w:r>
          </w:p>
        </w:tc>
      </w:tr>
      <w:tr>
        <w:tblPrEx>
          <w:tblCellMar>
            <w:top w:w="0" w:type="dxa"/>
            <w:left w:w="10" w:type="dxa"/>
            <w:bottom w:w="0" w:type="dxa"/>
            <w:right w:w="10" w:type="dxa"/>
          </w:tblCellMar>
        </w:tblPrEx>
        <w:trPr>
          <w:trHeight w:val="352" w:hRule="exact"/>
        </w:trPr>
        <w:tc>
          <w:tcPr>
            <w:tcW w:w="15342" w:type="dxa"/>
            <w:gridSpan w:val="6"/>
            <w:tcBorders>
              <w:top w:val="single" w:color="auto" w:sz="4" w:space="0"/>
            </w:tcBorders>
            <w:shd w:val="clear" w:color="auto" w:fill="FFFFFF"/>
          </w:tcPr>
          <w:p>
            <w:pPr>
              <w:jc w:val="left"/>
              <w:rPr>
                <w:sz w:val="10"/>
                <w:szCs w:val="10"/>
                <w:lang w:eastAsia="zh-CN"/>
              </w:rPr>
            </w:pPr>
            <w:r>
              <w:rPr>
                <w:sz w:val="17"/>
                <w:szCs w:val="17"/>
              </w:rPr>
              <w:t>注：表中功能分类科目，根据各部门实际预算编制情况编列。</w:t>
            </w:r>
          </w:p>
        </w:tc>
      </w:tr>
      <w:tr>
        <w:tblPrEx>
          <w:tblCellMar>
            <w:top w:w="0" w:type="dxa"/>
            <w:left w:w="10" w:type="dxa"/>
            <w:bottom w:w="0" w:type="dxa"/>
            <w:right w:w="10" w:type="dxa"/>
          </w:tblCellMar>
        </w:tblPrEx>
        <w:trPr>
          <w:trHeight w:val="274" w:hRule="exact"/>
        </w:trPr>
        <w:tc>
          <w:tcPr>
            <w:tcW w:w="15342" w:type="dxa"/>
            <w:gridSpan w:val="6"/>
            <w:shd w:val="clear" w:color="auto" w:fill="FFFFFF"/>
            <w:vAlign w:val="bottom"/>
          </w:tcPr>
          <w:p>
            <w:pPr>
              <w:jc w:val="left"/>
              <w:rPr>
                <w:sz w:val="10"/>
                <w:szCs w:val="10"/>
                <w:lang w:eastAsia="zh-CN"/>
              </w:rPr>
            </w:pPr>
            <w:r>
              <w:rPr>
                <w:sz w:val="17"/>
                <w:szCs w:val="17"/>
              </w:rPr>
              <w:t>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一般公共预算支出情况表</w:t>
      </w:r>
    </w:p>
    <w:p>
      <w:pPr>
        <w:jc w:val="center"/>
        <w:rPr>
          <w:rFonts w:hint="eastAsia"/>
          <w:lang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2"/>
        <w:gridCol w:w="1526"/>
        <w:gridCol w:w="1487"/>
        <w:gridCol w:w="1829"/>
        <w:gridCol w:w="2136"/>
        <w:gridCol w:w="1889"/>
        <w:gridCol w:w="1718"/>
        <w:gridCol w:w="72"/>
        <w:gridCol w:w="1679"/>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6" w:type="dxa"/>
            <w:gridSpan w:val="7"/>
            <w:tcBorders>
              <w:top w:val="nil"/>
              <w:left w:val="nil"/>
              <w:right w:val="nil"/>
            </w:tcBorders>
          </w:tcPr>
          <w:p>
            <w:pPr>
              <w:jc w:val="left"/>
              <w:rPr>
                <w:rFonts w:hint="eastAsia"/>
                <w:vertAlign w:val="baseline"/>
                <w:lang w:eastAsia="zh-CN"/>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 xml:space="preserve">环江毛南族自治县农业农村局                                                            </w:t>
            </w: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 xml:space="preserve">                                                                  </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hint="eastAsia" w:ascii="宋体" w:hAnsi="宋体" w:eastAsia="宋体" w:cs="宋体"/>
                <w:sz w:val="16"/>
                <w:szCs w:val="16"/>
                <w:vertAlign w:val="baseline"/>
                <w:lang w:eastAsia="zh-CN"/>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Merge w:val="restart"/>
          </w:tcPr>
          <w:p>
            <w:pPr>
              <w:jc w:val="center"/>
              <w:rPr>
                <w:rFonts w:hint="eastAsia"/>
                <w:vertAlign w:val="baseline"/>
                <w:lang w:eastAsia="zh-CN"/>
              </w:rPr>
            </w:pPr>
            <w:r>
              <w:rPr>
                <w:sz w:val="17"/>
                <w:szCs w:val="17"/>
              </w:rPr>
              <w:t>科目编码</w:t>
            </w:r>
          </w:p>
        </w:tc>
        <w:tc>
          <w:tcPr>
            <w:tcW w:w="1676" w:type="dxa"/>
            <w:vMerge w:val="restart"/>
          </w:tcPr>
          <w:p>
            <w:pPr>
              <w:jc w:val="center"/>
              <w:rPr>
                <w:rFonts w:hint="eastAsia"/>
                <w:vertAlign w:val="baseline"/>
                <w:lang w:eastAsia="zh-CN"/>
              </w:rPr>
            </w:pPr>
            <w:r>
              <w:rPr>
                <w:sz w:val="17"/>
                <w:szCs w:val="17"/>
              </w:rPr>
              <w:t>部门（单位）代码</w:t>
            </w:r>
          </w:p>
        </w:tc>
        <w:tc>
          <w:tcPr>
            <w:tcW w:w="1662" w:type="dxa"/>
            <w:vMerge w:val="restart"/>
          </w:tcPr>
          <w:p>
            <w:pPr>
              <w:pStyle w:val="24"/>
              <w:spacing w:after="120" w:line="240" w:lineRule="auto"/>
              <w:ind w:firstLine="0"/>
              <w:jc w:val="center"/>
              <w:rPr>
                <w:sz w:val="17"/>
                <w:szCs w:val="17"/>
              </w:rPr>
            </w:pPr>
            <w:r>
              <w:rPr>
                <w:sz w:val="17"/>
                <w:szCs w:val="17"/>
              </w:rPr>
              <w:t>部门（单位）名称</w:t>
            </w:r>
          </w:p>
          <w:p>
            <w:pPr>
              <w:jc w:val="center"/>
              <w:rPr>
                <w:rFonts w:hint="eastAsia"/>
                <w:vertAlign w:val="baseline"/>
                <w:lang w:eastAsia="zh-CN"/>
              </w:rPr>
            </w:pPr>
            <w:r>
              <w:rPr>
                <w:sz w:val="17"/>
                <w:szCs w:val="17"/>
              </w:rPr>
              <w:t>（功能分类科目名称）</w:t>
            </w:r>
          </w:p>
        </w:tc>
        <w:tc>
          <w:tcPr>
            <w:tcW w:w="1717" w:type="dxa"/>
            <w:vMerge w:val="restart"/>
          </w:tcPr>
          <w:p>
            <w:pPr>
              <w:jc w:val="center"/>
              <w:rPr>
                <w:rFonts w:hint="eastAsia"/>
                <w:vertAlign w:val="baseline"/>
                <w:lang w:eastAsia="zh-CN"/>
              </w:rPr>
            </w:pPr>
            <w:r>
              <w:rPr>
                <w:sz w:val="17"/>
                <w:szCs w:val="17"/>
              </w:rPr>
              <w:t>合计</w:t>
            </w:r>
          </w:p>
        </w:tc>
        <w:tc>
          <w:tcPr>
            <w:tcW w:w="5398" w:type="dxa"/>
            <w:gridSpan w:val="4"/>
          </w:tcPr>
          <w:p>
            <w:pPr>
              <w:jc w:val="center"/>
              <w:rPr>
                <w:rFonts w:hint="eastAsia"/>
                <w:vertAlign w:val="baseline"/>
                <w:lang w:eastAsia="zh-CN"/>
              </w:rPr>
            </w:pPr>
            <w:r>
              <w:rPr>
                <w:sz w:val="17"/>
                <w:szCs w:val="17"/>
              </w:rPr>
              <w:t>基本支出</w:t>
            </w:r>
          </w:p>
        </w:tc>
        <w:tc>
          <w:tcPr>
            <w:tcW w:w="1694" w:type="dxa"/>
            <w:vMerge w:val="restart"/>
          </w:tcPr>
          <w:p>
            <w:pPr>
              <w:jc w:val="center"/>
              <w:rPr>
                <w:rFonts w:hint="eastAsia"/>
                <w:vertAlign w:val="baseline"/>
                <w:lang w:eastAsia="zh-CN"/>
              </w:rPr>
            </w:pPr>
            <w:r>
              <w:rPr>
                <w:sz w:val="17"/>
                <w:szCs w:val="17"/>
              </w:rPr>
              <w:t>项目支出</w:t>
            </w:r>
          </w:p>
        </w:tc>
        <w:tc>
          <w:tcPr>
            <w:tcW w:w="1695" w:type="dxa"/>
            <w:vMerge w:val="restart"/>
          </w:tcPr>
          <w:p>
            <w:pPr>
              <w:jc w:val="center"/>
              <w:rPr>
                <w:rFonts w:hint="eastAsia"/>
                <w:vertAlign w:val="baseline"/>
                <w:lang w:eastAsia="zh-CN"/>
              </w:rPr>
            </w:pPr>
            <w:r>
              <w:rPr>
                <w:sz w:val="17"/>
                <w:szCs w:val="17"/>
              </w:rPr>
              <w:t>结转下年支出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Merge w:val="continue"/>
          </w:tcPr>
          <w:p>
            <w:pPr>
              <w:jc w:val="center"/>
              <w:rPr>
                <w:rFonts w:hint="eastAsia"/>
                <w:vertAlign w:val="baseline"/>
                <w:lang w:eastAsia="zh-CN"/>
              </w:rPr>
            </w:pPr>
          </w:p>
        </w:tc>
        <w:tc>
          <w:tcPr>
            <w:tcW w:w="1676" w:type="dxa"/>
            <w:vMerge w:val="continue"/>
          </w:tcPr>
          <w:p>
            <w:pPr>
              <w:jc w:val="center"/>
              <w:rPr>
                <w:rFonts w:hint="eastAsia"/>
                <w:vertAlign w:val="baseline"/>
                <w:lang w:eastAsia="zh-CN"/>
              </w:rPr>
            </w:pPr>
          </w:p>
        </w:tc>
        <w:tc>
          <w:tcPr>
            <w:tcW w:w="1662" w:type="dxa"/>
            <w:vMerge w:val="continue"/>
          </w:tcPr>
          <w:p>
            <w:pPr>
              <w:jc w:val="center"/>
              <w:rPr>
                <w:rFonts w:hint="eastAsia"/>
                <w:vertAlign w:val="baseline"/>
                <w:lang w:eastAsia="zh-CN"/>
              </w:rPr>
            </w:pPr>
          </w:p>
        </w:tc>
        <w:tc>
          <w:tcPr>
            <w:tcW w:w="1717" w:type="dxa"/>
            <w:vMerge w:val="continue"/>
          </w:tcPr>
          <w:p>
            <w:pPr>
              <w:jc w:val="center"/>
              <w:rPr>
                <w:rFonts w:hint="eastAsia"/>
                <w:vertAlign w:val="baseline"/>
                <w:lang w:eastAsia="zh-CN"/>
              </w:rPr>
            </w:pPr>
          </w:p>
        </w:tc>
        <w:tc>
          <w:tcPr>
            <w:tcW w:w="1879" w:type="dxa"/>
            <w:vAlign w:val="center"/>
          </w:tcPr>
          <w:p>
            <w:pPr>
              <w:pStyle w:val="24"/>
              <w:spacing w:line="240" w:lineRule="auto"/>
              <w:ind w:firstLine="0" w:firstLineChars="0"/>
              <w:jc w:val="center"/>
              <w:rPr>
                <w:rFonts w:hint="eastAsia"/>
                <w:vertAlign w:val="baseline"/>
                <w:lang w:eastAsia="zh-CN"/>
              </w:rPr>
            </w:pPr>
            <w:r>
              <w:rPr>
                <w:sz w:val="17"/>
                <w:szCs w:val="17"/>
              </w:rPr>
              <w:t>小计</w:t>
            </w:r>
          </w:p>
        </w:tc>
        <w:tc>
          <w:tcPr>
            <w:tcW w:w="1729" w:type="dxa"/>
            <w:vAlign w:val="center"/>
          </w:tcPr>
          <w:p>
            <w:pPr>
              <w:pStyle w:val="24"/>
              <w:spacing w:line="240" w:lineRule="auto"/>
              <w:ind w:firstLine="0" w:firstLineChars="0"/>
              <w:jc w:val="center"/>
              <w:rPr>
                <w:rFonts w:hint="eastAsia"/>
                <w:vertAlign w:val="baseline"/>
                <w:lang w:eastAsia="zh-CN"/>
              </w:rPr>
            </w:pPr>
            <w:r>
              <w:rPr>
                <w:sz w:val="17"/>
                <w:szCs w:val="17"/>
              </w:rPr>
              <w:t>人员经费</w:t>
            </w:r>
          </w:p>
        </w:tc>
        <w:tc>
          <w:tcPr>
            <w:tcW w:w="1790" w:type="dxa"/>
            <w:gridSpan w:val="2"/>
            <w:vAlign w:val="center"/>
          </w:tcPr>
          <w:p>
            <w:pPr>
              <w:pStyle w:val="24"/>
              <w:spacing w:line="240" w:lineRule="auto"/>
              <w:ind w:firstLine="440" w:firstLineChars="0"/>
              <w:jc w:val="center"/>
              <w:rPr>
                <w:rFonts w:hint="eastAsia"/>
                <w:vertAlign w:val="baseline"/>
                <w:lang w:eastAsia="zh-CN"/>
              </w:rPr>
            </w:pPr>
            <w:r>
              <w:rPr>
                <w:sz w:val="17"/>
                <w:szCs w:val="17"/>
              </w:rPr>
              <w:t>公用经费</w:t>
            </w:r>
          </w:p>
        </w:tc>
        <w:tc>
          <w:tcPr>
            <w:tcW w:w="1694" w:type="dxa"/>
            <w:vMerge w:val="continue"/>
          </w:tcPr>
          <w:p>
            <w:pPr>
              <w:jc w:val="center"/>
              <w:rPr>
                <w:rFonts w:hint="eastAsia"/>
                <w:vertAlign w:val="baseline"/>
                <w:lang w:eastAsia="zh-CN"/>
              </w:rPr>
            </w:pPr>
          </w:p>
        </w:tc>
        <w:tc>
          <w:tcPr>
            <w:tcW w:w="1695" w:type="dxa"/>
            <w:vMerge w:val="continue"/>
          </w:tcPr>
          <w:p>
            <w:pPr>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24"/>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1</w:t>
            </w:r>
          </w:p>
        </w:tc>
        <w:tc>
          <w:tcPr>
            <w:tcW w:w="1879" w:type="dxa"/>
            <w:vAlign w:val="center"/>
          </w:tcPr>
          <w:p>
            <w:pPr>
              <w:pStyle w:val="24"/>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2</w:t>
            </w:r>
          </w:p>
        </w:tc>
        <w:tc>
          <w:tcPr>
            <w:tcW w:w="1729" w:type="dxa"/>
            <w:vAlign w:val="center"/>
          </w:tcPr>
          <w:p>
            <w:pPr>
              <w:pStyle w:val="24"/>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3</w:t>
            </w:r>
          </w:p>
        </w:tc>
        <w:tc>
          <w:tcPr>
            <w:tcW w:w="1790" w:type="dxa"/>
            <w:gridSpan w:val="2"/>
            <w:vAlign w:val="center"/>
          </w:tcPr>
          <w:p>
            <w:pPr>
              <w:pStyle w:val="24"/>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4</w:t>
            </w:r>
          </w:p>
        </w:tc>
        <w:tc>
          <w:tcPr>
            <w:tcW w:w="1694" w:type="dxa"/>
            <w:vAlign w:val="center"/>
          </w:tcPr>
          <w:p>
            <w:pPr>
              <w:pStyle w:val="24"/>
              <w:spacing w:line="240" w:lineRule="auto"/>
              <w:ind w:firstLine="660" w:firstLineChars="0"/>
              <w:jc w:val="center"/>
              <w:rPr>
                <w:rFonts w:hint="eastAsia"/>
                <w:vertAlign w:val="baseline"/>
                <w:lang w:eastAsia="zh-CN"/>
              </w:rPr>
            </w:pPr>
            <w:r>
              <w:rPr>
                <w:rFonts w:ascii="Times New Roman" w:hAnsi="Times New Roman" w:eastAsia="Times New Roman" w:cs="Times New Roman"/>
                <w:b/>
                <w:bCs/>
                <w:sz w:val="17"/>
                <w:szCs w:val="17"/>
              </w:rPr>
              <w:t>5</w:t>
            </w:r>
          </w:p>
        </w:tc>
        <w:tc>
          <w:tcPr>
            <w:tcW w:w="1695" w:type="dxa"/>
            <w:vAlign w:val="center"/>
          </w:tcPr>
          <w:p>
            <w:pPr>
              <w:pStyle w:val="24"/>
              <w:spacing w:line="240" w:lineRule="auto"/>
              <w:ind w:right="700" w:rightChars="0" w:firstLine="0" w:firstLineChars="0"/>
              <w:jc w:val="center"/>
              <w:rPr>
                <w:rFonts w:hint="eastAsia"/>
                <w:vertAlign w:val="baseline"/>
                <w:lang w:eastAsia="zh-CN"/>
              </w:rPr>
            </w:pPr>
            <w:r>
              <w:rPr>
                <w:rFonts w:ascii="Times New Roman" w:hAnsi="Times New Roman" w:eastAsia="Times New Roman" w:cs="Times New Roman"/>
                <w:b/>
                <w:bCs/>
                <w:sz w:val="17"/>
                <w:szCs w:val="17"/>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24"/>
              <w:spacing w:line="240" w:lineRule="auto"/>
              <w:ind w:firstLine="0" w:firstLineChars="0"/>
              <w:jc w:val="center"/>
              <w:rPr>
                <w:rFonts w:hint="eastAsia"/>
                <w:vertAlign w:val="baseline"/>
                <w:lang w:eastAsia="zh-CN"/>
              </w:rPr>
            </w:pPr>
          </w:p>
        </w:tc>
        <w:tc>
          <w:tcPr>
            <w:tcW w:w="1676"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501001</w:t>
            </w:r>
          </w:p>
        </w:tc>
        <w:tc>
          <w:tcPr>
            <w:tcW w:w="1662" w:type="dxa"/>
            <w:vAlign w:val="center"/>
          </w:tcPr>
          <w:p>
            <w:pPr>
              <w:pStyle w:val="24"/>
              <w:spacing w:line="240" w:lineRule="auto"/>
              <w:ind w:firstLine="0" w:firstLineChars="0"/>
              <w:jc w:val="center"/>
              <w:rPr>
                <w:rFonts w:hint="eastAsia"/>
                <w:vertAlign w:val="baseline"/>
                <w:lang w:eastAsia="zh-CN"/>
              </w:rPr>
            </w:pP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8794.80</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3756.89</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3578.71</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178.18</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5037.91</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2012999</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其他群众团体事务支出</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35.24</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35.24</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35.24</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2080505</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机关事业单位基本养老保险缴费支出</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403.83</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403.83</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403.83</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2130101</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行政运行</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2284.06</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2282.56</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2164.33</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118.23</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1.50</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2130104</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事业运行</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717.39</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684.98</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664.28</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20.70</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32.41</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2130106</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科技转化与推广服务</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176.78</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0.00</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176.78</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2130108</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病虫害控制</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67.44</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0.00</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67.44</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2130109</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农产品质量安全</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15.08</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0.00</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15.08</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2130110</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执法监管</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24.10</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0.00</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24.10</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2130111</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统计监测与信息服务</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1.27</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0.00</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1.27</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2130119</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防灾救灾</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40.26</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0.00</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40.26</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2130120</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稳定农民收入补贴</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0.01</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0.00</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0.01</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2130121</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农业结构调整补贴</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3.59</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0.00</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3.59</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2130122</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农业生产发展</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1154.72</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0.00</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1154.72</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2130125</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农产品加工与促销</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146.40</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0.00</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146.40</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2130126</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农村社会事业</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31.31</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0.00</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31.31</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2130135</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农业生态资源保护</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450.15</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0.00</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450.15</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2130153</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耕地建设与利用</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2790.53</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0.00</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2790.53</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2130199</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其他农业农村支出</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87.86</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0.00</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87.86</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2130201</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行政运行</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4.00</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4.00</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4.00</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2130599</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其他巩固脱贫攻坚成果衔接乡村振兴支出</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10.50</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0.00</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10.50</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2130999</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其他目标价格补贴</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4.00</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0.00</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4.00</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2210201</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住房公积金</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346.27</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346.27</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346.27</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7" w:type="dxa"/>
            <w:gridSpan w:val="10"/>
            <w:tcBorders>
              <w:left w:val="nil"/>
              <w:bottom w:val="nil"/>
              <w:right w:val="nil"/>
            </w:tcBorders>
          </w:tcPr>
          <w:p>
            <w:pPr>
              <w:jc w:val="left"/>
              <w:rPr>
                <w:rFonts w:hint="eastAsia"/>
                <w:vertAlign w:val="baseline"/>
                <w:lang w:eastAsia="zh-CN"/>
              </w:rPr>
            </w:pPr>
            <w:r>
              <w:rPr>
                <w:sz w:val="16"/>
                <w:szCs w:val="16"/>
              </w:rPr>
              <w:t>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22"/>
        <w:keepNext/>
        <w:keepLines/>
        <w:spacing w:after="240"/>
        <w:jc w:val="center"/>
      </w:pPr>
      <w:bookmarkStart w:id="25" w:name="bookmark58"/>
      <w:bookmarkStart w:id="26" w:name="bookmark57"/>
      <w:bookmarkStart w:id="27" w:name="bookmark56"/>
      <w:r>
        <w:t>一般公共预算基本支出情况表</w:t>
      </w:r>
      <w:bookmarkEnd w:id="25"/>
      <w:bookmarkEnd w:id="26"/>
      <w:bookmarkEnd w:id="27"/>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0"/>
        <w:gridCol w:w="3111"/>
        <w:gridCol w:w="3111"/>
        <w:gridCol w:w="3112"/>
        <w:gridCol w:w="3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4" w:type="dxa"/>
            <w:gridSpan w:val="4"/>
            <w:tcBorders>
              <w:top w:val="nil"/>
              <w:left w:val="nil"/>
              <w:right w:val="nil"/>
            </w:tcBorders>
          </w:tcPr>
          <w:p>
            <w:pPr>
              <w:jc w:val="left"/>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 xml:space="preserve">环江毛南族自治县农业农村局                                                          </w:t>
            </w: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 xml:space="preserve">                                                                    </w:t>
            </w:r>
          </w:p>
        </w:tc>
        <w:tc>
          <w:tcPr>
            <w:tcW w:w="3113" w:type="dxa"/>
            <w:tcBorders>
              <w:top w:val="nil"/>
              <w:left w:val="nil"/>
              <w:right w:val="nil"/>
            </w:tcBorders>
          </w:tcPr>
          <w:p>
            <w:pPr>
              <w:ind w:firstLine="1760" w:firstLineChars="1100"/>
              <w:jc w:val="left"/>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 xml:space="preserve">单位：万元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221" w:type="dxa"/>
            <w:gridSpan w:val="2"/>
          </w:tcPr>
          <w:p>
            <w:pPr>
              <w:jc w:val="left"/>
              <w:rPr>
                <w:vertAlign w:val="baseline"/>
                <w:lang w:eastAsia="zh-CN"/>
              </w:rPr>
            </w:pPr>
            <w:r>
              <w:rPr>
                <w:sz w:val="17"/>
                <w:szCs w:val="17"/>
              </w:rPr>
              <w:t>部门预算支出经济分类科目</w:t>
            </w:r>
          </w:p>
        </w:tc>
        <w:tc>
          <w:tcPr>
            <w:tcW w:w="9336" w:type="dxa"/>
            <w:gridSpan w:val="3"/>
          </w:tcPr>
          <w:p>
            <w:pPr>
              <w:jc w:val="left"/>
              <w:rPr>
                <w:vertAlign w:val="baseline"/>
                <w:lang w:eastAsia="zh-CN"/>
              </w:rPr>
            </w:pPr>
            <w:r>
              <w:rPr>
                <w:sz w:val="17"/>
                <w:szCs w:val="17"/>
              </w:rPr>
              <w:t>本年一般公共预算基本支出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110" w:type="dxa"/>
            <w:vAlign w:val="center"/>
          </w:tcPr>
          <w:p>
            <w:pPr>
              <w:pStyle w:val="24"/>
              <w:spacing w:line="240" w:lineRule="auto"/>
              <w:ind w:firstLine="0" w:firstLineChars="0"/>
              <w:jc w:val="center"/>
              <w:rPr>
                <w:vertAlign w:val="baseline"/>
                <w:lang w:eastAsia="zh-CN"/>
              </w:rPr>
            </w:pPr>
            <w:r>
              <w:rPr>
                <w:sz w:val="17"/>
                <w:szCs w:val="17"/>
              </w:rPr>
              <w:t>科目编码</w:t>
            </w:r>
          </w:p>
        </w:tc>
        <w:tc>
          <w:tcPr>
            <w:tcW w:w="3111" w:type="dxa"/>
            <w:vAlign w:val="center"/>
          </w:tcPr>
          <w:p>
            <w:pPr>
              <w:pStyle w:val="24"/>
              <w:spacing w:line="240" w:lineRule="auto"/>
              <w:ind w:firstLine="0" w:firstLineChars="0"/>
              <w:jc w:val="center"/>
              <w:rPr>
                <w:vertAlign w:val="baseline"/>
                <w:lang w:eastAsia="zh-CN"/>
              </w:rPr>
            </w:pPr>
            <w:r>
              <w:rPr>
                <w:sz w:val="17"/>
                <w:szCs w:val="17"/>
              </w:rPr>
              <w:t>科目名称</w:t>
            </w:r>
          </w:p>
        </w:tc>
        <w:tc>
          <w:tcPr>
            <w:tcW w:w="3111" w:type="dxa"/>
            <w:vAlign w:val="center"/>
          </w:tcPr>
          <w:p>
            <w:pPr>
              <w:pStyle w:val="24"/>
              <w:spacing w:line="240" w:lineRule="auto"/>
              <w:ind w:firstLine="0" w:firstLineChars="0"/>
              <w:jc w:val="center"/>
              <w:rPr>
                <w:vertAlign w:val="baseline"/>
                <w:lang w:eastAsia="zh-CN"/>
              </w:rPr>
            </w:pPr>
            <w:r>
              <w:rPr>
                <w:sz w:val="17"/>
                <w:szCs w:val="17"/>
              </w:rPr>
              <w:t>合计</w:t>
            </w:r>
          </w:p>
        </w:tc>
        <w:tc>
          <w:tcPr>
            <w:tcW w:w="3112" w:type="dxa"/>
            <w:vAlign w:val="center"/>
          </w:tcPr>
          <w:p>
            <w:pPr>
              <w:pStyle w:val="24"/>
              <w:spacing w:line="240" w:lineRule="auto"/>
              <w:ind w:firstLine="0" w:firstLineChars="0"/>
              <w:jc w:val="center"/>
              <w:rPr>
                <w:vertAlign w:val="baseline"/>
                <w:lang w:eastAsia="zh-CN"/>
              </w:rPr>
            </w:pPr>
            <w:r>
              <w:rPr>
                <w:sz w:val="17"/>
                <w:szCs w:val="17"/>
              </w:rPr>
              <w:t>人员经费</w:t>
            </w:r>
          </w:p>
        </w:tc>
        <w:tc>
          <w:tcPr>
            <w:tcW w:w="3113" w:type="dxa"/>
            <w:vAlign w:val="center"/>
          </w:tcPr>
          <w:p>
            <w:pPr>
              <w:pStyle w:val="24"/>
              <w:spacing w:line="240" w:lineRule="auto"/>
              <w:ind w:firstLine="0" w:firstLineChars="0"/>
              <w:jc w:val="center"/>
              <w:rPr>
                <w:vertAlign w:val="baseline"/>
                <w:lang w:eastAsia="zh-CN"/>
              </w:rPr>
            </w:pPr>
            <w:r>
              <w:rPr>
                <w:sz w:val="17"/>
                <w:szCs w:val="17"/>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 xml:space="preserve"> </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合计</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3756.89</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3578.71</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178.18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工资福利支出</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3370.60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3370.60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30101</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基本工资</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1098.38</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1098.38</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30102</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津贴补贴</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291.67</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291.67</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30103</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奖金</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588.53</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588.53</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30107</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绩效工资</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398.85</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398.85</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30108</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机关事业单位基本养老保险缴费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404.57</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404.57</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30110</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职工基本医疗保险缴费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161.83</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161.83</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30112</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其他社会保障缴费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14.43</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14.43</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30113</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住房公积金</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347.13</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347.13</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30199</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其他工资福利支出</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65.22</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65.22</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商品和服务支出</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178.18</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178.18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30201</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办公费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8.00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30202</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印刷费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3.50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30205</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水费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4.00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30206</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电费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7.00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30207</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邮电费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9.63</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30211</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差旅费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31.00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31.00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30213</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维修（护）费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4.00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30215</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会议费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30216</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培训费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30217</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公务接待费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4.00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30218</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专用材料费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30226</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劳务费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30227</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委托业务费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30228</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工会经费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35.24</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35.24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30231</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公务用车运行维护费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20.70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30239</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其他交通费用</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47.10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47.10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303</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对个人和家庭的补助</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208.11</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208.11</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30302</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退休费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187.66</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187.66</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30305</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生活补助</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20.41</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20.41</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30310</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个人农业生产补贴</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30399</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其他对个人和家庭的补助</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0.04</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0.04</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310</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资本性支出</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31002</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办公设备购置</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31005</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基础设施建设</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31099</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其他资本性支出</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311</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对企业补助（基本建设）</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31199</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其他对企业补助</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312</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对企业补助</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31299</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其他对企业补助</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22"/>
        <w:keepNext/>
        <w:keepLines/>
        <w:spacing w:after="240"/>
        <w:jc w:val="center"/>
        <w:rPr>
          <w:rFonts w:hint="default"/>
          <w:sz w:val="28"/>
          <w:szCs w:val="28"/>
          <w:lang w:val="en-US" w:eastAsia="zh-CN"/>
        </w:rPr>
      </w:pPr>
      <w:bookmarkStart w:id="28" w:name="bookmark67"/>
      <w:bookmarkStart w:id="29" w:name="bookmark66"/>
      <w:bookmarkStart w:id="30" w:name="bookmark65"/>
      <w:r>
        <w:rPr>
          <w:rFonts w:hint="default"/>
          <w:sz w:val="28"/>
          <w:szCs w:val="28"/>
          <w:lang w:val="en-US" w:eastAsia="zh-CN"/>
        </w:rPr>
        <w:t>一般公共预算“三公”经费预算表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6"/>
        <w:gridCol w:w="1918"/>
        <w:gridCol w:w="1884"/>
        <w:gridCol w:w="1895"/>
        <w:gridCol w:w="1888"/>
        <w:gridCol w:w="1890"/>
        <w:gridCol w:w="1895"/>
        <w:gridCol w:w="2"/>
        <w:gridCol w:w="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6" w:type="dxa"/>
            <w:gridSpan w:val="7"/>
            <w:tcBorders>
              <w:top w:val="nil"/>
              <w:left w:val="nil"/>
              <w:right w:val="nil"/>
            </w:tcBorders>
          </w:tcPr>
          <w:p>
            <w:pPr>
              <w:pStyle w:val="26"/>
              <w:bidi w:val="0"/>
              <w:jc w:val="both"/>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 xml:space="preserve">环江毛南族自治县农业农村局                                           </w:t>
            </w:r>
            <w:r>
              <w:rPr>
                <w:rFonts w:hint="eastAsia" w:cs="宋体"/>
                <w:sz w:val="16"/>
                <w:szCs w:val="16"/>
                <w:vertAlign w:val="baseline"/>
                <w:lang w:val="en-US" w:eastAsia="zh-CN"/>
              </w:rPr>
              <w:t xml:space="preserve">                    </w:t>
            </w:r>
            <w:r>
              <w:rPr>
                <w:rFonts w:hint="eastAsia" w:ascii="宋体" w:hAnsi="宋体" w:eastAsia="宋体" w:cs="宋体"/>
                <w:sz w:val="16"/>
                <w:szCs w:val="16"/>
                <w:vertAlign w:val="baseline"/>
                <w:lang w:eastAsia="zh-CN"/>
              </w:rPr>
              <w:t xml:space="preserve">                                                                                   </w:t>
            </w:r>
          </w:p>
        </w:tc>
        <w:tc>
          <w:tcPr>
            <w:tcW w:w="1891" w:type="dxa"/>
            <w:gridSpan w:val="2"/>
            <w:tcBorders>
              <w:top w:val="nil"/>
              <w:left w:val="nil"/>
              <w:right w:val="nil"/>
            </w:tcBorders>
          </w:tcPr>
          <w:p>
            <w:pPr>
              <w:pStyle w:val="26"/>
              <w:bidi w:val="0"/>
              <w:ind w:firstLine="480" w:firstLineChars="300"/>
              <w:jc w:val="both"/>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 xml:space="preserve">单位：万元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Merge w:val="restart"/>
          </w:tcPr>
          <w:p>
            <w:pPr>
              <w:pStyle w:val="26"/>
              <w:bidi w:val="0"/>
              <w:jc w:val="center"/>
              <w:rPr>
                <w:rFonts w:hint="eastAsia"/>
                <w:vertAlign w:val="baseline"/>
                <w:lang w:val="en-US" w:eastAsia="zh-CN"/>
              </w:rPr>
            </w:pPr>
            <w:r>
              <w:rPr>
                <w:sz w:val="17"/>
                <w:szCs w:val="17"/>
              </w:rPr>
              <w:t>门（单位）代码</w:t>
            </w:r>
          </w:p>
        </w:tc>
        <w:tc>
          <w:tcPr>
            <w:tcW w:w="1918" w:type="dxa"/>
            <w:vMerge w:val="restart"/>
          </w:tcPr>
          <w:p>
            <w:pPr>
              <w:pStyle w:val="26"/>
              <w:bidi w:val="0"/>
              <w:jc w:val="center"/>
              <w:rPr>
                <w:rFonts w:hint="eastAsia"/>
                <w:vertAlign w:val="baseline"/>
                <w:lang w:val="en-US" w:eastAsia="zh-CN"/>
              </w:rPr>
            </w:pPr>
            <w:r>
              <w:rPr>
                <w:sz w:val="17"/>
                <w:szCs w:val="17"/>
              </w:rPr>
              <w:t>部门（单位）名称</w:t>
            </w:r>
          </w:p>
        </w:tc>
        <w:tc>
          <w:tcPr>
            <w:tcW w:w="11343" w:type="dxa"/>
            <w:gridSpan w:val="7"/>
          </w:tcPr>
          <w:p>
            <w:pPr>
              <w:pStyle w:val="26"/>
              <w:bidi w:val="0"/>
              <w:jc w:val="center"/>
              <w:rPr>
                <w:rFonts w:hint="eastAsia"/>
                <w:vertAlign w:val="baseline"/>
                <w:lang w:val="en-US" w:eastAsia="zh-CN"/>
              </w:rPr>
            </w:pPr>
            <w:r>
              <w:rPr>
                <w:sz w:val="17"/>
                <w:szCs w:val="17"/>
                <w:lang w:val="zh-CN" w:eastAsia="zh-CN" w:bidi="zh-CN"/>
              </w:rPr>
              <w:t>“三</w:t>
            </w:r>
            <w:r>
              <w:rPr>
                <w:sz w:val="17"/>
                <w:szCs w:val="17"/>
              </w:rPr>
              <w:t>公”经费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Merge w:val="continue"/>
          </w:tcPr>
          <w:p>
            <w:pPr>
              <w:pStyle w:val="26"/>
              <w:bidi w:val="0"/>
              <w:jc w:val="center"/>
              <w:rPr>
                <w:rFonts w:hint="eastAsia"/>
                <w:vertAlign w:val="baseline"/>
                <w:lang w:val="en-US" w:eastAsia="zh-CN"/>
              </w:rPr>
            </w:pPr>
          </w:p>
        </w:tc>
        <w:tc>
          <w:tcPr>
            <w:tcW w:w="1918" w:type="dxa"/>
            <w:vMerge w:val="continue"/>
          </w:tcPr>
          <w:p>
            <w:pPr>
              <w:pStyle w:val="26"/>
              <w:bidi w:val="0"/>
              <w:jc w:val="center"/>
              <w:rPr>
                <w:rFonts w:hint="eastAsia"/>
                <w:vertAlign w:val="baseline"/>
                <w:lang w:val="en-US" w:eastAsia="zh-CN"/>
              </w:rPr>
            </w:pPr>
          </w:p>
        </w:tc>
        <w:tc>
          <w:tcPr>
            <w:tcW w:w="1884" w:type="dxa"/>
            <w:vMerge w:val="restart"/>
          </w:tcPr>
          <w:p>
            <w:pPr>
              <w:pStyle w:val="26"/>
              <w:bidi w:val="0"/>
              <w:jc w:val="center"/>
              <w:rPr>
                <w:rFonts w:hint="eastAsia"/>
                <w:vertAlign w:val="baseline"/>
                <w:lang w:val="en-US" w:eastAsia="zh-CN"/>
              </w:rPr>
            </w:pPr>
            <w:r>
              <w:rPr>
                <w:sz w:val="17"/>
                <w:szCs w:val="17"/>
              </w:rPr>
              <w:t>合计</w:t>
            </w:r>
          </w:p>
        </w:tc>
        <w:tc>
          <w:tcPr>
            <w:tcW w:w="1895" w:type="dxa"/>
            <w:vMerge w:val="restart"/>
          </w:tcPr>
          <w:p>
            <w:pPr>
              <w:pStyle w:val="26"/>
              <w:bidi w:val="0"/>
              <w:jc w:val="center"/>
              <w:rPr>
                <w:rFonts w:hint="eastAsia"/>
                <w:vertAlign w:val="baseline"/>
                <w:lang w:val="en-US" w:eastAsia="zh-CN"/>
              </w:rPr>
            </w:pPr>
            <w:r>
              <w:rPr>
                <w:sz w:val="17"/>
                <w:szCs w:val="17"/>
              </w:rPr>
              <w:t>因公出国（境）费</w:t>
            </w:r>
          </w:p>
        </w:tc>
        <w:tc>
          <w:tcPr>
            <w:tcW w:w="5675" w:type="dxa"/>
            <w:gridSpan w:val="4"/>
          </w:tcPr>
          <w:p>
            <w:pPr>
              <w:pStyle w:val="26"/>
              <w:bidi w:val="0"/>
              <w:jc w:val="center"/>
              <w:rPr>
                <w:rFonts w:hint="eastAsia"/>
                <w:vertAlign w:val="baseline"/>
                <w:lang w:val="en-US" w:eastAsia="zh-CN"/>
              </w:rPr>
            </w:pPr>
            <w:r>
              <w:rPr>
                <w:sz w:val="17"/>
                <w:szCs w:val="17"/>
              </w:rPr>
              <w:t>公务用车购置及运行维护费</w:t>
            </w:r>
          </w:p>
        </w:tc>
        <w:tc>
          <w:tcPr>
            <w:tcW w:w="1889" w:type="dxa"/>
            <w:vMerge w:val="restart"/>
          </w:tcPr>
          <w:p>
            <w:pPr>
              <w:pStyle w:val="26"/>
              <w:bidi w:val="0"/>
              <w:jc w:val="center"/>
              <w:rPr>
                <w:rFonts w:hint="eastAsia"/>
                <w:vertAlign w:val="baseline"/>
                <w:lang w:val="en-US" w:eastAsia="zh-CN"/>
              </w:rPr>
            </w:pPr>
            <w:r>
              <w:rPr>
                <w:sz w:val="17"/>
                <w:szCs w:val="17"/>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Merge w:val="continue"/>
          </w:tcPr>
          <w:p>
            <w:pPr>
              <w:pStyle w:val="26"/>
              <w:bidi w:val="0"/>
              <w:jc w:val="center"/>
              <w:rPr>
                <w:rFonts w:hint="eastAsia"/>
                <w:vertAlign w:val="baseline"/>
                <w:lang w:val="en-US" w:eastAsia="zh-CN"/>
              </w:rPr>
            </w:pPr>
          </w:p>
        </w:tc>
        <w:tc>
          <w:tcPr>
            <w:tcW w:w="1918" w:type="dxa"/>
            <w:vMerge w:val="continue"/>
          </w:tcPr>
          <w:p>
            <w:pPr>
              <w:pStyle w:val="26"/>
              <w:bidi w:val="0"/>
              <w:jc w:val="center"/>
              <w:rPr>
                <w:rFonts w:hint="eastAsia"/>
                <w:vertAlign w:val="baseline"/>
                <w:lang w:val="en-US" w:eastAsia="zh-CN"/>
              </w:rPr>
            </w:pPr>
          </w:p>
        </w:tc>
        <w:tc>
          <w:tcPr>
            <w:tcW w:w="1884" w:type="dxa"/>
            <w:vMerge w:val="continue"/>
          </w:tcPr>
          <w:p>
            <w:pPr>
              <w:pStyle w:val="26"/>
              <w:bidi w:val="0"/>
              <w:jc w:val="center"/>
              <w:rPr>
                <w:rFonts w:hint="eastAsia"/>
                <w:vertAlign w:val="baseline"/>
                <w:lang w:val="en-US" w:eastAsia="zh-CN"/>
              </w:rPr>
            </w:pPr>
          </w:p>
        </w:tc>
        <w:tc>
          <w:tcPr>
            <w:tcW w:w="1895" w:type="dxa"/>
            <w:vMerge w:val="continue"/>
          </w:tcPr>
          <w:p>
            <w:pPr>
              <w:pStyle w:val="26"/>
              <w:bidi w:val="0"/>
              <w:jc w:val="center"/>
              <w:rPr>
                <w:rFonts w:hint="eastAsia"/>
                <w:vertAlign w:val="baseline"/>
                <w:lang w:val="en-US" w:eastAsia="zh-CN"/>
              </w:rPr>
            </w:pPr>
          </w:p>
        </w:tc>
        <w:tc>
          <w:tcPr>
            <w:tcW w:w="1888" w:type="dxa"/>
            <w:vAlign w:val="center"/>
          </w:tcPr>
          <w:p>
            <w:pPr>
              <w:pStyle w:val="24"/>
              <w:spacing w:line="240" w:lineRule="auto"/>
              <w:ind w:firstLine="0" w:firstLineChars="0"/>
              <w:jc w:val="center"/>
              <w:rPr>
                <w:rFonts w:hint="eastAsia"/>
                <w:vertAlign w:val="baseline"/>
                <w:lang w:val="en-US" w:eastAsia="zh-CN"/>
              </w:rPr>
            </w:pPr>
            <w:r>
              <w:rPr>
                <w:sz w:val="17"/>
                <w:szCs w:val="17"/>
              </w:rPr>
              <w:t>小计</w:t>
            </w:r>
          </w:p>
        </w:tc>
        <w:tc>
          <w:tcPr>
            <w:tcW w:w="1890" w:type="dxa"/>
            <w:vAlign w:val="center"/>
          </w:tcPr>
          <w:p>
            <w:pPr>
              <w:pStyle w:val="24"/>
              <w:spacing w:line="240" w:lineRule="auto"/>
              <w:ind w:firstLine="220" w:firstLineChars="0"/>
              <w:jc w:val="center"/>
              <w:rPr>
                <w:rFonts w:hint="eastAsia"/>
                <w:vertAlign w:val="baseline"/>
                <w:lang w:val="en-US" w:eastAsia="zh-CN"/>
              </w:rPr>
            </w:pPr>
            <w:r>
              <w:rPr>
                <w:sz w:val="17"/>
                <w:szCs w:val="17"/>
              </w:rPr>
              <w:t>公务用车运行维护费</w:t>
            </w:r>
          </w:p>
        </w:tc>
        <w:tc>
          <w:tcPr>
            <w:tcW w:w="1897" w:type="dxa"/>
            <w:gridSpan w:val="2"/>
            <w:vAlign w:val="center"/>
          </w:tcPr>
          <w:p>
            <w:pPr>
              <w:pStyle w:val="24"/>
              <w:spacing w:line="240" w:lineRule="auto"/>
              <w:ind w:firstLine="400" w:firstLineChars="0"/>
              <w:jc w:val="center"/>
              <w:rPr>
                <w:rFonts w:hint="eastAsia"/>
                <w:vertAlign w:val="baseline"/>
                <w:lang w:val="en-US" w:eastAsia="zh-CN"/>
              </w:rPr>
            </w:pPr>
            <w:r>
              <w:rPr>
                <w:sz w:val="17"/>
                <w:szCs w:val="17"/>
              </w:rPr>
              <w:t>公务用车购置费</w:t>
            </w:r>
          </w:p>
        </w:tc>
        <w:tc>
          <w:tcPr>
            <w:tcW w:w="1889" w:type="dxa"/>
            <w:vMerge w:val="continue"/>
          </w:tcPr>
          <w:p>
            <w:pPr>
              <w:pStyle w:val="26"/>
              <w:bidi w:val="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1</w:t>
            </w:r>
          </w:p>
        </w:tc>
        <w:tc>
          <w:tcPr>
            <w:tcW w:w="1895" w:type="dxa"/>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2</w:t>
            </w:r>
          </w:p>
        </w:tc>
        <w:tc>
          <w:tcPr>
            <w:tcW w:w="1888" w:type="dxa"/>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3</w:t>
            </w:r>
          </w:p>
        </w:tc>
        <w:tc>
          <w:tcPr>
            <w:tcW w:w="1890" w:type="dxa"/>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4</w:t>
            </w:r>
          </w:p>
        </w:tc>
        <w:tc>
          <w:tcPr>
            <w:tcW w:w="1897" w:type="dxa"/>
            <w:gridSpan w:val="2"/>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5</w:t>
            </w:r>
          </w:p>
        </w:tc>
        <w:tc>
          <w:tcPr>
            <w:tcW w:w="1889" w:type="dxa"/>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Align w:val="center"/>
          </w:tcPr>
          <w:p>
            <w:pPr>
              <w:pStyle w:val="24"/>
              <w:spacing w:line="240" w:lineRule="auto"/>
              <w:ind w:firstLine="0" w:firstLineChars="0"/>
              <w:jc w:val="left"/>
              <w:rPr>
                <w:rFonts w:hint="eastAsia"/>
                <w:vertAlign w:val="baseline"/>
                <w:lang w:val="en-US" w:eastAsia="zh-CN"/>
              </w:rPr>
            </w:pPr>
            <w:r>
              <w:rPr>
                <w:rFonts w:hint="eastAsia" w:ascii="Times New Roman" w:hAnsi="Times New Roman" w:eastAsia="Times New Roman" w:cs="Times New Roman"/>
                <w:b/>
                <w:bCs/>
                <w:sz w:val="17"/>
                <w:szCs w:val="17"/>
                <w:lang w:val="en-US" w:eastAsia="zh-CN"/>
              </w:rPr>
              <w:t>501001</w:t>
            </w:r>
          </w:p>
        </w:tc>
        <w:tc>
          <w:tcPr>
            <w:tcW w:w="1918" w:type="dxa"/>
            <w:vAlign w:val="center"/>
          </w:tcPr>
          <w:p>
            <w:pPr>
              <w:pStyle w:val="24"/>
              <w:spacing w:line="240" w:lineRule="auto"/>
              <w:ind w:firstLine="0" w:firstLineChars="0"/>
              <w:jc w:val="left"/>
              <w:rPr>
                <w:rFonts w:hint="eastAsia"/>
                <w:vertAlign w:val="baseline"/>
                <w:lang w:val="en-US" w:eastAsia="zh-CN"/>
              </w:rPr>
            </w:pPr>
          </w:p>
        </w:tc>
        <w:tc>
          <w:tcPr>
            <w:tcW w:w="1884" w:type="dxa"/>
            <w:vAlign w:val="center"/>
          </w:tcPr>
          <w:p>
            <w:pPr>
              <w:pStyle w:val="24"/>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26.65</w:t>
            </w:r>
          </w:p>
        </w:tc>
        <w:tc>
          <w:tcPr>
            <w:tcW w:w="1895" w:type="dxa"/>
            <w:vAlign w:val="center"/>
          </w:tcPr>
          <w:p>
            <w:pPr>
              <w:pStyle w:val="24"/>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c>
          <w:tcPr>
            <w:tcW w:w="1888" w:type="dxa"/>
            <w:vAlign w:val="center"/>
          </w:tcPr>
          <w:p>
            <w:pPr>
              <w:pStyle w:val="24"/>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21.85</w:t>
            </w:r>
          </w:p>
        </w:tc>
        <w:tc>
          <w:tcPr>
            <w:tcW w:w="1890" w:type="dxa"/>
            <w:vAlign w:val="center"/>
          </w:tcPr>
          <w:p>
            <w:pPr>
              <w:pStyle w:val="24"/>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21.85</w:t>
            </w:r>
          </w:p>
        </w:tc>
        <w:tc>
          <w:tcPr>
            <w:tcW w:w="1897" w:type="dxa"/>
            <w:gridSpan w:val="2"/>
            <w:vAlign w:val="center"/>
          </w:tcPr>
          <w:p>
            <w:pPr>
              <w:pStyle w:val="24"/>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c>
          <w:tcPr>
            <w:tcW w:w="1889" w:type="dxa"/>
            <w:vAlign w:val="center"/>
          </w:tcPr>
          <w:p>
            <w:pPr>
              <w:pStyle w:val="24"/>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557" w:type="dxa"/>
            <w:gridSpan w:val="9"/>
            <w:tcBorders>
              <w:left w:val="nil"/>
              <w:bottom w:val="nil"/>
              <w:right w:val="nil"/>
            </w:tcBorders>
          </w:tcPr>
          <w:p>
            <w:pPr>
              <w:pStyle w:val="26"/>
              <w:bidi w:val="0"/>
              <w:jc w:val="both"/>
              <w:rPr>
                <w:rFonts w:hint="eastAsia"/>
                <w:vertAlign w:val="baseline"/>
                <w:lang w:val="en-US" w:eastAsia="zh-CN"/>
              </w:rPr>
            </w:pPr>
            <w:r>
              <w:rPr>
                <w:rFonts w:hint="eastAsia" w:ascii="宋体" w:hAnsi="宋体" w:eastAsia="宋体" w:cs="宋体"/>
                <w:sz w:val="16"/>
                <w:szCs w:val="16"/>
              </w:rPr>
              <w:t>注：本报表金额单位转换时可能存在四舍五入尾数误差</w:t>
            </w:r>
          </w:p>
        </w:tc>
      </w:tr>
    </w:tbl>
    <w:p>
      <w:pPr>
        <w:pStyle w:val="26"/>
        <w:bidi w:val="0"/>
        <w:rPr>
          <w:rFonts w:hint="eastAsia"/>
          <w:lang w:val="en-US" w:eastAsia="zh-CN"/>
        </w:rPr>
      </w:pPr>
    </w:p>
    <w:p>
      <w:pPr>
        <w:pStyle w:val="22"/>
        <w:keepNext/>
        <w:keepLines/>
        <w:spacing w:after="240"/>
        <w:jc w:val="center"/>
      </w:pPr>
    </w:p>
    <w:p>
      <w:pPr>
        <w:pStyle w:val="22"/>
        <w:keepNext/>
        <w:keepLines/>
        <w:spacing w:after="240"/>
        <w:jc w:val="center"/>
      </w:pPr>
    </w:p>
    <w:p>
      <w:pPr>
        <w:pStyle w:val="22"/>
        <w:keepNext/>
        <w:keepLines/>
        <w:spacing w:after="240"/>
        <w:jc w:val="center"/>
      </w:pPr>
    </w:p>
    <w:p>
      <w:pPr>
        <w:pStyle w:val="22"/>
        <w:keepNext/>
        <w:keepLines/>
        <w:spacing w:after="240"/>
        <w:jc w:val="center"/>
      </w:pPr>
    </w:p>
    <w:p>
      <w:pPr>
        <w:pStyle w:val="22"/>
        <w:keepNext/>
        <w:keepLines/>
        <w:spacing w:after="240"/>
        <w:jc w:val="center"/>
      </w:pPr>
    </w:p>
    <w:p>
      <w:pPr>
        <w:pStyle w:val="26"/>
        <w:bidi w:val="0"/>
      </w:pPr>
    </w:p>
    <w:p>
      <w:pPr>
        <w:pStyle w:val="22"/>
        <w:keepNext/>
        <w:keepLines/>
        <w:spacing w:after="240"/>
        <w:jc w:val="center"/>
      </w:pPr>
      <w:r>
        <w:t>政府性基金预算支出情况表</w:t>
      </w:r>
      <w:bookmarkEnd w:id="28"/>
      <w:bookmarkEnd w:id="29"/>
      <w:bookmarkEnd w:id="30"/>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7"/>
        <w:gridCol w:w="2161"/>
        <w:gridCol w:w="2162"/>
        <w:gridCol w:w="2222"/>
        <w:gridCol w:w="2161"/>
        <w:gridCol w:w="2161"/>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394" w:type="dxa"/>
            <w:gridSpan w:val="6"/>
            <w:tcBorders>
              <w:top w:val="nil"/>
              <w:left w:val="nil"/>
              <w:right w:val="nil"/>
            </w:tcBorders>
          </w:tcPr>
          <w:p>
            <w:pPr>
              <w:pStyle w:val="26"/>
              <w:tabs>
                <w:tab w:val="left" w:pos="14213"/>
              </w:tabs>
              <w:ind w:left="101"/>
              <w:jc w:val="left"/>
            </w:pPr>
            <w:r>
              <w:t>单位名称：</w:t>
            </w:r>
            <w:r>
              <w:rPr>
                <w:rFonts w:hint="eastAsia"/>
                <w:lang w:eastAsia="zh-CN"/>
              </w:rPr>
              <w:t>环江毛南族自治县农业农村局</w:t>
            </w:r>
            <w:r>
              <w:tab/>
            </w:r>
            <w:r>
              <w:t>单位：万元</w:t>
            </w:r>
          </w:p>
        </w:tc>
        <w:tc>
          <w:tcPr>
            <w:tcW w:w="2163" w:type="dxa"/>
            <w:tcBorders>
              <w:top w:val="nil"/>
              <w:left w:val="nil"/>
              <w:right w:val="nil"/>
            </w:tcBorders>
          </w:tcPr>
          <w:p>
            <w:pPr>
              <w:pStyle w:val="26"/>
              <w:tabs>
                <w:tab w:val="left" w:pos="14213"/>
              </w:tabs>
              <w:ind w:left="101" w:firstLine="680" w:firstLineChars="400"/>
              <w:jc w:val="left"/>
            </w:pPr>
            <w:r>
              <w:rPr>
                <w:rFonts w:hint="eastAsia"/>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tcPr>
          <w:p>
            <w:pPr>
              <w:pStyle w:val="26"/>
              <w:bidi w:val="0"/>
              <w:jc w:val="center"/>
              <w:rPr>
                <w:vertAlign w:val="baseline"/>
              </w:rPr>
            </w:pPr>
            <w:r>
              <w:rPr>
                <w:sz w:val="17"/>
                <w:szCs w:val="17"/>
              </w:rPr>
              <w:t>科目编码</w:t>
            </w:r>
          </w:p>
        </w:tc>
        <w:tc>
          <w:tcPr>
            <w:tcW w:w="2161" w:type="dxa"/>
          </w:tcPr>
          <w:p>
            <w:pPr>
              <w:pStyle w:val="26"/>
              <w:bidi w:val="0"/>
              <w:jc w:val="center"/>
              <w:rPr>
                <w:vertAlign w:val="baseline"/>
              </w:rPr>
            </w:pPr>
            <w:r>
              <w:rPr>
                <w:sz w:val="17"/>
                <w:szCs w:val="17"/>
              </w:rPr>
              <w:t>部门（单位）代码</w:t>
            </w:r>
          </w:p>
        </w:tc>
        <w:tc>
          <w:tcPr>
            <w:tcW w:w="2162" w:type="dxa"/>
          </w:tcPr>
          <w:p>
            <w:pPr>
              <w:pStyle w:val="26"/>
              <w:bidi w:val="0"/>
              <w:jc w:val="center"/>
              <w:rPr>
                <w:vertAlign w:val="baseline"/>
              </w:rPr>
            </w:pPr>
            <w:r>
              <w:rPr>
                <w:sz w:val="17"/>
                <w:szCs w:val="17"/>
              </w:rPr>
              <w:t>部门（单位）名称（功能分类科目名称）</w:t>
            </w:r>
          </w:p>
        </w:tc>
        <w:tc>
          <w:tcPr>
            <w:tcW w:w="2222" w:type="dxa"/>
            <w:vAlign w:val="center"/>
          </w:tcPr>
          <w:p>
            <w:pPr>
              <w:pStyle w:val="24"/>
              <w:spacing w:line="240" w:lineRule="auto"/>
              <w:ind w:firstLine="0" w:firstLineChars="0"/>
              <w:jc w:val="center"/>
              <w:rPr>
                <w:vertAlign w:val="baseline"/>
              </w:rPr>
            </w:pPr>
            <w:r>
              <w:rPr>
                <w:sz w:val="17"/>
                <w:szCs w:val="17"/>
              </w:rPr>
              <w:t>合计</w:t>
            </w:r>
          </w:p>
        </w:tc>
        <w:tc>
          <w:tcPr>
            <w:tcW w:w="2161" w:type="dxa"/>
            <w:vAlign w:val="center"/>
          </w:tcPr>
          <w:p>
            <w:pPr>
              <w:pStyle w:val="24"/>
              <w:spacing w:line="240" w:lineRule="auto"/>
              <w:ind w:firstLine="0" w:firstLineChars="0"/>
              <w:jc w:val="center"/>
              <w:rPr>
                <w:vertAlign w:val="baseline"/>
              </w:rPr>
            </w:pPr>
            <w:r>
              <w:rPr>
                <w:sz w:val="17"/>
                <w:szCs w:val="17"/>
              </w:rPr>
              <w:t>基本支出</w:t>
            </w:r>
          </w:p>
        </w:tc>
        <w:tc>
          <w:tcPr>
            <w:tcW w:w="2161" w:type="dxa"/>
            <w:vAlign w:val="center"/>
          </w:tcPr>
          <w:p>
            <w:pPr>
              <w:pStyle w:val="24"/>
              <w:spacing w:line="240" w:lineRule="auto"/>
              <w:ind w:firstLine="0" w:firstLineChars="0"/>
              <w:jc w:val="center"/>
              <w:rPr>
                <w:vertAlign w:val="baseline"/>
              </w:rPr>
            </w:pPr>
            <w:r>
              <w:rPr>
                <w:sz w:val="17"/>
                <w:szCs w:val="17"/>
              </w:rPr>
              <w:t>项目支出</w:t>
            </w:r>
          </w:p>
        </w:tc>
        <w:tc>
          <w:tcPr>
            <w:tcW w:w="2163" w:type="dxa"/>
            <w:vAlign w:val="center"/>
          </w:tcPr>
          <w:p>
            <w:pPr>
              <w:pStyle w:val="24"/>
              <w:spacing w:line="240" w:lineRule="auto"/>
              <w:ind w:firstLine="0" w:firstLineChars="0"/>
              <w:jc w:val="center"/>
              <w:rPr>
                <w:vertAlign w:val="baseline"/>
              </w:rPr>
            </w:pPr>
            <w:r>
              <w:rPr>
                <w:sz w:val="17"/>
                <w:szCs w:val="17"/>
              </w:rPr>
              <w:t>结转下年支出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24"/>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2012999</w:t>
            </w:r>
          </w:p>
        </w:tc>
        <w:tc>
          <w:tcPr>
            <w:tcW w:w="2161" w:type="dxa"/>
            <w:vAlign w:val="center"/>
          </w:tcPr>
          <w:p>
            <w:pPr>
              <w:pStyle w:val="24"/>
              <w:spacing w:line="240" w:lineRule="auto"/>
              <w:ind w:firstLine="0" w:firstLineChars="0"/>
              <w:jc w:val="left"/>
              <w:rPr>
                <w:b w:val="0"/>
                <w:bCs w:val="0"/>
                <w:vertAlign w:val="baseline"/>
              </w:rPr>
            </w:pPr>
          </w:p>
        </w:tc>
        <w:tc>
          <w:tcPr>
            <w:tcW w:w="2162" w:type="dxa"/>
            <w:vAlign w:val="center"/>
          </w:tcPr>
          <w:p>
            <w:pPr>
              <w:pStyle w:val="24"/>
              <w:spacing w:line="240" w:lineRule="auto"/>
              <w:ind w:firstLine="0" w:firstLineChars="0"/>
              <w:jc w:val="left"/>
              <w:rPr>
                <w:b w:val="0"/>
                <w:bCs w:val="0"/>
                <w:vertAlign w:val="baseline"/>
              </w:rPr>
            </w:pPr>
            <w:r>
              <w:rPr>
                <w:rFonts w:hint="eastAsia"/>
                <w:b w:val="0"/>
                <w:bCs w:val="0"/>
                <w:sz w:val="17"/>
                <w:szCs w:val="17"/>
                <w:lang w:val="en-US" w:eastAsia="zh-CN"/>
              </w:rPr>
              <w:t>其他群众团体事务支出</w:t>
            </w:r>
          </w:p>
        </w:tc>
        <w:tc>
          <w:tcPr>
            <w:tcW w:w="2222" w:type="dxa"/>
            <w:vAlign w:val="center"/>
          </w:tcPr>
          <w:p>
            <w:pPr>
              <w:pStyle w:val="24"/>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24"/>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24"/>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2080505</w:t>
            </w:r>
          </w:p>
        </w:tc>
        <w:tc>
          <w:tcPr>
            <w:tcW w:w="2161" w:type="dxa"/>
            <w:vAlign w:val="center"/>
          </w:tcPr>
          <w:p>
            <w:pPr>
              <w:pStyle w:val="24"/>
              <w:spacing w:line="240" w:lineRule="auto"/>
              <w:ind w:firstLine="0" w:firstLineChars="0"/>
              <w:jc w:val="left"/>
              <w:rPr>
                <w:b w:val="0"/>
                <w:bCs w:val="0"/>
                <w:vertAlign w:val="baseline"/>
              </w:rPr>
            </w:pPr>
          </w:p>
        </w:tc>
        <w:tc>
          <w:tcPr>
            <w:tcW w:w="2162" w:type="dxa"/>
            <w:vAlign w:val="center"/>
          </w:tcPr>
          <w:p>
            <w:pPr>
              <w:pStyle w:val="24"/>
              <w:spacing w:line="240" w:lineRule="auto"/>
              <w:ind w:firstLine="0" w:firstLineChars="0"/>
              <w:jc w:val="left"/>
              <w:rPr>
                <w:b w:val="0"/>
                <w:bCs w:val="0"/>
                <w:vertAlign w:val="baseline"/>
              </w:rPr>
            </w:pPr>
            <w:r>
              <w:rPr>
                <w:rFonts w:hint="eastAsia"/>
                <w:b w:val="0"/>
                <w:bCs w:val="0"/>
                <w:sz w:val="17"/>
                <w:szCs w:val="17"/>
                <w:lang w:val="en-US" w:eastAsia="zh-CN"/>
              </w:rPr>
              <w:t>机关事业单位基本养老保险缴费支出</w:t>
            </w:r>
          </w:p>
        </w:tc>
        <w:tc>
          <w:tcPr>
            <w:tcW w:w="2222" w:type="dxa"/>
            <w:vAlign w:val="center"/>
          </w:tcPr>
          <w:p>
            <w:pPr>
              <w:pStyle w:val="24"/>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24"/>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24"/>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2130101</w:t>
            </w:r>
          </w:p>
        </w:tc>
        <w:tc>
          <w:tcPr>
            <w:tcW w:w="2161" w:type="dxa"/>
            <w:vAlign w:val="center"/>
          </w:tcPr>
          <w:p>
            <w:pPr>
              <w:pStyle w:val="24"/>
              <w:spacing w:line="240" w:lineRule="auto"/>
              <w:ind w:firstLine="0" w:firstLineChars="0"/>
              <w:jc w:val="left"/>
              <w:rPr>
                <w:b w:val="0"/>
                <w:bCs w:val="0"/>
                <w:vertAlign w:val="baseline"/>
              </w:rPr>
            </w:pPr>
          </w:p>
        </w:tc>
        <w:tc>
          <w:tcPr>
            <w:tcW w:w="2162" w:type="dxa"/>
            <w:vAlign w:val="center"/>
          </w:tcPr>
          <w:p>
            <w:pPr>
              <w:pStyle w:val="24"/>
              <w:spacing w:line="240" w:lineRule="auto"/>
              <w:ind w:firstLine="0" w:firstLineChars="0"/>
              <w:jc w:val="left"/>
              <w:rPr>
                <w:b w:val="0"/>
                <w:bCs w:val="0"/>
                <w:vertAlign w:val="baseline"/>
              </w:rPr>
            </w:pPr>
            <w:r>
              <w:rPr>
                <w:rFonts w:hint="eastAsia"/>
                <w:b w:val="0"/>
                <w:bCs w:val="0"/>
                <w:sz w:val="17"/>
                <w:szCs w:val="17"/>
                <w:lang w:val="en-US" w:eastAsia="zh-CN"/>
              </w:rPr>
              <w:t>行政运行</w:t>
            </w:r>
          </w:p>
        </w:tc>
        <w:tc>
          <w:tcPr>
            <w:tcW w:w="2222" w:type="dxa"/>
            <w:vAlign w:val="center"/>
          </w:tcPr>
          <w:p>
            <w:pPr>
              <w:pStyle w:val="24"/>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24"/>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24"/>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2130104</w:t>
            </w:r>
          </w:p>
        </w:tc>
        <w:tc>
          <w:tcPr>
            <w:tcW w:w="2161" w:type="dxa"/>
            <w:vAlign w:val="center"/>
          </w:tcPr>
          <w:p>
            <w:pPr>
              <w:pStyle w:val="24"/>
              <w:spacing w:line="240" w:lineRule="auto"/>
              <w:ind w:firstLine="0" w:firstLineChars="0"/>
              <w:jc w:val="left"/>
              <w:rPr>
                <w:b w:val="0"/>
                <w:bCs w:val="0"/>
                <w:vertAlign w:val="baseline"/>
              </w:rPr>
            </w:pPr>
          </w:p>
        </w:tc>
        <w:tc>
          <w:tcPr>
            <w:tcW w:w="2162" w:type="dxa"/>
            <w:vAlign w:val="center"/>
          </w:tcPr>
          <w:p>
            <w:pPr>
              <w:pStyle w:val="24"/>
              <w:spacing w:line="240" w:lineRule="auto"/>
              <w:ind w:firstLine="0" w:firstLineChars="0"/>
              <w:jc w:val="left"/>
              <w:rPr>
                <w:b w:val="0"/>
                <w:bCs w:val="0"/>
                <w:vertAlign w:val="baseline"/>
              </w:rPr>
            </w:pPr>
            <w:r>
              <w:rPr>
                <w:rFonts w:hint="eastAsia"/>
                <w:b w:val="0"/>
                <w:bCs w:val="0"/>
                <w:sz w:val="17"/>
                <w:szCs w:val="17"/>
                <w:lang w:val="en-US" w:eastAsia="zh-CN"/>
              </w:rPr>
              <w:t>事业运行</w:t>
            </w:r>
          </w:p>
        </w:tc>
        <w:tc>
          <w:tcPr>
            <w:tcW w:w="2222" w:type="dxa"/>
            <w:vAlign w:val="center"/>
          </w:tcPr>
          <w:p>
            <w:pPr>
              <w:pStyle w:val="24"/>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24"/>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24"/>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2130106</w:t>
            </w:r>
          </w:p>
        </w:tc>
        <w:tc>
          <w:tcPr>
            <w:tcW w:w="2161" w:type="dxa"/>
            <w:vAlign w:val="center"/>
          </w:tcPr>
          <w:p>
            <w:pPr>
              <w:pStyle w:val="24"/>
              <w:spacing w:line="240" w:lineRule="auto"/>
              <w:ind w:firstLine="0" w:firstLineChars="0"/>
              <w:jc w:val="left"/>
              <w:rPr>
                <w:b w:val="0"/>
                <w:bCs w:val="0"/>
                <w:vertAlign w:val="baseline"/>
              </w:rPr>
            </w:pPr>
          </w:p>
        </w:tc>
        <w:tc>
          <w:tcPr>
            <w:tcW w:w="2162" w:type="dxa"/>
            <w:vAlign w:val="center"/>
          </w:tcPr>
          <w:p>
            <w:pPr>
              <w:pStyle w:val="24"/>
              <w:spacing w:line="240" w:lineRule="auto"/>
              <w:ind w:firstLine="0" w:firstLineChars="0"/>
              <w:jc w:val="left"/>
              <w:rPr>
                <w:b w:val="0"/>
                <w:bCs w:val="0"/>
                <w:vertAlign w:val="baseline"/>
              </w:rPr>
            </w:pPr>
            <w:r>
              <w:rPr>
                <w:rFonts w:hint="eastAsia"/>
                <w:b w:val="0"/>
                <w:bCs w:val="0"/>
                <w:sz w:val="17"/>
                <w:szCs w:val="17"/>
                <w:lang w:val="en-US" w:eastAsia="zh-CN"/>
              </w:rPr>
              <w:t>科技转化与推广服务</w:t>
            </w:r>
          </w:p>
        </w:tc>
        <w:tc>
          <w:tcPr>
            <w:tcW w:w="2222" w:type="dxa"/>
            <w:vAlign w:val="center"/>
          </w:tcPr>
          <w:p>
            <w:pPr>
              <w:pStyle w:val="24"/>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24"/>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24"/>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2130108</w:t>
            </w:r>
          </w:p>
        </w:tc>
        <w:tc>
          <w:tcPr>
            <w:tcW w:w="2161" w:type="dxa"/>
            <w:vAlign w:val="center"/>
          </w:tcPr>
          <w:p>
            <w:pPr>
              <w:pStyle w:val="24"/>
              <w:spacing w:line="240" w:lineRule="auto"/>
              <w:ind w:firstLine="0" w:firstLineChars="0"/>
              <w:jc w:val="left"/>
              <w:rPr>
                <w:b w:val="0"/>
                <w:bCs w:val="0"/>
                <w:vertAlign w:val="baseline"/>
              </w:rPr>
            </w:pPr>
          </w:p>
        </w:tc>
        <w:tc>
          <w:tcPr>
            <w:tcW w:w="2162" w:type="dxa"/>
            <w:vAlign w:val="center"/>
          </w:tcPr>
          <w:p>
            <w:pPr>
              <w:pStyle w:val="24"/>
              <w:spacing w:line="240" w:lineRule="auto"/>
              <w:ind w:firstLine="0" w:firstLineChars="0"/>
              <w:jc w:val="left"/>
              <w:rPr>
                <w:b w:val="0"/>
                <w:bCs w:val="0"/>
                <w:vertAlign w:val="baseline"/>
              </w:rPr>
            </w:pPr>
            <w:r>
              <w:rPr>
                <w:rFonts w:hint="eastAsia"/>
                <w:b w:val="0"/>
                <w:bCs w:val="0"/>
                <w:sz w:val="17"/>
                <w:szCs w:val="17"/>
                <w:lang w:val="en-US" w:eastAsia="zh-CN"/>
              </w:rPr>
              <w:t>病虫害控制</w:t>
            </w:r>
          </w:p>
        </w:tc>
        <w:tc>
          <w:tcPr>
            <w:tcW w:w="2222" w:type="dxa"/>
            <w:vAlign w:val="center"/>
          </w:tcPr>
          <w:p>
            <w:pPr>
              <w:pStyle w:val="24"/>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24"/>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24"/>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2130109</w:t>
            </w:r>
          </w:p>
        </w:tc>
        <w:tc>
          <w:tcPr>
            <w:tcW w:w="2161" w:type="dxa"/>
            <w:vAlign w:val="center"/>
          </w:tcPr>
          <w:p>
            <w:pPr>
              <w:pStyle w:val="24"/>
              <w:spacing w:line="240" w:lineRule="auto"/>
              <w:ind w:firstLine="0" w:firstLineChars="0"/>
              <w:jc w:val="left"/>
              <w:rPr>
                <w:b w:val="0"/>
                <w:bCs w:val="0"/>
                <w:vertAlign w:val="baseline"/>
              </w:rPr>
            </w:pPr>
          </w:p>
        </w:tc>
        <w:tc>
          <w:tcPr>
            <w:tcW w:w="2162" w:type="dxa"/>
            <w:vAlign w:val="center"/>
          </w:tcPr>
          <w:p>
            <w:pPr>
              <w:pStyle w:val="24"/>
              <w:spacing w:line="240" w:lineRule="auto"/>
              <w:ind w:firstLine="0" w:firstLineChars="0"/>
              <w:jc w:val="left"/>
              <w:rPr>
                <w:b w:val="0"/>
                <w:bCs w:val="0"/>
                <w:vertAlign w:val="baseline"/>
              </w:rPr>
            </w:pPr>
            <w:r>
              <w:rPr>
                <w:rFonts w:hint="eastAsia"/>
                <w:b w:val="0"/>
                <w:bCs w:val="0"/>
                <w:sz w:val="17"/>
                <w:szCs w:val="17"/>
                <w:lang w:val="en-US" w:eastAsia="zh-CN"/>
              </w:rPr>
              <w:t>农产品质量安全</w:t>
            </w:r>
          </w:p>
        </w:tc>
        <w:tc>
          <w:tcPr>
            <w:tcW w:w="2222" w:type="dxa"/>
            <w:vAlign w:val="center"/>
          </w:tcPr>
          <w:p>
            <w:pPr>
              <w:pStyle w:val="24"/>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24"/>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24"/>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2130110</w:t>
            </w:r>
          </w:p>
        </w:tc>
        <w:tc>
          <w:tcPr>
            <w:tcW w:w="2161" w:type="dxa"/>
            <w:vAlign w:val="center"/>
          </w:tcPr>
          <w:p>
            <w:pPr>
              <w:pStyle w:val="24"/>
              <w:spacing w:line="240" w:lineRule="auto"/>
              <w:ind w:firstLine="0" w:firstLineChars="0"/>
              <w:jc w:val="left"/>
              <w:rPr>
                <w:b w:val="0"/>
                <w:bCs w:val="0"/>
                <w:vertAlign w:val="baseline"/>
              </w:rPr>
            </w:pPr>
          </w:p>
        </w:tc>
        <w:tc>
          <w:tcPr>
            <w:tcW w:w="2162" w:type="dxa"/>
            <w:vAlign w:val="center"/>
          </w:tcPr>
          <w:p>
            <w:pPr>
              <w:pStyle w:val="24"/>
              <w:spacing w:line="240" w:lineRule="auto"/>
              <w:ind w:firstLine="0" w:firstLineChars="0"/>
              <w:jc w:val="left"/>
              <w:rPr>
                <w:b w:val="0"/>
                <w:bCs w:val="0"/>
                <w:vertAlign w:val="baseline"/>
              </w:rPr>
            </w:pPr>
            <w:r>
              <w:rPr>
                <w:rFonts w:hint="eastAsia"/>
                <w:b w:val="0"/>
                <w:bCs w:val="0"/>
                <w:sz w:val="17"/>
                <w:szCs w:val="17"/>
                <w:lang w:val="en-US" w:eastAsia="zh-CN"/>
              </w:rPr>
              <w:t>执法监管</w:t>
            </w:r>
          </w:p>
        </w:tc>
        <w:tc>
          <w:tcPr>
            <w:tcW w:w="2222" w:type="dxa"/>
            <w:vAlign w:val="center"/>
          </w:tcPr>
          <w:p>
            <w:pPr>
              <w:pStyle w:val="24"/>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24"/>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24"/>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2130111</w:t>
            </w:r>
          </w:p>
        </w:tc>
        <w:tc>
          <w:tcPr>
            <w:tcW w:w="2161" w:type="dxa"/>
            <w:vAlign w:val="center"/>
          </w:tcPr>
          <w:p>
            <w:pPr>
              <w:pStyle w:val="24"/>
              <w:spacing w:line="240" w:lineRule="auto"/>
              <w:ind w:firstLine="0" w:firstLineChars="0"/>
              <w:jc w:val="left"/>
              <w:rPr>
                <w:b w:val="0"/>
                <w:bCs w:val="0"/>
                <w:vertAlign w:val="baseline"/>
              </w:rPr>
            </w:pPr>
          </w:p>
        </w:tc>
        <w:tc>
          <w:tcPr>
            <w:tcW w:w="2162" w:type="dxa"/>
            <w:vAlign w:val="center"/>
          </w:tcPr>
          <w:p>
            <w:pPr>
              <w:pStyle w:val="24"/>
              <w:spacing w:line="240" w:lineRule="auto"/>
              <w:ind w:firstLine="0" w:firstLineChars="0"/>
              <w:jc w:val="left"/>
              <w:rPr>
                <w:b w:val="0"/>
                <w:bCs w:val="0"/>
                <w:vertAlign w:val="baseline"/>
              </w:rPr>
            </w:pPr>
            <w:r>
              <w:rPr>
                <w:rFonts w:hint="eastAsia"/>
                <w:b w:val="0"/>
                <w:bCs w:val="0"/>
                <w:sz w:val="17"/>
                <w:szCs w:val="17"/>
                <w:lang w:val="en-US" w:eastAsia="zh-CN"/>
              </w:rPr>
              <w:t>统计监测与信息服务</w:t>
            </w:r>
          </w:p>
        </w:tc>
        <w:tc>
          <w:tcPr>
            <w:tcW w:w="2222" w:type="dxa"/>
            <w:vAlign w:val="center"/>
          </w:tcPr>
          <w:p>
            <w:pPr>
              <w:pStyle w:val="24"/>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24"/>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24"/>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2130119</w:t>
            </w:r>
          </w:p>
        </w:tc>
        <w:tc>
          <w:tcPr>
            <w:tcW w:w="2161" w:type="dxa"/>
            <w:vAlign w:val="center"/>
          </w:tcPr>
          <w:p>
            <w:pPr>
              <w:pStyle w:val="24"/>
              <w:spacing w:line="240" w:lineRule="auto"/>
              <w:ind w:firstLine="0" w:firstLineChars="0"/>
              <w:jc w:val="left"/>
              <w:rPr>
                <w:b w:val="0"/>
                <w:bCs w:val="0"/>
                <w:vertAlign w:val="baseline"/>
              </w:rPr>
            </w:pPr>
          </w:p>
        </w:tc>
        <w:tc>
          <w:tcPr>
            <w:tcW w:w="2162" w:type="dxa"/>
            <w:vAlign w:val="center"/>
          </w:tcPr>
          <w:p>
            <w:pPr>
              <w:pStyle w:val="24"/>
              <w:spacing w:line="240" w:lineRule="auto"/>
              <w:ind w:firstLine="0" w:firstLineChars="0"/>
              <w:jc w:val="left"/>
              <w:rPr>
                <w:b w:val="0"/>
                <w:bCs w:val="0"/>
                <w:vertAlign w:val="baseline"/>
              </w:rPr>
            </w:pPr>
            <w:r>
              <w:rPr>
                <w:rFonts w:hint="eastAsia"/>
                <w:b w:val="0"/>
                <w:bCs w:val="0"/>
                <w:sz w:val="17"/>
                <w:szCs w:val="17"/>
                <w:lang w:val="en-US" w:eastAsia="zh-CN"/>
              </w:rPr>
              <w:t>防灾救灾</w:t>
            </w:r>
          </w:p>
        </w:tc>
        <w:tc>
          <w:tcPr>
            <w:tcW w:w="2222" w:type="dxa"/>
            <w:vAlign w:val="center"/>
          </w:tcPr>
          <w:p>
            <w:pPr>
              <w:pStyle w:val="24"/>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24"/>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24"/>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2130120</w:t>
            </w:r>
          </w:p>
        </w:tc>
        <w:tc>
          <w:tcPr>
            <w:tcW w:w="2161" w:type="dxa"/>
            <w:vAlign w:val="center"/>
          </w:tcPr>
          <w:p>
            <w:pPr>
              <w:pStyle w:val="24"/>
              <w:spacing w:line="240" w:lineRule="auto"/>
              <w:ind w:firstLine="0" w:firstLineChars="0"/>
              <w:jc w:val="left"/>
              <w:rPr>
                <w:b w:val="0"/>
                <w:bCs w:val="0"/>
                <w:vertAlign w:val="baseline"/>
              </w:rPr>
            </w:pPr>
          </w:p>
        </w:tc>
        <w:tc>
          <w:tcPr>
            <w:tcW w:w="2162" w:type="dxa"/>
            <w:vAlign w:val="center"/>
          </w:tcPr>
          <w:p>
            <w:pPr>
              <w:pStyle w:val="24"/>
              <w:spacing w:line="240" w:lineRule="auto"/>
              <w:ind w:firstLine="0" w:firstLineChars="0"/>
              <w:jc w:val="left"/>
              <w:rPr>
                <w:b w:val="0"/>
                <w:bCs w:val="0"/>
                <w:vertAlign w:val="baseline"/>
              </w:rPr>
            </w:pPr>
            <w:r>
              <w:rPr>
                <w:rFonts w:hint="eastAsia"/>
                <w:b w:val="0"/>
                <w:bCs w:val="0"/>
                <w:sz w:val="17"/>
                <w:szCs w:val="17"/>
                <w:lang w:val="en-US" w:eastAsia="zh-CN"/>
              </w:rPr>
              <w:t>稳定农民收入补贴</w:t>
            </w:r>
          </w:p>
        </w:tc>
        <w:tc>
          <w:tcPr>
            <w:tcW w:w="2222" w:type="dxa"/>
            <w:vAlign w:val="center"/>
          </w:tcPr>
          <w:p>
            <w:pPr>
              <w:pStyle w:val="24"/>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24"/>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24"/>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2130121</w:t>
            </w:r>
          </w:p>
        </w:tc>
        <w:tc>
          <w:tcPr>
            <w:tcW w:w="2161" w:type="dxa"/>
            <w:vAlign w:val="center"/>
          </w:tcPr>
          <w:p>
            <w:pPr>
              <w:pStyle w:val="24"/>
              <w:spacing w:line="240" w:lineRule="auto"/>
              <w:ind w:firstLine="0" w:firstLineChars="0"/>
              <w:jc w:val="left"/>
              <w:rPr>
                <w:b w:val="0"/>
                <w:bCs w:val="0"/>
                <w:vertAlign w:val="baseline"/>
              </w:rPr>
            </w:pPr>
          </w:p>
        </w:tc>
        <w:tc>
          <w:tcPr>
            <w:tcW w:w="2162" w:type="dxa"/>
            <w:vAlign w:val="center"/>
          </w:tcPr>
          <w:p>
            <w:pPr>
              <w:pStyle w:val="24"/>
              <w:spacing w:line="240" w:lineRule="auto"/>
              <w:ind w:firstLine="0" w:firstLineChars="0"/>
              <w:jc w:val="left"/>
              <w:rPr>
                <w:b w:val="0"/>
                <w:bCs w:val="0"/>
                <w:vertAlign w:val="baseline"/>
              </w:rPr>
            </w:pPr>
            <w:r>
              <w:rPr>
                <w:rFonts w:hint="eastAsia"/>
                <w:b w:val="0"/>
                <w:bCs w:val="0"/>
                <w:sz w:val="17"/>
                <w:szCs w:val="17"/>
                <w:lang w:val="en-US" w:eastAsia="zh-CN"/>
              </w:rPr>
              <w:t>农业结构调整补贴</w:t>
            </w:r>
          </w:p>
        </w:tc>
        <w:tc>
          <w:tcPr>
            <w:tcW w:w="2222" w:type="dxa"/>
            <w:vAlign w:val="center"/>
          </w:tcPr>
          <w:p>
            <w:pPr>
              <w:pStyle w:val="24"/>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24"/>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24"/>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2130122</w:t>
            </w:r>
          </w:p>
        </w:tc>
        <w:tc>
          <w:tcPr>
            <w:tcW w:w="2161" w:type="dxa"/>
            <w:vAlign w:val="center"/>
          </w:tcPr>
          <w:p>
            <w:pPr>
              <w:pStyle w:val="24"/>
              <w:spacing w:line="240" w:lineRule="auto"/>
              <w:ind w:firstLine="0" w:firstLineChars="0"/>
              <w:jc w:val="left"/>
              <w:rPr>
                <w:b w:val="0"/>
                <w:bCs w:val="0"/>
                <w:vertAlign w:val="baseline"/>
              </w:rPr>
            </w:pPr>
          </w:p>
        </w:tc>
        <w:tc>
          <w:tcPr>
            <w:tcW w:w="2162" w:type="dxa"/>
            <w:vAlign w:val="center"/>
          </w:tcPr>
          <w:p>
            <w:pPr>
              <w:pStyle w:val="24"/>
              <w:spacing w:line="240" w:lineRule="auto"/>
              <w:ind w:firstLine="0" w:firstLineChars="0"/>
              <w:jc w:val="left"/>
              <w:rPr>
                <w:b w:val="0"/>
                <w:bCs w:val="0"/>
                <w:vertAlign w:val="baseline"/>
              </w:rPr>
            </w:pPr>
            <w:r>
              <w:rPr>
                <w:rFonts w:hint="eastAsia"/>
                <w:b w:val="0"/>
                <w:bCs w:val="0"/>
                <w:sz w:val="17"/>
                <w:szCs w:val="17"/>
                <w:lang w:val="en-US" w:eastAsia="zh-CN"/>
              </w:rPr>
              <w:t>农业生产发展</w:t>
            </w:r>
          </w:p>
        </w:tc>
        <w:tc>
          <w:tcPr>
            <w:tcW w:w="2222" w:type="dxa"/>
            <w:vAlign w:val="center"/>
          </w:tcPr>
          <w:p>
            <w:pPr>
              <w:pStyle w:val="24"/>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24"/>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24"/>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2130125</w:t>
            </w:r>
          </w:p>
        </w:tc>
        <w:tc>
          <w:tcPr>
            <w:tcW w:w="2161" w:type="dxa"/>
            <w:vAlign w:val="center"/>
          </w:tcPr>
          <w:p>
            <w:pPr>
              <w:pStyle w:val="24"/>
              <w:spacing w:line="240" w:lineRule="auto"/>
              <w:ind w:firstLine="0" w:firstLineChars="0"/>
              <w:jc w:val="left"/>
              <w:rPr>
                <w:b w:val="0"/>
                <w:bCs w:val="0"/>
                <w:vertAlign w:val="baseline"/>
              </w:rPr>
            </w:pPr>
          </w:p>
        </w:tc>
        <w:tc>
          <w:tcPr>
            <w:tcW w:w="2162" w:type="dxa"/>
            <w:vAlign w:val="center"/>
          </w:tcPr>
          <w:p>
            <w:pPr>
              <w:pStyle w:val="24"/>
              <w:spacing w:line="240" w:lineRule="auto"/>
              <w:ind w:firstLine="0" w:firstLineChars="0"/>
              <w:jc w:val="left"/>
              <w:rPr>
                <w:b w:val="0"/>
                <w:bCs w:val="0"/>
                <w:vertAlign w:val="baseline"/>
              </w:rPr>
            </w:pPr>
            <w:r>
              <w:rPr>
                <w:rFonts w:hint="eastAsia"/>
                <w:b w:val="0"/>
                <w:bCs w:val="0"/>
                <w:sz w:val="17"/>
                <w:szCs w:val="17"/>
                <w:lang w:val="en-US" w:eastAsia="zh-CN"/>
              </w:rPr>
              <w:t>农产品加工与促销</w:t>
            </w:r>
          </w:p>
        </w:tc>
        <w:tc>
          <w:tcPr>
            <w:tcW w:w="2222" w:type="dxa"/>
            <w:vAlign w:val="center"/>
          </w:tcPr>
          <w:p>
            <w:pPr>
              <w:pStyle w:val="24"/>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24"/>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24"/>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2130126</w:t>
            </w:r>
          </w:p>
        </w:tc>
        <w:tc>
          <w:tcPr>
            <w:tcW w:w="2161" w:type="dxa"/>
            <w:vAlign w:val="center"/>
          </w:tcPr>
          <w:p>
            <w:pPr>
              <w:pStyle w:val="24"/>
              <w:spacing w:line="240" w:lineRule="auto"/>
              <w:ind w:firstLine="0" w:firstLineChars="0"/>
              <w:jc w:val="left"/>
              <w:rPr>
                <w:b w:val="0"/>
                <w:bCs w:val="0"/>
                <w:vertAlign w:val="baseline"/>
              </w:rPr>
            </w:pPr>
          </w:p>
        </w:tc>
        <w:tc>
          <w:tcPr>
            <w:tcW w:w="2162" w:type="dxa"/>
            <w:vAlign w:val="center"/>
          </w:tcPr>
          <w:p>
            <w:pPr>
              <w:pStyle w:val="24"/>
              <w:spacing w:line="240" w:lineRule="auto"/>
              <w:ind w:firstLine="0" w:firstLineChars="0"/>
              <w:jc w:val="left"/>
              <w:rPr>
                <w:b w:val="0"/>
                <w:bCs w:val="0"/>
                <w:vertAlign w:val="baseline"/>
              </w:rPr>
            </w:pPr>
            <w:r>
              <w:rPr>
                <w:rFonts w:hint="eastAsia"/>
                <w:b w:val="0"/>
                <w:bCs w:val="0"/>
                <w:sz w:val="17"/>
                <w:szCs w:val="17"/>
                <w:lang w:val="en-US" w:eastAsia="zh-CN"/>
              </w:rPr>
              <w:t>农村社会事业</w:t>
            </w:r>
          </w:p>
        </w:tc>
        <w:tc>
          <w:tcPr>
            <w:tcW w:w="2222" w:type="dxa"/>
            <w:vAlign w:val="center"/>
          </w:tcPr>
          <w:p>
            <w:pPr>
              <w:pStyle w:val="24"/>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24"/>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24"/>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2130135</w:t>
            </w:r>
          </w:p>
        </w:tc>
        <w:tc>
          <w:tcPr>
            <w:tcW w:w="2161" w:type="dxa"/>
            <w:vAlign w:val="center"/>
          </w:tcPr>
          <w:p>
            <w:pPr>
              <w:pStyle w:val="24"/>
              <w:spacing w:line="240" w:lineRule="auto"/>
              <w:ind w:firstLine="0" w:firstLineChars="0"/>
              <w:jc w:val="left"/>
              <w:rPr>
                <w:b w:val="0"/>
                <w:bCs w:val="0"/>
                <w:vertAlign w:val="baseline"/>
              </w:rPr>
            </w:pPr>
          </w:p>
        </w:tc>
        <w:tc>
          <w:tcPr>
            <w:tcW w:w="2162" w:type="dxa"/>
            <w:vAlign w:val="center"/>
          </w:tcPr>
          <w:p>
            <w:pPr>
              <w:pStyle w:val="24"/>
              <w:spacing w:line="240" w:lineRule="auto"/>
              <w:ind w:firstLine="0" w:firstLineChars="0"/>
              <w:jc w:val="left"/>
              <w:rPr>
                <w:b w:val="0"/>
                <w:bCs w:val="0"/>
                <w:vertAlign w:val="baseline"/>
              </w:rPr>
            </w:pPr>
            <w:r>
              <w:rPr>
                <w:rFonts w:hint="eastAsia"/>
                <w:b w:val="0"/>
                <w:bCs w:val="0"/>
                <w:sz w:val="17"/>
                <w:szCs w:val="17"/>
                <w:lang w:val="en-US" w:eastAsia="zh-CN"/>
              </w:rPr>
              <w:t>农业生态资源保护</w:t>
            </w:r>
          </w:p>
        </w:tc>
        <w:tc>
          <w:tcPr>
            <w:tcW w:w="2222" w:type="dxa"/>
            <w:vAlign w:val="center"/>
          </w:tcPr>
          <w:p>
            <w:pPr>
              <w:pStyle w:val="24"/>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24"/>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24"/>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2130153</w:t>
            </w:r>
          </w:p>
        </w:tc>
        <w:tc>
          <w:tcPr>
            <w:tcW w:w="2161" w:type="dxa"/>
            <w:vAlign w:val="center"/>
          </w:tcPr>
          <w:p>
            <w:pPr>
              <w:pStyle w:val="24"/>
              <w:spacing w:line="240" w:lineRule="auto"/>
              <w:ind w:firstLine="0" w:firstLineChars="0"/>
              <w:jc w:val="left"/>
              <w:rPr>
                <w:b w:val="0"/>
                <w:bCs w:val="0"/>
                <w:vertAlign w:val="baseline"/>
              </w:rPr>
            </w:pPr>
          </w:p>
        </w:tc>
        <w:tc>
          <w:tcPr>
            <w:tcW w:w="2162" w:type="dxa"/>
            <w:vAlign w:val="center"/>
          </w:tcPr>
          <w:p>
            <w:pPr>
              <w:pStyle w:val="24"/>
              <w:spacing w:line="240" w:lineRule="auto"/>
              <w:ind w:firstLine="0" w:firstLineChars="0"/>
              <w:jc w:val="left"/>
              <w:rPr>
                <w:b w:val="0"/>
                <w:bCs w:val="0"/>
                <w:vertAlign w:val="baseline"/>
              </w:rPr>
            </w:pPr>
            <w:r>
              <w:rPr>
                <w:rFonts w:hint="eastAsia"/>
                <w:b w:val="0"/>
                <w:bCs w:val="0"/>
                <w:sz w:val="17"/>
                <w:szCs w:val="17"/>
                <w:lang w:val="en-US" w:eastAsia="zh-CN"/>
              </w:rPr>
              <w:t>耕地建设与利用</w:t>
            </w:r>
          </w:p>
        </w:tc>
        <w:tc>
          <w:tcPr>
            <w:tcW w:w="2222" w:type="dxa"/>
            <w:vAlign w:val="center"/>
          </w:tcPr>
          <w:p>
            <w:pPr>
              <w:pStyle w:val="24"/>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24"/>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24"/>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2130199</w:t>
            </w:r>
          </w:p>
        </w:tc>
        <w:tc>
          <w:tcPr>
            <w:tcW w:w="2161" w:type="dxa"/>
            <w:vAlign w:val="center"/>
          </w:tcPr>
          <w:p>
            <w:pPr>
              <w:pStyle w:val="24"/>
              <w:spacing w:line="240" w:lineRule="auto"/>
              <w:ind w:firstLine="0" w:firstLineChars="0"/>
              <w:jc w:val="left"/>
              <w:rPr>
                <w:b w:val="0"/>
                <w:bCs w:val="0"/>
                <w:vertAlign w:val="baseline"/>
              </w:rPr>
            </w:pPr>
          </w:p>
        </w:tc>
        <w:tc>
          <w:tcPr>
            <w:tcW w:w="2162" w:type="dxa"/>
            <w:vAlign w:val="center"/>
          </w:tcPr>
          <w:p>
            <w:pPr>
              <w:pStyle w:val="24"/>
              <w:spacing w:line="240" w:lineRule="auto"/>
              <w:ind w:firstLine="0" w:firstLineChars="0"/>
              <w:jc w:val="left"/>
              <w:rPr>
                <w:b w:val="0"/>
                <w:bCs w:val="0"/>
                <w:vertAlign w:val="baseline"/>
              </w:rPr>
            </w:pPr>
            <w:r>
              <w:rPr>
                <w:rFonts w:hint="eastAsia"/>
                <w:b w:val="0"/>
                <w:bCs w:val="0"/>
                <w:sz w:val="17"/>
                <w:szCs w:val="17"/>
                <w:lang w:val="en-US" w:eastAsia="zh-CN"/>
              </w:rPr>
              <w:t>其他农业农村支出</w:t>
            </w:r>
          </w:p>
        </w:tc>
        <w:tc>
          <w:tcPr>
            <w:tcW w:w="2222" w:type="dxa"/>
            <w:vAlign w:val="center"/>
          </w:tcPr>
          <w:p>
            <w:pPr>
              <w:pStyle w:val="24"/>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24"/>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24"/>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2130201</w:t>
            </w:r>
          </w:p>
        </w:tc>
        <w:tc>
          <w:tcPr>
            <w:tcW w:w="2161" w:type="dxa"/>
            <w:vAlign w:val="center"/>
          </w:tcPr>
          <w:p>
            <w:pPr>
              <w:pStyle w:val="24"/>
              <w:spacing w:line="240" w:lineRule="auto"/>
              <w:ind w:firstLine="0" w:firstLineChars="0"/>
              <w:jc w:val="left"/>
              <w:rPr>
                <w:b w:val="0"/>
                <w:bCs w:val="0"/>
                <w:vertAlign w:val="baseline"/>
              </w:rPr>
            </w:pPr>
          </w:p>
        </w:tc>
        <w:tc>
          <w:tcPr>
            <w:tcW w:w="2162" w:type="dxa"/>
            <w:vAlign w:val="center"/>
          </w:tcPr>
          <w:p>
            <w:pPr>
              <w:pStyle w:val="24"/>
              <w:spacing w:line="240" w:lineRule="auto"/>
              <w:ind w:firstLine="0" w:firstLineChars="0"/>
              <w:jc w:val="left"/>
              <w:rPr>
                <w:b w:val="0"/>
                <w:bCs w:val="0"/>
                <w:vertAlign w:val="baseline"/>
              </w:rPr>
            </w:pPr>
            <w:r>
              <w:rPr>
                <w:rFonts w:hint="eastAsia"/>
                <w:b w:val="0"/>
                <w:bCs w:val="0"/>
                <w:sz w:val="17"/>
                <w:szCs w:val="17"/>
                <w:lang w:val="en-US" w:eastAsia="zh-CN"/>
              </w:rPr>
              <w:t>行政运行</w:t>
            </w:r>
          </w:p>
        </w:tc>
        <w:tc>
          <w:tcPr>
            <w:tcW w:w="2222" w:type="dxa"/>
            <w:vAlign w:val="center"/>
          </w:tcPr>
          <w:p>
            <w:pPr>
              <w:pStyle w:val="24"/>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24"/>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24"/>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2130599</w:t>
            </w:r>
          </w:p>
        </w:tc>
        <w:tc>
          <w:tcPr>
            <w:tcW w:w="2161" w:type="dxa"/>
            <w:vAlign w:val="center"/>
          </w:tcPr>
          <w:p>
            <w:pPr>
              <w:pStyle w:val="24"/>
              <w:spacing w:line="240" w:lineRule="auto"/>
              <w:ind w:firstLine="0" w:firstLineChars="0"/>
              <w:jc w:val="left"/>
              <w:rPr>
                <w:b w:val="0"/>
                <w:bCs w:val="0"/>
                <w:vertAlign w:val="baseline"/>
              </w:rPr>
            </w:pPr>
          </w:p>
        </w:tc>
        <w:tc>
          <w:tcPr>
            <w:tcW w:w="2162" w:type="dxa"/>
            <w:vAlign w:val="center"/>
          </w:tcPr>
          <w:p>
            <w:pPr>
              <w:pStyle w:val="24"/>
              <w:spacing w:line="240" w:lineRule="auto"/>
              <w:ind w:firstLine="0" w:firstLineChars="0"/>
              <w:jc w:val="left"/>
              <w:rPr>
                <w:b w:val="0"/>
                <w:bCs w:val="0"/>
                <w:vertAlign w:val="baseline"/>
              </w:rPr>
            </w:pPr>
            <w:r>
              <w:rPr>
                <w:rFonts w:hint="eastAsia"/>
                <w:b w:val="0"/>
                <w:bCs w:val="0"/>
                <w:sz w:val="17"/>
                <w:szCs w:val="17"/>
                <w:lang w:val="en-US" w:eastAsia="zh-CN"/>
              </w:rPr>
              <w:t>其他巩固脱贫攻坚成果衔接乡村振兴支出</w:t>
            </w:r>
          </w:p>
        </w:tc>
        <w:tc>
          <w:tcPr>
            <w:tcW w:w="2222" w:type="dxa"/>
            <w:vAlign w:val="center"/>
          </w:tcPr>
          <w:p>
            <w:pPr>
              <w:pStyle w:val="24"/>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24"/>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24"/>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2130999</w:t>
            </w:r>
          </w:p>
        </w:tc>
        <w:tc>
          <w:tcPr>
            <w:tcW w:w="2161" w:type="dxa"/>
            <w:vAlign w:val="center"/>
          </w:tcPr>
          <w:p>
            <w:pPr>
              <w:pStyle w:val="24"/>
              <w:spacing w:line="240" w:lineRule="auto"/>
              <w:ind w:firstLine="0" w:firstLineChars="0"/>
              <w:jc w:val="left"/>
              <w:rPr>
                <w:b w:val="0"/>
                <w:bCs w:val="0"/>
                <w:vertAlign w:val="baseline"/>
              </w:rPr>
            </w:pPr>
          </w:p>
        </w:tc>
        <w:tc>
          <w:tcPr>
            <w:tcW w:w="2162" w:type="dxa"/>
            <w:vAlign w:val="center"/>
          </w:tcPr>
          <w:p>
            <w:pPr>
              <w:pStyle w:val="24"/>
              <w:spacing w:line="240" w:lineRule="auto"/>
              <w:ind w:firstLine="0" w:firstLineChars="0"/>
              <w:jc w:val="left"/>
              <w:rPr>
                <w:b w:val="0"/>
                <w:bCs w:val="0"/>
                <w:vertAlign w:val="baseline"/>
              </w:rPr>
            </w:pPr>
            <w:r>
              <w:rPr>
                <w:rFonts w:hint="eastAsia"/>
                <w:b w:val="0"/>
                <w:bCs w:val="0"/>
                <w:sz w:val="17"/>
                <w:szCs w:val="17"/>
                <w:lang w:val="en-US" w:eastAsia="zh-CN"/>
              </w:rPr>
              <w:t>其他目标价格补贴</w:t>
            </w:r>
          </w:p>
        </w:tc>
        <w:tc>
          <w:tcPr>
            <w:tcW w:w="2222" w:type="dxa"/>
            <w:vAlign w:val="center"/>
          </w:tcPr>
          <w:p>
            <w:pPr>
              <w:pStyle w:val="24"/>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24"/>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24"/>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2210201</w:t>
            </w:r>
          </w:p>
        </w:tc>
        <w:tc>
          <w:tcPr>
            <w:tcW w:w="2161" w:type="dxa"/>
            <w:vAlign w:val="center"/>
          </w:tcPr>
          <w:p>
            <w:pPr>
              <w:pStyle w:val="24"/>
              <w:spacing w:line="240" w:lineRule="auto"/>
              <w:ind w:firstLine="0" w:firstLineChars="0"/>
              <w:jc w:val="left"/>
              <w:rPr>
                <w:b w:val="0"/>
                <w:bCs w:val="0"/>
                <w:vertAlign w:val="baseline"/>
              </w:rPr>
            </w:pPr>
          </w:p>
        </w:tc>
        <w:tc>
          <w:tcPr>
            <w:tcW w:w="2162" w:type="dxa"/>
            <w:vAlign w:val="center"/>
          </w:tcPr>
          <w:p>
            <w:pPr>
              <w:pStyle w:val="24"/>
              <w:spacing w:line="240" w:lineRule="auto"/>
              <w:ind w:firstLine="0" w:firstLineChars="0"/>
              <w:jc w:val="left"/>
              <w:rPr>
                <w:b w:val="0"/>
                <w:bCs w:val="0"/>
                <w:vertAlign w:val="baseline"/>
              </w:rPr>
            </w:pPr>
            <w:r>
              <w:rPr>
                <w:rFonts w:hint="eastAsia"/>
                <w:b w:val="0"/>
                <w:bCs w:val="0"/>
                <w:sz w:val="17"/>
                <w:szCs w:val="17"/>
                <w:lang w:val="en-US" w:eastAsia="zh-CN"/>
              </w:rPr>
              <w:t>住房公积金</w:t>
            </w:r>
          </w:p>
        </w:tc>
        <w:tc>
          <w:tcPr>
            <w:tcW w:w="2222" w:type="dxa"/>
            <w:vAlign w:val="center"/>
          </w:tcPr>
          <w:p>
            <w:pPr>
              <w:pStyle w:val="24"/>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24"/>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7" w:type="dxa"/>
            <w:gridSpan w:val="7"/>
            <w:tcBorders>
              <w:left w:val="nil"/>
              <w:bottom w:val="nil"/>
              <w:right w:val="nil"/>
            </w:tcBorders>
          </w:tcPr>
          <w:p>
            <w:pPr>
              <w:pStyle w:val="26"/>
              <w:bidi w:val="0"/>
              <w:jc w:val="both"/>
              <w:rPr>
                <w:vertAlign w:val="baseline"/>
              </w:rPr>
            </w:pPr>
            <w:r>
              <w:t>注：本报表金额单位转换时可能存在四舍五入尾数误差</w:t>
            </w:r>
          </w:p>
        </w:tc>
      </w:tr>
    </w:tbl>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jc w:val="center"/>
        <w:rPr>
          <w:sz w:val="28"/>
          <w:szCs w:val="28"/>
        </w:rPr>
      </w:pPr>
      <w:r>
        <w:rPr>
          <w:sz w:val="28"/>
          <w:szCs w:val="28"/>
        </w:rPr>
        <w:t>国有资本经营预算支出情况表</w:t>
      </w:r>
    </w:p>
    <w:p>
      <w:pPr>
        <w:pStyle w:val="26"/>
        <w:bidi w:val="0"/>
        <w:jc w:val="center"/>
        <w:rPr>
          <w:sz w:val="28"/>
          <w:szCs w:val="28"/>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7"/>
        <w:gridCol w:w="2161"/>
        <w:gridCol w:w="2162"/>
        <w:gridCol w:w="2222"/>
        <w:gridCol w:w="2161"/>
        <w:gridCol w:w="2161"/>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4" w:type="dxa"/>
            <w:gridSpan w:val="6"/>
            <w:tcBorders>
              <w:top w:val="nil"/>
              <w:left w:val="nil"/>
              <w:right w:val="nil"/>
            </w:tcBorders>
          </w:tcPr>
          <w:p>
            <w:pPr>
              <w:pStyle w:val="26"/>
              <w:tabs>
                <w:tab w:val="left" w:pos="14213"/>
              </w:tabs>
              <w:ind w:left="101"/>
              <w:jc w:val="left"/>
            </w:pPr>
            <w:r>
              <w:t>单位名称：</w:t>
            </w:r>
            <w:r>
              <w:rPr>
                <w:rFonts w:hint="eastAsia"/>
                <w:lang w:eastAsia="zh-CN"/>
              </w:rPr>
              <w:t>环江毛南族自治县农业农村局</w:t>
            </w:r>
            <w:r>
              <w:tab/>
            </w:r>
            <w:r>
              <w:t>单位：万元</w:t>
            </w:r>
          </w:p>
        </w:tc>
        <w:tc>
          <w:tcPr>
            <w:tcW w:w="2163" w:type="dxa"/>
            <w:tcBorders>
              <w:top w:val="nil"/>
              <w:left w:val="nil"/>
              <w:right w:val="nil"/>
            </w:tcBorders>
          </w:tcPr>
          <w:p>
            <w:pPr>
              <w:pStyle w:val="26"/>
              <w:tabs>
                <w:tab w:val="left" w:pos="14213"/>
              </w:tabs>
              <w:ind w:left="101"/>
              <w:jc w:val="left"/>
            </w:pPr>
            <w:r>
              <w:rPr>
                <w:rFonts w:hint="eastAsia" w:ascii="宋体" w:hAnsi="宋体" w:eastAsia="宋体" w:cs="宋体"/>
                <w:sz w:val="17"/>
                <w:szCs w:val="17"/>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vMerge w:val="restart"/>
          </w:tcPr>
          <w:p>
            <w:pPr>
              <w:pStyle w:val="26"/>
              <w:bidi w:val="0"/>
              <w:jc w:val="center"/>
              <w:rPr>
                <w:vertAlign w:val="baseline"/>
              </w:rPr>
            </w:pPr>
            <w:r>
              <w:rPr>
                <w:sz w:val="17"/>
                <w:szCs w:val="17"/>
              </w:rPr>
              <w:t>科目编码</w:t>
            </w:r>
          </w:p>
        </w:tc>
        <w:tc>
          <w:tcPr>
            <w:tcW w:w="2161" w:type="dxa"/>
            <w:vMerge w:val="restart"/>
          </w:tcPr>
          <w:p>
            <w:pPr>
              <w:pStyle w:val="26"/>
              <w:bidi w:val="0"/>
              <w:jc w:val="center"/>
              <w:rPr>
                <w:vertAlign w:val="baseline"/>
              </w:rPr>
            </w:pPr>
            <w:r>
              <w:rPr>
                <w:sz w:val="17"/>
                <w:szCs w:val="17"/>
              </w:rPr>
              <w:t>部门（单位）代码</w:t>
            </w:r>
          </w:p>
        </w:tc>
        <w:tc>
          <w:tcPr>
            <w:tcW w:w="2162" w:type="dxa"/>
            <w:vMerge w:val="restart"/>
          </w:tcPr>
          <w:p>
            <w:pPr>
              <w:pStyle w:val="26"/>
              <w:bidi w:val="0"/>
              <w:jc w:val="center"/>
              <w:rPr>
                <w:vertAlign w:val="baseline"/>
              </w:rPr>
            </w:pPr>
            <w:r>
              <w:rPr>
                <w:sz w:val="17"/>
                <w:szCs w:val="17"/>
              </w:rPr>
              <w:t>部门（单位）名称（功能分类科目名称）</w:t>
            </w:r>
          </w:p>
        </w:tc>
        <w:tc>
          <w:tcPr>
            <w:tcW w:w="2222" w:type="dxa"/>
            <w:vAlign w:val="center"/>
          </w:tcPr>
          <w:p>
            <w:pPr>
              <w:pStyle w:val="24"/>
              <w:spacing w:line="240" w:lineRule="auto"/>
              <w:ind w:firstLine="0" w:firstLineChars="0"/>
              <w:jc w:val="center"/>
              <w:rPr>
                <w:vertAlign w:val="baseline"/>
              </w:rPr>
            </w:pPr>
            <w:r>
              <w:rPr>
                <w:sz w:val="17"/>
                <w:szCs w:val="17"/>
              </w:rPr>
              <w:t>合计</w:t>
            </w:r>
          </w:p>
        </w:tc>
        <w:tc>
          <w:tcPr>
            <w:tcW w:w="2161" w:type="dxa"/>
            <w:vAlign w:val="center"/>
          </w:tcPr>
          <w:p>
            <w:pPr>
              <w:pStyle w:val="24"/>
              <w:spacing w:line="240" w:lineRule="auto"/>
              <w:ind w:firstLine="0" w:firstLineChars="0"/>
              <w:jc w:val="center"/>
              <w:rPr>
                <w:vertAlign w:val="baseline"/>
              </w:rPr>
            </w:pPr>
            <w:r>
              <w:rPr>
                <w:sz w:val="17"/>
                <w:szCs w:val="17"/>
              </w:rPr>
              <w:t>基本支出</w:t>
            </w:r>
          </w:p>
        </w:tc>
        <w:tc>
          <w:tcPr>
            <w:tcW w:w="2161" w:type="dxa"/>
            <w:vAlign w:val="center"/>
          </w:tcPr>
          <w:p>
            <w:pPr>
              <w:pStyle w:val="24"/>
              <w:spacing w:line="240" w:lineRule="auto"/>
              <w:ind w:firstLine="0" w:firstLineChars="0"/>
              <w:jc w:val="center"/>
              <w:rPr>
                <w:vertAlign w:val="baseline"/>
              </w:rPr>
            </w:pPr>
            <w:r>
              <w:rPr>
                <w:sz w:val="17"/>
                <w:szCs w:val="17"/>
              </w:rPr>
              <w:t>项目支出</w:t>
            </w:r>
          </w:p>
        </w:tc>
        <w:tc>
          <w:tcPr>
            <w:tcW w:w="2163" w:type="dxa"/>
            <w:vAlign w:val="center"/>
          </w:tcPr>
          <w:p>
            <w:pPr>
              <w:pStyle w:val="24"/>
              <w:spacing w:line="240" w:lineRule="auto"/>
              <w:ind w:firstLine="0" w:firstLineChars="0"/>
              <w:jc w:val="center"/>
              <w:rPr>
                <w:vertAlign w:val="baseline"/>
              </w:rPr>
            </w:pPr>
            <w:r>
              <w:rPr>
                <w:sz w:val="17"/>
                <w:szCs w:val="17"/>
              </w:rPr>
              <w:t>结转下年支出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vMerge w:val="continue"/>
          </w:tcPr>
          <w:p>
            <w:pPr>
              <w:pStyle w:val="26"/>
              <w:bidi w:val="0"/>
              <w:jc w:val="both"/>
              <w:rPr>
                <w:vertAlign w:val="baseline"/>
              </w:rPr>
            </w:pPr>
          </w:p>
        </w:tc>
        <w:tc>
          <w:tcPr>
            <w:tcW w:w="2161" w:type="dxa"/>
            <w:vMerge w:val="continue"/>
          </w:tcPr>
          <w:p>
            <w:pPr>
              <w:pStyle w:val="26"/>
              <w:bidi w:val="0"/>
              <w:jc w:val="both"/>
              <w:rPr>
                <w:vertAlign w:val="baseline"/>
              </w:rPr>
            </w:pPr>
          </w:p>
        </w:tc>
        <w:tc>
          <w:tcPr>
            <w:tcW w:w="2162" w:type="dxa"/>
            <w:vMerge w:val="continue"/>
          </w:tcPr>
          <w:p>
            <w:pPr>
              <w:pStyle w:val="26"/>
              <w:bidi w:val="0"/>
              <w:jc w:val="both"/>
              <w:rPr>
                <w:vertAlign w:val="baseline"/>
              </w:rPr>
            </w:pPr>
          </w:p>
        </w:tc>
        <w:tc>
          <w:tcPr>
            <w:tcW w:w="2222" w:type="dxa"/>
            <w:vAlign w:val="center"/>
          </w:tcPr>
          <w:p>
            <w:pPr>
              <w:pStyle w:val="24"/>
              <w:spacing w:line="240" w:lineRule="auto"/>
              <w:ind w:firstLine="0" w:firstLineChars="0"/>
              <w:jc w:val="center"/>
              <w:rPr>
                <w:vertAlign w:val="baseline"/>
              </w:rPr>
            </w:pPr>
            <w:r>
              <w:rPr>
                <w:rFonts w:ascii="Times New Roman" w:hAnsi="Times New Roman" w:eastAsia="Times New Roman" w:cs="Times New Roman"/>
                <w:b/>
                <w:bCs/>
                <w:sz w:val="17"/>
                <w:szCs w:val="17"/>
              </w:rPr>
              <w:t>1</w:t>
            </w:r>
          </w:p>
        </w:tc>
        <w:tc>
          <w:tcPr>
            <w:tcW w:w="2161" w:type="dxa"/>
            <w:vAlign w:val="center"/>
          </w:tcPr>
          <w:p>
            <w:pPr>
              <w:pStyle w:val="24"/>
              <w:spacing w:line="240" w:lineRule="auto"/>
              <w:ind w:firstLine="0" w:firstLineChars="0"/>
              <w:jc w:val="center"/>
              <w:rPr>
                <w:vertAlign w:val="baseline"/>
              </w:rPr>
            </w:pPr>
            <w:r>
              <w:rPr>
                <w:rFonts w:ascii="Times New Roman" w:hAnsi="Times New Roman" w:eastAsia="Times New Roman" w:cs="Times New Roman"/>
                <w:b/>
                <w:bCs/>
                <w:sz w:val="17"/>
                <w:szCs w:val="17"/>
              </w:rPr>
              <w:t>2</w:t>
            </w:r>
          </w:p>
        </w:tc>
        <w:tc>
          <w:tcPr>
            <w:tcW w:w="2161" w:type="dxa"/>
            <w:vAlign w:val="center"/>
          </w:tcPr>
          <w:p>
            <w:pPr>
              <w:pStyle w:val="24"/>
              <w:spacing w:line="240" w:lineRule="auto"/>
              <w:ind w:firstLine="0" w:firstLineChars="0"/>
              <w:jc w:val="center"/>
              <w:rPr>
                <w:vertAlign w:val="baseline"/>
              </w:rPr>
            </w:pPr>
            <w:r>
              <w:rPr>
                <w:rFonts w:ascii="Times New Roman" w:hAnsi="Times New Roman" w:eastAsia="Times New Roman" w:cs="Times New Roman"/>
                <w:b/>
                <w:bCs/>
                <w:sz w:val="17"/>
                <w:szCs w:val="17"/>
              </w:rPr>
              <w:t>3</w:t>
            </w:r>
          </w:p>
        </w:tc>
        <w:tc>
          <w:tcPr>
            <w:tcW w:w="2163" w:type="dxa"/>
            <w:vAlign w:val="center"/>
          </w:tcPr>
          <w:p>
            <w:pPr>
              <w:pStyle w:val="24"/>
              <w:spacing w:line="240" w:lineRule="auto"/>
              <w:ind w:firstLine="0" w:firstLineChars="0"/>
              <w:jc w:val="center"/>
              <w:rPr>
                <w:vertAlign w:val="baseline"/>
              </w:rPr>
            </w:pPr>
            <w:r>
              <w:rPr>
                <w:rFonts w:ascii="Times New Roman" w:hAnsi="Times New Roman" w:eastAsia="Times New Roman" w:cs="Times New Roman"/>
                <w:b/>
                <w:bCs/>
                <w:sz w:val="17"/>
                <w:szCs w:val="17"/>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24"/>
              <w:spacing w:line="240" w:lineRule="auto"/>
              <w:ind w:firstLine="0" w:firstLineChars="0"/>
              <w:jc w:val="left"/>
              <w:rPr>
                <w:vertAlign w:val="baseline"/>
              </w:rPr>
            </w:pPr>
            <w:r>
              <w:rPr>
                <w:sz w:val="17"/>
                <w:szCs w:val="17"/>
              </w:rPr>
              <w:t>合计</w:t>
            </w:r>
          </w:p>
        </w:tc>
        <w:tc>
          <w:tcPr>
            <w:tcW w:w="2222" w:type="dxa"/>
            <w:vAlign w:val="center"/>
          </w:tcPr>
          <w:p>
            <w:pPr>
              <w:pStyle w:val="24"/>
              <w:spacing w:line="240" w:lineRule="auto"/>
              <w:ind w:left="1700" w:leftChars="0"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2161" w:type="dxa"/>
            <w:vAlign w:val="center"/>
          </w:tcPr>
          <w:p>
            <w:pPr>
              <w:pStyle w:val="24"/>
              <w:spacing w:line="240" w:lineRule="auto"/>
              <w:ind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2161" w:type="dxa"/>
            <w:vAlign w:val="center"/>
          </w:tcPr>
          <w:p>
            <w:pPr>
              <w:pStyle w:val="24"/>
              <w:spacing w:line="240" w:lineRule="auto"/>
              <w:ind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2163" w:type="dxa"/>
            <w:vAlign w:val="center"/>
          </w:tcPr>
          <w:p>
            <w:pPr>
              <w:pStyle w:val="24"/>
              <w:spacing w:line="240" w:lineRule="auto"/>
              <w:ind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7" w:type="dxa"/>
            <w:gridSpan w:val="7"/>
            <w:tcBorders>
              <w:left w:val="nil"/>
              <w:bottom w:val="nil"/>
              <w:right w:val="nil"/>
            </w:tcBorders>
          </w:tcPr>
          <w:p>
            <w:pPr>
              <w:pStyle w:val="26"/>
              <w:spacing w:line="302" w:lineRule="exact"/>
              <w:ind w:left="672"/>
              <w:jc w:val="left"/>
            </w:pPr>
            <w:r>
              <w:t>注：本报表金额单位转换时可能存在四舍五入尾数误差。本部门</w:t>
            </w:r>
            <w:r>
              <w:rPr>
                <w:rFonts w:hint="eastAsia" w:ascii="Times New Roman" w:hAnsi="Times New Roman" w:cs="Times New Roman"/>
                <w:b/>
                <w:bCs/>
                <w:lang w:eastAsia="zh-CN"/>
              </w:rPr>
              <w:t>2024</w:t>
            </w:r>
            <w:r>
              <w:rPr>
                <w:rFonts w:ascii="Times New Roman" w:hAnsi="Times New Roman" w:cs="Times New Roman"/>
                <w:b/>
                <w:u w:color="auto"/>
              </w:rPr>
              <w:t>年</w:t>
            </w:r>
            <w:r>
              <w:t>度没有国有资本经营预算支出，故本表无数据</w:t>
            </w:r>
          </w:p>
          <w:p>
            <w:pPr>
              <w:pStyle w:val="26"/>
              <w:bidi w:val="0"/>
              <w:jc w:val="both"/>
              <w:rPr>
                <w:vertAlign w:val="baseline"/>
              </w:rPr>
            </w:pPr>
          </w:p>
        </w:tc>
      </w:tr>
    </w:tbl>
    <w:p>
      <w:pPr>
        <w:pStyle w:val="26"/>
        <w:bidi w:val="0"/>
      </w:pPr>
    </w:p>
    <w:p>
      <w:r>
        <w:br w:type="page"/>
      </w:r>
    </w:p>
    <w:p>
      <w:pPr>
        <w:pStyle w:val="22"/>
        <w:keepNext/>
        <w:keepLines/>
        <w:spacing w:after="240"/>
        <w:jc w:val="center"/>
        <w:rPr>
          <w:rFonts w:hint="default" w:eastAsia="宋体"/>
          <w:lang w:val="en-US" w:eastAsia="zh-CN"/>
        </w:rPr>
      </w:pPr>
      <w:r>
        <w:rPr>
          <w:rFonts w:hint="eastAsia"/>
          <w:lang w:val="en-US" w:eastAsia="zh-CN"/>
        </w:rPr>
        <w:t>2024年度预算项目绩效目标公开表</w:t>
      </w:r>
    </w:p>
    <w:tbl>
      <w:tblPr>
        <w:tblStyle w:val="4"/>
        <w:tblW w:w="0" w:type="auto"/>
        <w:tblInd w:w="0" w:type="dxa"/>
        <w:tblLayout w:type="fixed"/>
        <w:tblCellMar>
          <w:top w:w="0" w:type="dxa"/>
          <w:left w:w="10" w:type="dxa"/>
          <w:bottom w:w="0" w:type="dxa"/>
          <w:right w:w="10" w:type="dxa"/>
        </w:tblCellMar>
      </w:tblPr>
      <w:tblGrid>
        <w:gridCol w:w="1843"/>
        <w:gridCol w:w="2559"/>
        <w:gridCol w:w="3350"/>
        <w:gridCol w:w="1511"/>
        <w:gridCol w:w="6076"/>
      </w:tblGrid>
      <w:tr>
        <w:tblPrEx>
          <w:tblCellMar>
            <w:top w:w="0" w:type="dxa"/>
            <w:left w:w="10" w:type="dxa"/>
            <w:bottom w:w="0" w:type="dxa"/>
            <w:right w:w="10" w:type="dxa"/>
          </w:tblCellMar>
        </w:tblPrEx>
        <w:trPr>
          <w:trHeight w:val="346" w:hRule="exact"/>
        </w:trPr>
        <w:tc>
          <w:tcPr>
            <w:tcW w:w="9263" w:type="dxa"/>
            <w:gridSpan w:val="4"/>
            <w:shd w:val="clear" w:color="auto" w:fill="FFFFFF"/>
          </w:tcPr>
          <w:p>
            <w:pPr>
              <w:pStyle w:val="24"/>
              <w:spacing w:line="240" w:lineRule="auto"/>
              <w:ind w:firstLine="0"/>
              <w:jc w:val="left"/>
              <w:rPr>
                <w:rFonts w:hint="default" w:ascii="宋体" w:hAnsi="宋体" w:eastAsia="宋体" w:cs="宋体"/>
                <w:sz w:val="17"/>
                <w:szCs w:val="17"/>
                <w:lang w:val="en-US"/>
              </w:rPr>
            </w:pPr>
            <w:r>
              <w:rPr>
                <w:rFonts w:hint="eastAsia" w:ascii="宋体" w:hAnsi="宋体" w:eastAsia="宋体" w:cs="宋体"/>
                <w:sz w:val="17"/>
                <w:szCs w:val="17"/>
              </w:rPr>
              <w:t>单位名称：</w:t>
            </w:r>
            <w:r>
              <w:rPr>
                <w:rFonts w:hint="eastAsia" w:ascii="宋体" w:hAnsi="宋体" w:eastAsia="宋体" w:cs="宋体"/>
                <w:sz w:val="17"/>
                <w:szCs w:val="17"/>
                <w:lang w:eastAsia="zh-CN"/>
              </w:rPr>
              <w:t>环江毛南族自治县农业农村局</w:t>
            </w:r>
            <w:r>
              <w:rPr>
                <w:rFonts w:hint="eastAsia" w:cs="宋体"/>
                <w:sz w:val="17"/>
                <w:szCs w:val="17"/>
                <w:lang w:val="en-US" w:eastAsia="zh-CN"/>
              </w:rPr>
              <w:t xml:space="preserve">            </w:t>
            </w:r>
          </w:p>
        </w:tc>
        <w:tc>
          <w:tcPr>
            <w:tcW w:w="6076" w:type="dxa"/>
            <w:shd w:val="clear" w:color="auto" w:fill="FFFFFF"/>
          </w:tcPr>
          <w:p>
            <w:pPr>
              <w:pStyle w:val="24"/>
              <w:spacing w:line="240" w:lineRule="auto"/>
              <w:ind w:firstLine="4760" w:firstLineChars="2800"/>
              <w:jc w:val="left"/>
              <w:rPr>
                <w:rFonts w:hint="eastAsia" w:ascii="宋体" w:hAnsi="宋体" w:eastAsia="宋体" w:cs="宋体"/>
                <w:sz w:val="17"/>
                <w:szCs w:val="17"/>
              </w:rPr>
            </w:pPr>
            <w:r>
              <w:rPr>
                <w:rFonts w:hint="eastAsia" w:ascii="宋体" w:hAnsi="宋体" w:eastAsia="宋体" w:cs="宋体"/>
                <w:sz w:val="17"/>
                <w:szCs w:val="17"/>
              </w:rPr>
              <w:t>单位：万元</w:t>
            </w:r>
          </w:p>
        </w:tc>
      </w:tr>
      <w:tr>
        <w:tblPrEx>
          <w:tblCellMar>
            <w:top w:w="0" w:type="dxa"/>
            <w:left w:w="10" w:type="dxa"/>
            <w:bottom w:w="0" w:type="dxa"/>
            <w:right w:w="10" w:type="dxa"/>
          </w:tblCellMar>
        </w:tblPrEx>
        <w:trPr>
          <w:trHeight w:val="854" w:hRule="exact"/>
        </w:trPr>
        <w:tc>
          <w:tcPr>
            <w:tcW w:w="1843"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hint="eastAsia" w:ascii="宋体" w:hAnsi="宋体" w:eastAsia="宋体" w:cs="宋体"/>
                <w:sz w:val="17"/>
                <w:szCs w:val="17"/>
                <w:lang w:val="en-US" w:eastAsia="zh-CN"/>
              </w:rPr>
            </w:pPr>
            <w:r>
              <w:rPr>
                <w:rFonts w:ascii="宋体" w:hAnsi="宋体" w:eastAsia="宋体" w:cs="宋体"/>
                <w:sz w:val="17"/>
                <w:u w:color="auto"/>
              </w:rPr>
              <w:t>单位代码</w:t>
            </w:r>
          </w:p>
        </w:tc>
        <w:tc>
          <w:tcPr>
            <w:tcW w:w="2559"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4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单位名称</w:t>
            </w:r>
          </w:p>
        </w:tc>
        <w:tc>
          <w:tcPr>
            <w:tcW w:w="335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项目名称</w:t>
            </w:r>
          </w:p>
        </w:tc>
        <w:tc>
          <w:tcPr>
            <w:tcW w:w="1511"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预算金额</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年度绩效目标</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环江毛南族自治县农业农村局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桂整合【2021】11号2021年第二批中央农业资源及生态保护补助资金</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6.19</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年内完成农用地取土化验并取得结果</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环江毛南族自治县农业农村局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桂财农[2021]109号特色农业现代化示范区建设经费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10.34</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花山果海（四星监测晋级）100万元，毛南领鲜柑橘产业现代化示范区（四星级）400万元</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环江毛南族自治县农业农村局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桂整合〔2021〕41号2022年自治区农业专项转移支付资金(农业技术推广与服</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9.68</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2022年完成农业技术推广与服务类别的观摩培训和物化补助发放</w:t>
            </w:r>
            <w:r>
              <w:rPr>
                <w:rFonts w:hint="eastAsia" w:ascii="宋体" w:hAnsi="宋体" w:eastAsia="宋体" w:cs="宋体"/>
                <w:b/>
                <w:bCs/>
                <w:sz w:val="17"/>
                <w:szCs w:val="17"/>
                <w:lang w:val="en-US" w:eastAsia="zh-CN"/>
              </w:rPr>
              <w:br w:type="textWrapping"/>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环江毛南族自治县农业农村局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桂财农【2021】114号农田建设补助资金</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732.23</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2021年高标准农田自治区配套资金420万，2022年配套1050万元，2022年农田水利补助资金380万元</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环江毛南族自治县农业农村局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桂整合【2021】41号提前下达2022年自治区农业专项转移支付资金(农产品质量)</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2.97</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持开展农产品质量安全与监管体系建设，完成农产品质量安全风险（例行）监测任务3860批次，补贴4个“二品一标”认证产品，完成重金属污染定位预警监测任务63个。</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环江毛南族自治县农业农村局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桂整合【2021】41号2022年自治区农业专项转移支付资金(农业资源及生态保护)</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0.17</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按年更新淘汰率25%培育后备种群补充基础群，新培育后备母猪32头、后备公猪8头，确保基础种群达到地方标准要求</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环江毛南族自治县农业农村局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桂整合【2021】41号2022年自治区农业专项转移支付资金(优势特色产业)</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34.79</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创建桑蚕产业集群，促进增产增收</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环江毛南族自治县农业农村局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桂整合【2022】17号2022年第二批中央农业资源及生态保护补助资金(化肥减量增效)</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4.06</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完成市里下达测土配方施肥任务，农户施肥调查110户，田间试验5户</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环江毛南族自治县农业农村局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桂整合【2022】17号2022年第二批中央农业资源及生态保护补助资金(耕地生产障碍修复利用)</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279.97</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完成8412亩耕地生产障碍集中推进示范区建设</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环江毛南族自治县农业农村局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桂整合【2022】18号2022年第二批中央农业生产发展资金(地理标志农产品保护)</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75.66</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环江地标集群地理标志农产品保护工程</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环江毛南族自治县农业农村局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桂整合【2022】18号2022年第二批中央农业生产发展资金(国家特派农业示范基地)</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5.68</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建立农业科技示范展示基地4个，</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环江毛南族自治县农业农村局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桂整合【2022】18号2022年第二批中央农业生产发展资金(现代农民培训)</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0.02</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培训334名高素质农民</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环江毛南族自治县农业农村局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桂整合【2022】18号2022年第二批中央农业生产发展资金(优势特色产业集群)</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146.40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创建广西蚕桑产业集群</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环江毛南族自治县农业农村局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2022年自治区农田建设补助配套资金</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0.09</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本项资金补贴对象为农业农村部门组织创办的示范点，以及承接2022年大豆玉米带状复合种植任务的生产者；</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环江毛南族自治县农业农村局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桂财农【2022】59号2022年自治区本级农田建设补助资金</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596.54</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新建高标准农田3.5万亩，通过项目建设，有效改善项目区农田基础设施条件，提升耕地质量，提高粮食综合生产能力。</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环江毛南族自治县农业农村局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桂财农【2022】81号2022年中央农业生产救灾资金(第七批)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0.26</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2022年实施完毕，主要用于农业生产救灾。</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环江毛南族自治县农业农村局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桂财农【2022】89号下达2021年高标准农田建设工作督查激励资金</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242.04</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本次下达的高标准农田建设工作督查激励资金纳入自治区农业生产发展专项资金管理，由相关地区结合实际统筹用于当地农田建设及管理工作。</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环江毛南族自治县农业农村局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中央农田建设补助资金</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125.91</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新建、改造提升高标准农田面积1.5万亩，其中新增高效节水灌溉面积0.3万亩 ，1.新建、改造提升高标准农田1.5万亩，通过项目建设，有效改善项目区农田基础设施条件，提升耕地质量，提高粮食综合生产能力。其中，新增高效节水灌溉面积0.2万亩，提升农田灌溉排水和节水能力。</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2.开展土壤改良。</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3.灌溉排水设施和田间道路建设。</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4.损毁农田工程修复。</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环江毛南族自治县农业农村局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自治区转移支付(能源建设)</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31.31</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年内完成新建农村沼气循环农业项目一个，新建农村人居环境整治提升项目一个。</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环江毛南族自治县农业农村局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自治区转移支付(动物疫病防控)</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5.94</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支持动物疫病防控，开展动物疫病强制免疫，发放2022年1-12月养殖环节病死猪无害化处理补助经费。承担自治区动物疫病监测和流行病学调查任务，监测200份样品，支持12个动物产地检疫申报点配备电子出证设备。</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环江毛南族自治县农业农村局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自治区转移支付(农产品质量安全)</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12.12</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支持开展农产品质量安全与监管体系建设，完成农产品质量安全风险监测任务3740批次，“瘦肉精”专项120批次。补贴四个绿色、有机农产品及基地，完成重金属污染定位预警监测任务65个</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环江毛南族自治县农业农村局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自治区转移支付(行业统计调查)</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1.27</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准时合规支付经费，完成全区农村合作经济监测统计工作</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环江毛南族自治县农业农村局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自治区农田建设补助配套资金</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1335.84</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“1.新建高标准农田1.5万亩，通过项目建设，有效改善项目区农田基础设施条件，提升耕地质量，提高粮食综合生产能力。其中，新增高效节水灌溉面积0.3万亩，提升农田灌溉排水和节水能力。</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2.开展土壤改良。</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3.灌溉排水设施和田间道路建设。</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4.损毁农田工程修复。（此为提前下达年度目标，将以最终下达的绩效目标为准。）“</w:t>
            </w:r>
            <w:r>
              <w:rPr>
                <w:rFonts w:hint="eastAsia" w:ascii="宋体" w:hAnsi="宋体" w:eastAsia="宋体" w:cs="宋体"/>
                <w:b/>
                <w:bCs/>
                <w:sz w:val="17"/>
                <w:szCs w:val="17"/>
                <w:lang w:val="en-US" w:eastAsia="zh-CN"/>
              </w:rPr>
              <w:br w:type="textWrapping"/>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环江毛南族自治县农业农村局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双季稻轮作</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98.41</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针对辖区内实施双季稻轮作农户进行补助</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环江毛南族自治县农业农村局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稻谷目标价格补贴工作经费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4.00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自治区方案完成本县稻谷生产补贴工作，并完成发放工作</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环江毛南族自治县农业农村局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粮食生产激励资金</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0.60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调动种粮积极性，营造重农抓粮的氛围。在不遭受重大自然灾害情况下，当年粮食播种面积、产量保持稳定，不低于2021年。</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环江毛南族自治县农业农村局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中央耕地地力保护补贴资金</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2.75</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2023年3月底以前制定印发本县项目实施方案，按照 核实后的农户补贴面积，测算补贴标准，在6月30日前将补贴资金发到农户。通过政策宣传和补贴引导，增加农民保护耕地的意识，促进“藏粮于地”目标实现。</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环江毛南族自治县农业农村局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第三次全国土壤普查</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24.51</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第三次土壤普查进行到第二阶段，用于绘图费用，2024年年末实施完毕</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环江毛南族自治县农业农村局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中央粮油生产保障资金（水稻集中育秧）</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73.00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按照相关规划或实施方案，结合地方实际开展粮油生产保障</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环江毛南族自治县农业农村局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高素质农民培育</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43.12</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按照相关规划或实施方案，完成新型农民培育任务800人。</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环江毛南族自治县农业农村局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基层农技推广体系改革与建设（养殖)</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47.98</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按照相关规划或实施方案，根据任务清单并结合地方实际开展基层农技推广服务活动</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环江毛南族自治县农业农村局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基层农技推广体系改革与建设（种植)</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59.97</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按照相关规划或实施方案，根据任务清单并结合地方实际开展基层农技推广服务活动，完成基层农技人员培训任务</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环江毛南族自治县农业农村局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化肥减量增效</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6.34</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2023年度化肥减量增效项目完成农户施肥调查85户，2个田间试验，4期宣传培训，培训人数200人次。</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环江毛南族自治县农业农村局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国家农业种质资源库项目</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35.69</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对在近几年来保种选育建立的继代基础种群进行生产性能种质测定，选优淘劣，按年更新淘汰率25％培育后备种群补充基础群，确保基础种群达到地方标准要求。</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环江毛南族自治县农业农村局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2023年农业防灾救灾资金(第四批）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40.00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通过使用救灾资金，支持受灾地区恢复种植业生产，保障全年种植业生产稳定。</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环江毛南族自治县农业农村局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2023年稻谷生产者补贴</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0.01</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落实好稻谷生产补贴有关工作，结合实际制定具体补贴实施方案，组织各地做好稻谷生产补贴宣传、组织申报、审核等工作，实现补贴资金及时兑付、保障优势产区稻谷种植收益基本稳定、稳定水稻播种面积、引导种植结构调整，促进增加绿色高产优质稻谷供给等绩效目标。</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环江毛南族自治县农业农村局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秋玉米“一喷多促”</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1.73</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按照项目实施要求，全区晚玉米“一喷多促”面积达到0.1万亩.</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环江毛南族自治县农业农村局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2023年广西现代特色农业示范区建设第二批补助资金</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400.00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通过项目实施，打造一批特色明显、链条完善、融合度高的示范区,引领带动全区特色农业高质量发展，促进产业兴旺助力乡村全面振兴。</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环江毛南族自治县农业农村局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中央农业经营主体能力提升（设施蔬菜)</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215.00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按照相关规划或实施方案，根据任务清单并结合地方实际开展农业经营主体能力提升工作</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环江毛南族自治县农业农村局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中央农业经营主体能力提升（设施桑蚕)</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170.00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按照相关规划或实施方案，根据任务清单并结合地方实际开展农业经营主体能力提升工作</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环江毛南族自治县农业农村局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桑蚕种养殖技术培训项目</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10.50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1.调查当地蚕桑产业情况，协助推动河池市环江县蚕桑生产的绿色转型，正确引导蚕桑产业链的延伸和后端的价值提升，并撰写河池市环江县蚕桑产业情况的调研报告1篇。</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2.组织农技推广人员和新型农业经营主体等培训100人次以上。</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环江毛南族自治县农业农村局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糖蔗高产高糖栽培技术培训费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2.25</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为进一步提高蔗农种蔗种蔗技术，提高我县糖蔗产业科技含量，2024年计划在全县主要蔗区举办糖蔗“双高”栽培技术培训班4-5期，培训150-200人／次。</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环江毛南族自治县农业农村局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水果技术培训工作经费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13.45</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水果技术培训工作</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环江毛南族自治县农业农村局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农业遥感经费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2024年底完成</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环江毛南族自治县农业农村局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市级遥感试点业务工作</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2024年内完成</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环江毛南族自治县农业农村局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县级农业遥感监测站项目运行</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2024年年内完成</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环江毛南族自治县农业农村局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动物猪瘟疫苗项目经费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4.00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由于今年自治区仅将牲畜口蹄疫、高致病性禽流感、小反刍兽疫所需疫苗列为统一采购对象，猪瘟、高致病性蓝耳病不列入统采计划范围，但是每年的重大动物疫病防控绩效验收考评均将新猪瘟、高致病性蓝耳病抗体水平列为考评内容，因此猪瘟、高致病性猪蓝耳病疫苗须地方自行购买解决。</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环江毛南族自治县农业农村局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农机执法项目经费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6.50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农机执法监管经费总和为17.5万元，其中农机安全生产大检查活动经费4.5万元，“打非治违”专项整治经费3万元，创建“平安农机”和农机安全生产宣传经费2.5万元，农机事故应急演练经费2.5万元，拖拉机、联合收割集中年检月活动经费5万元，</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环江毛南族自治县农业农村局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农机产品质量监督经费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农机产品质量监督投诉工作经费2万元 ，农机产品质量打假经费2万元。</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环江毛南族自治县农业农村局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食品安全、屠宰检疫、兽药监管执法工作经费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保障畜产品质量安全、瘦肉精专项的监管、屠宰检疫及生猪规模养殖场无害化的监管，</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环江毛南族自治县农业农村局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农业综合执法经费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6.80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农业政策法律法规宣传教育＼开展商品小蚕经营者监管督查行动,稳定农资市场安全.</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环江毛南族自治县农业农村局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渔政执法工作项目经费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2.20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根据中华人民共和国主席令(第三十八号令)《中华人民共和国渔业法》，保证渔业发展安全</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环江毛南族自治县农业农村局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党组织活动项目经费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1.41</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 xml:space="preserve">  党支部组织活动有序开展</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环江毛南族自治县农业农村局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农产品质量安全检测工作经费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4.20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为加强农产品质量安全监管检测机构建设，提高监管检测能力，确保监管检测工作有序有效开展，确保全县农产品质量安全</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环江毛南族自治县农业农村局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信创工作经费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1.50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用于购置一套完整国产办公设备</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环江毛南族自治县农业农村局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桑蚕发展业务工作经费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完成年内县委布置的桑蚕发展生产、培训任务</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环江毛南族自治县农业农村局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养殖环节病死猪无害化处理补贴</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1.50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依据2023年度实际发生上报的屠宰、养殖环节病死猪无害化处理头数进行补贴</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环江毛南族自治县农业农村局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病虫害防治工作经费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完成 农作物病虫害田间调查、发生预报、防治示范和技术指导、突发病虫害应急防治、新农药试验、植物检疫及病虫害防治技术培训任务</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环江毛南族自治县农业农村局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养殖场病死猪无害化处理监管工作经费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3.60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全年按质按量完成辖区内的养殖环节无害化监管任务</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环江毛南族自治县农业农村局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现代特色农业示范区建设工作经费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1.30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年内完成特色示范区申报项目并督促实施</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环江毛南族自治县农业农村局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能源办工作项目经费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能源项目工作经费预算： 1.办公费6000元； 2、差旅费17000元 。3、其他费1000元，全年预算合计24000元</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环江毛南族自治县农业农村局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科教培训工作经费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0.80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年内完成中央及自治区下达的农民培训任务，提升当地农民素质教育</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环江毛南族自治县农业农村局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耕地地力保护补贴经费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2.80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农业支持保护补贴经费的发放工作是国家为民办实事工程，制定工作方案，开展补贴工作培训、采集农户基础数据、核实补贴面积、兑付资金、监督检查及接待信访等工作</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环江毛南族自治县农业农村局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“菜篮子”工程项目工作经费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4.00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确保完成自治县人民政府每年绩效考核</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环江毛南族自治县农业农村局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基层动物防疫强制免疫(村防治员)县级补助经费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33.00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春秋两防工作依法开展，基层动物防疫强制免疫（村防治员）补助经费足额发放</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环江毛南族自治县农业农村局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动物疫病疫情监测工作项目经费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4.00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有效完成动物疫病疫情监测任务</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环江毛南族自治县农业农村局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耕地质量定点监测工作经费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2.20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产力的综合反映，一切优质高产的农产品及其栽培模式都必须建立在安全、肥沃、协调的土壤之上。提高耕地综合生产能力、遏制耕地质量退化、确保地力常新，对于增加农业产量，提高农产品品质，优化农业产业结构，提高农业经济效益，推动农业可持续发展，保障国家粮食生产安全，推动社会主义新农村建设有着积极的意义和重要的作用</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环江毛南族自治县农业农村局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安保工作经费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4.00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门面房租租金收入安排，聘请保安2人工资1800元*2*12=43200元</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以保证全局办公场所有序安全</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环江毛南族自治县农业农村局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环江香猪保种场维修经费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以非税收入安排维修费3.2万元</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环江毛南族自治县农业农村局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畜禽防疫保护经费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17.00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根据《动物防疫法》,完成当年动物防疫工作。</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环江毛南族自治县农业农村局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高产高糖糖料蔗生产工作会议费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0.90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2024年年底完成</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环江毛南族自治县农业农村局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高产高糖糖料蔗生产工作经费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5.40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2024年年底完成</w:t>
            </w:r>
          </w:p>
        </w:tc>
      </w:tr>
    </w:tbl>
    <w:p>
      <w:pPr>
        <w:jc w:val="left"/>
        <w:rPr>
          <w:rFonts w:hint="eastAsia"/>
        </w:rPr>
      </w:pPr>
      <w:r>
        <w:t>注：本报表金额单位转换时可能存在四舍五入尾数误差。</w:t>
      </w:r>
    </w:p>
    <w:p>
      <w:pPr>
        <w:jc w:val="left"/>
        <w:rPr>
          <w:rFonts w:hint="eastAsia"/>
          <w:lang w:eastAsia="zh-CN"/>
        </w:rPr>
        <w:sectPr>
          <w:headerReference r:id="rId10" w:type="default"/>
          <w:footerReference r:id="rId11" w:type="default"/>
          <w:pgSz w:w="16840" w:h="11900" w:orient="landscape"/>
          <w:pgMar w:top="2714" w:right="764" w:bottom="2714" w:left="735" w:header="2286" w:footer="3" w:gutter="0"/>
          <w:pgBorders>
            <w:top w:val="none" w:sz="0" w:space="0"/>
            <w:left w:val="none" w:sz="0" w:space="0"/>
            <w:bottom w:val="none" w:sz="0" w:space="0"/>
            <w:right w:val="none" w:sz="0" w:space="0"/>
          </w:pgBorders>
          <w:cols w:space="720" w:num="1"/>
          <w:docGrid w:linePitch="360" w:charSpace="0"/>
        </w:sectPr>
      </w:pPr>
    </w:p>
    <w:p>
      <w:pPr>
        <w:pStyle w:val="12"/>
        <w:keepNext/>
        <w:keepLines/>
        <w:spacing w:before="200" w:after="0"/>
        <w:jc w:val="center"/>
        <w:rPr>
          <w:sz w:val="40"/>
          <w:szCs w:val="40"/>
        </w:rPr>
      </w:pPr>
      <w:bookmarkStart w:id="31" w:name="bookmark95"/>
      <w:bookmarkStart w:id="32" w:name="bookmark94"/>
      <w:bookmarkStart w:id="33" w:name="bookmark96"/>
      <w:r>
        <w:rPr>
          <w:sz w:val="40"/>
          <w:szCs w:val="40"/>
        </w:rPr>
        <w:t>第四部</w:t>
      </w:r>
      <w:r>
        <w:rPr>
          <w:rFonts w:hint="eastAsia"/>
          <w:sz w:val="40"/>
          <w:szCs w:val="40"/>
          <w:lang w:val="en-US" w:eastAsia="zh-CN"/>
        </w:rPr>
        <w:t xml:space="preserve">  </w:t>
      </w:r>
      <w:r>
        <w:rPr>
          <w:sz w:val="40"/>
          <w:szCs w:val="40"/>
        </w:rPr>
        <w:t>分名词解释</w:t>
      </w:r>
      <w:bookmarkEnd w:id="31"/>
      <w:bookmarkEnd w:id="32"/>
      <w:bookmarkEnd w:id="33"/>
    </w:p>
    <w:p>
      <w:pPr>
        <w:pStyle w:val="18"/>
        <w:tabs>
          <w:tab w:val="left" w:pos="1270"/>
        </w:tabs>
        <w:spacing w:line="626" w:lineRule="exact"/>
        <w:ind w:firstLine="640"/>
        <w:jc w:val="left"/>
      </w:pPr>
      <w:bookmarkStart w:id="34" w:name="bookmark97"/>
      <w:r>
        <w:t>一</w:t>
      </w:r>
      <w:bookmarkEnd w:id="34"/>
      <w:r>
        <w:t>、</w:t>
      </w:r>
      <w:r>
        <w:tab/>
      </w:r>
      <w:r>
        <w:t>财政拨款收入：指预算单位从本级财政部门取得的财政预算资金收入。</w:t>
      </w:r>
    </w:p>
    <w:p>
      <w:pPr>
        <w:pStyle w:val="18"/>
        <w:tabs>
          <w:tab w:val="left" w:pos="1280"/>
        </w:tabs>
        <w:spacing w:line="626" w:lineRule="exact"/>
        <w:ind w:firstLine="640"/>
        <w:jc w:val="left"/>
      </w:pPr>
      <w:bookmarkStart w:id="35" w:name="bookmark98"/>
      <w:r>
        <w:t>二</w:t>
      </w:r>
      <w:bookmarkEnd w:id="35"/>
      <w:r>
        <w:t>、</w:t>
      </w:r>
      <w:r>
        <w:tab/>
      </w:r>
      <w:r>
        <w:t>事业收入：指事业单位开展专业业务活动及辅助活动所取得的收入。</w:t>
      </w:r>
    </w:p>
    <w:p>
      <w:pPr>
        <w:pStyle w:val="18"/>
        <w:tabs>
          <w:tab w:val="left" w:pos="1275"/>
        </w:tabs>
        <w:spacing w:line="626" w:lineRule="exact"/>
        <w:ind w:firstLine="640"/>
        <w:jc w:val="left"/>
      </w:pPr>
      <w:bookmarkStart w:id="36" w:name="bookmark99"/>
      <w:r>
        <w:t>三</w:t>
      </w:r>
      <w:bookmarkEnd w:id="36"/>
      <w:r>
        <w:t>、</w:t>
      </w:r>
      <w:r>
        <w:tab/>
      </w:r>
      <w:r>
        <w:t>经营收入：指事业单位在专业业务活动及其辅助活动之外开展非独立核算经营活动取得的收入。</w:t>
      </w:r>
    </w:p>
    <w:p>
      <w:pPr>
        <w:pStyle w:val="18"/>
        <w:tabs>
          <w:tab w:val="left" w:pos="1309"/>
        </w:tabs>
        <w:spacing w:line="626" w:lineRule="exact"/>
        <w:ind w:firstLine="640"/>
        <w:jc w:val="left"/>
      </w:pPr>
      <w:bookmarkStart w:id="37" w:name="bookmark100"/>
      <w:r>
        <w:t>四</w:t>
      </w:r>
      <w:bookmarkEnd w:id="37"/>
      <w:r>
        <w:t>、</w:t>
      </w:r>
      <w:r>
        <w:tab/>
      </w:r>
      <w:r>
        <w:t>其他收入：指除上述</w:t>
      </w:r>
      <w:r>
        <w:rPr>
          <w:lang w:val="zh-CN" w:eastAsia="zh-CN" w:bidi="zh-CN"/>
        </w:rPr>
        <w:t>“财</w:t>
      </w:r>
      <w:r>
        <w:t>政拨款收入”、</w:t>
      </w:r>
      <w:r>
        <w:rPr>
          <w:lang w:val="zh-CN" w:eastAsia="zh-CN" w:bidi="zh-CN"/>
        </w:rPr>
        <w:t>“事</w:t>
      </w:r>
      <w:r>
        <w:t>业收入"、</w:t>
      </w:r>
      <w:r>
        <w:rPr>
          <w:lang w:val="zh-CN" w:eastAsia="zh-CN" w:bidi="zh-CN"/>
        </w:rPr>
        <w:t>“经营</w:t>
      </w:r>
      <w:r>
        <w:t>收入"等以外的收入。主要是非本级财政拨款、存款利息收入、事业单位固定资产出租收入等。</w:t>
      </w:r>
    </w:p>
    <w:p>
      <w:pPr>
        <w:pStyle w:val="18"/>
        <w:tabs>
          <w:tab w:val="left" w:pos="1275"/>
        </w:tabs>
        <w:spacing w:line="626" w:lineRule="exact"/>
        <w:ind w:firstLine="640"/>
        <w:jc w:val="left"/>
      </w:pPr>
      <w:bookmarkStart w:id="38" w:name="bookmark101"/>
      <w:r>
        <w:t>五</w:t>
      </w:r>
      <w:bookmarkEnd w:id="38"/>
      <w:r>
        <w:t>、</w:t>
      </w:r>
      <w:r>
        <w:tab/>
      </w:r>
      <w:r>
        <w:t>用事业基金弥补收支差额：指事业单位在用当年的</w:t>
      </w:r>
      <w:r>
        <w:rPr>
          <w:lang w:val="zh-CN" w:eastAsia="zh-CN" w:bidi="zh-CN"/>
        </w:rPr>
        <w:t>“财</w:t>
      </w:r>
      <w:r>
        <w:t>政拨款收入"、</w:t>
      </w:r>
      <w:r>
        <w:rPr>
          <w:lang w:val="zh-CN" w:eastAsia="zh-CN" w:bidi="zh-CN"/>
        </w:rPr>
        <w:t>“事业</w:t>
      </w:r>
      <w:r>
        <w:t>收入"、</w:t>
      </w:r>
      <w:r>
        <w:rPr>
          <w:lang w:val="zh-CN" w:eastAsia="zh-CN" w:bidi="zh-CN"/>
        </w:rPr>
        <w:t>“经营</w:t>
      </w:r>
      <w:r>
        <w:t>收入"、</w:t>
      </w:r>
      <w:r>
        <w:rPr>
          <w:lang w:val="zh-CN" w:eastAsia="zh-CN" w:bidi="zh-CN"/>
        </w:rPr>
        <w:t>“其他</w:t>
      </w:r>
      <w:r>
        <w:t>收入"不足以安排当年支出的情况下，使用以前年度积累的事业基金（事业单位当年收支相抵后按国家规定提取、用于弥补以后年度收支差额的基金）弥补本年度收支缺口的资金。</w:t>
      </w:r>
    </w:p>
    <w:p>
      <w:pPr>
        <w:pStyle w:val="18"/>
        <w:tabs>
          <w:tab w:val="left" w:pos="1270"/>
        </w:tabs>
        <w:spacing w:line="626" w:lineRule="exact"/>
        <w:ind w:firstLine="640"/>
        <w:jc w:val="left"/>
      </w:pPr>
      <w:bookmarkStart w:id="39" w:name="bookmark102"/>
      <w:r>
        <w:t>六</w:t>
      </w:r>
      <w:bookmarkEnd w:id="39"/>
      <w:r>
        <w:t>、</w:t>
      </w:r>
      <w:r>
        <w:tab/>
      </w:r>
      <w:r>
        <w:t>年初结转和结余：指以前年度尚未完成、结转到本年按有关规定继续使用的资金。</w:t>
      </w:r>
    </w:p>
    <w:p>
      <w:pPr>
        <w:pStyle w:val="18"/>
        <w:tabs>
          <w:tab w:val="left" w:pos="1275"/>
        </w:tabs>
        <w:spacing w:line="626" w:lineRule="exact"/>
        <w:ind w:firstLine="640"/>
        <w:jc w:val="left"/>
      </w:pPr>
      <w:bookmarkStart w:id="40" w:name="bookmark103"/>
      <w:r>
        <w:t>七</w:t>
      </w:r>
      <w:bookmarkEnd w:id="40"/>
      <w:r>
        <w:t>、</w:t>
      </w:r>
      <w:r>
        <w:tab/>
      </w:r>
      <w:r>
        <w:t>结余分配：指事业单位按规定提取的职工福利基金、事业基金和缴纳的所得税，以及建设单位按规定应交回的基本建设竣工项目结余资金。</w:t>
      </w:r>
    </w:p>
    <w:p>
      <w:pPr>
        <w:pStyle w:val="18"/>
        <w:tabs>
          <w:tab w:val="left" w:pos="632"/>
        </w:tabs>
        <w:spacing w:line="626" w:lineRule="exact"/>
        <w:ind w:firstLine="640"/>
        <w:jc w:val="left"/>
      </w:pPr>
      <w:bookmarkStart w:id="41" w:name="bookmark104"/>
      <w:r>
        <w:t>八</w:t>
      </w:r>
      <w:bookmarkEnd w:id="41"/>
      <w:r>
        <w:t>、</w:t>
      </w:r>
      <w:r>
        <w:tab/>
      </w:r>
      <w:r>
        <w:t>年末结转和结余：指本年度或以前年度预算安排、因客观条件发生变化无法按原计划实施，需要延迟到以后年度按有关规定继续使用的资金。</w:t>
      </w:r>
    </w:p>
    <w:p>
      <w:pPr>
        <w:pStyle w:val="18"/>
        <w:spacing w:line="628" w:lineRule="exact"/>
        <w:ind w:firstLine="640"/>
        <w:jc w:val="left"/>
      </w:pPr>
      <w:bookmarkStart w:id="42" w:name="bookmark105"/>
      <w:r>
        <w:t>九</w:t>
      </w:r>
      <w:bookmarkEnd w:id="42"/>
      <w:r>
        <w:t>、基本支出：指为保障机构正常运转、完成日常工作任务而发生的人员支出和公用支出。</w:t>
      </w:r>
    </w:p>
    <w:p>
      <w:pPr>
        <w:pStyle w:val="18"/>
        <w:spacing w:line="628" w:lineRule="exact"/>
        <w:ind w:firstLine="640"/>
        <w:jc w:val="left"/>
      </w:pPr>
      <w:r>
        <w:t>十、项目支出：指在基本支出之外为完成特定行政任务和事业发展目标所发生的支出。</w:t>
      </w:r>
    </w:p>
    <w:p>
      <w:pPr>
        <w:pStyle w:val="18"/>
        <w:spacing w:line="628" w:lineRule="exact"/>
        <w:ind w:firstLine="640"/>
        <w:jc w:val="left"/>
      </w:pPr>
      <w:r>
        <w:t>十一、经营支出：指事业单位在专业业务活动及其辅助活动之外开展非独立核算经营活动所发生的支出。</w:t>
      </w:r>
    </w:p>
    <w:p>
      <w:pPr>
        <w:pStyle w:val="18"/>
        <w:spacing w:line="628" w:lineRule="exact"/>
        <w:ind w:firstLine="640"/>
        <w:jc w:val="left"/>
      </w:pPr>
      <w:r>
        <w:t>十二、</w:t>
      </w:r>
      <w:r>
        <w:rPr>
          <w:lang w:val="zh-CN" w:eastAsia="zh-CN" w:bidi="zh-CN"/>
        </w:rPr>
        <w:t>“三</w:t>
      </w:r>
      <w:r>
        <w:t>公”经费：纳入财政预决算管理的</w:t>
      </w:r>
      <w:r>
        <w:rPr>
          <w:lang w:val="zh-CN" w:eastAsia="zh-CN" w:bidi="zh-CN"/>
        </w:rPr>
        <w:t>“三公</w:t>
      </w:r>
      <w:r>
        <w:t>”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18"/>
        <w:spacing w:line="628" w:lineRule="exact"/>
        <w:ind w:firstLine="640"/>
        <w:jc w:val="left"/>
      </w:pPr>
      <w:r>
        <w:t>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r:id="rId12" w:type="default"/>
      <w:footerReference r:id="rId13" w:type="default"/>
      <w:type w:val="continuous"/>
      <w:pgSz w:w="11900" w:h="16840"/>
      <w:pgMar w:top="1302" w:right="1735" w:bottom="1568" w:left="1793" w:header="874" w:footer="3" w:gutter="0"/>
      <w:pgBorders>
        <w:top w:val="none" w:sz="0" w:space="0"/>
        <w:left w:val="none" w:sz="0" w:space="0"/>
        <w:bottom w:val="none" w:sz="0" w:space="0"/>
        <w:right w:val="none" w:sz="0" w:space="0"/>
      </w:pgBorders>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652" name="Shape 5"/>
              <wp:cNvGraphicFramePr/>
              <a:graphic xmlns:a="http://schemas.openxmlformats.org/drawingml/2006/main">
                <a:graphicData uri="http://schemas.microsoft.com/office/word/2010/wordprocessingShape">
                  <wps:wsp>
                    <wps:cNvSpPr/>
                    <wps:spPr>
                      <a:xfrm>
                        <a:off x="0" y="0"/>
                        <a:ext cx="581025" cy="109855"/>
                      </a:xfrm>
                      <a:prstGeom prst="rect">
                        <a:avLst/>
                      </a:prstGeom>
                      <a:noFill/>
                    </wps:spPr>
                    <wps:txbx>
                      <w:txbxContent>
                        <w:p>
                          <w:pPr>
                            <w:pStyle w:val="20"/>
                          </w:pPr>
                        </w:p>
                      </w:txbxContent>
                    </wps:txbx>
                    <wps:bodyPr rot="0" spcFirstLastPara="0" vertOverflow="overflow" horzOverflow="overflow" vert="horz" wrap="square" lIns="0" tIns="0" rIns="0" bIns="0" numCol="1" anchor="t" upright="0">
                      <a:spAutoFit/>
                    </wps:bodyPr>
                  </wps:wsp>
                </a:graphicData>
              </a:graphic>
            </wp:anchor>
          </w:drawing>
        </mc:Choice>
        <mc:Fallback>
          <w:pict>
            <v:rect id="Shape 5" o:spid="_x0000_s1026" o:spt="1" style="position:absolute;left:0pt;margin-left:717.9pt;margin-top:95.85pt;height:8.65pt;width:45.75pt;mso-position-horizontal-relative:page;mso-position-vertical-relative:page;z-index:-251657216;mso-width-relative:page;mso-height-relative:page;" filled="f" stroked="f" coordsize="21600,21600" o:gfxdata="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Y&#10;wIsR2wAAAA0BAAAPAAAAAAAAAAEAIAAAACIAAABkcnMvZG93bnJldi54bWxQSwECFAAUAAAACACH&#10;TuJAezBOKugBAADkAwAADgAAAAAAAAABACAAAAAqAQAAZHJzL2Uyb0RvYy54bWxQSwUGAAAAAAYA&#10;BgBZAQAAhAUAAAAA&#10;">
              <v:fill on="f" focussize="0,0"/>
              <v:stroke on="f"/>
              <v:imagedata o:title=""/>
              <o:lock v:ext="edit" aspectratio="f"/>
              <v:textbox inset="0mm,0mm,0mm,0mm" style="mso-fit-shape-to-text:t;">
                <w:txbxContent>
                  <w:p>
                    <w:pPr>
                      <w:pStyle w:val="20"/>
                    </w:pP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653" name="Shape 5"/>
              <wp:cNvGraphicFramePr/>
              <a:graphic xmlns:a="http://schemas.openxmlformats.org/drawingml/2006/main">
                <a:graphicData uri="http://schemas.microsoft.com/office/word/2010/wordprocessingShape">
                  <wps:wsp>
                    <wps:cNvSpPr/>
                    <wps:spPr>
                      <a:xfrm>
                        <a:off x="0" y="0"/>
                        <a:ext cx="581025" cy="109855"/>
                      </a:xfrm>
                      <a:prstGeom prst="rect">
                        <a:avLst/>
                      </a:prstGeom>
                      <a:noFill/>
                    </wps:spPr>
                    <wps:txbx>
                      <w:txbxContent>
                        <w:p>
                          <w:pPr>
                            <w:pStyle w:val="20"/>
                          </w:pPr>
                        </w:p>
                      </w:txbxContent>
                    </wps:txbx>
                    <wps:bodyPr rot="0" spcFirstLastPara="0" vertOverflow="overflow" horzOverflow="overflow" vert="horz" wrap="square" lIns="0" tIns="0" rIns="0" bIns="0" numCol="1" anchor="t" upright="0">
                      <a:spAutoFit/>
                    </wps:bodyPr>
                  </wps:wsp>
                </a:graphicData>
              </a:graphic>
            </wp:anchor>
          </w:drawing>
        </mc:Choice>
        <mc:Fallback>
          <w:pict>
            <v:rect id="Shape 5" o:spid="_x0000_s1026" o:spt="1" style="position:absolute;left:0pt;margin-left:717.9pt;margin-top:95.85pt;height:8.65pt;width:45.75pt;mso-position-horizontal-relative:page;mso-position-vertical-relative:page;z-index:-251656192;mso-width-relative:page;mso-height-relative:page;" filled="f" stroked="f" coordsize="21600,21600" o:gfxdata="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MCLEdsAAAANAQAADwAAAAAAAAABACAAAAAiAAAAZHJzL2Rvd25yZXYueG1sUEsBAhQAFAAAAAgA&#10;h07iQJDFlSzpAQAA5AMAAA4AAAAAAAAAAQAgAAAAKgEAAGRycy9lMm9Eb2MueG1sUEsFBgAAAAAG&#10;AAYAWQEAAIUFAAAAAA==&#10;">
              <v:fill on="f" focussize="0,0"/>
              <v:stroke on="f"/>
              <v:imagedata o:title=""/>
              <o:lock v:ext="edit" aspectratio="f"/>
              <v:textbox inset="0mm,0mm,0mm,0mm" style="mso-fit-shape-to-text:t;">
                <w:txbxContent>
                  <w:p>
                    <w:pPr>
                      <w:pStyle w:val="20"/>
                    </w:pP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dit="readOnly" w:enforcement="1" w:cryptProviderType="rsaAES" w:cryptAlgorithmClass="hash" w:cryptAlgorithmType="typeAny" w:cryptAlgorithmSid="14" w:cryptSpinCount="100000" w:hash="MsnKY4CEpfcN1WlqUq6T3F5oBGBGZxmGEA5wV0iqwrkEcX9gyVyXrPnsMZGDmUQ9Z2p3ic/XtLfN8+XmcKZyBw==" w:salt="koWC8UJt4ntyclkhKsHbNw=="/>
  <w:defaultTabStop w:val="420"/>
  <w:drawingGridHorizontalSpacing w:val="181"/>
  <w:drawingGridVerticalSpacing w:val="181"/>
  <w:noPunctuationKerning w:val="1"/>
  <w:characterSpacingControl w:val="compressPunctuation"/>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iOTZkYjkwN2Q1MTBhY2U1NDI3ZmEwNzcyMDM4OGMifQ=="/>
  </w:docVars>
  <w:rsids>
    <w:rsidRoot w:val="00000000"/>
    <w:rsid w:val="151E7F3F"/>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Comment Text"/>
    <w:basedOn w:val="1"/>
    <w:qFormat/>
    <w:uiPriority w:val="0"/>
  </w:style>
  <w:style w:type="character" w:customStyle="1" w:styleId="8">
    <w:name w:val="Comment Reference"/>
    <w:basedOn w:val="6"/>
    <w:qFormat/>
    <w:uiPriority w:val="0"/>
    <w:rPr>
      <w:sz w:val="21"/>
      <w:szCs w:val="21"/>
    </w:rPr>
  </w:style>
  <w:style w:type="character" w:customStyle="1" w:styleId="9">
    <w:name w:val="Body text|5_"/>
    <w:basedOn w:val="6"/>
    <w:link w:val="10"/>
    <w:qFormat/>
    <w:uiPriority w:val="0"/>
    <w:rPr>
      <w:rFonts w:ascii="宋体" w:hAnsi="宋体" w:eastAsia="宋体" w:cs="宋体"/>
      <w:sz w:val="54"/>
      <w:szCs w:val="54"/>
      <w:u w:val="none"/>
      <w:shd w:val="clear" w:color="auto" w:fill="auto"/>
      <w:lang w:val="zh-TW" w:eastAsia="zh-TW" w:bidi="zh-TW"/>
    </w:rPr>
  </w:style>
  <w:style w:type="paragraph" w:customStyle="1" w:styleId="10">
    <w:name w:val="Body text|5"/>
    <w:basedOn w:val="1"/>
    <w:link w:val="9"/>
    <w:qFormat/>
    <w:uiPriority w:val="0"/>
    <w:pPr>
      <w:jc w:val="center"/>
    </w:pPr>
    <w:rPr>
      <w:rFonts w:ascii="宋体" w:hAnsi="宋体" w:eastAsia="宋体" w:cs="宋体"/>
      <w:sz w:val="54"/>
      <w:szCs w:val="54"/>
      <w:lang w:val="zh-TW" w:eastAsia="zh-TW" w:bidi="zh-TW"/>
    </w:rPr>
  </w:style>
  <w:style w:type="character" w:customStyle="1" w:styleId="11">
    <w:name w:val="Heading #1|1_"/>
    <w:basedOn w:val="6"/>
    <w:link w:val="12"/>
    <w:qFormat/>
    <w:uiPriority w:val="0"/>
    <w:rPr>
      <w:rFonts w:ascii="宋体" w:hAnsi="宋体" w:eastAsia="宋体" w:cs="宋体"/>
      <w:sz w:val="44"/>
      <w:szCs w:val="44"/>
      <w:u w:val="none"/>
      <w:shd w:val="clear" w:color="auto" w:fill="auto"/>
      <w:lang w:val="zh-TW" w:eastAsia="zh-TW" w:bidi="zh-TW"/>
    </w:rPr>
  </w:style>
  <w:style w:type="paragraph" w:customStyle="1" w:styleId="12">
    <w:name w:val="Heading #1|1"/>
    <w:basedOn w:val="1"/>
    <w:link w:val="11"/>
    <w:qFormat/>
    <w:uiPriority w:val="0"/>
    <w:pPr>
      <w:spacing w:after="400"/>
      <w:jc w:val="center"/>
      <w:outlineLvl w:val="0"/>
    </w:pPr>
    <w:rPr>
      <w:rFonts w:ascii="宋体" w:hAnsi="宋体" w:eastAsia="宋体" w:cs="宋体"/>
      <w:sz w:val="44"/>
      <w:szCs w:val="44"/>
      <w:lang w:val="zh-TW" w:eastAsia="zh-TW" w:bidi="zh-TW"/>
    </w:rPr>
  </w:style>
  <w:style w:type="character" w:customStyle="1" w:styleId="13">
    <w:name w:val="Header or footer|2_"/>
    <w:basedOn w:val="6"/>
    <w:link w:val="14"/>
    <w:qFormat/>
    <w:uiPriority w:val="0"/>
    <w:rPr>
      <w:sz w:val="20"/>
      <w:szCs w:val="20"/>
      <w:u w:val="none"/>
      <w:shd w:val="clear" w:color="auto" w:fill="auto"/>
      <w:lang w:val="zh-TW" w:eastAsia="zh-TW" w:bidi="zh-TW"/>
    </w:rPr>
  </w:style>
  <w:style w:type="paragraph" w:customStyle="1" w:styleId="14">
    <w:name w:val="Header or footer|2"/>
    <w:basedOn w:val="1"/>
    <w:link w:val="13"/>
    <w:qFormat/>
    <w:uiPriority w:val="0"/>
    <w:rPr>
      <w:sz w:val="20"/>
      <w:szCs w:val="20"/>
      <w:lang w:val="zh-TW" w:eastAsia="zh-TW" w:bidi="zh-TW"/>
    </w:rPr>
  </w:style>
  <w:style w:type="character" w:customStyle="1" w:styleId="15">
    <w:name w:val="Body text|2_"/>
    <w:basedOn w:val="6"/>
    <w:link w:val="16"/>
    <w:qFormat/>
    <w:uiPriority w:val="0"/>
    <w:rPr>
      <w:rFonts w:ascii="宋体" w:hAnsi="宋体" w:eastAsia="宋体" w:cs="宋体"/>
      <w:sz w:val="32"/>
      <w:szCs w:val="32"/>
      <w:u w:val="none"/>
      <w:shd w:val="clear" w:color="auto" w:fill="auto"/>
      <w:lang w:val="zh-TW" w:eastAsia="zh-TW" w:bidi="zh-TW"/>
    </w:rPr>
  </w:style>
  <w:style w:type="paragraph" w:customStyle="1" w:styleId="16">
    <w:name w:val="Body text|2"/>
    <w:basedOn w:val="1"/>
    <w:link w:val="15"/>
    <w:qFormat/>
    <w:uiPriority w:val="0"/>
    <w:pPr>
      <w:spacing w:after="240"/>
      <w:ind w:firstLine="560"/>
    </w:pPr>
    <w:rPr>
      <w:rFonts w:ascii="宋体" w:hAnsi="宋体" w:eastAsia="宋体" w:cs="宋体"/>
      <w:sz w:val="32"/>
      <w:szCs w:val="32"/>
      <w:lang w:val="zh-TW" w:eastAsia="zh-TW" w:bidi="zh-TW"/>
    </w:rPr>
  </w:style>
  <w:style w:type="character" w:customStyle="1" w:styleId="17">
    <w:name w:val="Body text|1_"/>
    <w:basedOn w:val="6"/>
    <w:link w:val="18"/>
    <w:qFormat/>
    <w:uiPriority w:val="0"/>
    <w:rPr>
      <w:rFonts w:ascii="宋体" w:hAnsi="宋体" w:eastAsia="宋体" w:cs="宋体"/>
      <w:sz w:val="28"/>
      <w:szCs w:val="28"/>
      <w:u w:val="none"/>
      <w:shd w:val="clear" w:color="auto" w:fill="auto"/>
      <w:lang w:val="zh-TW" w:eastAsia="zh-TW" w:bidi="zh-TW"/>
    </w:rPr>
  </w:style>
  <w:style w:type="paragraph" w:customStyle="1" w:styleId="18">
    <w:name w:val="Body text|1"/>
    <w:basedOn w:val="1"/>
    <w:link w:val="17"/>
    <w:qFormat/>
    <w:uiPriority w:val="0"/>
    <w:pPr>
      <w:spacing w:line="468" w:lineRule="auto"/>
      <w:ind w:firstLine="400"/>
    </w:pPr>
    <w:rPr>
      <w:rFonts w:ascii="宋体" w:hAnsi="宋体" w:eastAsia="宋体" w:cs="宋体"/>
      <w:sz w:val="28"/>
      <w:szCs w:val="28"/>
      <w:lang w:val="zh-TW" w:eastAsia="zh-TW" w:bidi="zh-TW"/>
    </w:rPr>
  </w:style>
  <w:style w:type="character" w:customStyle="1" w:styleId="19">
    <w:name w:val="Header or footer|1_"/>
    <w:basedOn w:val="6"/>
    <w:link w:val="20"/>
    <w:qFormat/>
    <w:uiPriority w:val="0"/>
    <w:rPr>
      <w:b/>
      <w:bCs/>
      <w:sz w:val="17"/>
      <w:szCs w:val="17"/>
      <w:u w:val="none"/>
      <w:shd w:val="clear" w:color="auto" w:fill="auto"/>
      <w:lang w:val="zh-TW" w:eastAsia="zh-TW" w:bidi="zh-TW"/>
    </w:rPr>
  </w:style>
  <w:style w:type="paragraph" w:customStyle="1" w:styleId="20">
    <w:name w:val="Header or footer|1"/>
    <w:basedOn w:val="1"/>
    <w:link w:val="19"/>
    <w:qFormat/>
    <w:uiPriority w:val="0"/>
    <w:rPr>
      <w:b/>
      <w:bCs/>
      <w:sz w:val="17"/>
      <w:szCs w:val="17"/>
      <w:lang w:val="zh-TW" w:eastAsia="zh-TW" w:bidi="zh-TW"/>
    </w:rPr>
  </w:style>
  <w:style w:type="character" w:customStyle="1" w:styleId="21">
    <w:name w:val="Heading #2|1_"/>
    <w:basedOn w:val="6"/>
    <w:link w:val="22"/>
    <w:qFormat/>
    <w:uiPriority w:val="0"/>
    <w:rPr>
      <w:rFonts w:ascii="宋体" w:hAnsi="宋体" w:eastAsia="宋体" w:cs="宋体"/>
      <w:sz w:val="26"/>
      <w:szCs w:val="26"/>
      <w:u w:val="none"/>
      <w:shd w:val="clear" w:color="auto" w:fill="auto"/>
      <w:lang w:val="zh-TW" w:eastAsia="zh-TW" w:bidi="zh-TW"/>
    </w:rPr>
  </w:style>
  <w:style w:type="paragraph" w:customStyle="1" w:styleId="22">
    <w:name w:val="Heading #2|1"/>
    <w:basedOn w:val="1"/>
    <w:link w:val="21"/>
    <w:qFormat/>
    <w:uiPriority w:val="0"/>
    <w:pPr>
      <w:spacing w:after="230"/>
      <w:jc w:val="center"/>
      <w:outlineLvl w:val="1"/>
    </w:pPr>
    <w:rPr>
      <w:rFonts w:ascii="宋体" w:hAnsi="宋体" w:eastAsia="宋体" w:cs="宋体"/>
      <w:sz w:val="26"/>
      <w:szCs w:val="26"/>
      <w:lang w:val="zh-TW" w:eastAsia="zh-TW" w:bidi="zh-TW"/>
    </w:rPr>
  </w:style>
  <w:style w:type="character" w:customStyle="1" w:styleId="23">
    <w:name w:val="Other|1_"/>
    <w:basedOn w:val="6"/>
    <w:link w:val="24"/>
    <w:qFormat/>
    <w:uiPriority w:val="0"/>
    <w:rPr>
      <w:rFonts w:ascii="宋体" w:hAnsi="宋体" w:eastAsia="宋体" w:cs="宋体"/>
      <w:sz w:val="28"/>
      <w:szCs w:val="28"/>
      <w:u w:val="none"/>
      <w:shd w:val="clear" w:color="auto" w:fill="auto"/>
      <w:lang w:val="zh-TW" w:eastAsia="zh-TW" w:bidi="zh-TW"/>
    </w:rPr>
  </w:style>
  <w:style w:type="paragraph" w:customStyle="1" w:styleId="24">
    <w:name w:val="Other|1"/>
    <w:basedOn w:val="1"/>
    <w:link w:val="23"/>
    <w:qFormat/>
    <w:uiPriority w:val="0"/>
    <w:pPr>
      <w:spacing w:line="468" w:lineRule="auto"/>
      <w:ind w:firstLine="400"/>
    </w:pPr>
    <w:rPr>
      <w:rFonts w:ascii="宋体" w:hAnsi="宋体" w:eastAsia="宋体" w:cs="宋体"/>
      <w:sz w:val="28"/>
      <w:szCs w:val="28"/>
      <w:lang w:val="zh-TW" w:eastAsia="zh-TW" w:bidi="zh-TW"/>
    </w:rPr>
  </w:style>
  <w:style w:type="character" w:customStyle="1" w:styleId="25">
    <w:name w:val="Table caption|1_"/>
    <w:basedOn w:val="6"/>
    <w:link w:val="26"/>
    <w:qFormat/>
    <w:uiPriority w:val="0"/>
    <w:rPr>
      <w:rFonts w:ascii="宋体" w:hAnsi="宋体" w:eastAsia="宋体" w:cs="宋体"/>
      <w:sz w:val="17"/>
      <w:szCs w:val="17"/>
      <w:u w:val="none"/>
      <w:shd w:val="clear" w:color="auto" w:fill="auto"/>
      <w:lang w:val="zh-TW" w:eastAsia="zh-TW" w:bidi="zh-TW"/>
    </w:rPr>
  </w:style>
  <w:style w:type="paragraph" w:customStyle="1" w:styleId="26">
    <w:name w:val="Table caption|1"/>
    <w:basedOn w:val="1"/>
    <w:link w:val="25"/>
    <w:qFormat/>
    <w:uiPriority w:val="0"/>
    <w:rPr>
      <w:rFonts w:ascii="宋体" w:hAnsi="宋体" w:eastAsia="宋体" w:cs="宋体"/>
      <w:sz w:val="17"/>
      <w:szCs w:val="17"/>
      <w:lang w:val="zh-TW" w:eastAsia="zh-TW" w:bidi="zh-TW"/>
    </w:rPr>
  </w:style>
  <w:style w:type="character" w:customStyle="1" w:styleId="27">
    <w:name w:val="Body text|4_"/>
    <w:basedOn w:val="6"/>
    <w:link w:val="28"/>
    <w:qFormat/>
    <w:uiPriority w:val="0"/>
    <w:rPr>
      <w:rFonts w:ascii="宋体" w:hAnsi="宋体" w:eastAsia="宋体" w:cs="宋体"/>
      <w:sz w:val="17"/>
      <w:szCs w:val="17"/>
      <w:u w:val="none"/>
      <w:shd w:val="clear" w:color="auto" w:fill="auto"/>
      <w:lang w:val="zh-TW" w:eastAsia="zh-TW" w:bidi="zh-TW"/>
    </w:rPr>
  </w:style>
  <w:style w:type="paragraph" w:customStyle="1" w:styleId="28">
    <w:name w:val="Body text|4"/>
    <w:basedOn w:val="1"/>
    <w:link w:val="27"/>
    <w:qFormat/>
    <w:uiPriority w:val="0"/>
    <w:pPr>
      <w:ind w:firstLine="680"/>
    </w:pPr>
    <w:rPr>
      <w:rFonts w:ascii="宋体" w:hAnsi="宋体" w:eastAsia="宋体" w:cs="宋体"/>
      <w:sz w:val="17"/>
      <w:szCs w:val="17"/>
      <w:lang w:val="zh-TW" w:eastAsia="zh-TW" w:bidi="zh-TW"/>
    </w:rPr>
  </w:style>
  <w:style w:type="character" w:customStyle="1" w:styleId="29">
    <w:name w:val="Body text|3_"/>
    <w:basedOn w:val="6"/>
    <w:link w:val="30"/>
    <w:qFormat/>
    <w:uiPriority w:val="0"/>
    <w:rPr>
      <w:sz w:val="30"/>
      <w:szCs w:val="30"/>
      <w:u w:val="none"/>
      <w:shd w:val="clear" w:color="auto" w:fill="auto"/>
      <w:lang w:val="zh-TW" w:eastAsia="zh-TW" w:bidi="zh-TW"/>
    </w:rPr>
  </w:style>
  <w:style w:type="paragraph" w:customStyle="1" w:styleId="30">
    <w:name w:val="Body text|3"/>
    <w:basedOn w:val="1"/>
    <w:link w:val="29"/>
    <w:qFormat/>
    <w:uiPriority w:val="0"/>
    <w:pPr>
      <w:spacing w:after="140" w:line="336" w:lineRule="auto"/>
      <w:ind w:firstLine="370"/>
    </w:pPr>
    <w:rPr>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customXml" Target="../customXml/item4.xml"/><Relationship Id="rId24" Type="http://schemas.openxmlformats.org/officeDocument/2006/relationships/customXml" Target="../customXml/item3.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chart" Target="charts/chart6.xml"/><Relationship Id="rId2" Type="http://schemas.openxmlformats.org/officeDocument/2006/relationships/settings" Target="settings.xml"/><Relationship Id="rId19" Type="http://schemas.openxmlformats.org/officeDocument/2006/relationships/chart" Target="charts/chart5.xml"/><Relationship Id="rId18" Type="http://schemas.openxmlformats.org/officeDocument/2006/relationships/chart" Target="charts/chart4.xml"/><Relationship Id="rId17" Type="http://schemas.openxmlformats.org/officeDocument/2006/relationships/chart" Target="charts/chart3.xml"/><Relationship Id="rId16" Type="http://schemas.openxmlformats.org/officeDocument/2006/relationships/chart" Target="charts/chart2.xml"/><Relationship Id="rId15" Type="http://schemas.openxmlformats.org/officeDocument/2006/relationships/chart" Target="charts/chart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formatCode>General</c:formatCode>
                <c:ptCount val="1"/>
                <c:pt idx="0">
                  <c:v>8794.8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Pt>
            <c:idx val="1"/>
            <c:bubble3D val="0"/>
          </c:dPt>
          <c:dPt>
            <c:idx val="2"/>
            <c:bubble3D val="0"/>
          </c:dPt>
          <c:dPt>
            <c:idx val="3"/>
            <c:bubble3D val="0"/>
          </c:dPt>
          <c:dLbls>
            <c:delete val="1"/>
          </c:dLbls>
          <c:cat>
            <c:strRef>
              <c:f>Sheet1!$A$2:$A$5</c:f>
              <c:strCache>
                <c:ptCount val="4"/>
                <c:pt idx="0">
                  <c:v>一般公共服务支出</c:v>
                </c:pt>
                <c:pt idx="1">
                  <c:v>社会保障和就业支出</c:v>
                </c:pt>
                <c:pt idx="2">
                  <c:v>农林水支出</c:v>
                </c:pt>
                <c:pt idx="3">
                  <c:v>住房保障支出</c:v>
                </c:pt>
              </c:strCache>
            </c:strRef>
          </c:cat>
          <c:val>
            <c:numRef>
              <c:f>Sheet1!$B$2:$B$5</c:f>
              <c:numCache>
                <c:formatCode>General</c:formatCode>
                <c:ptCount val="4"/>
                <c:pt idx="0">
                  <c:v>35.24</c:v>
                </c:pt>
                <c:pt idx="1">
                  <c:v>403.83</c:v>
                </c:pt>
                <c:pt idx="2">
                  <c:v>1962.26</c:v>
                </c:pt>
                <c:pt idx="3">
                  <c:v>346.27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Sheet1!$A$2:$A$3</c:f>
              <c:strCache>
                <c:ptCount val="2"/>
                <c:pt idx="0">
                  <c:v>支出</c:v>
                </c:pt>
                <c:pt idx="1">
                  <c:v>收入</c:v>
                </c:pt>
              </c:strCache>
            </c:strRef>
          </c:cat>
          <c:val>
            <c:numRef>
              <c:f>Sheet1!$B$2:$B$3</c:f>
              <c:numCache>
                <c:formatCode>General</c:formatCode>
                <c:ptCount val="2"/>
                <c:pt idx="0">
                  <c:v>3350.08</c:v>
                </c:pt>
                <c:pt idx="1">
                  <c:v>3350.08</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Sheet1!$A$2:$A$3</c:f>
              <c:strCache>
                <c:ptCount val="2"/>
                <c:pt idx="0">
                  <c:v>支出</c:v>
                </c:pt>
                <c:pt idx="1">
                  <c:v>收入</c:v>
                </c:pt>
              </c:strCache>
            </c:strRef>
          </c:cat>
          <c:val>
            <c:numRef>
              <c:f>Sheet1!$C$2:$C$3</c:f>
              <c:numCache>
                <c:formatCode>General</c:formatCode>
                <c:ptCount val="2"/>
                <c:pt idx="0">
                  <c:v>3901.69</c:v>
                </c:pt>
                <c:pt idx="1">
                  <c:v>3901.69</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一般公共预算支出情况</a:t>
            </a:r>
            <a:endParaRPr lang="en-US" sz="1100"/>
          </a:p>
        </c:rich>
      </c:tx>
      <c:layout/>
      <c:overlay val="0"/>
      <c:spPr>
        <a:noFill/>
        <a:ln>
          <a:noFill/>
        </a:ln>
        <a:effectLst/>
      </c:sp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上年</c:v>
                </c:pt>
              </c:strCache>
            </c:strRef>
          </c:cat>
          <c:val>
            <c:numRef>
              <c:f>Sheet1!$B$2</c:f>
              <c:numCache>
                <c:formatCode>General</c:formatCode>
                <c:ptCount val="1"/>
                <c:pt idx="0">
                  <c:v>3756.88</c:v>
                </c:pt>
              </c:numCache>
            </c:numRef>
          </c:val>
        </c:ser>
        <c:ser>
          <c:idx val="1"/>
          <c:order val="1"/>
          <c:tx>
            <c:strRef>
              <c:f>Sheet1!$C$1</c:f>
              <c:strCache>
                <c:ptCount val="1"/>
                <c:pt idx="0">
                  <c:v>结转下年支出</c:v>
                </c:pt>
              </c:strCache>
            </c:strRef>
          </c:tx>
          <c:invertIfNegative val="0"/>
          <c:dLbls>
            <c:delete val="1"/>
          </c:dLbls>
          <c:cat>
            <c:strRef>
              <c:f>Sheet1!$A$2</c:f>
              <c:strCache>
                <c:ptCount val="1"/>
                <c:pt idx="0">
                  <c:v>上年</c:v>
                </c:pt>
              </c:strCache>
            </c:strRef>
          </c:cat>
          <c:val>
            <c:numRef>
              <c:f>Sheet1!$C$2</c:f>
              <c:numCache>
                <c:formatCode>General</c:formatCode>
                <c:ptCount val="1"/>
                <c:pt idx="0">
                  <c:v>0</c:v>
                </c:pt>
              </c:numCache>
            </c:numRef>
          </c:val>
        </c:ser>
        <c:ser>
          <c:idx val="2"/>
          <c:order val="2"/>
          <c:tx>
            <c:strRef>
              <c:f>Sheet1!$D$1</c:f>
              <c:strCache>
                <c:ptCount val="1"/>
                <c:pt idx="0">
                  <c:v>项目支出</c:v>
                </c:pt>
              </c:strCache>
            </c:strRef>
          </c:tx>
          <c:invertIfNegative val="0"/>
          <c:dLbls>
            <c:delete val="1"/>
          </c:dLbls>
          <c:cat>
            <c:strRef>
              <c:f>Sheet1!$A$2</c:f>
              <c:strCache>
                <c:ptCount val="1"/>
                <c:pt idx="0">
                  <c:v>上年</c:v>
                </c:pt>
              </c:strCache>
            </c:strRef>
          </c:cat>
          <c:val>
            <c:numRef>
              <c:f>Sheet1!$D$2</c:f>
              <c:numCache>
                <c:formatCode>General</c:formatCode>
                <c:ptCount val="1"/>
                <c:pt idx="0">
                  <c:v>144.81</c:v>
                </c:pt>
              </c:numCache>
            </c:numRef>
          </c:val>
        </c:ser>
        <c:ser>
          <c:idx val="3"/>
          <c:order val="3"/>
          <c:tx>
            <c:strRef>
              <c:f>Sheet1!$E$1</c:f>
              <c:strCache>
                <c:ptCount val="1"/>
                <c:pt idx="0">
                  <c:v>公用经费</c:v>
                </c:pt>
              </c:strCache>
            </c:strRef>
          </c:tx>
          <c:invertIfNegative val="0"/>
          <c:dLbls>
            <c:delete val="1"/>
          </c:dLbls>
          <c:cat>
            <c:strRef>
              <c:f>Sheet1!$A$2</c:f>
              <c:strCache>
                <c:ptCount val="1"/>
                <c:pt idx="0">
                  <c:v>上年</c:v>
                </c:pt>
              </c:strCache>
            </c:strRef>
          </c:cat>
          <c:val>
            <c:numRef>
              <c:f>Sheet1!$E$2</c:f>
              <c:numCache>
                <c:formatCode>General</c:formatCode>
                <c:ptCount val="1"/>
                <c:pt idx="0">
                  <c:v>178.18</c:v>
                </c:pt>
              </c:numCache>
            </c:numRef>
          </c:val>
        </c:ser>
        <c:ser>
          <c:idx val="4"/>
          <c:order val="4"/>
          <c:tx>
            <c:strRef>
              <c:f>Sheet1!$F$1</c:f>
              <c:strCache>
                <c:ptCount val="1"/>
                <c:pt idx="0">
                  <c:v>人员经费</c:v>
                </c:pt>
              </c:strCache>
            </c:strRef>
          </c:tx>
          <c:invertIfNegative val="0"/>
          <c:dLbls>
            <c:delete val="1"/>
          </c:dLbls>
          <c:cat>
            <c:strRef>
              <c:f>Sheet1!$A$2</c:f>
              <c:strCache>
                <c:ptCount val="1"/>
                <c:pt idx="0">
                  <c:v>上年</c:v>
                </c:pt>
              </c:strCache>
            </c:strRef>
          </c:cat>
          <c:val>
            <c:numRef>
              <c:f>Sheet1!$F$2</c:f>
              <c:numCache>
                <c:formatCode>General</c:formatCode>
                <c:ptCount val="1"/>
                <c:pt idx="0">
                  <c:v>3578.71</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一般公共预算基本支出情况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Pt>
            <c:idx val="1"/>
            <c:bubble3D val="0"/>
          </c:dPt>
          <c:dLbls>
            <c:delete val="1"/>
          </c:dLbls>
          <c:cat>
            <c:strRef>
              <c:f>Sheet1!$A$2:$A$3</c:f>
              <c:strCache>
                <c:ptCount val="2"/>
                <c:pt idx="0">
                  <c:v>人员经费</c:v>
                </c:pt>
                <c:pt idx="1">
                  <c:v>公用经费</c:v>
                </c:pt>
              </c:strCache>
            </c:strRef>
          </c:cat>
          <c:val>
            <c:numRef>
              <c:f>Sheet1!$B$2:$B$3</c:f>
              <c:numCache>
                <c:formatCode>General</c:formatCode>
                <c:ptCount val="2"/>
                <c:pt idx="0">
                  <c:v>3578.71</c:v>
                </c:pt>
                <c:pt idx="1">
                  <c:v>178.18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公务接待费预算</c:v>
                </c:pt>
                <c:pt idx="1">
                  <c:v>因公出国（境）经费预算</c:v>
                </c:pt>
                <c:pt idx="2">
                  <c:v>公务用车购置及运行费预算</c:v>
                </c:pt>
              </c:strCache>
            </c:strRef>
          </c:cat>
          <c:val>
            <c:numRef>
              <c:f>Sheet1!$B$2:$B$4</c:f>
              <c:numCache>
                <c:formatCode>General</c:formatCode>
                <c:ptCount val="3"/>
                <c:pt idx="0">
                  <c:v>5.3</c:v>
                </c:pt>
                <c:pt idx="1">
                  <c:v>0</c:v>
                </c:pt>
                <c:pt idx="2">
                  <c:v>24.35</c:v>
                </c:pt>
              </c:numCache>
            </c:numRef>
          </c:val>
        </c:ser>
        <c:ser>
          <c:idx val="1"/>
          <c:order val="1"/>
          <c:tx>
            <c:strRef>
              <c:f>Sheet1!$C$1</c:f>
              <c:strCache>
                <c:ptCount val="1"/>
                <c:pt idx="0">
                  <c:v>当年</c:v>
                </c:pt>
              </c:strCache>
            </c:strRef>
          </c:tx>
          <c:invertIfNegative val="0"/>
          <c:dLbls>
            <c:delete val="1"/>
          </c:dLbls>
          <c:cat>
            <c:strRef>
              <c:f>Sheet1!$A$2:$A$4</c:f>
              <c:strCache>
                <c:ptCount val="3"/>
                <c:pt idx="0">
                  <c:v>公务接待费预算</c:v>
                </c:pt>
                <c:pt idx="1">
                  <c:v>因公出国（境）经费预算</c:v>
                </c:pt>
                <c:pt idx="2">
                  <c:v>公务用车购置及运行费预算</c:v>
                </c:pt>
              </c:strCache>
            </c:strRef>
          </c:cat>
          <c:val>
            <c:numRef>
              <c:f>Sheet1!$C$2:$C$4</c:f>
              <c:numCache>
                <c:formatCode>General</c:formatCode>
                <c:ptCount val="3"/>
                <c:pt idx="0">
                  <c:v>4.8</c:v>
                </c:pt>
                <c:pt idx="1">
                  <c:v>0</c:v>
                </c:pt>
                <c:pt idx="2">
                  <c:v>21.85</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88404FF73E4A4D02B71DC44154D3F401_13</vt:lpwstr>
  </property>
</Properties>
</file>

<file path=customXml/item3.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10</TotalTime>
  <ScaleCrop>false</ScaleCrop>
  <LinksUpToDate>false</LinksUpToDate>
  <CharactersWithSpaces>11333</CharactersWithSpaces>
  <Application>WPS Office_12.1.0.16120_F1E327BC-269C-435d-A152-05C5408002CA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C D D</cp:lastModifiedBy>
  <dcterms:modified xsi:type="dcterms:W3CDTF">2024-02-27T09:38:28Z</dcterms:modified>
  <cp:revision>3</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3886d4-8a2f-473c-b703-1aa0b71483e6}">
  <ds:schemaRefs/>
</ds:datastoreItem>
</file>

<file path=customXml/itemProps3.xml><?xml version="1.0" encoding="utf-8"?>
<ds:datastoreItem xmlns:ds="http://schemas.openxmlformats.org/officeDocument/2006/customXml" ds:itemID="{279ff7f8-dcc3-454c-8467-3190a335597d}">
  <ds:schemaRefs/>
</ds:datastoreItem>
</file>

<file path=customXml/itemProps4.xml><?xml version="1.0" encoding="utf-8"?>
<ds:datastoreItem xmlns:ds="http://schemas.openxmlformats.org/officeDocument/2006/customXml" ds:itemID="{3ada85a5-f617-4975-97d3-3289f211ba53}">
  <ds:schemaRefs/>
</ds:datastoreItem>
</file>

<file path=docProps/app.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12</TotalTime>
  <ScaleCrop>false</ScaleCrop>
  <LinksUpToDate>false</LinksUpToDate>
  <CharactersWithSpaces>11333</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2023-02-07T06:11:00Z</dcterms:created>
  <dc:creator>蔡冬冬</dc:creator>
  <cp:lastModifiedBy>Administrator</cp:lastModifiedBy>
  <dcterms:modified xsi:type="dcterms:W3CDTF">2024-02-29T01:47:50Z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DA669D1E3C3E406FB6B79B3B12ED3B43</vt:lpwstr>
  </property>
</Properties>
</file>