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环江毛南族自治县审计局2022年度部门决算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环江毛南族自治县审计局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环江毛南族自治县审计局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环江毛南族自治县审计局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环江毛南族自治县审计局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主管全县审计工作。负责对国家财政收支和法律法规规定属于审计监督范围的财政财务收支的真实、合法和效益进行审计监督，维护国家财政经济秩序，提高财政资金使用效益，促进廉政建设，保障国民经济和社会健康发展。</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我部门没有下属单位，按照部门决算编报要求，单独编制本部门决算。</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eastAsia="zh-CN"/>
        </w:rPr>
        <w:t>（一）</w:t>
      </w:r>
      <w:r>
        <w:rPr>
          <w:rFonts w:hint="eastAsia" w:ascii="仿宋" w:hAnsi="仿宋" w:eastAsia="仿宋" w:cs="仿宋"/>
          <w:color w:val="auto"/>
          <w:sz w:val="32"/>
          <w:szCs w:val="32"/>
        </w:rPr>
        <w:t>审计局内设四个机构、一个分局和一个中心，即办公室、综合股、财政金融审计股、行政事业审计股、经济责任分局和政府投资审计中心（二者属单位二层机构）。</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（二）人员构成情况。</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人员编制总数为16人，其中行政编制9人，参公编制7人。实有财政供养人数1</w:t>
      </w: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rPr>
        <w:t>人，其中行政在职</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人，参公在职5人，退休人员</w:t>
      </w: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人；编外在职实有人数5人，其中：政府购买人员</w:t>
      </w: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人，外聘人员</w:t>
      </w: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人。</w:t>
      </w: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920" w:firstLineChars="6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环江毛南族自治县审计局</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广西河池市环江毛南族自治县审计局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338.25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267.95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338.25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338.25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338.25</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338.25</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广西河池市环江毛南族自治县审计局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338.25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338.25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267.95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267.95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审计事务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265.23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265.23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审计业务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审计管理</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6.31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6.31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信息化建设</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2010850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其他审计事务支出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广西河池市环江毛南族自治县审计局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338.25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233.99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104.27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267.95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163.68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104.27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审计事务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265.23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160.96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104.27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行政运行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160.96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审计业务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76.48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审计管理</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6.31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6.31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信息化建设</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14.25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2010850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事业运行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2010899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其他审计事务支出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2.42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22.73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22.73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22.73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16.07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31.50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广西河池市环江毛南族自治县审计局</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338.25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267.95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267.95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22.73</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22.73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16.07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16.07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31.50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31.50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338.25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338.25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338.25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338.25</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338.25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338.25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广西河池市环江毛南族自治县审计局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338.25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233.99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104.27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267.95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163.68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审计事务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265.23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2010801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行政运行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160.96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2010804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审计业务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76.48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审计管理</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6.31</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2010806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信息化建设</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14.25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2010850</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事业运行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2010899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其他审计事务支出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22.73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22.73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22.73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31.50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31.50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广西河池市环江毛南族自治县审计局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205.62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23.50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53.77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5.72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47.18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2.50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19.74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1.87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8.00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0.25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16.07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26.46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4.86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10.43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210.49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23.50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广西河池市环江毛南族自治县审计局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广西河池市环江毛南族自治县审计局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广西河池市环江毛南族自治县审计局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1.42</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1.42</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1.42</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1.42</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环江毛南族自治县审计局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lang w:val="en-US" w:eastAsia="zh-CN"/>
        </w:rPr>
        <w:t>338.25</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20.9</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5.82</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lang w:val="en-US" w:eastAsia="zh-CN"/>
        </w:rPr>
        <w:t>338.25</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lang w:val="en-US" w:eastAsia="zh-CN"/>
        </w:rPr>
        <w:t>338.25</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19.95</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5.57</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主要原因：一是两人退休，工资开支减少；二是</w:t>
      </w:r>
      <w:r>
        <w:rPr>
          <w:rFonts w:hint="eastAsia" w:ascii="仿宋" w:hAnsi="仿宋" w:eastAsia="仿宋" w:cs="仿宋"/>
          <w:color w:val="auto"/>
          <w:kern w:val="2"/>
          <w:sz w:val="32"/>
          <w:szCs w:val="32"/>
          <w:highlight w:val="none"/>
          <w:lang w:val="en-US" w:eastAsia="zh-CN" w:bidi="ar"/>
        </w:rPr>
        <w:t>委托审计项目减少，所需费用也减少。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val="en-US" w:eastAsia="zh-CN"/>
        </w:rPr>
        <w:t>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sz w:val="32"/>
          <w:u w:color="auto"/>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sz w:val="32"/>
          <w:u w:color="auto"/>
          <w:lang w:eastAsia="zh-CN"/>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w:t>
      </w:r>
      <w:r>
        <w:rPr>
          <w:rFonts w:hint="eastAsia" w:ascii="仿宋" w:hAnsi="仿宋" w:eastAsia="仿宋" w:cs="仿宋"/>
          <w:kern w:val="2"/>
          <w:sz w:val="32"/>
          <w:szCs w:val="32"/>
          <w:highlight w:val="none"/>
          <w:lang w:val="en-US" w:eastAsia="zh-CN" w:bidi="ar"/>
        </w:rPr>
        <w:t>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增长0.00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仿宋" w:hAnsi="仿宋" w:eastAsia="仿宋" w:cs="仿宋"/>
          <w:sz w:val="32"/>
          <w:szCs w:val="32"/>
          <w:highlight w:val="none"/>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lang w:val="en-US" w:eastAsia="zh-CN"/>
        </w:rPr>
        <w:t>增长0.00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2"/>
          <w:szCs w:val="32"/>
          <w:highlight w:val="none"/>
          <w:lang w:val="en-US" w:eastAsia="zh-CN" w:bidi="ar"/>
        </w:rPr>
        <w:t>项目已在本年执行完毕，不需要结转至下年继续执行。</w:t>
      </w: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lang w:val="en-US" w:eastAsia="zh-CN"/>
        </w:rPr>
        <w:t>338.25</w:t>
      </w:r>
      <w:r>
        <w:rPr>
          <w:rFonts w:hint="eastAsia" w:ascii="仿宋" w:hAnsi="仿宋" w:eastAsia="仿宋" w:cs="仿宋"/>
          <w:sz w:val="32"/>
          <w:szCs w:val="32"/>
          <w:highlight w:val="none"/>
        </w:rPr>
        <w:t>万元，其中本年支出</w:t>
      </w:r>
      <w:r>
        <w:rPr>
          <w:rFonts w:hint="eastAsia" w:ascii="仿宋" w:hAnsi="仿宋" w:eastAsia="仿宋" w:cs="仿宋"/>
          <w:sz w:val="32"/>
          <w:u w:color="auto"/>
          <w:lang w:val="en-US" w:eastAsia="zh-CN"/>
        </w:rPr>
        <w:t>338.25</w:t>
      </w:r>
      <w:r>
        <w:rPr>
          <w:rFonts w:hint="eastAsia" w:ascii="仿宋" w:hAnsi="仿宋" w:eastAsia="仿宋" w:cs="仿宋"/>
          <w:sz w:val="32"/>
          <w:szCs w:val="32"/>
          <w:highlight w:val="none"/>
        </w:rPr>
        <w:t>万元，较2021年度决算数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20.9</w:t>
      </w:r>
      <w:r>
        <w:rPr>
          <w:rFonts w:hint="eastAsia" w:ascii="仿宋" w:hAnsi="仿宋" w:eastAsia="仿宋" w:cs="仿宋"/>
          <w:sz w:val="32"/>
          <w:szCs w:val="32"/>
          <w:highlight w:val="none"/>
        </w:rPr>
        <w:t>万元，</w:t>
      </w:r>
      <w:r>
        <w:rPr>
          <w:rFonts w:ascii="仿宋" w:hAnsi="仿宋" w:eastAsia="仿宋" w:cs="仿宋"/>
          <w:sz w:val="32"/>
          <w:u w:color="auto"/>
        </w:rPr>
        <w:t>下降</w:t>
      </w:r>
      <w:r>
        <w:rPr>
          <w:rFonts w:hint="eastAsia" w:ascii="仿宋" w:hAnsi="仿宋" w:eastAsia="仿宋" w:cs="仿宋"/>
          <w:sz w:val="32"/>
          <w:u w:color="auto"/>
          <w:lang w:val="en-US" w:eastAsia="zh-CN"/>
        </w:rPr>
        <w:t>5.82</w:t>
      </w:r>
      <w:r>
        <w:rPr>
          <w:rFonts w:ascii="仿宋" w:hAnsi="仿宋" w:eastAsia="仿宋" w:cs="仿宋"/>
          <w:sz w:val="32"/>
          <w:u w:color="auto"/>
        </w:rPr>
        <w:t>%</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val="en-US" w:eastAsia="zh-CN" w:bidi="ar"/>
        </w:rPr>
        <w:t>一般公共服务支出（201类）267.95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职工工资、办公费用及审计业务经费</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sz w:val="32"/>
          <w:szCs w:val="32"/>
          <w:highlight w:val="none"/>
          <w:lang w:val="en-US" w:eastAsia="zh-CN" w:bidi="ar"/>
        </w:rPr>
        <w:t>3.24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w:t>
      </w:r>
      <w:r>
        <w:rPr>
          <w:rFonts w:hint="eastAsia" w:ascii="仿宋" w:hAnsi="仿宋" w:eastAsia="仿宋" w:cs="仿宋"/>
          <w:sz w:val="32"/>
          <w:szCs w:val="32"/>
          <w:highlight w:val="none"/>
          <w:lang w:val="en-US" w:eastAsia="zh-CN" w:bidi="ar"/>
        </w:rPr>
        <w:t>1.19</w:t>
      </w:r>
      <w:r>
        <w:rPr>
          <w:rFonts w:hint="eastAsia" w:ascii="仿宋" w:hAnsi="仿宋" w:eastAsia="仿宋" w:cs="仿宋"/>
          <w:sz w:val="32"/>
          <w:szCs w:val="32"/>
          <w:highlight w:val="none"/>
          <w:lang w:bidi="ar"/>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主要原因是：一是两人退休，工资开支减少；二是</w:t>
      </w:r>
      <w:r>
        <w:rPr>
          <w:rFonts w:hint="eastAsia" w:ascii="仿宋" w:hAnsi="仿宋" w:eastAsia="仿宋" w:cs="仿宋"/>
          <w:color w:val="auto"/>
          <w:kern w:val="2"/>
          <w:sz w:val="32"/>
          <w:szCs w:val="32"/>
          <w:highlight w:val="none"/>
          <w:lang w:val="en-US" w:eastAsia="zh-CN" w:bidi="ar"/>
        </w:rPr>
        <w:t>委托审计项目减少，所需费用也减少。</w:t>
      </w:r>
    </w:p>
    <w:p>
      <w:pPr>
        <w:keepNext w:val="0"/>
        <w:keepLines w:val="0"/>
        <w:widowControl w:val="0"/>
        <w:suppressLineNumbers w:val="0"/>
        <w:spacing w:before="0" w:beforeAutospacing="0" w:after="0" w:afterAutospacing="0"/>
        <w:ind w:left="0" w:right="0" w:firstLine="640" w:firstLineChars="200"/>
        <w:jc w:val="left"/>
        <w:rPr>
          <w:rFonts w:hint="default" w:ascii="仿宋" w:hAnsi="仿宋" w:eastAsia="仿宋" w:cs="仿宋"/>
          <w:color w:val="auto"/>
          <w:sz w:val="32"/>
          <w:szCs w:val="32"/>
          <w:highlight w:val="none"/>
          <w:lang w:val="en-US"/>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val="en-US" w:eastAsia="zh-CN" w:bidi="ar"/>
        </w:rPr>
        <w:t>208类</w:t>
      </w:r>
      <w:r>
        <w:rPr>
          <w:rFonts w:hint="eastAsia" w:ascii="仿宋" w:hAnsi="仿宋" w:eastAsia="仿宋" w:cs="仿宋"/>
          <w:sz w:val="32"/>
          <w:szCs w:val="32"/>
          <w:highlight w:val="none"/>
          <w:lang w:eastAsia="zh-CN" w:bidi="ar"/>
        </w:rPr>
        <w:t>）</w:t>
      </w:r>
      <w:r>
        <w:rPr>
          <w:rFonts w:hint="eastAsia" w:ascii="仿宋" w:hAnsi="仿宋" w:eastAsia="仿宋" w:cs="仿宋"/>
          <w:sz w:val="32"/>
          <w:szCs w:val="32"/>
          <w:highlight w:val="none"/>
          <w:lang w:val="en-US" w:eastAsia="zh-CN"/>
        </w:rPr>
        <w:t>22.73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000000" w:themeColor="text1"/>
          <w:sz w:val="32"/>
          <w:szCs w:val="32"/>
          <w:highlight w:val="none"/>
          <w:lang w:val="en-US" w:eastAsia="zh-CN"/>
          <w14:textFill>
            <w14:solidFill>
              <w14:schemeClr w14:val="tx1"/>
            </w14:solidFill>
          </w14:textFill>
        </w:rPr>
        <w:t>缴纳</w:t>
      </w:r>
      <w:r>
        <w:rPr>
          <w:rFonts w:hint="eastAsia" w:ascii="仿宋" w:hAnsi="仿宋" w:eastAsia="仿宋" w:cs="仿宋"/>
          <w:color w:val="auto"/>
          <w:sz w:val="32"/>
          <w:szCs w:val="32"/>
          <w:highlight w:val="none"/>
          <w:lang w:val="en-US" w:eastAsia="zh-CN"/>
        </w:rPr>
        <w:t>职工社保费用</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增加1.27</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增长5.92</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主要原因是：社保基数调增，应缴数额增多。</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color w:val="auto"/>
          <w:sz w:val="32"/>
          <w:szCs w:val="32"/>
          <w:highlight w:val="none"/>
          <w:lang w:val="en-US" w:eastAsia="zh-CN"/>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lang w:eastAsia="zh-CN" w:bidi="ar"/>
        </w:rPr>
        <w:t>（</w:t>
      </w:r>
      <w:r>
        <w:rPr>
          <w:rFonts w:hint="eastAsia" w:ascii="仿宋" w:hAnsi="仿宋" w:eastAsia="仿宋" w:cs="仿宋"/>
          <w:color w:val="auto"/>
          <w:sz w:val="32"/>
          <w:szCs w:val="32"/>
          <w:highlight w:val="none"/>
          <w:lang w:val="en-US" w:eastAsia="zh-CN" w:bidi="ar"/>
        </w:rPr>
        <w:t>221类</w:t>
      </w:r>
      <w:r>
        <w:rPr>
          <w:rFonts w:hint="eastAsia" w:ascii="仿宋" w:hAnsi="仿宋" w:eastAsia="仿宋" w:cs="仿宋"/>
          <w:color w:val="auto"/>
          <w:sz w:val="32"/>
          <w:szCs w:val="32"/>
          <w:highlight w:val="none"/>
          <w:lang w:eastAsia="zh-CN" w:bidi="ar"/>
        </w:rPr>
        <w:t>）</w:t>
      </w:r>
      <w:r>
        <w:rPr>
          <w:rFonts w:hint="eastAsia" w:ascii="仿宋" w:hAnsi="仿宋" w:eastAsia="仿宋" w:cs="仿宋"/>
          <w:color w:val="auto"/>
          <w:sz w:val="32"/>
          <w:szCs w:val="32"/>
          <w:highlight w:val="none"/>
          <w:lang w:val="en-US" w:eastAsia="zh-CN" w:bidi="ar"/>
        </w:rPr>
        <w:t>16.07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缴纳职工住房公积金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w:t>
      </w:r>
      <w:r>
        <w:rPr>
          <w:rFonts w:hint="eastAsia" w:ascii="仿宋" w:hAnsi="仿宋" w:eastAsia="仿宋" w:cs="仿宋"/>
          <w:color w:val="auto"/>
          <w:sz w:val="32"/>
          <w:szCs w:val="32"/>
          <w:highlight w:val="none"/>
          <w:lang w:val="en-US" w:eastAsia="zh-CN" w:bidi="ar"/>
        </w:rPr>
        <w:t>0.03</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0.19</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主要原因是：缴费基数变化引起的差异。</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4.其他支出（229类）31.5万元：主要用于奖励性补贴发放。较2021年度决算数减少18.91万元，下降37.51%，主要原因是：一是按“过紧日子”要求缩减开支，二是自治县财政资金紧张，部分款项未能支付。</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：本年度无结余分配。</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0.00</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主要原因是：本年度无</w:t>
      </w:r>
      <w:r>
        <w:rPr>
          <w:rFonts w:hint="eastAsia" w:ascii="仿宋" w:hAnsi="仿宋" w:eastAsia="仿宋" w:cs="仿宋"/>
          <w:color w:val="auto"/>
          <w:sz w:val="32"/>
          <w:szCs w:val="32"/>
          <w:highlight w:val="none"/>
        </w:rPr>
        <w:t>年末结转和结余</w:t>
      </w:r>
      <w:r>
        <w:rPr>
          <w:rFonts w:hint="eastAsia" w:ascii="仿宋" w:hAnsi="仿宋" w:eastAsia="仿宋" w:cs="仿宋"/>
          <w:color w:val="auto"/>
          <w:sz w:val="32"/>
          <w:szCs w:val="32"/>
          <w:highlight w:val="none"/>
          <w:lang w:val="en-US" w:eastAsia="zh-CN"/>
        </w:rPr>
        <w:t>资金</w:t>
      </w:r>
      <w:r>
        <w:rPr>
          <w:rFonts w:hint="eastAsia" w:ascii="仿宋" w:hAnsi="仿宋" w:eastAsia="仿宋" w:cs="仿宋"/>
          <w:color w:val="auto"/>
          <w:kern w:val="2"/>
          <w:sz w:val="32"/>
          <w:szCs w:val="32"/>
          <w:highlight w:val="none"/>
          <w:lang w:val="en-US" w:eastAsia="zh-CN" w:bidi="ar"/>
        </w:rPr>
        <w:t>。</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环江毛南族自治县审计局2022年度一般公共预算财政拨款支出</w:t>
      </w:r>
      <w:r>
        <w:rPr>
          <w:rFonts w:ascii="仿宋" w:hAnsi="仿宋" w:eastAsia="仿宋" w:cs="仿宋"/>
          <w:sz w:val="32"/>
          <w:u w:color="auto"/>
        </w:rPr>
        <w:t>338.25</w:t>
      </w:r>
      <w:r>
        <w:rPr>
          <w:rFonts w:hint="eastAsia" w:ascii="仿宋" w:hAnsi="仿宋" w:eastAsia="仿宋" w:cs="仿宋"/>
          <w:sz w:val="32"/>
          <w:szCs w:val="32"/>
          <w:highlight w:val="none"/>
        </w:rPr>
        <w:t>万元，较2021年度决算数</w:t>
      </w:r>
      <w:r>
        <w:rPr>
          <w:rFonts w:ascii="仿宋" w:hAnsi="仿宋" w:eastAsia="仿宋" w:cs="仿宋"/>
          <w:sz w:val="32"/>
          <w:u w:color="auto"/>
        </w:rPr>
        <w:t>减少20.90</w:t>
      </w:r>
      <w:r>
        <w:rPr>
          <w:rFonts w:hint="eastAsia" w:ascii="仿宋" w:hAnsi="仿宋" w:eastAsia="仿宋" w:cs="仿宋"/>
          <w:sz w:val="32"/>
          <w:szCs w:val="32"/>
          <w:highlight w:val="none"/>
        </w:rPr>
        <w:t>万元，</w:t>
      </w:r>
      <w:r>
        <w:rPr>
          <w:rFonts w:ascii="仿宋" w:hAnsi="仿宋" w:eastAsia="仿宋" w:cs="仿宋"/>
          <w:sz w:val="32"/>
          <w:u w:color="auto"/>
        </w:rPr>
        <w:t>下降5.82%</w:t>
      </w:r>
      <w:r>
        <w:rPr>
          <w:rFonts w:hint="eastAsia" w:ascii="仿宋" w:hAnsi="仿宋" w:eastAsia="仿宋" w:cs="仿宋"/>
          <w:sz w:val="32"/>
          <w:szCs w:val="32"/>
          <w:highlight w:val="none"/>
        </w:rPr>
        <w:t>。其中：基本支出</w:t>
      </w:r>
      <w:r>
        <w:rPr>
          <w:rFonts w:ascii="仿宋" w:hAnsi="仿宋" w:eastAsia="仿宋" w:cs="仿宋"/>
          <w:sz w:val="32"/>
          <w:u w:color="auto"/>
        </w:rPr>
        <w:t>233.99</w:t>
      </w:r>
      <w:r>
        <w:rPr>
          <w:rFonts w:hint="eastAsia" w:ascii="仿宋" w:hAnsi="仿宋" w:eastAsia="仿宋" w:cs="仿宋"/>
          <w:sz w:val="32"/>
          <w:szCs w:val="32"/>
          <w:highlight w:val="none"/>
        </w:rPr>
        <w:t>万元，项目支出</w:t>
      </w:r>
      <w:r>
        <w:rPr>
          <w:rFonts w:ascii="仿宋" w:hAnsi="仿宋" w:eastAsia="仿宋" w:cs="仿宋"/>
          <w:sz w:val="32"/>
          <w:u w:color="auto"/>
        </w:rPr>
        <w:t>104.27</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rPr>
        <w:t>环江毛南族自治县审计局2022 年度一般公共预算财政拨款支出年初预算为</w:t>
      </w:r>
      <w:r>
        <w:rPr>
          <w:rFonts w:ascii="仿宋" w:hAnsi="仿宋" w:eastAsia="仿宋" w:cs="仿宋"/>
          <w:sz w:val="32"/>
          <w:u w:color="auto"/>
        </w:rPr>
        <w:t>319.41</w:t>
      </w:r>
      <w:r>
        <w:rPr>
          <w:rFonts w:hint="eastAsia" w:ascii="仿宋" w:hAnsi="仿宋" w:eastAsia="仿宋" w:cs="仿宋"/>
          <w:sz w:val="32"/>
          <w:szCs w:val="32"/>
          <w:highlight w:val="none"/>
        </w:rPr>
        <w:t>万元，支出决算为</w:t>
      </w:r>
      <w:r>
        <w:rPr>
          <w:rFonts w:ascii="仿宋" w:hAnsi="仿宋" w:eastAsia="仿宋" w:cs="仿宋"/>
          <w:sz w:val="32"/>
          <w:u w:color="auto"/>
        </w:rPr>
        <w:t>338.25</w:t>
      </w:r>
      <w:r>
        <w:rPr>
          <w:rFonts w:hint="eastAsia" w:ascii="仿宋" w:hAnsi="仿宋" w:eastAsia="仿宋" w:cs="仿宋"/>
          <w:sz w:val="32"/>
          <w:szCs w:val="32"/>
          <w:highlight w:val="none"/>
        </w:rPr>
        <w:t>万元，完成年初预算的</w:t>
      </w:r>
      <w:r>
        <w:rPr>
          <w:rFonts w:ascii="仿宋" w:hAnsi="仿宋" w:eastAsia="仿宋" w:cs="仿宋"/>
          <w:sz w:val="32"/>
          <w:u w:color="auto"/>
        </w:rPr>
        <w:t>105.90%</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279.84</w:t>
      </w:r>
      <w:r>
        <w:rPr>
          <w:rFonts w:hint="eastAsia" w:ascii="仿宋" w:hAnsi="仿宋" w:eastAsia="仿宋"/>
          <w:sz w:val="32"/>
          <w:szCs w:val="32"/>
          <w:highlight w:val="none"/>
        </w:rPr>
        <w:t>万元，支出决算为</w:t>
      </w:r>
      <w:r>
        <w:rPr>
          <w:rFonts w:ascii="仿宋" w:hAnsi="仿宋" w:eastAsia="仿宋"/>
          <w:sz w:val="32"/>
          <w:szCs w:val="32"/>
          <w:highlight w:val="none"/>
        </w:rPr>
        <w:t>267.95</w:t>
      </w:r>
      <w:r>
        <w:rPr>
          <w:rFonts w:hint="eastAsia" w:ascii="仿宋" w:hAnsi="仿宋" w:eastAsia="仿宋"/>
          <w:sz w:val="32"/>
          <w:szCs w:val="32"/>
          <w:highlight w:val="none"/>
        </w:rPr>
        <w:t>万元，完成年初预算的</w:t>
      </w:r>
      <w:r>
        <w:rPr>
          <w:rFonts w:ascii="仿宋" w:hAnsi="仿宋" w:eastAsia="仿宋"/>
          <w:sz w:val="32"/>
          <w:szCs w:val="32"/>
          <w:highlight w:val="none"/>
        </w:rPr>
        <w:t>95.75%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sz w:val="32"/>
          <w:szCs w:val="32"/>
          <w:highlight w:val="none"/>
          <w:lang w:val="en-US" w:eastAsia="zh-CN"/>
        </w:rPr>
        <w:t>一是有职工退休，工资支出减少；二是财政资金紧张部分资金暂未支付。</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2010801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行政运行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162.68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160.96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98.94%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职工工资等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职工退休，工资支出减少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2010804</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审计业务</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84.19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76.48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90.84%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水电等费用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财政资金紧张部分资金无法支付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2010805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审计管理</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6.40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6.31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98.59%</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职工差旅、培训等费用</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剩余少量指标无法支付大笔费用，等下年统一支付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2010806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信息化建设</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14.25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89.06%</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购买电脑、软件维护等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剩余少量指标无法支付大笔费用，等下年统一支付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2010850</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事业运行</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4.80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4.80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聘用保安工资</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已按预算数执行，无偏差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2010899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其他审计事务支出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3.04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2.42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79.61%</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用于乡村振兴、及清洁区卫生费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财政资金紧张部分资金无法支付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已按预算数执行，无偏差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279.84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267.95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职工工资、水电费等</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kern w:val="0"/>
                <w:sz w:val="18"/>
                <w:szCs w:val="18"/>
                <w:u w:val="none"/>
                <w:lang w:val="en-US" w:eastAsia="zh-CN" w:bidi="ar"/>
              </w:rPr>
              <w:t>工资支出减少、财政资金紧张部分资金无法支付等</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23.21</w:t>
      </w:r>
      <w:r>
        <w:rPr>
          <w:rFonts w:hint="eastAsia" w:ascii="仿宋" w:hAnsi="仿宋" w:eastAsia="仿宋"/>
          <w:sz w:val="32"/>
          <w:szCs w:val="32"/>
          <w:highlight w:val="none"/>
        </w:rPr>
        <w:t>万元，支出决算为</w:t>
      </w:r>
      <w:r>
        <w:rPr>
          <w:rFonts w:ascii="仿宋" w:hAnsi="仿宋" w:eastAsia="仿宋"/>
          <w:sz w:val="32"/>
          <w:szCs w:val="32"/>
          <w:highlight w:val="none"/>
        </w:rPr>
        <w:t>22.73</w:t>
      </w:r>
      <w:r>
        <w:rPr>
          <w:rFonts w:hint="eastAsia" w:ascii="仿宋" w:hAnsi="仿宋" w:eastAsia="仿宋"/>
          <w:sz w:val="32"/>
          <w:szCs w:val="32"/>
          <w:highlight w:val="none"/>
        </w:rPr>
        <w:t>万元，完成年初预算的</w:t>
      </w:r>
      <w:r>
        <w:rPr>
          <w:rFonts w:ascii="仿宋" w:hAnsi="仿宋" w:eastAsia="仿宋"/>
          <w:sz w:val="32"/>
          <w:szCs w:val="32"/>
          <w:highlight w:val="none"/>
        </w:rPr>
        <w:t>97.93%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缴费基数有所调整及有职工退休。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22.73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97.93%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缴费基数有所调整及有职工退休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23.21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22.73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职工基本养老保险缴费支出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缴费基数有所调整及有职工退休</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16.36</w:t>
      </w:r>
      <w:r>
        <w:rPr>
          <w:rFonts w:hint="eastAsia" w:ascii="仿宋" w:hAnsi="仿宋" w:eastAsia="仿宋"/>
          <w:sz w:val="32"/>
          <w:szCs w:val="32"/>
          <w:highlight w:val="none"/>
        </w:rPr>
        <w:t>万元，支出决算为</w:t>
      </w:r>
      <w:r>
        <w:rPr>
          <w:rFonts w:ascii="仿宋" w:hAnsi="仿宋" w:eastAsia="仿宋"/>
          <w:sz w:val="32"/>
          <w:szCs w:val="32"/>
          <w:highlight w:val="none"/>
        </w:rPr>
        <w:t>16.07</w:t>
      </w:r>
      <w:r>
        <w:rPr>
          <w:rFonts w:hint="eastAsia" w:ascii="仿宋" w:hAnsi="仿宋" w:eastAsia="仿宋"/>
          <w:sz w:val="32"/>
          <w:szCs w:val="32"/>
          <w:highlight w:val="none"/>
        </w:rPr>
        <w:t>万元，完成年初预算的</w:t>
      </w:r>
      <w:r>
        <w:rPr>
          <w:rFonts w:ascii="仿宋" w:hAnsi="仿宋" w:eastAsia="仿宋"/>
          <w:sz w:val="32"/>
          <w:szCs w:val="32"/>
          <w:highlight w:val="none"/>
        </w:rPr>
        <w:t>98.23%</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缴费基数有所调整及有职工退休。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16.36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98.23%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缴纳职工住房公积金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缴费基数有所调整及有职工退休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16.36</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16.07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缴纳职工住房公积金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left"/>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缴费基数有所调整及有职工退休</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748915"/>
            <wp:effectExtent l="4445" t="4445" r="16510" b="8890"/>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0.00</w:t>
      </w:r>
      <w:r>
        <w:rPr>
          <w:rFonts w:hint="eastAsia" w:ascii="仿宋" w:hAnsi="仿宋" w:eastAsia="仿宋"/>
          <w:sz w:val="32"/>
          <w:szCs w:val="32"/>
          <w:highlight w:val="none"/>
        </w:rPr>
        <w:t>万元，支出决算为</w:t>
      </w:r>
      <w:r>
        <w:rPr>
          <w:rFonts w:ascii="仿宋" w:hAnsi="仿宋" w:eastAsia="仿宋"/>
          <w:sz w:val="32"/>
          <w:szCs w:val="32"/>
          <w:highlight w:val="none"/>
        </w:rPr>
        <w:t>31.50</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olor w:val="auto"/>
          <w:sz w:val="32"/>
          <w:szCs w:val="32"/>
          <w:highlight w:val="none"/>
          <w:lang w:val="en-US" w:eastAsia="zh-CN"/>
        </w:rPr>
        <w:t>：</w:t>
      </w:r>
      <w:r>
        <w:rPr>
          <w:rFonts w:hint="eastAsia" w:ascii="仿宋" w:hAnsi="仿宋" w:eastAsia="仿宋" w:cs="仿宋"/>
          <w:color w:val="auto"/>
          <w:kern w:val="2"/>
          <w:sz w:val="32"/>
          <w:szCs w:val="32"/>
          <w:highlight w:val="none"/>
          <w:lang w:val="en-US" w:eastAsia="zh-CN" w:bidi="ar"/>
        </w:rPr>
        <w:t>预决算无差异。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预决算无差异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31.50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职工奖励性补贴</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预决算无差异</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环江毛南族自治县审计局2022年度一般公共预算财政拨款基本支出</w:t>
      </w:r>
      <w:r>
        <w:rPr>
          <w:rFonts w:ascii="仿宋" w:hAnsi="仿宋" w:eastAsia="仿宋" w:cs="仿宋"/>
          <w:sz w:val="32"/>
          <w:u w:color="auto"/>
        </w:rPr>
        <w:t>233.99</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210.49</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23.50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ascii="仿宋" w:hAnsi="仿宋" w:eastAsia="仿宋" w:cs="仿宋"/>
          <w:sz w:val="32"/>
          <w:u w:color="auto"/>
        </w:rPr>
        <w:t>205.62万元，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113.87%</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奖励性补贴单位年初不做预算，按实际支出调整预算。</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53.77万元，30102津贴补贴30.24万元，30103奖金47.18万元，30106伙食补助费2.50万元，30107绩效工资1.41万元，30108机关事业单位基本养老保险缴费19.74万元，30110职工基本医疗保险缴费8.00万元，30112其他社会保障缴费0.25万元，30113住房公积金16.07万元，30199其他工资福利支出26.46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02585"/>
            <wp:effectExtent l="4445" t="4445" r="16510" b="7620"/>
            <wp:docPr id="1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ascii="仿宋" w:hAnsi="仿宋" w:eastAsia="仿宋" w:cs="仿宋"/>
          <w:sz w:val="32"/>
          <w:u w:color="auto"/>
        </w:rPr>
        <w:t>23.50万元，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110.85%</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办公费超预算支出较多。</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30201办公费5.72万元，30205水费0.02万元，30206电费0.21万元，30207邮电费1.87万元，30218专用材料费0.06万元，30228工会经费2.73万元，30239其他交通费用10.43万元，30299其他商品和服务支出2.46万元。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01265"/>
            <wp:effectExtent l="4445" t="4445" r="16510" b="8890"/>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ascii="仿宋" w:hAnsi="仿宋" w:eastAsia="仿宋" w:cs="仿宋"/>
          <w:sz w:val="32"/>
          <w:u w:color="auto"/>
        </w:rPr>
        <w:t>4.86万元，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151.4%</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退休人员增加。</w:t>
      </w:r>
    </w:p>
    <w:p>
      <w:pPr>
        <w:ind w:firstLine="640" w:firstLineChars="200"/>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30305生活补助4.86万元。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530475"/>
            <wp:effectExtent l="4445" t="4445" r="16510" b="17780"/>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预决算无差异。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预决算无差异。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20975"/>
            <wp:effectExtent l="4445" t="4445" r="16510" b="17780"/>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预决算无差异。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rPr>
        <w:t>环江毛南族自治县审计局</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环江毛南族自治县审计局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1.42</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56.8%</w:t>
      </w:r>
      <w:r>
        <w:rPr>
          <w:rFonts w:hint="eastAsia" w:ascii="仿宋" w:hAnsi="仿宋" w:eastAsia="仿宋" w:cs="仿宋"/>
          <w:sz w:val="32"/>
          <w:szCs w:val="32"/>
          <w:highlight w:val="none"/>
        </w:rPr>
        <w:t>，比上年</w:t>
      </w:r>
      <w:r>
        <w:rPr>
          <w:rFonts w:ascii="仿宋" w:hAnsi="仿宋" w:eastAsia="仿宋" w:cs="仿宋"/>
          <w:sz w:val="32"/>
          <w:szCs w:val="32"/>
          <w:highlight w:val="none"/>
        </w:rPr>
        <w:t>增加1.42</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一是疫情影响，只能开展少量接待活动；二是部分接待为上年发生今年才得以支付。</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1.42</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（一）因公出国（境）费支出0.00万元，完成年初预算的0%，比上年增加0.00 万元。主要原因是</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本部门</w:t>
      </w:r>
      <w:r>
        <w:rPr>
          <w:rFonts w:hint="eastAsia" w:ascii="仿宋" w:hAnsi="仿宋" w:eastAsia="仿宋" w:cs="仿宋"/>
          <w:sz w:val="32"/>
          <w:szCs w:val="32"/>
          <w:highlight w:val="none"/>
          <w:lang w:eastAsia="zh-CN"/>
        </w:rPr>
        <w:t>本年度无</w:t>
      </w:r>
      <w:r>
        <w:rPr>
          <w:rFonts w:hint="eastAsia" w:ascii="仿宋" w:hAnsi="仿宋" w:eastAsia="仿宋" w:cs="仿宋"/>
          <w:sz w:val="32"/>
          <w:szCs w:val="32"/>
          <w:highlight w:val="none"/>
        </w:rPr>
        <w:t>因公出国（境）费。</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（二）公务用车购置及运行维护费0.00万元。其中：公务用车购置支出0.00万元，完成年初预算的0%，比上年增加0.00 万元。主要原因是</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本部门无公务用车购置。</w:t>
      </w:r>
    </w:p>
    <w:p>
      <w:pPr>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公务用车运行维护支出0.00万元，完成年初预算的0%，比上年增加0.00万元。主要原因是：本部门无公务用车。</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（三）公务接待费支出1.42万元，完成年初预算的56.8%， 比上年增加1.42万元，主要原因是：一是疫情影响，只能开展少量接待活动；二是部分接待为上年发生今年才得以支付。国内公务接待批次13次，人次118次，国（境）外公务接待批次0次，人次0次。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23.50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增加2.3</w:t>
      </w:r>
      <w:r>
        <w:rPr>
          <w:rFonts w:hint="eastAsia" w:ascii="仿宋" w:hAnsi="仿宋" w:eastAsia="仿宋" w:cs="仿宋"/>
          <w:sz w:val="32"/>
          <w:szCs w:val="32"/>
          <w:highlight w:val="none"/>
        </w:rPr>
        <w:t>万元，</w:t>
      </w:r>
      <w:r>
        <w:rPr>
          <w:rFonts w:ascii="仿宋" w:hAnsi="仿宋" w:eastAsia="仿宋" w:cs="仿宋"/>
          <w:sz w:val="32"/>
          <w:szCs w:val="32"/>
          <w:highlight w:val="none"/>
        </w:rPr>
        <w:t>增长10.85%</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减少0.88</w:t>
      </w:r>
      <w:r>
        <w:rPr>
          <w:rFonts w:hint="eastAsia" w:ascii="仿宋" w:hAnsi="仿宋" w:eastAsia="仿宋" w:cs="仿宋"/>
          <w:sz w:val="32"/>
          <w:szCs w:val="32"/>
          <w:highlight w:val="none"/>
        </w:rPr>
        <w:t>万元，</w:t>
      </w:r>
      <w:r>
        <w:rPr>
          <w:rFonts w:ascii="仿宋" w:hAnsi="仿宋" w:eastAsia="仿宋" w:cs="仿宋"/>
          <w:sz w:val="32"/>
          <w:szCs w:val="32"/>
          <w:highlight w:val="none"/>
        </w:rPr>
        <w:t>下降3.61%</w:t>
      </w:r>
      <w:r>
        <w:rPr>
          <w:rFonts w:hint="eastAsia" w:ascii="仿宋" w:hAnsi="仿宋" w:eastAsia="仿宋" w:cs="仿宋"/>
          <w:sz w:val="32"/>
          <w:szCs w:val="32"/>
          <w:highlight w:val="none"/>
        </w:rPr>
        <w:t>。</w:t>
      </w:r>
      <w:r>
        <w:rPr>
          <w:rFonts w:hint="eastAsia" w:ascii="仿宋" w:hAnsi="仿宋" w:eastAsia="仿宋" w:cs="仿宋"/>
          <w:color w:val="auto"/>
          <w:sz w:val="32"/>
          <w:szCs w:val="32"/>
          <w:highlight w:val="none"/>
        </w:rPr>
        <w:t>原因是：办公设施设备购置经费增加</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比上年决算数减少的主要原因是：培训费和差旅费减少</w:t>
      </w:r>
      <w:r>
        <w:rPr>
          <w:rFonts w:hint="eastAsia" w:ascii="仿宋" w:hAnsi="仿宋" w:eastAsia="仿宋" w:cs="仿宋"/>
          <w:color w:val="auto"/>
          <w:sz w:val="32"/>
          <w:szCs w:val="32"/>
          <w:highlight w:val="none"/>
        </w:rPr>
        <w:t>。</w:t>
      </w:r>
    </w:p>
    <w:p>
      <w:pPr>
        <w:ind w:firstLine="640" w:firstLineChars="200"/>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68.08</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7.79</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60.29</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ind w:firstLine="640" w:firstLineChars="200"/>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2022年度一般公共预算项目支出全面开展绩效自评。其中，一等项目8个，二等项目0个，共涉及资金117.98万元，占一般公共预算项目支出总额的34.88%。组织对2022年度0个政府性基金预算项目支出开展绩效自评，共涉及资金0万元，占政府性基金预算项目支出总额的0%。组织对2022年度0个国有资本经营预算项目支出开展绩效自评，共涉及资金0万元，占国有资本经营预算项目支出总额的0%。</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审计管理费”等8个项目进行了部门评价，涉及一般公共预算支出117.98万元，政府性基金预算支出0万元，国有资本经营预算支出0万元。从评价情况来看，各个项目日常管理工作均按照我单位相关管理制度执行,建立了工作有计划、实施有方案、日常有监督的管理机制，资金使用合规、财务监控有效。</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组织对1个部门（单位）开展整体支出绩效评价试点，涉及一般公共预算支出338.25万元，政府性基金预算支出0万元。从评价情况来看，一年来，本部门各股室能认真履行职责，做好统筹协调、各类重要工作文稿起草、重要会议服务、保密、信息、审计业务、后勤服务等工作；工作经费及时落实到位，保证了各项工作的按时、有序开展；审计业务管理和财务管理制度比较健全，并能得到贯彻执行，整体支出绩效评价效果较好，达到了预期目标。</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我部门根据年初设定的绩效目标，审计管理费项目自评得分为99.87分。发现的主要问题及原因：编制预算时不够细致导致执行数与预算数不一致。下一步改进措施：一是加强预算管理，更加细化支出项目；二是加强支出监控，及时支付相应款项。其他审计事务支出（政府中心工作）项目自评得分为100分。发现的主要问题及原因：无。下一步改进措施：无。审计业务-委托审计费项目自评得分为99.73分。发现的主要问题及原因：编制预算时不够细致导致执行数与预算数不一致。下一步改进措施：一是加强预算管理，更加细化支出项目；二是加强支出监控，及时支付相应款项。其他审计事务支出（党支部费用）项目自评得分为91.29分。发现的主要问题及原因：未及时支付款项预算执行数过低。下一步改进措施：加强项目跟踪监控，及时支付相应款项。事业运行项目自评得分为100分。发现的主要问题及原因：无。下一步改进措施：无。奖励性补贴项目自评得分为100分。发现的主要问题及原因：无。下一步改进措施：无。信息化建设项目自评得分为98.91分。发现的主要问题及原因：编制预算时不够细致导致执行数与预算数不一致。下一步改进措施：加强项目跟踪监控，及时支付相应款项。审计业务费项目自评得分为99.61分。发现的主要问题及原因：编制预算时不够细致导致执行数与预算数不一致。下一步改进措施：加强项目跟踪监控，及时支付相应款项。</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jc w:val="left"/>
        <w:rPr>
          <w:rFonts w:hint="eastAsia" w:ascii="仿宋" w:hAnsi="仿宋" w:eastAsia="仿宋" w:cs="仿宋"/>
          <w:sz w:val="32"/>
          <w:szCs w:val="32"/>
          <w:highlight w:val="none"/>
          <w:lang w:eastAsia="zh-CN"/>
        </w:rPr>
      </w:pPr>
      <w:bookmarkStart w:id="5" w:name="_GoBack"/>
      <w:bookmarkEnd w:id="5"/>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xN2Q1MzI3YWIxNDZmMGI4YjVjMjkxYTAzYjFjYmQ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C1318C"/>
    <w:rsid w:val="04E54546"/>
    <w:rsid w:val="053E4653"/>
    <w:rsid w:val="05992762"/>
    <w:rsid w:val="07B0770E"/>
    <w:rsid w:val="0942143F"/>
    <w:rsid w:val="0D100297"/>
    <w:rsid w:val="0D202B45"/>
    <w:rsid w:val="0F8D4C87"/>
    <w:rsid w:val="10505FAA"/>
    <w:rsid w:val="105F7E7E"/>
    <w:rsid w:val="11E56B5B"/>
    <w:rsid w:val="125C77AB"/>
    <w:rsid w:val="14CB726E"/>
    <w:rsid w:val="17E92249"/>
    <w:rsid w:val="18D304F1"/>
    <w:rsid w:val="19F32577"/>
    <w:rsid w:val="19F45B80"/>
    <w:rsid w:val="1AF8749C"/>
    <w:rsid w:val="1B0C078D"/>
    <w:rsid w:val="1B2B31E2"/>
    <w:rsid w:val="1B4C295A"/>
    <w:rsid w:val="1B973C63"/>
    <w:rsid w:val="1BA1001E"/>
    <w:rsid w:val="1D317259"/>
    <w:rsid w:val="1E664F5B"/>
    <w:rsid w:val="1EB34BE1"/>
    <w:rsid w:val="215E639F"/>
    <w:rsid w:val="21EC3183"/>
    <w:rsid w:val="225E72CD"/>
    <w:rsid w:val="246E2F77"/>
    <w:rsid w:val="254B4E2B"/>
    <w:rsid w:val="283D7C94"/>
    <w:rsid w:val="29480E03"/>
    <w:rsid w:val="2983634D"/>
    <w:rsid w:val="2BB02055"/>
    <w:rsid w:val="2C575A56"/>
    <w:rsid w:val="2F257714"/>
    <w:rsid w:val="2F3275E5"/>
    <w:rsid w:val="30AA08EF"/>
    <w:rsid w:val="30D23D1C"/>
    <w:rsid w:val="31221CF5"/>
    <w:rsid w:val="31400178"/>
    <w:rsid w:val="321E3342"/>
    <w:rsid w:val="327759C8"/>
    <w:rsid w:val="33185FE3"/>
    <w:rsid w:val="34EE2E36"/>
    <w:rsid w:val="36777241"/>
    <w:rsid w:val="371E78D5"/>
    <w:rsid w:val="38A951DB"/>
    <w:rsid w:val="38B31605"/>
    <w:rsid w:val="39003F4F"/>
    <w:rsid w:val="3C07002B"/>
    <w:rsid w:val="3D0D152A"/>
    <w:rsid w:val="3D1F275A"/>
    <w:rsid w:val="3DF62756"/>
    <w:rsid w:val="3F1B7587"/>
    <w:rsid w:val="41E57B4F"/>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CA96A00"/>
    <w:rsid w:val="5CF730BC"/>
    <w:rsid w:val="5E5F0DCE"/>
    <w:rsid w:val="5FA40A7B"/>
    <w:rsid w:val="5FD56D29"/>
    <w:rsid w:val="5FEC7F3F"/>
    <w:rsid w:val="60F74BC3"/>
    <w:rsid w:val="617D3BF8"/>
    <w:rsid w:val="61841F6A"/>
    <w:rsid w:val="623007A9"/>
    <w:rsid w:val="637D7558"/>
    <w:rsid w:val="644F19AC"/>
    <w:rsid w:val="65AA4920"/>
    <w:rsid w:val="65E31D0B"/>
    <w:rsid w:val="66BC30B6"/>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332CE4"/>
    <w:rsid w:val="78E257C5"/>
    <w:rsid w:val="7918348A"/>
    <w:rsid w:val="794B35BE"/>
    <w:rsid w:val="7B0A3A31"/>
    <w:rsid w:val="7B3360ED"/>
    <w:rsid w:val="7BDF037E"/>
    <w:rsid w:val="7BF50948"/>
    <w:rsid w:val="7CE66A78"/>
    <w:rsid w:val="7D23564C"/>
    <w:rsid w:val="7D5E062D"/>
    <w:rsid w:val="7DF76CD8"/>
    <w:rsid w:val="7E466F92"/>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numbering" Target="numbering.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5.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338.25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Sheet1!$B$2:$B$5</c:f>
              <c:numCache>
                <c:formatCode>General</c:formatCode>
                <c:ptCount val="4"/>
                <c:pt idx="0">
                  <c:v>271.19</c:v>
                </c:pt>
                <c:pt idx="1">
                  <c:v>21.46</c:v>
                </c:pt>
                <c:pt idx="2">
                  <c:v>16.1</c:v>
                </c:pt>
                <c:pt idx="3">
                  <c:v>50.41</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Sheet1!$A$2:$A$5</c:f>
              <c:strCache>
                <c:ptCount val="4"/>
                <c:pt idx="0">
                  <c:v>一般公共服务支出</c:v>
                </c:pt>
                <c:pt idx="1">
                  <c:v>社会保障和就业支出</c:v>
                </c:pt>
                <c:pt idx="2">
                  <c:v>住房保障支出</c:v>
                </c:pt>
                <c:pt idx="3">
                  <c:v>其他支出</c:v>
                </c:pt>
              </c:strCache>
            </c:strRef>
          </c:cat>
          <c:val>
            <c:numRef>
              <c:f>Sheet1!$C$2:$C$5</c:f>
              <c:numCache>
                <c:formatCode>General</c:formatCode>
                <c:ptCount val="4"/>
                <c:pt idx="0">
                  <c:v>267.95</c:v>
                </c:pt>
                <c:pt idx="1">
                  <c:v>22.73</c:v>
                </c:pt>
                <c:pt idx="2">
                  <c:v>16.07</c:v>
                </c:pt>
                <c:pt idx="3">
                  <c:v>31.5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Sheet1!$A$2:$A$9</c:f>
              <c:strCache>
                <c:ptCount val="8"/>
                <c:pt idx="0">
                  <c:v>2010801</c:v>
                </c:pt>
                <c:pt idx="1">
                  <c:v>2010804</c:v>
                </c:pt>
                <c:pt idx="2">
                  <c:v>2010805</c:v>
                </c:pt>
                <c:pt idx="3">
                  <c:v>2010806</c:v>
                </c:pt>
                <c:pt idx="4">
                  <c:v>2010850</c:v>
                </c:pt>
                <c:pt idx="5">
                  <c:v>2010899</c:v>
                </c:pt>
                <c:pt idx="6">
                  <c:v>2012999</c:v>
                </c:pt>
                <c:pt idx="7">
                  <c:v>201x</c:v>
                </c:pt>
              </c:strCache>
            </c:strRef>
          </c:cat>
          <c:val>
            <c:numRef>
              <c:f>Sheet1!$B$2:$B$9</c:f>
              <c:numCache>
                <c:formatCode>General</c:formatCode>
                <c:ptCount val="8"/>
                <c:pt idx="0">
                  <c:v>160.96</c:v>
                </c:pt>
                <c:pt idx="1">
                  <c:v>76.48</c:v>
                </c:pt>
                <c:pt idx="2">
                  <c:v>6.31</c:v>
                </c:pt>
                <c:pt idx="3">
                  <c:v>14.25</c:v>
                </c:pt>
                <c:pt idx="4">
                  <c:v>4.8</c:v>
                </c:pt>
                <c:pt idx="5">
                  <c:v>2.42</c:v>
                </c:pt>
                <c:pt idx="6">
                  <c:v>2.73</c:v>
                </c:pt>
                <c:pt idx="7">
                  <c:v>267.95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22.73</c:v>
                </c:pt>
                <c:pt idx="1">
                  <c:v>22.73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16.07</c:v>
                </c:pt>
                <c:pt idx="1">
                  <c:v>16.07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31.5</c:v>
                </c:pt>
                <c:pt idx="1">
                  <c:v>31.5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Sheet1!$A$2:$A$14</c:f>
              <c:strCach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strCache>
            </c:strRef>
          </c:cat>
          <c:val>
            <c:numRef>
              <c:f>Sheet1!$B$2:$B$14</c:f>
              <c:numCache>
                <c:formatCode>General</c:formatCode>
                <c:ptCount val="13"/>
                <c:pt idx="0">
                  <c:v>53.77</c:v>
                </c:pt>
                <c:pt idx="1">
                  <c:v>30.24</c:v>
                </c:pt>
                <c:pt idx="2">
                  <c:v>47.18</c:v>
                </c:pt>
                <c:pt idx="3">
                  <c:v>2.5</c:v>
                </c:pt>
                <c:pt idx="4">
                  <c:v>1.41</c:v>
                </c:pt>
                <c:pt idx="5">
                  <c:v>19.74</c:v>
                </c:pt>
                <c:pt idx="6">
                  <c:v>0</c:v>
                </c:pt>
                <c:pt idx="7">
                  <c:v>8</c:v>
                </c:pt>
                <c:pt idx="8">
                  <c:v>0</c:v>
                </c:pt>
                <c:pt idx="9">
                  <c:v>0.25</c:v>
                </c:pt>
                <c:pt idx="10">
                  <c:v>16.07</c:v>
                </c:pt>
                <c:pt idx="11">
                  <c:v>0</c:v>
                </c:pt>
                <c:pt idx="12">
                  <c:v>26.46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Sheet1!$A$2:$A$28</c:f>
              <c:strCach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strCache>
            </c:strRef>
          </c:cat>
          <c:val>
            <c:numRef>
              <c:f>Sheet1!$B$2:$B$28</c:f>
              <c:numCache>
                <c:formatCode>General</c:formatCode>
                <c:ptCount val="27"/>
                <c:pt idx="0">
                  <c:v>5.72</c:v>
                </c:pt>
                <c:pt idx="1">
                  <c:v>0</c:v>
                </c:pt>
                <c:pt idx="2">
                  <c:v>0</c:v>
                </c:pt>
                <c:pt idx="3">
                  <c:v>0</c:v>
                </c:pt>
                <c:pt idx="4">
                  <c:v>0.02</c:v>
                </c:pt>
                <c:pt idx="5">
                  <c:v>0.21</c:v>
                </c:pt>
                <c:pt idx="6">
                  <c:v>1.87</c:v>
                </c:pt>
                <c:pt idx="7">
                  <c:v>0</c:v>
                </c:pt>
                <c:pt idx="8">
                  <c:v>0</c:v>
                </c:pt>
                <c:pt idx="9">
                  <c:v>0</c:v>
                </c:pt>
                <c:pt idx="10">
                  <c:v>0</c:v>
                </c:pt>
                <c:pt idx="11">
                  <c:v>0</c:v>
                </c:pt>
                <c:pt idx="12">
                  <c:v>0</c:v>
                </c:pt>
                <c:pt idx="13">
                  <c:v>0</c:v>
                </c:pt>
                <c:pt idx="14">
                  <c:v>0</c:v>
                </c:pt>
                <c:pt idx="15">
                  <c:v>0</c:v>
                </c:pt>
                <c:pt idx="16">
                  <c:v>0.06</c:v>
                </c:pt>
                <c:pt idx="17">
                  <c:v>0</c:v>
                </c:pt>
                <c:pt idx="18">
                  <c:v>0</c:v>
                </c:pt>
                <c:pt idx="19">
                  <c:v>0</c:v>
                </c:pt>
                <c:pt idx="20">
                  <c:v>0</c:v>
                </c:pt>
                <c:pt idx="21">
                  <c:v>2.73</c:v>
                </c:pt>
                <c:pt idx="22">
                  <c:v>0</c:v>
                </c:pt>
                <c:pt idx="23">
                  <c:v>0</c:v>
                </c:pt>
                <c:pt idx="24">
                  <c:v>10.43</c:v>
                </c:pt>
                <c:pt idx="25">
                  <c:v>0</c:v>
                </c:pt>
                <c:pt idx="26">
                  <c:v>2.46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Sheet1!$A$2:$A$13</c:f>
              <c:strCach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strCache>
            </c:strRef>
          </c:cat>
          <c:val>
            <c:numRef>
              <c:f>Sheet1!$B$2:$B$13</c:f>
              <c:numCache>
                <c:formatCode>General</c:formatCode>
                <c:ptCount val="12"/>
                <c:pt idx="0">
                  <c:v>0</c:v>
                </c:pt>
                <c:pt idx="1">
                  <c:v>0</c:v>
                </c:pt>
                <c:pt idx="2">
                  <c:v>0</c:v>
                </c:pt>
                <c:pt idx="3">
                  <c:v>0</c:v>
                </c:pt>
                <c:pt idx="4">
                  <c:v>4.86</c:v>
                </c:pt>
                <c:pt idx="5">
                  <c:v>0</c:v>
                </c:pt>
                <c:pt idx="6">
                  <c:v>0</c:v>
                </c:pt>
                <c:pt idx="7">
                  <c:v>0</c:v>
                </c:pt>
                <c:pt idx="8">
                  <c:v>0</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4</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2023-11-29T07:33:53Z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843F27823027460BAAAF19DF60EFFF0C_13</vt:lpwstr>
  </property>
</Properties>
</file>