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rPr>
        <w:t>环江毛南族自治县财政局2022年度部门决算</w:t>
      </w:r>
    </w:p>
    <w:p>
      <w:pPr>
        <w:keepNext w:val="0"/>
        <w:keepLines w:val="0"/>
        <w:pageBreakBefore w:val="0"/>
        <w:widowControl w:val="0"/>
        <w:kinsoku/>
        <w:wordWrap/>
        <w:overflowPunct/>
        <w:topLinePunct w:val="0"/>
        <w:bidi w:val="0"/>
        <w:snapToGrid/>
        <w:spacing w:line="560" w:lineRule="exact"/>
        <w:jc w:val="center"/>
        <w:textAlignment w:val="auto"/>
        <w:rPr>
          <w:rFonts w:ascii="仿宋" w:hAnsi="仿宋" w:eastAsia="仿宋" w:cs="仿宋"/>
          <w:sz w:val="32"/>
          <w:szCs w:val="32"/>
          <w:highlight w:val="none"/>
        </w:rPr>
      </w:pPr>
    </w:p>
    <w:p>
      <w:pPr>
        <w:keepNext w:val="0"/>
        <w:keepLines w:val="0"/>
        <w:pageBreakBefore w:val="0"/>
        <w:widowControl w:val="0"/>
        <w:kinsoku/>
        <w:wordWrap/>
        <w:overflowPunct/>
        <w:topLinePunct w:val="0"/>
        <w:bidi w:val="0"/>
        <w:snapToGrid/>
        <w:spacing w:line="560" w:lineRule="exact"/>
        <w:jc w:val="left"/>
        <w:textAlignment w:val="auto"/>
        <w:rPr>
          <w:rFonts w:ascii="仿宋" w:hAnsi="仿宋" w:eastAsia="仿宋" w:cs="仿宋"/>
          <w:sz w:val="32"/>
          <w:szCs w:val="32"/>
          <w:highlight w:val="none"/>
        </w:rPr>
      </w:pPr>
    </w:p>
    <w:p>
      <w:pPr>
        <w:keepNext w:val="0"/>
        <w:keepLines w:val="0"/>
        <w:pageBreakBefore w:val="0"/>
        <w:widowControl w:val="0"/>
        <w:kinsoku/>
        <w:wordWrap/>
        <w:overflowPunct/>
        <w:topLinePunct w:val="0"/>
        <w:bidi w:val="0"/>
        <w:snapToGrid/>
        <w:spacing w:line="560" w:lineRule="exact"/>
        <w:jc w:val="left"/>
        <w:textAlignment w:val="auto"/>
        <w:rPr>
          <w:rFonts w:ascii="仿宋" w:hAnsi="仿宋" w:eastAsia="仿宋" w:cs="仿宋"/>
          <w:sz w:val="32"/>
          <w:szCs w:val="32"/>
          <w:highlight w:val="none"/>
        </w:rPr>
      </w:pPr>
    </w:p>
    <w:p>
      <w:pPr>
        <w:keepNext w:val="0"/>
        <w:keepLines w:val="0"/>
        <w:pageBreakBefore w:val="0"/>
        <w:widowControl w:val="0"/>
        <w:kinsoku/>
        <w:wordWrap/>
        <w:overflowPunct/>
        <w:topLinePunct w:val="0"/>
        <w:bidi w:val="0"/>
        <w:snapToGrid/>
        <w:spacing w:line="560" w:lineRule="exact"/>
        <w:jc w:val="left"/>
        <w:textAlignment w:val="auto"/>
        <w:rPr>
          <w:rFonts w:ascii="仿宋" w:hAnsi="仿宋" w:eastAsia="仿宋" w:cs="仿宋"/>
          <w:sz w:val="32"/>
          <w:szCs w:val="32"/>
          <w:highlight w:val="none"/>
        </w:rPr>
      </w:pPr>
    </w:p>
    <w:p>
      <w:pPr>
        <w:keepNext w:val="0"/>
        <w:keepLines w:val="0"/>
        <w:pageBreakBefore w:val="0"/>
        <w:widowControl w:val="0"/>
        <w:kinsoku/>
        <w:wordWrap/>
        <w:overflowPunct/>
        <w:topLinePunct w:val="0"/>
        <w:bidi w:val="0"/>
        <w:snapToGrid/>
        <w:spacing w:line="560" w:lineRule="exact"/>
        <w:jc w:val="left"/>
        <w:textAlignment w:val="auto"/>
        <w:rPr>
          <w:rFonts w:ascii="仿宋" w:hAnsi="仿宋" w:eastAsia="仿宋" w:cs="仿宋"/>
          <w:sz w:val="32"/>
          <w:szCs w:val="32"/>
          <w:highlight w:val="none"/>
        </w:rPr>
      </w:pPr>
    </w:p>
    <w:p>
      <w:pPr>
        <w:keepNext w:val="0"/>
        <w:keepLines w:val="0"/>
        <w:pageBreakBefore w:val="0"/>
        <w:widowControl w:val="0"/>
        <w:kinsoku/>
        <w:wordWrap/>
        <w:overflowPunct/>
        <w:topLinePunct w:val="0"/>
        <w:bidi w:val="0"/>
        <w:snapToGrid/>
        <w:spacing w:line="560" w:lineRule="exact"/>
        <w:jc w:val="left"/>
        <w:textAlignment w:val="auto"/>
        <w:rPr>
          <w:rFonts w:ascii="仿宋" w:hAnsi="仿宋" w:eastAsia="仿宋" w:cs="仿宋"/>
          <w:sz w:val="32"/>
          <w:szCs w:val="32"/>
          <w:highlight w:val="none"/>
        </w:rPr>
      </w:pPr>
    </w:p>
    <w:p>
      <w:pPr>
        <w:keepNext w:val="0"/>
        <w:keepLines w:val="0"/>
        <w:pageBreakBefore w:val="0"/>
        <w:widowControl w:val="0"/>
        <w:kinsoku/>
        <w:wordWrap/>
        <w:overflowPunct/>
        <w:topLinePunct w:val="0"/>
        <w:bidi w:val="0"/>
        <w:snapToGrid/>
        <w:spacing w:line="560" w:lineRule="exact"/>
        <w:jc w:val="left"/>
        <w:textAlignment w:val="auto"/>
        <w:rPr>
          <w:rFonts w:ascii="仿宋" w:hAnsi="仿宋" w:eastAsia="仿宋" w:cs="仿宋"/>
          <w:sz w:val="32"/>
          <w:szCs w:val="32"/>
          <w:highlight w:val="none"/>
        </w:rPr>
      </w:pPr>
    </w:p>
    <w:p>
      <w:pPr>
        <w:keepNext w:val="0"/>
        <w:keepLines w:val="0"/>
        <w:pageBreakBefore w:val="0"/>
        <w:widowControl w:val="0"/>
        <w:kinsoku/>
        <w:wordWrap/>
        <w:overflowPunct/>
        <w:topLinePunct w:val="0"/>
        <w:bidi w:val="0"/>
        <w:snapToGrid/>
        <w:spacing w:line="560" w:lineRule="exact"/>
        <w:jc w:val="left"/>
        <w:textAlignment w:val="auto"/>
        <w:rPr>
          <w:rFonts w:ascii="仿宋" w:hAnsi="仿宋" w:eastAsia="仿宋" w:cs="仿宋"/>
          <w:sz w:val="32"/>
          <w:szCs w:val="32"/>
          <w:highlight w:val="none"/>
        </w:rPr>
      </w:pPr>
    </w:p>
    <w:p>
      <w:pPr>
        <w:keepNext w:val="0"/>
        <w:keepLines w:val="0"/>
        <w:pageBreakBefore w:val="0"/>
        <w:widowControl w:val="0"/>
        <w:kinsoku/>
        <w:wordWrap/>
        <w:overflowPunct/>
        <w:topLinePunct w:val="0"/>
        <w:bidi w:val="0"/>
        <w:snapToGrid/>
        <w:spacing w:line="560" w:lineRule="exact"/>
        <w:jc w:val="left"/>
        <w:textAlignment w:val="auto"/>
        <w:rPr>
          <w:rFonts w:ascii="仿宋" w:hAnsi="仿宋" w:eastAsia="仿宋" w:cs="仿宋"/>
          <w:sz w:val="32"/>
          <w:szCs w:val="32"/>
          <w:highlight w:val="none"/>
        </w:rPr>
      </w:pPr>
    </w:p>
    <w:p>
      <w:pPr>
        <w:keepNext w:val="0"/>
        <w:keepLines w:val="0"/>
        <w:pageBreakBefore w:val="0"/>
        <w:widowControl w:val="0"/>
        <w:kinsoku/>
        <w:wordWrap/>
        <w:overflowPunct/>
        <w:topLinePunct w:val="0"/>
        <w:bidi w:val="0"/>
        <w:snapToGrid/>
        <w:spacing w:line="560" w:lineRule="exact"/>
        <w:jc w:val="left"/>
        <w:textAlignment w:val="auto"/>
        <w:rPr>
          <w:rFonts w:ascii="仿宋" w:hAnsi="仿宋" w:eastAsia="仿宋" w:cs="仿宋"/>
          <w:sz w:val="32"/>
          <w:szCs w:val="32"/>
          <w:highlight w:val="none"/>
        </w:rPr>
      </w:pPr>
    </w:p>
    <w:p>
      <w:pPr>
        <w:keepNext w:val="0"/>
        <w:keepLines w:val="0"/>
        <w:pageBreakBefore w:val="0"/>
        <w:widowControl w:val="0"/>
        <w:kinsoku/>
        <w:wordWrap/>
        <w:overflowPunct/>
        <w:topLinePunct w:val="0"/>
        <w:bidi w:val="0"/>
        <w:snapToGrid/>
        <w:spacing w:line="560" w:lineRule="exact"/>
        <w:jc w:val="left"/>
        <w:textAlignment w:val="auto"/>
        <w:rPr>
          <w:rFonts w:ascii="仿宋" w:hAnsi="仿宋" w:eastAsia="仿宋" w:cs="仿宋"/>
          <w:sz w:val="32"/>
          <w:szCs w:val="32"/>
          <w:highlight w:val="none"/>
        </w:rPr>
      </w:pPr>
    </w:p>
    <w:p>
      <w:pPr>
        <w:keepNext w:val="0"/>
        <w:keepLines w:val="0"/>
        <w:pageBreakBefore w:val="0"/>
        <w:widowControl w:val="0"/>
        <w:kinsoku/>
        <w:wordWrap/>
        <w:overflowPunct/>
        <w:topLinePunct w:val="0"/>
        <w:bidi w:val="0"/>
        <w:snapToGrid/>
        <w:spacing w:line="560" w:lineRule="exact"/>
        <w:jc w:val="left"/>
        <w:textAlignment w:val="auto"/>
        <w:rPr>
          <w:rFonts w:ascii="仿宋" w:hAnsi="仿宋" w:eastAsia="仿宋" w:cs="仿宋"/>
          <w:sz w:val="32"/>
          <w:szCs w:val="32"/>
          <w:highlight w:val="none"/>
        </w:rPr>
      </w:pPr>
    </w:p>
    <w:p>
      <w:pPr>
        <w:keepNext w:val="0"/>
        <w:keepLines w:val="0"/>
        <w:pageBreakBefore w:val="0"/>
        <w:widowControl w:val="0"/>
        <w:kinsoku/>
        <w:wordWrap/>
        <w:overflowPunct/>
        <w:topLinePunct w:val="0"/>
        <w:bidi w:val="0"/>
        <w:snapToGrid/>
        <w:spacing w:line="560" w:lineRule="exact"/>
        <w:jc w:val="left"/>
        <w:textAlignment w:val="auto"/>
        <w:rPr>
          <w:rFonts w:ascii="仿宋" w:hAnsi="仿宋" w:eastAsia="仿宋" w:cs="仿宋"/>
          <w:sz w:val="32"/>
          <w:szCs w:val="32"/>
          <w:highlight w:val="none"/>
        </w:rPr>
      </w:pPr>
    </w:p>
    <w:p>
      <w:pPr>
        <w:keepNext w:val="0"/>
        <w:keepLines w:val="0"/>
        <w:pageBreakBefore w:val="0"/>
        <w:widowControl w:val="0"/>
        <w:kinsoku/>
        <w:wordWrap/>
        <w:overflowPunct/>
        <w:topLinePunct w:val="0"/>
        <w:bidi w:val="0"/>
        <w:snapToGrid/>
        <w:spacing w:line="560" w:lineRule="exact"/>
        <w:jc w:val="left"/>
        <w:textAlignment w:val="auto"/>
        <w:rPr>
          <w:rFonts w:ascii="仿宋" w:hAnsi="仿宋" w:eastAsia="仿宋" w:cs="仿宋"/>
          <w:sz w:val="32"/>
          <w:szCs w:val="32"/>
          <w:highlight w:val="none"/>
        </w:rPr>
      </w:pPr>
    </w:p>
    <w:p>
      <w:pPr>
        <w:keepNext w:val="0"/>
        <w:keepLines w:val="0"/>
        <w:pageBreakBefore w:val="0"/>
        <w:widowControl w:val="0"/>
        <w:kinsoku/>
        <w:wordWrap/>
        <w:overflowPunct/>
        <w:topLinePunct w:val="0"/>
        <w:bidi w:val="0"/>
        <w:snapToGrid/>
        <w:spacing w:line="560" w:lineRule="exact"/>
        <w:jc w:val="center"/>
        <w:textAlignment w:val="auto"/>
        <w:rPr>
          <w:rFonts w:hint="eastAsia" w:ascii="黑体" w:hAnsi="黑体" w:eastAsia="黑体" w:cs="黑体"/>
          <w:b/>
          <w:bCs/>
          <w:sz w:val="36"/>
          <w:szCs w:val="36"/>
          <w:highlight w:val="none"/>
        </w:rPr>
      </w:pPr>
    </w:p>
    <w:p>
      <w:pPr>
        <w:keepNext w:val="0"/>
        <w:keepLines w:val="0"/>
        <w:pageBreakBefore w:val="0"/>
        <w:widowControl w:val="0"/>
        <w:kinsoku/>
        <w:wordWrap/>
        <w:overflowPunct/>
        <w:topLinePunct w:val="0"/>
        <w:bidi w:val="0"/>
        <w:snapToGrid/>
        <w:spacing w:line="560" w:lineRule="exact"/>
        <w:jc w:val="center"/>
        <w:textAlignment w:val="auto"/>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keepNext w:val="0"/>
        <w:keepLines w:val="0"/>
        <w:pageBreakBefore w:val="0"/>
        <w:widowControl w:val="0"/>
        <w:kinsoku/>
        <w:wordWrap/>
        <w:overflowPunct/>
        <w:topLinePunct w:val="0"/>
        <w:bidi w:val="0"/>
        <w:snapToGrid/>
        <w:spacing w:line="560" w:lineRule="exact"/>
        <w:textAlignment w:val="auto"/>
        <w:rPr>
          <w:rFonts w:ascii="仿宋" w:hAnsi="仿宋" w:eastAsia="仿宋" w:cs="仿宋"/>
          <w:sz w:val="32"/>
          <w:szCs w:val="32"/>
          <w:highlight w:val="none"/>
        </w:rPr>
      </w:pPr>
      <w:r>
        <w:rPr>
          <w:rFonts w:ascii="仿宋" w:hAnsi="仿宋" w:eastAsia="仿宋" w:cs="仿宋"/>
          <w:sz w:val="32"/>
          <w:szCs w:val="32"/>
          <w:highlight w:val="none"/>
        </w:rPr>
        <w:br w:type="page"/>
      </w:r>
    </w:p>
    <w:p>
      <w:pPr>
        <w:keepNext w:val="0"/>
        <w:keepLines w:val="0"/>
        <w:pageBreakBefore w:val="0"/>
        <w:widowControl w:val="0"/>
        <w:kinsoku/>
        <w:wordWrap/>
        <w:overflowPunct/>
        <w:topLinePunct w:val="0"/>
        <w:bidi w:val="0"/>
        <w:snapToGrid/>
        <w:spacing w:line="560" w:lineRule="exact"/>
        <w:jc w:val="center"/>
        <w:textAlignment w:val="auto"/>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keepNext w:val="0"/>
        <w:keepLines w:val="0"/>
        <w:pageBreakBefore w:val="0"/>
        <w:widowControl w:val="0"/>
        <w:kinsoku/>
        <w:wordWrap/>
        <w:overflowPunct/>
        <w:topLinePunct w:val="0"/>
        <w:bidi w:val="0"/>
        <w:snapToGrid/>
        <w:spacing w:line="560" w:lineRule="exact"/>
        <w:jc w:val="left"/>
        <w:textAlignment w:val="auto"/>
        <w:rPr>
          <w:rFonts w:ascii="黑体" w:hAnsi="黑体" w:eastAsia="黑体" w:cs="黑体"/>
          <w:b/>
          <w:bCs/>
          <w:sz w:val="36"/>
          <w:szCs w:val="36"/>
          <w:highlight w:val="none"/>
        </w:rPr>
      </w:pP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环江毛南族自治县财政局</w:t>
      </w:r>
      <w:r>
        <w:rPr>
          <w:rFonts w:hint="eastAsia" w:ascii="黑体" w:hAnsi="黑体" w:eastAsia="黑体" w:cs="黑体"/>
          <w:sz w:val="32"/>
          <w:szCs w:val="32"/>
          <w:highlight w:val="none"/>
        </w:rPr>
        <w:t>概况</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一、主要职能</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环江毛南族自治县财政局</w:t>
      </w:r>
      <w:r>
        <w:rPr>
          <w:rFonts w:hint="eastAsia" w:ascii="黑体" w:hAnsi="黑体" w:eastAsia="黑体" w:cs="黑体"/>
          <w:sz w:val="32"/>
          <w:szCs w:val="32"/>
          <w:highlight w:val="none"/>
        </w:rPr>
        <w:t>2022年度部门决算报表</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环江毛南族自治县财政局</w:t>
      </w:r>
      <w:r>
        <w:rPr>
          <w:rFonts w:hint="eastAsia" w:ascii="黑体" w:hAnsi="黑体" w:eastAsia="黑体" w:cs="黑体"/>
          <w:sz w:val="32"/>
          <w:szCs w:val="32"/>
          <w:highlight w:val="none"/>
        </w:rPr>
        <w:t>2022年度部门决算情况说明</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七、其他重要事项情况说明。</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hint="eastAsia" w:ascii="方正小标宋简体" w:hAnsi="方正小标宋简体" w:eastAsia="方正小标宋简体" w:cs="方正小标宋简体"/>
          <w:b w:val="0"/>
          <w:bCs w:val="0"/>
          <w:sz w:val="32"/>
          <w:szCs w:val="32"/>
          <w:highlight w:val="none"/>
        </w:rPr>
      </w:pPr>
      <w:r>
        <w:rPr>
          <w:rFonts w:hint="eastAsia" w:ascii="方正小标宋简体" w:hAnsi="方正小标宋简体" w:eastAsia="方正小标宋简体" w:cs="方正小标宋简体"/>
          <w:b w:val="0"/>
          <w:bCs w:val="0"/>
          <w:sz w:val="32"/>
          <w:szCs w:val="32"/>
          <w:highlight w:val="none"/>
        </w:rPr>
        <w:t>第一部分：</w:t>
      </w:r>
      <w:r>
        <w:rPr>
          <w:rFonts w:hint="eastAsia" w:ascii="方正小标宋简体" w:hAnsi="方正小标宋简体" w:eastAsia="方正小标宋简体" w:cs="方正小标宋简体"/>
          <w:b w:val="0"/>
          <w:bCs w:val="0"/>
          <w:sz w:val="32"/>
          <w:u w:color="auto"/>
        </w:rPr>
        <w:t>环江毛南族自治县财政局</w:t>
      </w:r>
      <w:r>
        <w:rPr>
          <w:rFonts w:hint="eastAsia" w:ascii="方正小标宋简体" w:hAnsi="方正小标宋简体" w:eastAsia="方正小标宋简体" w:cs="方正小标宋简体"/>
          <w:b w:val="0"/>
          <w:bCs w:val="0"/>
          <w:sz w:val="32"/>
          <w:szCs w:val="32"/>
          <w:highlight w:val="none"/>
        </w:rPr>
        <w:t>概况</w:t>
      </w:r>
    </w:p>
    <w:p>
      <w:pPr>
        <w:ind w:firstLine="640" w:firstLineChars="200"/>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eastAsia" w:ascii="Times New Roman" w:hAnsi="Times New Roman" w:eastAsia="仿宋_GB2312" w:cs="Times New Roman"/>
          <w:b w:val="0"/>
          <w:bCs/>
          <w:sz w:val="32"/>
          <w:szCs w:val="32"/>
          <w:lang w:val="en-US" w:eastAsia="zh-CN"/>
        </w:rPr>
        <w:t>一</w:t>
      </w:r>
      <w:r>
        <w:rPr>
          <w:rFonts w:hint="default" w:ascii="Times New Roman" w:hAnsi="Times New Roman" w:eastAsia="仿宋_GB2312" w:cs="Times New Roman"/>
          <w:b w:val="0"/>
          <w:bCs/>
          <w:sz w:val="32"/>
          <w:szCs w:val="32"/>
        </w:rPr>
        <w:t>）贯彻国家财政的方针政策及其他有关政策；拟订财政发展规划、政策和改革方案并组织实施，拟订财政分配政策，参与制定各项宏观经济政策，提出运用财政政策实施宏观调控的建议。</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eastAsia" w:ascii="Times New Roman" w:hAnsi="Times New Roman" w:eastAsia="仿宋_GB2312" w:cs="Times New Roman"/>
          <w:b w:val="0"/>
          <w:bCs/>
          <w:sz w:val="32"/>
          <w:szCs w:val="32"/>
          <w:lang w:val="en-US" w:eastAsia="zh-CN"/>
        </w:rPr>
        <w:t>二</w:t>
      </w:r>
      <w:r>
        <w:rPr>
          <w:rFonts w:hint="default" w:ascii="Times New Roman" w:hAnsi="Times New Roman" w:eastAsia="仿宋_GB2312" w:cs="Times New Roman"/>
          <w:b w:val="0"/>
          <w:bCs/>
          <w:sz w:val="32"/>
          <w:szCs w:val="32"/>
        </w:rPr>
        <w:t>）起草财政、预算、财务、会计、资产评估管理等规范性文件。</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eastAsia" w:ascii="Times New Roman" w:hAnsi="Times New Roman" w:eastAsia="仿宋_GB2312" w:cs="Times New Roman"/>
          <w:b w:val="0"/>
          <w:bCs/>
          <w:sz w:val="32"/>
          <w:szCs w:val="32"/>
          <w:lang w:val="en-US" w:eastAsia="zh-CN"/>
        </w:rPr>
        <w:t>三</w:t>
      </w:r>
      <w:r>
        <w:rPr>
          <w:rFonts w:hint="default" w:ascii="Times New Roman" w:hAnsi="Times New Roman" w:eastAsia="仿宋_GB2312" w:cs="Times New Roman"/>
          <w:b w:val="0"/>
          <w:bCs/>
          <w:sz w:val="32"/>
          <w:szCs w:val="32"/>
        </w:rPr>
        <w:t>）承担全县各项财政收支管理的责任；负责编制年度县本级预决算草案并组织执行；受自治县人民政府委托，向自治县人民代表大会报告全县和县本级预算执行情况及预算草案，向自治县人大常委会报告县本级决算和预算调整方案；组织制订经费开支标准、定额，负责审核批复县本级部门（单位）的年度预决算。督促部门做好预决算公开。</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eastAsia" w:ascii="Times New Roman" w:hAnsi="Times New Roman" w:eastAsia="仿宋_GB2312" w:cs="Times New Roman"/>
          <w:b w:val="0"/>
          <w:bCs/>
          <w:sz w:val="32"/>
          <w:szCs w:val="32"/>
          <w:lang w:val="en-US" w:eastAsia="zh-CN"/>
        </w:rPr>
        <w:t>四</w:t>
      </w:r>
      <w:r>
        <w:rPr>
          <w:rFonts w:hint="default" w:ascii="Times New Roman" w:hAnsi="Times New Roman" w:eastAsia="仿宋_GB2312" w:cs="Times New Roman"/>
          <w:b w:val="0"/>
          <w:bCs/>
          <w:sz w:val="32"/>
          <w:szCs w:val="32"/>
        </w:rPr>
        <w:t>）按分工负责政府非税收入管理。负责政府性基金管理，按规定管理行政事业性收费。编制政府性基金预决算草案；管理财政票据，负责彩票市场监管。</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eastAsia" w:ascii="Times New Roman" w:hAnsi="Times New Roman" w:eastAsia="仿宋_GB2312" w:cs="Times New Roman"/>
          <w:b w:val="0"/>
          <w:bCs/>
          <w:sz w:val="32"/>
          <w:szCs w:val="32"/>
          <w:lang w:val="en-US" w:eastAsia="zh-CN"/>
        </w:rPr>
        <w:t>五</w:t>
      </w:r>
      <w:r>
        <w:rPr>
          <w:rFonts w:hint="default" w:ascii="Times New Roman" w:hAnsi="Times New Roman" w:eastAsia="仿宋_GB2312" w:cs="Times New Roman"/>
          <w:b w:val="0"/>
          <w:bCs/>
          <w:sz w:val="32"/>
          <w:szCs w:val="32"/>
        </w:rPr>
        <w:t>）组织制定国库管理制度，按规定开展国库现金管理工作。负责制定政府采购制度并监督管理。</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sz w:val="32"/>
          <w:szCs w:val="32"/>
        </w:rPr>
        <w:t>（</w:t>
      </w:r>
      <w:r>
        <w:rPr>
          <w:rFonts w:hint="eastAsia" w:ascii="Times New Roman" w:hAnsi="Times New Roman" w:eastAsia="仿宋_GB2312" w:cs="Times New Roman"/>
          <w:b w:val="0"/>
          <w:bCs/>
          <w:sz w:val="32"/>
          <w:szCs w:val="32"/>
          <w:lang w:val="en-US" w:eastAsia="zh-CN"/>
        </w:rPr>
        <w:t>六</w:t>
      </w:r>
      <w:r>
        <w:rPr>
          <w:rFonts w:hint="default" w:ascii="Times New Roman" w:hAnsi="Times New Roman" w:eastAsia="仿宋_GB2312" w:cs="Times New Roman"/>
          <w:b w:val="0"/>
          <w:bCs/>
          <w:sz w:val="32"/>
          <w:szCs w:val="32"/>
        </w:rPr>
        <w:t>）负责制定行政事业单位国有资产管理规章制度，管理县本级行政事业单位国有资产，负责行政事业单位和社会团体的非贸易外汇管理。</w:t>
      </w:r>
      <w:r>
        <w:rPr>
          <w:rFonts w:hint="default" w:ascii="Times New Roman" w:hAnsi="Times New Roman" w:eastAsia="仿宋_GB2312" w:cs="Times New Roman"/>
          <w:b w:val="0"/>
          <w:bCs/>
          <w:color w:val="000000"/>
          <w:sz w:val="32"/>
          <w:szCs w:val="32"/>
        </w:rPr>
        <w:t>负责此次机构改革期间小车定编工作。</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eastAsia" w:ascii="Times New Roman" w:hAnsi="Times New Roman" w:eastAsia="仿宋_GB2312" w:cs="Times New Roman"/>
          <w:b w:val="0"/>
          <w:bCs/>
          <w:sz w:val="32"/>
          <w:szCs w:val="32"/>
          <w:lang w:val="en-US" w:eastAsia="zh-CN"/>
        </w:rPr>
        <w:t>七</w:t>
      </w:r>
      <w:r>
        <w:rPr>
          <w:rFonts w:hint="default" w:ascii="Times New Roman" w:hAnsi="Times New Roman" w:eastAsia="仿宋_GB2312" w:cs="Times New Roman"/>
          <w:b w:val="0"/>
          <w:bCs/>
          <w:sz w:val="32"/>
          <w:szCs w:val="32"/>
        </w:rPr>
        <w:t>）编制国有资本经营预决算草案，制定国有资本经营预算的制度和办法，负责县本级企业国有资本收益收支管理，组织实施企业财务制度，按规定管理地方金融类企业国有资产，参与拟订企业国有资产管理相关制度。</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eastAsia" w:ascii="Times New Roman" w:hAnsi="Times New Roman" w:eastAsia="仿宋_GB2312" w:cs="Times New Roman"/>
          <w:b w:val="0"/>
          <w:bCs/>
          <w:sz w:val="32"/>
          <w:szCs w:val="32"/>
          <w:lang w:val="en-US" w:eastAsia="zh-CN"/>
        </w:rPr>
        <w:t>八</w:t>
      </w:r>
      <w:r>
        <w:rPr>
          <w:rFonts w:hint="default" w:ascii="Times New Roman" w:hAnsi="Times New Roman" w:eastAsia="仿宋_GB2312" w:cs="Times New Roman"/>
          <w:b w:val="0"/>
          <w:bCs/>
          <w:sz w:val="32"/>
          <w:szCs w:val="32"/>
        </w:rPr>
        <w:t>）负责管理自治县政府性投资项目资金，参与拟订自治县基本建设投资的有关政策。负责有关政策性补贴和专项储备资金财政管理工作。</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eastAsia" w:ascii="Times New Roman" w:hAnsi="Times New Roman" w:eastAsia="仿宋_GB2312" w:cs="Times New Roman"/>
          <w:b w:val="0"/>
          <w:bCs/>
          <w:sz w:val="32"/>
          <w:szCs w:val="32"/>
          <w:lang w:val="en-US" w:eastAsia="zh-CN"/>
        </w:rPr>
        <w:t>九</w:t>
      </w:r>
      <w:r>
        <w:rPr>
          <w:rFonts w:hint="default" w:ascii="Times New Roman" w:hAnsi="Times New Roman" w:eastAsia="仿宋_GB2312" w:cs="Times New Roman"/>
          <w:b w:val="0"/>
          <w:bCs/>
          <w:sz w:val="32"/>
          <w:szCs w:val="32"/>
        </w:rPr>
        <w:t>）负责社会保险基金财政管理工作，拟订社会保障资金（基金）的财务管理制度和办法，编制社会保障预决算草案。</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eastAsia" w:ascii="Times New Roman" w:hAnsi="Times New Roman" w:eastAsia="仿宋_GB2312" w:cs="Times New Roman"/>
          <w:b w:val="0"/>
          <w:bCs/>
          <w:sz w:val="32"/>
          <w:szCs w:val="32"/>
          <w:lang w:val="en-US" w:eastAsia="zh-CN"/>
        </w:rPr>
        <w:t>十</w:t>
      </w:r>
      <w:r>
        <w:rPr>
          <w:rFonts w:hint="default" w:ascii="Times New Roman" w:hAnsi="Times New Roman" w:eastAsia="仿宋_GB2312" w:cs="Times New Roman"/>
          <w:b w:val="0"/>
          <w:bCs/>
          <w:sz w:val="32"/>
          <w:szCs w:val="32"/>
        </w:rPr>
        <w:t>）拟订地方政府性债务管理制度和政策，防范财政风险。管理全县政府外债。</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eastAsia" w:ascii="Times New Roman" w:hAnsi="Times New Roman" w:eastAsia="仿宋_GB2312" w:cs="Times New Roman"/>
          <w:b w:val="0"/>
          <w:bCs/>
          <w:sz w:val="32"/>
          <w:szCs w:val="32"/>
          <w:lang w:val="en-US" w:eastAsia="zh-CN"/>
        </w:rPr>
        <w:t>十一</w:t>
      </w:r>
      <w:r>
        <w:rPr>
          <w:rFonts w:hint="default" w:ascii="Times New Roman" w:hAnsi="Times New Roman" w:eastAsia="仿宋_GB2312" w:cs="Times New Roman"/>
          <w:b w:val="0"/>
          <w:bCs/>
          <w:sz w:val="32"/>
          <w:szCs w:val="32"/>
        </w:rPr>
        <w:t>）负责管理全县会计、资产评估工作，监督和规范会计行为，组织实施国家统一的会计制度。</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w:t>
      </w:r>
      <w:r>
        <w:rPr>
          <w:rFonts w:hint="eastAsia" w:ascii="Times New Roman" w:hAnsi="Times New Roman" w:eastAsia="仿宋_GB2312" w:cs="Times New Roman"/>
          <w:b w:val="0"/>
          <w:bCs/>
          <w:sz w:val="32"/>
          <w:szCs w:val="32"/>
          <w:lang w:val="en-US" w:eastAsia="zh-CN"/>
        </w:rPr>
        <w:t>十二</w:t>
      </w:r>
      <w:r>
        <w:rPr>
          <w:rFonts w:hint="default" w:ascii="Times New Roman" w:hAnsi="Times New Roman" w:eastAsia="仿宋_GB2312" w:cs="Times New Roman"/>
          <w:b w:val="0"/>
          <w:bCs/>
          <w:color w:val="000000"/>
          <w:sz w:val="32"/>
          <w:szCs w:val="32"/>
        </w:rPr>
        <w:t>）监督检查财税法规、政策的执行情况，反映财政收支管理中的重大问题。</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w:t>
      </w:r>
      <w:r>
        <w:rPr>
          <w:rFonts w:hint="eastAsia" w:ascii="Times New Roman" w:hAnsi="Times New Roman" w:eastAsia="仿宋_GB2312" w:cs="Times New Roman"/>
          <w:b w:val="0"/>
          <w:bCs/>
          <w:sz w:val="32"/>
          <w:szCs w:val="32"/>
          <w:lang w:val="en-US" w:eastAsia="zh-CN"/>
        </w:rPr>
        <w:t>十三</w:t>
      </w: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kern w:val="0"/>
          <w:sz w:val="32"/>
          <w:szCs w:val="32"/>
        </w:rPr>
        <w:t>贯彻执行国家和自治区有关金融工作的方针、政策和法律、法规，会同有关部门拟订全县金融支持经济社会发展的政策措施和全县金融业发展规划或计划并组织实施;承担全县金融工作及金融工作议事协调机制的具体工作;负责组织实施自治县人民政府对地方金融机构的管理。</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eastAsia" w:ascii="Times New Roman" w:hAnsi="Times New Roman" w:eastAsia="仿宋_GB2312" w:cs="Times New Roman"/>
          <w:b w:val="0"/>
          <w:bCs/>
          <w:sz w:val="32"/>
          <w:szCs w:val="32"/>
          <w:lang w:val="en-US" w:eastAsia="zh-CN"/>
        </w:rPr>
        <w:t>十四</w:t>
      </w:r>
      <w:r>
        <w:rPr>
          <w:rFonts w:hint="default" w:ascii="Times New Roman" w:hAnsi="Times New Roman" w:eastAsia="仿宋_GB2312" w:cs="Times New Roman"/>
          <w:b w:val="0"/>
          <w:bCs/>
          <w:sz w:val="32"/>
          <w:szCs w:val="32"/>
        </w:rPr>
        <w:t>）完成自治县党委、自治县人民政府交办的其他事项。</w:t>
      </w:r>
    </w:p>
    <w:p>
      <w:pPr>
        <w:pStyle w:val="6"/>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800" w:firstLineChars="250"/>
        <w:jc w:val="both"/>
        <w:textAlignment w:val="auto"/>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w:t>
      </w:r>
      <w:r>
        <w:rPr>
          <w:rFonts w:hint="eastAsia" w:ascii="Times New Roman" w:hAnsi="Times New Roman" w:eastAsia="仿宋_GB2312" w:cs="Times New Roman"/>
          <w:b w:val="0"/>
          <w:bCs/>
          <w:sz w:val="32"/>
          <w:szCs w:val="32"/>
          <w:lang w:val="en-US" w:eastAsia="zh-CN"/>
        </w:rPr>
        <w:t>十五</w:t>
      </w:r>
      <w:r>
        <w:rPr>
          <w:rFonts w:hint="default" w:ascii="Times New Roman" w:hAnsi="Times New Roman" w:eastAsia="仿宋_GB2312" w:cs="Times New Roman"/>
          <w:b w:val="0"/>
          <w:bCs/>
          <w:kern w:val="2"/>
          <w:sz w:val="32"/>
          <w:szCs w:val="32"/>
          <w:lang w:val="en-US" w:eastAsia="zh-CN" w:bidi="ar-SA"/>
        </w:rPr>
        <w:t>)加强的职责</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深化财税体制改革。完善预算管理制度，加快建立全面规范、公开透明的现代预算制度。完善自治县和乡（镇）政府间财政关系，建立事权和支出责任相适应的制度。健全预算绩效管理机制，逐步将预算绩效管理范围覆盖各级预算单位和所有财政资金。</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防范化解政府性债务风险。健全防范化解政府性债务风险的制度体系，规范政府举债行为，坚决遏制隐性债务增量。强化属地风险处置责任，全面监测全县债务规模和分析风险状况，着力防控隐性债务风险，牢牢守住不发生系统性风险的底线。</w:t>
      </w:r>
    </w:p>
    <w:p>
      <w:pPr>
        <w:ind w:firstLine="640" w:firstLineChars="200"/>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spacing w:line="560" w:lineRule="exact"/>
        <w:ind w:firstLine="640" w:firstLineChars="200"/>
        <w:outlineLvl w:val="0"/>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i w:val="0"/>
          <w:iCs w:val="0"/>
          <w:caps w:val="0"/>
          <w:color w:val="333333"/>
          <w:spacing w:val="0"/>
          <w:sz w:val="32"/>
          <w:szCs w:val="32"/>
          <w:shd w:val="clear" w:fill="FFFFFF"/>
        </w:rPr>
        <w:t>根据职责，设</w:t>
      </w:r>
      <w:r>
        <w:rPr>
          <w:rFonts w:hint="default" w:ascii="Times New Roman" w:hAnsi="Times New Roman" w:eastAsia="仿宋_GB2312" w:cs="Times New Roman"/>
          <w:i w:val="0"/>
          <w:iCs w:val="0"/>
          <w:caps w:val="0"/>
          <w:color w:val="333333"/>
          <w:spacing w:val="0"/>
          <w:sz w:val="32"/>
          <w:szCs w:val="32"/>
          <w:shd w:val="clear" w:fill="FFFFFF"/>
          <w:lang w:val="en-US" w:eastAsia="zh-CN"/>
        </w:rPr>
        <w:t>17</w:t>
      </w:r>
      <w:r>
        <w:rPr>
          <w:rFonts w:hint="default" w:ascii="Times New Roman" w:hAnsi="Times New Roman" w:eastAsia="仿宋_GB2312" w:cs="Times New Roman"/>
          <w:i w:val="0"/>
          <w:iCs w:val="0"/>
          <w:caps w:val="0"/>
          <w:color w:val="333333"/>
          <w:spacing w:val="0"/>
          <w:sz w:val="32"/>
          <w:szCs w:val="32"/>
          <w:shd w:val="clear" w:fill="FFFFFF"/>
        </w:rPr>
        <w:t>个职能股室，具体为：</w:t>
      </w:r>
      <w:r>
        <w:rPr>
          <w:rFonts w:hint="default" w:ascii="Times New Roman" w:hAnsi="Times New Roman" w:eastAsia="仿宋_GB2312" w:cs="Times New Roman"/>
          <w:b w:val="0"/>
          <w:bCs/>
          <w:color w:val="000000"/>
          <w:sz w:val="32"/>
          <w:szCs w:val="32"/>
        </w:rPr>
        <w:t>办公室（</w:t>
      </w:r>
      <w:r>
        <w:rPr>
          <w:rFonts w:hint="default" w:ascii="Times New Roman" w:hAnsi="Times New Roman" w:eastAsia="仿宋_GB2312" w:cs="Times New Roman"/>
          <w:b w:val="0"/>
          <w:bCs/>
          <w:sz w:val="32"/>
          <w:szCs w:val="32"/>
        </w:rPr>
        <w:t>机关党建办公室</w:t>
      </w:r>
      <w:r>
        <w:rPr>
          <w:rFonts w:hint="default" w:ascii="Times New Roman" w:hAnsi="Times New Roman" w:eastAsia="仿宋_GB2312" w:cs="Times New Roman"/>
          <w:b w:val="0"/>
          <w:bCs/>
          <w:color w:val="000000"/>
          <w:sz w:val="32"/>
          <w:szCs w:val="32"/>
        </w:rPr>
        <w:t>）</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sz w:val="32"/>
          <w:szCs w:val="32"/>
        </w:rPr>
        <w:t>综合股</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法规监督检查股</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预算股(预算绩效管理股)</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债务管理股</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国库股</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行政政法股</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教科文股</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经济建设股</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工交股</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color w:val="000000"/>
          <w:sz w:val="32"/>
          <w:szCs w:val="32"/>
        </w:rPr>
        <w:t>行政事业单位国有资产管理股</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金融股</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社会保障股</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农业股</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农村财政财务管理股</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会计管理股</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政府采购监督管理股</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人事股</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机关后勤服务中心</w:t>
      </w:r>
      <w:r>
        <w:rPr>
          <w:rFonts w:hint="default" w:ascii="Times New Roman" w:hAnsi="Times New Roman" w:eastAsia="仿宋_GB2312" w:cs="Times New Roman"/>
          <w:b w:val="0"/>
          <w:bCs/>
          <w:sz w:val="32"/>
          <w:szCs w:val="32"/>
          <w:lang w:eastAsia="zh-CN"/>
        </w:rPr>
        <w:t>。</w:t>
      </w:r>
    </w:p>
    <w:p>
      <w:pPr>
        <w:spacing w:line="560" w:lineRule="exact"/>
        <w:ind w:firstLine="640" w:firstLineChars="200"/>
        <w:outlineLvl w:val="0"/>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shd w:val="clear" w:fill="FFFFFF"/>
        </w:rPr>
        <w:t> 二层单位有</w:t>
      </w:r>
      <w:r>
        <w:rPr>
          <w:rFonts w:hint="default" w:ascii="Times New Roman" w:hAnsi="Times New Roman" w:eastAsia="仿宋_GB2312" w:cs="Times New Roman"/>
          <w:i w:val="0"/>
          <w:iCs w:val="0"/>
          <w:caps w:val="0"/>
          <w:color w:val="333333"/>
          <w:spacing w:val="0"/>
          <w:sz w:val="32"/>
          <w:szCs w:val="32"/>
          <w:shd w:val="clear" w:fill="FFFFFF"/>
          <w:lang w:val="en-US" w:eastAsia="zh-CN"/>
        </w:rPr>
        <w:t>3</w:t>
      </w:r>
      <w:r>
        <w:rPr>
          <w:rFonts w:hint="default" w:ascii="Times New Roman" w:hAnsi="Times New Roman" w:eastAsia="仿宋_GB2312" w:cs="Times New Roman"/>
          <w:i w:val="0"/>
          <w:iCs w:val="0"/>
          <w:caps w:val="0"/>
          <w:color w:val="333333"/>
          <w:spacing w:val="0"/>
          <w:sz w:val="32"/>
          <w:szCs w:val="32"/>
          <w:shd w:val="clear" w:fill="FFFFFF"/>
        </w:rPr>
        <w:t>个，具体单位为：</w:t>
      </w:r>
      <w:r>
        <w:rPr>
          <w:rFonts w:hint="default" w:ascii="Times New Roman" w:hAnsi="Times New Roman" w:eastAsia="仿宋_GB2312" w:cs="Times New Roman"/>
          <w:i w:val="0"/>
          <w:iCs w:val="0"/>
          <w:caps w:val="0"/>
          <w:color w:val="333333"/>
          <w:spacing w:val="0"/>
          <w:sz w:val="32"/>
          <w:szCs w:val="32"/>
          <w:shd w:val="clear" w:fill="FFFFFF"/>
          <w:lang w:eastAsia="zh-CN"/>
        </w:rPr>
        <w:t>财政预算绩效管理评价中心、财政国库集中支付中心、财政投资评审中心、预算绩效评价中心、财政稽查中心和金融工作中心</w:t>
      </w:r>
      <w:r>
        <w:rPr>
          <w:rFonts w:hint="default" w:ascii="Times New Roman" w:hAnsi="Times New Roman" w:eastAsia="仿宋_GB2312" w:cs="Times New Roman"/>
          <w:i w:val="0"/>
          <w:iCs w:val="0"/>
          <w:caps w:val="0"/>
          <w:color w:val="333333"/>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333333"/>
          <w:spacing w:val="0"/>
          <w:sz w:val="32"/>
          <w:szCs w:val="32"/>
          <w:shd w:val="clear" w:fill="FFFFFF"/>
        </w:rPr>
        <w:t>。</w:t>
      </w:r>
    </w:p>
    <w:p>
      <w:pPr>
        <w:jc w:val="center"/>
        <w:rPr>
          <w:rFonts w:hint="eastAsia" w:ascii="黑体" w:hAnsi="黑体" w:eastAsia="黑体" w:cs="黑体"/>
          <w:sz w:val="32"/>
          <w:szCs w:val="32"/>
          <w:highlight w:val="none"/>
          <w:lang w:val="en-US" w:eastAsia="zh-CN"/>
        </w:rPr>
        <w:sectPr>
          <w:pgSz w:w="11906" w:h="16838"/>
          <w:pgMar w:top="1417" w:right="1587" w:bottom="1417" w:left="1587" w:header="851" w:footer="992" w:gutter="0"/>
          <w:cols w:space="0" w:num="1"/>
          <w:rtlGutter w:val="0"/>
          <w:docGrid w:type="lines" w:linePitch="312" w:charSpace="0"/>
        </w:sectPr>
      </w:pPr>
    </w:p>
    <w:p>
      <w:pPr>
        <w:jc w:val="center"/>
        <w:rPr>
          <w:rFonts w:hint="eastAsia" w:ascii="方正小标宋简体" w:hAnsi="方正小标宋简体" w:eastAsia="方正小标宋简体" w:cs="方正小标宋简体"/>
          <w:sz w:val="32"/>
          <w:szCs w:val="32"/>
          <w:highlight w:val="none"/>
        </w:rPr>
      </w:pPr>
      <w:r>
        <w:rPr>
          <w:rFonts w:hint="eastAsia" w:ascii="方正小标宋简体" w:hAnsi="方正小标宋简体" w:eastAsia="方正小标宋简体" w:cs="方正小标宋简体"/>
          <w:sz w:val="32"/>
          <w:szCs w:val="32"/>
          <w:highlight w:val="none"/>
        </w:rPr>
        <w:t>第二部分：</w:t>
      </w:r>
      <w:r>
        <w:rPr>
          <w:rFonts w:hint="eastAsia" w:ascii="方正小标宋简体" w:hAnsi="方正小标宋简体" w:eastAsia="方正小标宋简体" w:cs="方正小标宋简体"/>
          <w:sz w:val="32"/>
          <w:u w:color="auto"/>
        </w:rPr>
        <w:t>环江毛南族自治县财政局</w:t>
      </w:r>
      <w:r>
        <w:rPr>
          <w:rFonts w:hint="eastAsia" w:ascii="方正小标宋简体" w:hAnsi="方正小标宋简体" w:eastAsia="方正小标宋简体" w:cs="方正小标宋简体"/>
          <w:sz w:val="32"/>
          <w:szCs w:val="32"/>
          <w:highlight w:val="none"/>
        </w:rPr>
        <w:t xml:space="preserve"> 2022年度部门决算报表</w:t>
      </w:r>
    </w:p>
    <w:tbl>
      <w:tblPr>
        <w:tblStyle w:val="8"/>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b/>
                <w:bCs/>
                <w:sz w:val="24"/>
                <w:highlight w:val="none"/>
              </w:rPr>
            </w:pPr>
            <w:r>
              <w:rPr>
                <w:rFonts w:hint="eastAsia" w:ascii="仿宋" w:hAnsi="仿宋" w:eastAsia="仿宋" w:cs="仿宋"/>
                <w:b/>
                <w:bCs/>
                <w:sz w:val="24"/>
                <w:highlight w:val="none"/>
              </w:rPr>
              <w:t>表一：收入支出决算总表</w:t>
            </w: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b/>
                <w:bCs/>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广西河池市环江毛南族自治县财政局</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6882.33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1437.91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8.66</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103.35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5026.01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77.71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244.51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6890.99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6890.09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0.91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6890.99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6890.99</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8"/>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b/>
                <w:bCs/>
                <w:sz w:val="24"/>
                <w:highlight w:val="none"/>
              </w:rPr>
            </w:pPr>
            <w:r>
              <w:rPr>
                <w:rFonts w:hint="eastAsia" w:ascii="仿宋" w:hAnsi="仿宋" w:eastAsia="仿宋" w:cs="仿宋"/>
                <w:b/>
                <w:bCs/>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b/>
                <w:bCs/>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广西河池市环江毛南族自治县财政局</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6890.99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6882.33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8.66</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1438.82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1430.15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8.66</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政府办公厅（室）及相关机构事务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20106</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财政事务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1424.44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1415.78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8.66</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2010601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743.67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735.00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8.66</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2010604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预算改革业务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10.80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10.80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2010605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财政国库业务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2010606</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财政监察</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2010608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财政委托业务支出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340.37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340.37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2010699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其他财政事务支出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288.40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288.40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12.15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12.15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12.15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12.15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公共安全支出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公安</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103.35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103.35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103.35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103.35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103.35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103.35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农林水支出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5026.01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5026.01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农业农村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459.78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459.78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2130142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农村道路建设</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451.99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451.99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2130199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其他农业农村支出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7.78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7.78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巩固脱贫衔接乡村振兴</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2136.55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2136.55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2130504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农村基础设施建设</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2042.24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2042.24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2130599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其他巩固脱贫衔接乡村振兴支出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94.31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94.31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21307</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农村综合改革</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2330.81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2330.81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2130701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对村级公益事业建设的补助</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437.94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437.94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2130707</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农村综合改革示范试点补助</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1245.56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1245.56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2130799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其他农村综合改革支出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647.31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647.31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其他农林水支出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98.88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98.88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其他农林水支出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98.88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98.88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77.71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77.71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77.71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77.71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77.71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77.71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244.51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244.51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244.51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244.51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244.51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244.51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b/>
          <w:bCs/>
          <w:sz w:val="24"/>
          <w:highlight w:val="none"/>
        </w:rPr>
      </w:pPr>
      <w:r>
        <w:rPr>
          <w:rFonts w:hint="eastAsia" w:ascii="仿宋" w:hAnsi="仿宋" w:eastAsia="仿宋" w:cs="仿宋"/>
          <w:b/>
          <w:bCs/>
          <w:sz w:val="24"/>
          <w:highlight w:val="none"/>
        </w:rPr>
        <w:t>表三：支出决算表</w:t>
      </w:r>
    </w:p>
    <w:p>
      <w:pPr>
        <w:jc w:val="left"/>
        <w:rPr>
          <w:rFonts w:hint="eastAsia" w:ascii="仿宋" w:hAnsi="仿宋" w:eastAsia="仿宋" w:cs="仿宋"/>
          <w:sz w:val="24"/>
          <w:highlight w:val="none"/>
        </w:rPr>
      </w:pPr>
    </w:p>
    <w:tbl>
      <w:tblPr>
        <w:tblStyle w:val="8"/>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b/>
                <w:bCs/>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广西河池市环江毛南族自治县财政局</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6890.09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1164.58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5725.51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1437.91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738.41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699.50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政府办公厅（室）及相关机构事务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20106</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财政事务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1423.53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724.04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699.50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2010601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742.76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711.64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31.13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2010604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预算改革业务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10.80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10.80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2010605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财政国库业务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2010606</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财政监察</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2010608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财政委托业务支出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340.37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3.72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336.65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2010699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其他财政事务支出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288.40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8.68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279.73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12.15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12.15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12.15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12.15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公共安全支出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0.60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公安</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0.60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0.60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103.35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103.35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103.35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103.35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103.35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103.35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农林水支出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5026.01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5026.01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农业农村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459.78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459.78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2130142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农村道路建设</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451.99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451.99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2130199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其他农业农村支出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7.78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7.78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巩固脱贫衔接乡村振兴</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2136.55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2136.55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2130504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农村基础设施建设</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2042.24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2042.24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2130599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其他巩固脱贫衔接乡村振兴支出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94.31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94.31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21307</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农村综合改革</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2330.81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2330.81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2130701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对村级公益事业建设的补助</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437.94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437.94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2130707</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农村综合改革示范试点补助</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1245.56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1245.56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2130799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其他农村综合改革支出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647.31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647.31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其他农林水支出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98.88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98.88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其他农林水支出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98.88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98.88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77.71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77.71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77.71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77.71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77.71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77.71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244.51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244.51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244.51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244.51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244.51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244.51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b/>
          <w:bCs/>
          <w:sz w:val="24"/>
          <w:highlight w:val="none"/>
        </w:rPr>
      </w:pPr>
    </w:p>
    <w:p>
      <w:pPr>
        <w:jc w:val="left"/>
        <w:rPr>
          <w:rFonts w:hint="eastAsia" w:ascii="仿宋" w:hAnsi="仿宋" w:eastAsia="仿宋" w:cs="仿宋"/>
          <w:b/>
          <w:bCs/>
          <w:sz w:val="24"/>
          <w:highlight w:val="none"/>
        </w:rPr>
      </w:pPr>
      <w:r>
        <w:rPr>
          <w:rFonts w:hint="eastAsia" w:ascii="仿宋" w:hAnsi="仿宋" w:eastAsia="仿宋" w:cs="仿宋"/>
          <w:b/>
          <w:bCs/>
          <w:sz w:val="24"/>
          <w:highlight w:val="none"/>
        </w:rPr>
        <w:t>表四：财政拨款收入支出决算总表</w:t>
      </w:r>
    </w:p>
    <w:p>
      <w:pPr>
        <w:jc w:val="left"/>
        <w:rPr>
          <w:rFonts w:hint="eastAsia" w:ascii="仿宋" w:hAnsi="仿宋" w:eastAsia="仿宋" w:cs="仿宋"/>
          <w:sz w:val="24"/>
          <w:highlight w:val="none"/>
        </w:rPr>
      </w:pPr>
    </w:p>
    <w:tbl>
      <w:tblPr>
        <w:tblStyle w:val="8"/>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b/>
                <w:bCs/>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广西河池市环江毛南族自治县财政局</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6882.33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1430.15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1430.15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0.60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103.35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103.35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5026.01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5026.01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77.71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77.71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244.51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244.51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6882.33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6882.33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6882.33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6882.33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6882.33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6882.33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b/>
          <w:bCs/>
          <w:sz w:val="24"/>
          <w:highlight w:val="none"/>
        </w:rPr>
      </w:pPr>
      <w:r>
        <w:rPr>
          <w:rFonts w:hint="eastAsia" w:ascii="仿宋" w:hAnsi="仿宋" w:eastAsia="仿宋" w:cs="仿宋"/>
          <w:b/>
          <w:bCs/>
          <w:sz w:val="24"/>
          <w:highlight w:val="none"/>
        </w:rPr>
        <w:t>表五：一般公共预算财政拨款支出决算表</w:t>
      </w:r>
    </w:p>
    <w:p>
      <w:pPr>
        <w:jc w:val="left"/>
        <w:rPr>
          <w:rFonts w:hint="eastAsia" w:ascii="仿宋" w:hAnsi="仿宋" w:eastAsia="仿宋" w:cs="仿宋"/>
          <w:sz w:val="24"/>
          <w:highlight w:val="none"/>
        </w:rPr>
      </w:pPr>
    </w:p>
    <w:tbl>
      <w:tblPr>
        <w:tblStyle w:val="8"/>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b/>
                <w:bCs/>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广西河池市环江毛南族自治县财政局</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6882.33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1156.82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5725.51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1430.15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730.66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699.50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政府办公厅（室）及相关机构事务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2010301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20106</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财政事务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1415.78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716.28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699.50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2010601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735.00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703.88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31.13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2010604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预算改革业务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10.80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10.80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2010605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财政国库业务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2010606</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财政监察</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5.20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5.20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2010608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财政委托业务支出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340.37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336.65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2010699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其他财政事务支出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288.40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8.68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279.73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12.15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12.15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12.15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12.15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公共安全支出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20402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公安</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2040201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103.35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103.35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103.35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103.35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103.35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103.35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农林水支出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5026.01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5026.01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农业农村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459.78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459.78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2130142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农村道路建设</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451.99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451.99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2130199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其他农业农村支出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7.78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7.78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巩固脱贫衔接乡村振兴</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2136.55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2136.55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2130504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农村基础设施建设</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2042.24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2042.24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2130599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其他巩固脱贫衔接乡村振兴支出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94.31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94.31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21307</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农村综合改革</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2330.81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2330.81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2130701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对村级公益事业建设的补助</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437.94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437.94</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2130707</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农村综合改革示范试点补助</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1245.56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1245.56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2130799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其他农村综合改革支出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647.31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647.31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其他农林水支出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98.88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98.88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其他农林水支出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98.88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98.88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77.71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77.71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77.71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77.71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77.71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77.71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244.51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244.51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244.51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244.51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244.51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244.51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b/>
          <w:bCs/>
          <w:sz w:val="24"/>
          <w:highlight w:val="none"/>
        </w:rPr>
      </w:pPr>
      <w:r>
        <w:rPr>
          <w:rFonts w:hint="eastAsia" w:ascii="仿宋" w:hAnsi="仿宋" w:eastAsia="仿宋" w:cs="仿宋"/>
          <w:b/>
          <w:bCs/>
          <w:sz w:val="24"/>
          <w:highlight w:val="none"/>
        </w:rPr>
        <w:t>表六：一般公共预算财政拨款基本支出决算表</w:t>
      </w:r>
    </w:p>
    <w:p>
      <w:pPr>
        <w:jc w:val="left"/>
        <w:rPr>
          <w:rFonts w:hint="eastAsia" w:ascii="仿宋" w:hAnsi="仿宋" w:eastAsia="仿宋" w:cs="仿宋"/>
          <w:sz w:val="24"/>
          <w:highlight w:val="none"/>
        </w:rPr>
      </w:pPr>
    </w:p>
    <w:tbl>
      <w:tblPr>
        <w:tblStyle w:val="8"/>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b/>
                <w:bCs/>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广西河池市环江毛南族自治县财政局</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1042.57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38.89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276.82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189.43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323.38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8.77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0.94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105.06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4.09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21.65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40.65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10.04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78.46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9.96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75.36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11.01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27.71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24.04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12.15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12.60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1117.93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38.89</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b/>
          <w:bCs/>
          <w:sz w:val="24"/>
          <w:highlight w:val="none"/>
        </w:rPr>
      </w:pPr>
      <w:r>
        <w:rPr>
          <w:rFonts w:hint="eastAsia" w:ascii="仿宋" w:hAnsi="仿宋" w:eastAsia="仿宋" w:cs="仿宋"/>
          <w:b/>
          <w:bCs/>
          <w:sz w:val="24"/>
          <w:highlight w:val="none"/>
        </w:rPr>
        <w:t>表</w:t>
      </w:r>
      <w:r>
        <w:rPr>
          <w:rFonts w:hint="eastAsia" w:ascii="仿宋" w:hAnsi="仿宋" w:eastAsia="仿宋" w:cs="仿宋"/>
          <w:b/>
          <w:bCs/>
          <w:sz w:val="24"/>
          <w:highlight w:val="none"/>
          <w:lang w:val="en-US" w:eastAsia="zh-CN"/>
        </w:rPr>
        <w:t>七</w:t>
      </w:r>
      <w:r>
        <w:rPr>
          <w:rFonts w:hint="eastAsia" w:ascii="仿宋" w:hAnsi="仿宋" w:eastAsia="仿宋" w:cs="仿宋"/>
          <w:b/>
          <w:bCs/>
          <w:sz w:val="24"/>
          <w:highlight w:val="none"/>
        </w:rPr>
        <w:t>：政府性基金预算财政拨款收入支出决算表</w:t>
      </w:r>
    </w:p>
    <w:p>
      <w:pPr>
        <w:jc w:val="left"/>
        <w:rPr>
          <w:rFonts w:hint="eastAsia" w:ascii="仿宋" w:hAnsi="仿宋" w:eastAsia="仿宋" w:cs="仿宋"/>
          <w:sz w:val="24"/>
          <w:highlight w:val="none"/>
        </w:rPr>
      </w:pPr>
    </w:p>
    <w:tbl>
      <w:tblPr>
        <w:tblStyle w:val="8"/>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b/>
                <w:bCs/>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广西河池市环江毛南族自治县财政局</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r>
              <w:rPr>
                <w:rFonts w:hint="eastAsia" w:ascii="宋体" w:hAnsi="宋体" w:eastAsia="宋体" w:cs="宋体"/>
                <w:color w:val="000000"/>
                <w:kern w:val="0"/>
                <w:sz w:val="22"/>
                <w:szCs w:val="22"/>
                <w:highlight w:val="none"/>
                <w:lang w:val="en-US" w:eastAsia="zh-CN" w:bidi="ar"/>
              </w:rPr>
              <w:t>说明：本表无数据。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b/>
          <w:bCs/>
          <w:sz w:val="24"/>
          <w:highlight w:val="none"/>
        </w:rPr>
      </w:pPr>
      <w:r>
        <w:rPr>
          <w:rFonts w:hint="eastAsia" w:ascii="仿宋" w:hAnsi="仿宋" w:eastAsia="仿宋" w:cs="仿宋"/>
          <w:b/>
          <w:bCs/>
          <w:sz w:val="24"/>
          <w:highlight w:val="none"/>
        </w:rPr>
        <w:t>表</w:t>
      </w:r>
      <w:r>
        <w:rPr>
          <w:rFonts w:hint="eastAsia" w:ascii="仿宋" w:hAnsi="仿宋" w:eastAsia="仿宋" w:cs="仿宋"/>
          <w:b/>
          <w:bCs/>
          <w:sz w:val="24"/>
          <w:highlight w:val="none"/>
          <w:lang w:val="en-US" w:eastAsia="zh-CN"/>
        </w:rPr>
        <w:t>八</w:t>
      </w:r>
      <w:r>
        <w:rPr>
          <w:rFonts w:hint="eastAsia" w:ascii="仿宋" w:hAnsi="仿宋" w:eastAsia="仿宋" w:cs="仿宋"/>
          <w:b/>
          <w:bCs/>
          <w:sz w:val="24"/>
          <w:highlight w:val="none"/>
        </w:rPr>
        <w:t>：国有资本经营预算财政拨款支出决算表</w:t>
      </w:r>
    </w:p>
    <w:p>
      <w:pPr>
        <w:jc w:val="left"/>
        <w:rPr>
          <w:rFonts w:hint="eastAsia" w:ascii="仿宋" w:hAnsi="仿宋" w:eastAsia="仿宋" w:cs="仿宋"/>
          <w:sz w:val="24"/>
          <w:highlight w:val="none"/>
        </w:rPr>
      </w:pPr>
    </w:p>
    <w:tbl>
      <w:tblPr>
        <w:tblStyle w:val="8"/>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b/>
                <w:bCs/>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广西河池市环江毛南族自治县财政局</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r>
        <w:rPr>
          <w:rFonts w:hint="eastAsia" w:ascii="宋体" w:hAnsi="宋体" w:eastAsia="宋体" w:cs="宋体"/>
          <w:color w:val="000000"/>
          <w:kern w:val="0"/>
          <w:sz w:val="22"/>
          <w:szCs w:val="22"/>
          <w:highlight w:val="none"/>
          <w:lang w:val="en-US" w:eastAsia="zh-CN" w:bidi="ar"/>
        </w:rPr>
        <w:t>说明：本表无数据。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8"/>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b/>
                <w:bCs/>
                <w:sz w:val="24"/>
                <w:highlight w:val="none"/>
              </w:rPr>
            </w:pPr>
            <w:r>
              <w:rPr>
                <w:rFonts w:hint="eastAsia" w:ascii="仿宋" w:hAnsi="仿宋" w:eastAsia="仿宋" w:cs="仿宋"/>
                <w:b/>
                <w:bCs/>
                <w:sz w:val="24"/>
                <w:highlight w:val="none"/>
                <w:lang w:val="en-US" w:eastAsia="zh-CN"/>
              </w:rPr>
              <w:t>表九：</w:t>
            </w:r>
            <w:r>
              <w:rPr>
                <w:rFonts w:hint="eastAsia" w:ascii="仿宋" w:hAnsi="仿宋" w:eastAsia="仿宋" w:cs="仿宋"/>
                <w:b/>
                <w:bCs/>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bCs/>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b/>
                <w:bCs/>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广西河池市环江毛南族自治县财政局</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5.00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ind w:firstLine="420" w:firstLineChars="0"/>
        <w:jc w:val="left"/>
        <w:rPr>
          <w:rFonts w:ascii="仿宋" w:hAnsi="仿宋" w:eastAsia="仿宋" w:cs="仿宋"/>
          <w:sz w:val="24"/>
          <w:highlight w:val="none"/>
        </w:rPr>
        <w:sectPr>
          <w:pgSz w:w="16838" w:h="11906" w:orient="landscape"/>
          <w:pgMar w:top="96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hint="eastAsia" w:ascii="方正小标宋简体" w:hAnsi="方正小标宋简体" w:eastAsia="方正小标宋简体" w:cs="方正小标宋简体"/>
          <w:sz w:val="32"/>
          <w:szCs w:val="32"/>
          <w:highlight w:val="none"/>
        </w:rPr>
      </w:pPr>
      <w:r>
        <w:rPr>
          <w:rFonts w:hint="eastAsia" w:ascii="方正小标宋简体" w:hAnsi="方正小标宋简体" w:eastAsia="方正小标宋简体" w:cs="方正小标宋简体"/>
          <w:sz w:val="32"/>
          <w:szCs w:val="32"/>
          <w:highlight w:val="none"/>
        </w:rPr>
        <w:t>第三部分：</w:t>
      </w:r>
      <w:r>
        <w:rPr>
          <w:rFonts w:hint="eastAsia" w:ascii="方正小标宋简体" w:hAnsi="方正小标宋简体" w:eastAsia="方正小标宋简体" w:cs="方正小标宋简体"/>
          <w:sz w:val="32"/>
          <w:u w:color="auto"/>
        </w:rPr>
        <w:t>环江毛南族自治县财政局</w:t>
      </w:r>
      <w:r>
        <w:rPr>
          <w:rFonts w:hint="eastAsia" w:ascii="方正小标宋简体" w:hAnsi="方正小标宋简体" w:eastAsia="方正小标宋简体" w:cs="方正小标宋简体"/>
          <w:sz w:val="32"/>
          <w:szCs w:val="32"/>
          <w:highlight w:val="none"/>
        </w:rPr>
        <w:t>2022年度部门决算情况说明</w:t>
      </w:r>
    </w:p>
    <w:p>
      <w:pPr>
        <w:ind w:firstLine="640" w:firstLineChars="200"/>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3" w:firstLineChars="200"/>
        <w:jc w:val="left"/>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（一）本部门2022年度总收入</w:t>
      </w:r>
      <w:r>
        <w:rPr>
          <w:rFonts w:hint="eastAsia" w:ascii="楷体_GB2312" w:hAnsi="楷体_GB2312" w:eastAsia="楷体_GB2312" w:cs="楷体_GB2312"/>
          <w:b/>
          <w:bCs/>
          <w:sz w:val="32"/>
          <w:u w:color="auto"/>
        </w:rPr>
        <w:t>6890.99</w:t>
      </w:r>
      <w:r>
        <w:rPr>
          <w:rFonts w:hint="eastAsia" w:ascii="楷体_GB2312" w:hAnsi="楷体_GB2312" w:eastAsia="楷体_GB2312" w:cs="楷体_GB2312"/>
          <w:b/>
          <w:bCs/>
          <w:sz w:val="32"/>
          <w:szCs w:val="32"/>
          <w:highlight w:val="none"/>
        </w:rPr>
        <w:t>万元，较2021年度决算数</w:t>
      </w:r>
      <w:r>
        <w:rPr>
          <w:rFonts w:hint="eastAsia" w:ascii="楷体_GB2312" w:hAnsi="楷体_GB2312" w:eastAsia="楷体_GB2312" w:cs="楷体_GB2312"/>
          <w:b/>
          <w:bCs/>
          <w:sz w:val="32"/>
          <w:u w:color="auto"/>
        </w:rPr>
        <w:t>增加5246.67</w:t>
      </w:r>
      <w:r>
        <w:rPr>
          <w:rFonts w:hint="eastAsia" w:ascii="楷体_GB2312" w:hAnsi="楷体_GB2312" w:eastAsia="楷体_GB2312" w:cs="楷体_GB2312"/>
          <w:b/>
          <w:bCs/>
          <w:sz w:val="32"/>
          <w:szCs w:val="32"/>
          <w:highlight w:val="none"/>
        </w:rPr>
        <w:t>万元，</w:t>
      </w:r>
      <w:r>
        <w:rPr>
          <w:rFonts w:hint="eastAsia" w:ascii="楷体_GB2312" w:hAnsi="楷体_GB2312" w:eastAsia="楷体_GB2312" w:cs="楷体_GB2312"/>
          <w:b/>
          <w:bCs/>
          <w:sz w:val="32"/>
          <w:u w:color="auto"/>
        </w:rPr>
        <w:t>增长319.08%</w:t>
      </w:r>
      <w:r>
        <w:rPr>
          <w:rFonts w:hint="eastAsia" w:ascii="楷体_GB2312" w:hAnsi="楷体_GB2312" w:eastAsia="楷体_GB2312" w:cs="楷体_GB2312"/>
          <w:b/>
          <w:bCs/>
          <w:sz w:val="32"/>
          <w:szCs w:val="32"/>
          <w:highlight w:val="none"/>
        </w:rPr>
        <w:t>，其中本年收入</w:t>
      </w:r>
      <w:r>
        <w:rPr>
          <w:rFonts w:hint="eastAsia" w:ascii="楷体_GB2312" w:hAnsi="楷体_GB2312" w:eastAsia="楷体_GB2312" w:cs="楷体_GB2312"/>
          <w:b/>
          <w:bCs/>
          <w:sz w:val="32"/>
          <w:u w:color="auto"/>
        </w:rPr>
        <w:t>6890.99</w:t>
      </w:r>
      <w:r>
        <w:rPr>
          <w:rFonts w:hint="eastAsia" w:ascii="楷体_GB2312" w:hAnsi="楷体_GB2312" w:eastAsia="楷体_GB2312" w:cs="楷体_GB2312"/>
          <w:b/>
          <w:bCs/>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pPr>
      <w:r>
        <w:rPr>
          <w:rFonts w:hint="eastAsia" w:ascii="仿宋_GB2312" w:hAnsi="仿宋_GB2312" w:eastAsia="仿宋_GB2312" w:cs="仿宋_GB2312"/>
          <w:kern w:val="2"/>
          <w:sz w:val="32"/>
          <w:szCs w:val="32"/>
          <w:highlight w:val="none"/>
          <w:lang w:val="en-US" w:eastAsia="zh-CN" w:bidi="ar"/>
        </w:rPr>
        <w:t>1.一般公共预算财政拨款收入</w:t>
      </w:r>
      <w:r>
        <w:rPr>
          <w:rFonts w:hint="eastAsia" w:ascii="仿宋_GB2312" w:hAnsi="仿宋_GB2312" w:eastAsia="仿宋_GB2312" w:cs="仿宋_GB2312"/>
          <w:sz w:val="32"/>
          <w:szCs w:val="32"/>
          <w:u w:color="auto"/>
        </w:rPr>
        <w:t>6882.33</w:t>
      </w:r>
      <w:r>
        <w:rPr>
          <w:rFonts w:hint="eastAsia" w:ascii="仿宋_GB2312" w:hAnsi="仿宋_GB2312" w:eastAsia="仿宋_GB2312" w:cs="仿宋_GB2312"/>
          <w:kern w:val="2"/>
          <w:sz w:val="32"/>
          <w:szCs w:val="32"/>
          <w:highlight w:val="none"/>
          <w:lang w:val="en-US" w:eastAsia="zh-CN" w:bidi="ar"/>
        </w:rPr>
        <w:t>万元，为</w:t>
      </w:r>
      <w:r>
        <w:rPr>
          <w:rFonts w:hint="eastAsia" w:ascii="仿宋_GB2312" w:hAnsi="仿宋_GB2312" w:eastAsia="仿宋_GB2312" w:cs="仿宋_GB2312"/>
          <w:sz w:val="32"/>
          <w:szCs w:val="32"/>
          <w:highlight w:val="none"/>
        </w:rPr>
        <w:t>环江毛南族自治县</w:t>
      </w:r>
      <w:r>
        <w:rPr>
          <w:rFonts w:hint="eastAsia" w:ascii="仿宋_GB2312" w:hAnsi="仿宋_GB2312" w:eastAsia="仿宋_GB2312" w:cs="仿宋_GB2312"/>
          <w:kern w:val="2"/>
          <w:sz w:val="32"/>
          <w:szCs w:val="32"/>
          <w:highlight w:val="none"/>
          <w:lang w:val="en-US" w:eastAsia="zh-CN" w:bidi="ar"/>
        </w:rPr>
        <w:t>本级财政当年拨付的资金。较2021年度决算数</w:t>
      </w:r>
      <w:r>
        <w:rPr>
          <w:rFonts w:hint="eastAsia" w:ascii="仿宋_GB2312" w:hAnsi="仿宋_GB2312" w:eastAsia="仿宋_GB2312" w:cs="仿宋_GB2312"/>
          <w:sz w:val="32"/>
          <w:szCs w:val="32"/>
          <w:u w:color="auto"/>
        </w:rPr>
        <w:t>增加5311.82</w:t>
      </w:r>
      <w:r>
        <w:rPr>
          <w:rFonts w:hint="eastAsia" w:ascii="仿宋_GB2312" w:hAnsi="仿宋_GB2312" w:eastAsia="仿宋_GB2312" w:cs="仿宋_GB2312"/>
          <w:kern w:val="2"/>
          <w:sz w:val="32"/>
          <w:szCs w:val="32"/>
          <w:highlight w:val="none"/>
          <w:lang w:val="en-US" w:eastAsia="zh-CN" w:bidi="ar"/>
        </w:rPr>
        <w:t>万元，</w:t>
      </w:r>
      <w:r>
        <w:rPr>
          <w:rFonts w:hint="eastAsia" w:ascii="仿宋_GB2312" w:hAnsi="仿宋_GB2312" w:eastAsia="仿宋_GB2312" w:cs="仿宋_GB2312"/>
          <w:sz w:val="32"/>
          <w:szCs w:val="32"/>
          <w:u w:color="auto"/>
        </w:rPr>
        <w:t>增长338.22%</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w:t>
      </w:r>
      <w:r>
        <w:rPr>
          <w:rFonts w:hint="eastAsia" w:ascii="仿宋_GB2312" w:hAnsi="仿宋_GB2312" w:eastAsia="仿宋_GB2312" w:cs="仿宋_GB2312"/>
          <w:color w:val="auto"/>
          <w:sz w:val="32"/>
          <w:szCs w:val="32"/>
          <w:highlight w:val="none"/>
          <w:lang w:val="en-US" w:eastAsia="zh-CN"/>
        </w:rPr>
        <w:t>全县脱贫攻坚成果与乡村振兴有效衔接项目建设、农村综合改革美丽乡村建设和革命老区项目建设</w:t>
      </w:r>
      <w:r>
        <w:rPr>
          <w:rFonts w:hint="eastAsia" w:ascii="仿宋_GB2312" w:hAnsi="仿宋_GB2312" w:eastAsia="仿宋_GB2312" w:cs="仿宋_GB2312"/>
          <w:color w:val="auto"/>
          <w:sz w:val="32"/>
          <w:szCs w:val="32"/>
          <w:highlight w:val="none"/>
          <w:lang w:eastAsia="zh-CN"/>
        </w:rPr>
        <w:t>资金核算合并到局财务统一核算，故项目支出数据增加幅度较大。</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kern w:val="2"/>
          <w:sz w:val="32"/>
          <w:szCs w:val="32"/>
          <w:highlight w:val="none"/>
          <w:lang w:val="en-US" w:eastAsia="zh-CN" w:bidi="ar"/>
        </w:rPr>
        <w:t>2.政府性基金预算财政拨款收入</w:t>
      </w:r>
      <w:r>
        <w:rPr>
          <w:rFonts w:hint="eastAsia" w:ascii="仿宋_GB2312" w:hAnsi="仿宋_GB2312" w:eastAsia="仿宋_GB2312" w:cs="仿宋_GB2312"/>
          <w:sz w:val="32"/>
          <w:szCs w:val="32"/>
          <w:u w:color="auto"/>
        </w:rPr>
        <w:t>0.00</w:t>
      </w:r>
      <w:r>
        <w:rPr>
          <w:rFonts w:hint="eastAsia" w:ascii="仿宋_GB2312" w:hAnsi="仿宋_GB2312" w:eastAsia="仿宋_GB2312" w:cs="仿宋_GB2312"/>
          <w:kern w:val="2"/>
          <w:sz w:val="32"/>
          <w:szCs w:val="32"/>
          <w:highlight w:val="none"/>
          <w:lang w:val="en-US" w:eastAsia="zh-CN" w:bidi="ar"/>
        </w:rPr>
        <w:t>万元，为</w:t>
      </w:r>
      <w:r>
        <w:rPr>
          <w:rFonts w:hint="eastAsia" w:ascii="仿宋_GB2312" w:hAnsi="仿宋_GB2312" w:eastAsia="仿宋_GB2312" w:cs="仿宋_GB2312"/>
          <w:sz w:val="32"/>
          <w:szCs w:val="32"/>
          <w:highlight w:val="none"/>
        </w:rPr>
        <w:t>环江毛南族自治县</w:t>
      </w:r>
      <w:r>
        <w:rPr>
          <w:rFonts w:hint="eastAsia" w:ascii="仿宋_GB2312" w:hAnsi="仿宋_GB2312" w:eastAsia="仿宋_GB2312" w:cs="仿宋_GB2312"/>
          <w:kern w:val="2"/>
          <w:sz w:val="32"/>
          <w:szCs w:val="32"/>
          <w:highlight w:val="none"/>
          <w:lang w:val="en-US" w:eastAsia="zh-CN" w:bidi="ar"/>
        </w:rPr>
        <w:t>本级财政当年拨付的资金。较2021年度决算数</w:t>
      </w:r>
      <w:r>
        <w:rPr>
          <w:rFonts w:hint="eastAsia" w:ascii="仿宋_GB2312" w:hAnsi="仿宋_GB2312" w:eastAsia="仿宋_GB2312" w:cs="仿宋_GB2312"/>
          <w:sz w:val="32"/>
          <w:szCs w:val="32"/>
          <w:u w:color="auto"/>
        </w:rPr>
        <w:t>增加0.00</w:t>
      </w:r>
      <w:r>
        <w:rPr>
          <w:rFonts w:hint="eastAsia" w:ascii="仿宋_GB2312" w:hAnsi="仿宋_GB2312" w:eastAsia="仿宋_GB2312" w:cs="仿宋_GB2312"/>
          <w:kern w:val="2"/>
          <w:sz w:val="32"/>
          <w:szCs w:val="32"/>
          <w:highlight w:val="none"/>
          <w:lang w:val="en-US" w:eastAsia="zh-CN" w:bidi="ar"/>
        </w:rPr>
        <w:t>万元，</w:t>
      </w:r>
      <w:r>
        <w:rPr>
          <w:rFonts w:hint="eastAsia" w:ascii="仿宋_GB2312" w:hAnsi="仿宋_GB2312" w:eastAsia="仿宋_GB2312" w:cs="仿宋_GB2312"/>
          <w:sz w:val="32"/>
          <w:szCs w:val="32"/>
          <w:u w:color="auto"/>
        </w:rPr>
        <w:t>增长0%</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主要原因：本部门2022年度没有政府性基金预算财政拨款收入，故本年度收入无数据</w:t>
      </w:r>
      <w:r>
        <w:rPr>
          <w:rFonts w:hint="eastAsia" w:ascii="仿宋_GB2312" w:hAnsi="仿宋_GB2312" w:eastAsia="仿宋_GB2312" w:cs="仿宋_GB2312"/>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kern w:val="2"/>
          <w:sz w:val="32"/>
          <w:szCs w:val="32"/>
          <w:highlight w:val="none"/>
          <w:lang w:val="en-US" w:eastAsia="zh-CN" w:bidi="ar"/>
        </w:rPr>
        <w:t>3.国有资本经营预算财政拨款收入</w:t>
      </w:r>
      <w:r>
        <w:rPr>
          <w:rFonts w:hint="eastAsia" w:ascii="仿宋_GB2312" w:hAnsi="仿宋_GB2312" w:eastAsia="仿宋_GB2312" w:cs="仿宋_GB2312"/>
          <w:sz w:val="32"/>
          <w:szCs w:val="32"/>
          <w:u w:color="auto"/>
        </w:rPr>
        <w:t>0.00</w:t>
      </w:r>
      <w:r>
        <w:rPr>
          <w:rFonts w:hint="eastAsia" w:ascii="仿宋_GB2312" w:hAnsi="仿宋_GB2312" w:eastAsia="仿宋_GB2312" w:cs="仿宋_GB2312"/>
          <w:kern w:val="2"/>
          <w:sz w:val="32"/>
          <w:szCs w:val="32"/>
          <w:highlight w:val="none"/>
          <w:lang w:val="en-US" w:eastAsia="zh-CN" w:bidi="ar"/>
        </w:rPr>
        <w:t>万元。为</w:t>
      </w:r>
      <w:r>
        <w:rPr>
          <w:rFonts w:hint="eastAsia" w:ascii="仿宋_GB2312" w:hAnsi="仿宋_GB2312" w:eastAsia="仿宋_GB2312" w:cs="仿宋_GB2312"/>
          <w:sz w:val="32"/>
          <w:szCs w:val="32"/>
          <w:highlight w:val="none"/>
        </w:rPr>
        <w:t>环江毛南族自治县</w:t>
      </w:r>
      <w:r>
        <w:rPr>
          <w:rFonts w:hint="eastAsia" w:ascii="仿宋_GB2312" w:hAnsi="仿宋_GB2312" w:eastAsia="仿宋_GB2312" w:cs="仿宋_GB2312"/>
          <w:kern w:val="2"/>
          <w:sz w:val="32"/>
          <w:szCs w:val="32"/>
          <w:highlight w:val="none"/>
          <w:lang w:val="en-US" w:eastAsia="zh-CN" w:bidi="ar"/>
        </w:rPr>
        <w:t>本级财政当年拨付的资金。较2021年度决算数</w:t>
      </w:r>
      <w:r>
        <w:rPr>
          <w:rFonts w:hint="eastAsia" w:ascii="仿宋_GB2312" w:hAnsi="仿宋_GB2312" w:eastAsia="仿宋_GB2312" w:cs="仿宋_GB2312"/>
          <w:sz w:val="32"/>
          <w:szCs w:val="32"/>
          <w:u w:color="auto"/>
        </w:rPr>
        <w:t>增加0.00</w:t>
      </w:r>
      <w:r>
        <w:rPr>
          <w:rFonts w:hint="eastAsia" w:ascii="仿宋_GB2312" w:hAnsi="仿宋_GB2312" w:eastAsia="仿宋_GB2312" w:cs="仿宋_GB2312"/>
          <w:kern w:val="2"/>
          <w:sz w:val="32"/>
          <w:szCs w:val="32"/>
          <w:highlight w:val="none"/>
          <w:lang w:val="en-US" w:eastAsia="zh-CN" w:bidi="ar"/>
        </w:rPr>
        <w:t>万元,</w:t>
      </w:r>
      <w:r>
        <w:rPr>
          <w:rFonts w:hint="eastAsia" w:ascii="仿宋_GB2312" w:hAnsi="仿宋_GB2312" w:eastAsia="仿宋_GB2312" w:cs="仿宋_GB2312"/>
          <w:sz w:val="32"/>
          <w:szCs w:val="32"/>
          <w:u w:color="auto"/>
        </w:rPr>
        <w:t>增长0%</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主要原因是：本部门2022年度没有</w:t>
      </w:r>
      <w:r>
        <w:rPr>
          <w:rFonts w:hint="eastAsia" w:ascii="仿宋_GB2312" w:hAnsi="仿宋_GB2312" w:eastAsia="仿宋_GB2312" w:cs="仿宋_GB2312"/>
          <w:kern w:val="2"/>
          <w:sz w:val="32"/>
          <w:szCs w:val="32"/>
          <w:highlight w:val="none"/>
          <w:lang w:val="en-US" w:eastAsia="zh-CN" w:bidi="ar"/>
        </w:rPr>
        <w:t>国有资本经营预算财政拨款收入</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，故本年度收入无数据</w:t>
      </w:r>
      <w:r>
        <w:rPr>
          <w:rFonts w:hint="eastAsia" w:ascii="仿宋_GB2312" w:hAnsi="仿宋_GB2312" w:eastAsia="仿宋_GB2312" w:cs="仿宋_GB2312"/>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kern w:val="2"/>
          <w:sz w:val="32"/>
          <w:szCs w:val="32"/>
          <w:highlight w:val="none"/>
          <w:lang w:val="en-US" w:eastAsia="zh-CN" w:bidi="ar"/>
        </w:rPr>
        <w:t>4.上级补助收入</w:t>
      </w:r>
      <w:r>
        <w:rPr>
          <w:rFonts w:hint="eastAsia" w:ascii="仿宋_GB2312" w:hAnsi="仿宋_GB2312" w:eastAsia="仿宋_GB2312" w:cs="仿宋_GB2312"/>
          <w:sz w:val="32"/>
          <w:szCs w:val="32"/>
          <w:u w:color="auto"/>
        </w:rPr>
        <w:t>0.00</w:t>
      </w:r>
      <w:r>
        <w:rPr>
          <w:rFonts w:hint="eastAsia" w:ascii="仿宋_GB2312" w:hAnsi="仿宋_GB2312" w:eastAsia="仿宋_GB2312" w:cs="仿宋_GB2312"/>
          <w:kern w:val="2"/>
          <w:sz w:val="32"/>
          <w:szCs w:val="32"/>
          <w:highlight w:val="none"/>
          <w:lang w:val="en-US" w:eastAsia="zh-CN" w:bidi="ar"/>
        </w:rPr>
        <w:t>万元，为上级部门当年拨付的资金。较2021年度决算数</w:t>
      </w:r>
      <w:r>
        <w:rPr>
          <w:rFonts w:hint="eastAsia" w:ascii="仿宋_GB2312" w:hAnsi="仿宋_GB2312" w:eastAsia="仿宋_GB2312" w:cs="仿宋_GB2312"/>
          <w:sz w:val="32"/>
          <w:szCs w:val="32"/>
          <w:u w:color="auto"/>
        </w:rPr>
        <w:t>增加0.00</w:t>
      </w:r>
      <w:r>
        <w:rPr>
          <w:rFonts w:hint="eastAsia" w:ascii="仿宋_GB2312" w:hAnsi="仿宋_GB2312" w:eastAsia="仿宋_GB2312" w:cs="仿宋_GB2312"/>
          <w:kern w:val="2"/>
          <w:sz w:val="32"/>
          <w:szCs w:val="32"/>
          <w:highlight w:val="none"/>
          <w:lang w:val="en-US" w:eastAsia="zh-CN" w:bidi="ar"/>
        </w:rPr>
        <w:t>万元,</w:t>
      </w:r>
      <w:r>
        <w:rPr>
          <w:rFonts w:hint="eastAsia" w:ascii="仿宋_GB2312" w:hAnsi="仿宋_GB2312" w:eastAsia="仿宋_GB2312" w:cs="仿宋_GB2312"/>
          <w:sz w:val="32"/>
          <w:szCs w:val="32"/>
          <w:u w:color="auto"/>
        </w:rPr>
        <w:t>增长0%</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主要原因是：本部门2022年度没有上级补助收入，故本年度收入无数据</w:t>
      </w:r>
      <w:r>
        <w:rPr>
          <w:rFonts w:hint="eastAsia" w:ascii="仿宋_GB2312" w:hAnsi="仿宋_GB2312" w:eastAsia="仿宋_GB2312" w:cs="仿宋_GB2312"/>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kern w:val="2"/>
          <w:sz w:val="32"/>
          <w:szCs w:val="32"/>
          <w:highlight w:val="none"/>
          <w:lang w:val="en-US" w:eastAsia="zh-CN" w:bidi="ar"/>
        </w:rPr>
        <w:t>5.事业收入</w:t>
      </w:r>
      <w:r>
        <w:rPr>
          <w:rFonts w:hint="eastAsia" w:ascii="仿宋_GB2312" w:hAnsi="仿宋_GB2312" w:eastAsia="仿宋_GB2312" w:cs="仿宋_GB2312"/>
          <w:sz w:val="32"/>
          <w:szCs w:val="32"/>
          <w:u w:color="auto"/>
        </w:rPr>
        <w:t>0.00</w:t>
      </w:r>
      <w:r>
        <w:rPr>
          <w:rFonts w:hint="eastAsia" w:ascii="仿宋_GB2312" w:hAnsi="仿宋_GB2312" w:eastAsia="仿宋_GB2312" w:cs="仿宋_GB2312"/>
          <w:kern w:val="2"/>
          <w:sz w:val="32"/>
          <w:szCs w:val="32"/>
          <w:highlight w:val="none"/>
          <w:lang w:val="en-US" w:eastAsia="zh-CN" w:bidi="ar"/>
        </w:rPr>
        <w:t>万元，为事业单位开展业务活动取得的收入。较2021年度决算数</w:t>
      </w:r>
      <w:r>
        <w:rPr>
          <w:rFonts w:hint="eastAsia" w:ascii="仿宋_GB2312" w:hAnsi="仿宋_GB2312" w:eastAsia="仿宋_GB2312" w:cs="仿宋_GB2312"/>
          <w:sz w:val="32"/>
          <w:szCs w:val="32"/>
          <w:u w:color="auto"/>
        </w:rPr>
        <w:t>增加0.00</w:t>
      </w:r>
      <w:r>
        <w:rPr>
          <w:rFonts w:hint="eastAsia" w:ascii="仿宋_GB2312" w:hAnsi="仿宋_GB2312" w:eastAsia="仿宋_GB2312" w:cs="仿宋_GB2312"/>
          <w:kern w:val="2"/>
          <w:sz w:val="32"/>
          <w:szCs w:val="32"/>
          <w:highlight w:val="none"/>
          <w:lang w:val="en-US" w:eastAsia="zh-CN" w:bidi="ar"/>
        </w:rPr>
        <w:t>万元,</w:t>
      </w:r>
      <w:r>
        <w:rPr>
          <w:rFonts w:hint="eastAsia" w:ascii="仿宋_GB2312" w:hAnsi="仿宋_GB2312" w:eastAsia="仿宋_GB2312" w:cs="仿宋_GB2312"/>
          <w:sz w:val="32"/>
          <w:szCs w:val="32"/>
          <w:u w:color="auto"/>
        </w:rPr>
        <w:t>增长0%</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主要原因是：本部门2022年度没有事业收入，故本年度收入无数据</w:t>
      </w:r>
      <w:r>
        <w:rPr>
          <w:rFonts w:hint="eastAsia" w:ascii="仿宋_GB2312" w:hAnsi="仿宋_GB2312" w:eastAsia="仿宋_GB2312" w:cs="仿宋_GB2312"/>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kern w:val="2"/>
          <w:sz w:val="32"/>
          <w:szCs w:val="32"/>
          <w:highlight w:val="none"/>
          <w:lang w:val="en-US" w:eastAsia="zh-CN" w:bidi="ar"/>
        </w:rPr>
        <w:t>6.经营收入0.00万,为事业单位在业务活动之外开展非独立核算经营活动取得的收入。较2021年度决算数</w:t>
      </w:r>
      <w:r>
        <w:rPr>
          <w:rFonts w:hint="eastAsia" w:ascii="仿宋_GB2312" w:hAnsi="仿宋_GB2312" w:eastAsia="仿宋_GB2312" w:cs="仿宋_GB2312"/>
          <w:sz w:val="32"/>
          <w:szCs w:val="32"/>
          <w:u w:color="auto"/>
        </w:rPr>
        <w:t>增加0.00</w:t>
      </w:r>
      <w:r>
        <w:rPr>
          <w:rFonts w:hint="eastAsia" w:ascii="仿宋_GB2312" w:hAnsi="仿宋_GB2312" w:eastAsia="仿宋_GB2312" w:cs="仿宋_GB2312"/>
          <w:kern w:val="2"/>
          <w:sz w:val="32"/>
          <w:szCs w:val="32"/>
          <w:highlight w:val="none"/>
          <w:lang w:val="en-US" w:eastAsia="zh-CN" w:bidi="ar"/>
        </w:rPr>
        <w:t>万元，</w:t>
      </w:r>
      <w:r>
        <w:rPr>
          <w:rFonts w:hint="eastAsia" w:ascii="仿宋_GB2312" w:hAnsi="仿宋_GB2312" w:eastAsia="仿宋_GB2312" w:cs="仿宋_GB2312"/>
          <w:sz w:val="32"/>
          <w:szCs w:val="32"/>
          <w:u w:color="auto"/>
        </w:rPr>
        <w:t>增长0%</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主要原因是：本部门2022年度没有经营收入，故本年度收入无数据</w:t>
      </w:r>
      <w:r>
        <w:rPr>
          <w:rFonts w:hint="eastAsia" w:ascii="仿宋_GB2312" w:hAnsi="仿宋_GB2312" w:eastAsia="仿宋_GB2312" w:cs="仿宋_GB2312"/>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kern w:val="2"/>
          <w:sz w:val="32"/>
          <w:szCs w:val="32"/>
          <w:highlight w:val="none"/>
          <w:lang w:val="en-US" w:eastAsia="zh-CN" w:bidi="ar"/>
        </w:rPr>
        <w:t>7.附属单位上缴收入</w:t>
      </w:r>
      <w:r>
        <w:rPr>
          <w:rFonts w:hint="eastAsia" w:ascii="仿宋_GB2312" w:hAnsi="仿宋_GB2312" w:eastAsia="仿宋_GB2312" w:cs="仿宋_GB2312"/>
          <w:sz w:val="32"/>
          <w:szCs w:val="32"/>
          <w:u w:color="auto"/>
        </w:rPr>
        <w:t>0.00</w:t>
      </w:r>
      <w:r>
        <w:rPr>
          <w:rFonts w:hint="eastAsia" w:ascii="仿宋_GB2312" w:hAnsi="仿宋_GB2312" w:eastAsia="仿宋_GB2312" w:cs="仿宋_GB2312"/>
          <w:kern w:val="2"/>
          <w:sz w:val="32"/>
          <w:szCs w:val="32"/>
          <w:highlight w:val="none"/>
          <w:lang w:val="en-US" w:eastAsia="zh-CN" w:bidi="ar"/>
        </w:rPr>
        <w:t>万元。较2021年度决算数</w:t>
      </w:r>
      <w:r>
        <w:rPr>
          <w:rFonts w:hint="eastAsia" w:ascii="仿宋_GB2312" w:hAnsi="仿宋_GB2312" w:eastAsia="仿宋_GB2312" w:cs="仿宋_GB2312"/>
          <w:sz w:val="32"/>
          <w:szCs w:val="32"/>
          <w:u w:color="auto"/>
        </w:rPr>
        <w:t>增加0.00</w:t>
      </w:r>
      <w:r>
        <w:rPr>
          <w:rFonts w:hint="eastAsia" w:ascii="仿宋_GB2312" w:hAnsi="仿宋_GB2312" w:eastAsia="仿宋_GB2312" w:cs="仿宋_GB2312"/>
          <w:kern w:val="2"/>
          <w:sz w:val="32"/>
          <w:szCs w:val="32"/>
          <w:highlight w:val="none"/>
          <w:lang w:val="en-US" w:eastAsia="zh-CN" w:bidi="ar"/>
        </w:rPr>
        <w:t>万元，</w:t>
      </w:r>
      <w:r>
        <w:rPr>
          <w:rFonts w:hint="eastAsia" w:ascii="仿宋_GB2312" w:hAnsi="仿宋_GB2312" w:eastAsia="仿宋_GB2312" w:cs="仿宋_GB2312"/>
          <w:sz w:val="32"/>
          <w:szCs w:val="32"/>
          <w:u w:color="auto"/>
        </w:rPr>
        <w:t>增长0%</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主要原因是：本部门2022年度没有附属单位上缴收入，故本年度收入无数据</w:t>
      </w:r>
      <w:r>
        <w:rPr>
          <w:rFonts w:hint="eastAsia" w:ascii="仿宋_GB2312" w:hAnsi="仿宋_GB2312" w:eastAsia="仿宋_GB2312" w:cs="仿宋_GB2312"/>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FF0000"/>
          <w:sz w:val="32"/>
          <w:szCs w:val="32"/>
          <w:highlight w:val="none"/>
          <w:lang w:val="en-US"/>
        </w:rPr>
      </w:pPr>
      <w:r>
        <w:rPr>
          <w:rFonts w:hint="eastAsia" w:ascii="仿宋_GB2312" w:hAnsi="仿宋_GB2312" w:eastAsia="仿宋_GB2312" w:cs="仿宋_GB2312"/>
          <w:kern w:val="2"/>
          <w:sz w:val="32"/>
          <w:szCs w:val="32"/>
          <w:highlight w:val="none"/>
          <w:lang w:val="en-US" w:eastAsia="zh-CN" w:bidi="ar"/>
        </w:rPr>
        <w:t>8.其他收入</w:t>
      </w:r>
      <w:r>
        <w:rPr>
          <w:rFonts w:hint="eastAsia" w:ascii="仿宋_GB2312" w:hAnsi="仿宋_GB2312" w:eastAsia="仿宋_GB2312" w:cs="仿宋_GB2312"/>
          <w:sz w:val="32"/>
          <w:szCs w:val="32"/>
          <w:u w:color="auto"/>
        </w:rPr>
        <w:t>8.66</w:t>
      </w:r>
      <w:r>
        <w:rPr>
          <w:rFonts w:hint="eastAsia" w:ascii="仿宋_GB2312" w:hAnsi="仿宋_GB2312" w:eastAsia="仿宋_GB2312" w:cs="仿宋_GB2312"/>
          <w:kern w:val="2"/>
          <w:sz w:val="32"/>
          <w:szCs w:val="32"/>
          <w:highlight w:val="none"/>
          <w:lang w:val="en-US" w:eastAsia="zh-CN" w:bidi="ar"/>
        </w:rPr>
        <w:t>万元,为预算单位在“财政拨款收入”“事业收入”“经营收入”之外取得的收入。较2021年度决算数</w:t>
      </w:r>
      <w:r>
        <w:rPr>
          <w:rFonts w:hint="eastAsia" w:ascii="仿宋_GB2312" w:hAnsi="仿宋_GB2312" w:eastAsia="仿宋_GB2312" w:cs="仿宋_GB2312"/>
          <w:sz w:val="32"/>
          <w:szCs w:val="32"/>
          <w:u w:color="auto"/>
        </w:rPr>
        <w:t>增加6.07</w:t>
      </w:r>
      <w:r>
        <w:rPr>
          <w:rFonts w:hint="eastAsia" w:ascii="仿宋_GB2312" w:hAnsi="仿宋_GB2312" w:eastAsia="仿宋_GB2312" w:cs="仿宋_GB2312"/>
          <w:kern w:val="2"/>
          <w:sz w:val="32"/>
          <w:szCs w:val="32"/>
          <w:highlight w:val="none"/>
          <w:lang w:val="en-US" w:eastAsia="zh-CN" w:bidi="ar"/>
        </w:rPr>
        <w:t>万元，</w:t>
      </w:r>
      <w:r>
        <w:rPr>
          <w:rFonts w:hint="eastAsia" w:ascii="仿宋_GB2312" w:hAnsi="仿宋_GB2312" w:eastAsia="仿宋_GB2312" w:cs="仿宋_GB2312"/>
          <w:sz w:val="32"/>
          <w:szCs w:val="32"/>
          <w:u w:color="auto"/>
        </w:rPr>
        <w:t>增长234.36%</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主要原因是：本部门2022年度其他收入为代缴代收大院内住户水电</w:t>
      </w:r>
      <w:r>
        <w:rPr>
          <w:rFonts w:hint="eastAsia" w:ascii="仿宋_GB2312" w:hAnsi="仿宋_GB2312" w:eastAsia="仿宋_GB2312" w:cs="仿宋_GB2312"/>
          <w:color w:val="auto"/>
          <w:kern w:val="2"/>
          <w:sz w:val="32"/>
          <w:szCs w:val="32"/>
          <w:highlight w:val="none"/>
          <w:lang w:val="en-US" w:eastAsia="zh-CN" w:bidi="ar"/>
        </w:rPr>
        <w:t>费款项和废品处置收入。</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kern w:val="2"/>
          <w:sz w:val="32"/>
          <w:szCs w:val="32"/>
          <w:highlight w:val="none"/>
          <w:lang w:val="en-US" w:eastAsia="zh-CN" w:bidi="ar"/>
        </w:rPr>
        <w:t>9.使用非财政拨款结余</w:t>
      </w:r>
      <w:r>
        <w:rPr>
          <w:rFonts w:hint="eastAsia" w:ascii="仿宋_GB2312" w:hAnsi="仿宋_GB2312" w:eastAsia="仿宋_GB2312" w:cs="仿宋_GB2312"/>
          <w:sz w:val="32"/>
          <w:szCs w:val="32"/>
          <w:u w:color="auto"/>
        </w:rPr>
        <w:t>0.00</w:t>
      </w:r>
      <w:r>
        <w:rPr>
          <w:rFonts w:hint="eastAsia" w:ascii="仿宋_GB2312" w:hAnsi="仿宋_GB2312" w:eastAsia="仿宋_GB2312" w:cs="仿宋_GB2312"/>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hint="eastAsia" w:ascii="仿宋_GB2312" w:hAnsi="仿宋_GB2312" w:eastAsia="仿宋_GB2312" w:cs="仿宋_GB2312"/>
          <w:sz w:val="32"/>
          <w:szCs w:val="32"/>
          <w:u w:color="auto"/>
        </w:rPr>
        <w:t>增加0.00</w:t>
      </w:r>
      <w:r>
        <w:rPr>
          <w:rFonts w:hint="eastAsia" w:ascii="仿宋_GB2312" w:hAnsi="仿宋_GB2312" w:eastAsia="仿宋_GB2312" w:cs="仿宋_GB2312"/>
          <w:kern w:val="2"/>
          <w:sz w:val="32"/>
          <w:szCs w:val="32"/>
          <w:highlight w:val="none"/>
          <w:lang w:val="en-US" w:eastAsia="zh-CN" w:bidi="ar"/>
        </w:rPr>
        <w:t>万元，</w:t>
      </w:r>
      <w:r>
        <w:rPr>
          <w:rFonts w:hint="eastAsia" w:ascii="仿宋_GB2312" w:hAnsi="仿宋_GB2312" w:eastAsia="仿宋_GB2312" w:cs="仿宋_GB2312"/>
          <w:sz w:val="32"/>
          <w:szCs w:val="32"/>
          <w:u w:color="auto"/>
        </w:rPr>
        <w:t>增长0%</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主要原因是：本部门2022年度没有使用非财政拨款结余，故本年度此项收入无数据</w:t>
      </w:r>
      <w:r>
        <w:rPr>
          <w:rFonts w:hint="eastAsia" w:ascii="仿宋_GB2312" w:hAnsi="仿宋_GB2312" w:eastAsia="仿宋_GB2312" w:cs="仿宋_GB2312"/>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kern w:val="2"/>
          <w:sz w:val="32"/>
          <w:szCs w:val="32"/>
          <w:highlight w:val="none"/>
          <w:lang w:val="en-US" w:eastAsia="zh-CN" w:bidi="ar"/>
        </w:rPr>
        <w:t>10.上年结转和结余</w:t>
      </w:r>
      <w:r>
        <w:rPr>
          <w:rFonts w:hint="eastAsia" w:ascii="仿宋_GB2312" w:hAnsi="仿宋_GB2312" w:eastAsia="仿宋_GB2312" w:cs="仿宋_GB2312"/>
          <w:sz w:val="32"/>
          <w:szCs w:val="32"/>
          <w:u w:color="auto"/>
        </w:rPr>
        <w:t>0.00</w:t>
      </w:r>
      <w:r>
        <w:rPr>
          <w:rFonts w:hint="eastAsia" w:ascii="仿宋_GB2312" w:hAnsi="仿宋_GB2312" w:eastAsia="仿宋_GB2312" w:cs="仿宋_GB2312"/>
          <w:kern w:val="2"/>
          <w:sz w:val="32"/>
          <w:szCs w:val="32"/>
          <w:highlight w:val="none"/>
          <w:lang w:val="en-US" w:eastAsia="zh-CN" w:bidi="ar"/>
        </w:rPr>
        <w:t>万元，为以前年度支出预算因客观条件变化未执行完毕、结转到本年度按有关规定继续使用的资金。较2021年度决算数</w:t>
      </w:r>
      <w:r>
        <w:rPr>
          <w:rFonts w:hint="eastAsia" w:ascii="仿宋_GB2312" w:hAnsi="仿宋_GB2312" w:eastAsia="仿宋_GB2312" w:cs="仿宋_GB2312"/>
          <w:sz w:val="32"/>
          <w:szCs w:val="32"/>
          <w:u w:color="auto"/>
        </w:rPr>
        <w:t>减少71.22</w:t>
      </w:r>
      <w:r>
        <w:rPr>
          <w:rFonts w:hint="eastAsia" w:ascii="仿宋_GB2312" w:hAnsi="仿宋_GB2312" w:eastAsia="仿宋_GB2312" w:cs="仿宋_GB2312"/>
          <w:kern w:val="2"/>
          <w:sz w:val="32"/>
          <w:szCs w:val="32"/>
          <w:highlight w:val="none"/>
          <w:lang w:val="en-US" w:eastAsia="zh-CN" w:bidi="ar"/>
        </w:rPr>
        <w:t>万元，</w:t>
      </w:r>
      <w:r>
        <w:rPr>
          <w:rFonts w:hint="eastAsia" w:ascii="仿宋_GB2312" w:hAnsi="仿宋_GB2312" w:eastAsia="仿宋_GB2312" w:cs="仿宋_GB2312"/>
          <w:sz w:val="32"/>
          <w:szCs w:val="32"/>
          <w:u w:color="auto"/>
        </w:rPr>
        <w:t>下降100.00%</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主要原因：本部门2022年度没有上年结转和结余，故本年度无此项数据</w:t>
      </w:r>
      <w:r>
        <w:rPr>
          <w:rFonts w:hint="eastAsia" w:ascii="仿宋_GB2312" w:hAnsi="仿宋_GB2312" w:eastAsia="仿宋_GB2312" w:cs="仿宋_GB2312"/>
          <w:color w:val="auto"/>
          <w:kern w:val="2"/>
          <w:sz w:val="32"/>
          <w:szCs w:val="32"/>
          <w:highlight w:val="none"/>
          <w:lang w:val="en-US" w:eastAsia="zh-CN" w:bidi="ar"/>
        </w:rPr>
        <w:t>。</w:t>
      </w:r>
    </w:p>
    <w:p>
      <w:pPr>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drawing>
          <wp:inline distT="0" distB="0" distL="114300" distR="114300">
            <wp:extent cx="5080000" cy="3295650"/>
            <wp:effectExtent l="4445" t="4445" r="20955" b="1460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3" w:firstLineChars="200"/>
        <w:jc w:val="left"/>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（二）本部门2022年度总支出</w:t>
      </w:r>
      <w:r>
        <w:rPr>
          <w:rFonts w:hint="eastAsia" w:ascii="楷体_GB2312" w:hAnsi="楷体_GB2312" w:eastAsia="楷体_GB2312" w:cs="楷体_GB2312"/>
          <w:b/>
          <w:bCs/>
          <w:sz w:val="32"/>
          <w:szCs w:val="32"/>
          <w:u w:color="auto"/>
        </w:rPr>
        <w:t>6890.99</w:t>
      </w:r>
      <w:r>
        <w:rPr>
          <w:rFonts w:hint="eastAsia" w:ascii="楷体_GB2312" w:hAnsi="楷体_GB2312" w:eastAsia="楷体_GB2312" w:cs="楷体_GB2312"/>
          <w:b/>
          <w:bCs/>
          <w:sz w:val="32"/>
          <w:szCs w:val="32"/>
          <w:highlight w:val="none"/>
        </w:rPr>
        <w:t>万元，其中本年支出</w:t>
      </w:r>
      <w:r>
        <w:rPr>
          <w:rFonts w:hint="eastAsia" w:ascii="楷体_GB2312" w:hAnsi="楷体_GB2312" w:eastAsia="楷体_GB2312" w:cs="楷体_GB2312"/>
          <w:b/>
          <w:bCs/>
          <w:sz w:val="32"/>
          <w:szCs w:val="32"/>
          <w:u w:color="auto"/>
        </w:rPr>
        <w:t>6890.09</w:t>
      </w:r>
      <w:r>
        <w:rPr>
          <w:rFonts w:hint="eastAsia" w:ascii="楷体_GB2312" w:hAnsi="楷体_GB2312" w:eastAsia="楷体_GB2312" w:cs="楷体_GB2312"/>
          <w:b/>
          <w:bCs/>
          <w:sz w:val="32"/>
          <w:szCs w:val="32"/>
          <w:highlight w:val="none"/>
        </w:rPr>
        <w:t>万元，较2021年度决算数</w:t>
      </w:r>
      <w:r>
        <w:rPr>
          <w:rFonts w:hint="eastAsia" w:ascii="楷体_GB2312" w:hAnsi="楷体_GB2312" w:eastAsia="楷体_GB2312" w:cs="楷体_GB2312"/>
          <w:b/>
          <w:bCs/>
          <w:sz w:val="32"/>
          <w:szCs w:val="32"/>
          <w:u w:color="auto"/>
        </w:rPr>
        <w:t>增加5246.67</w:t>
      </w:r>
      <w:r>
        <w:rPr>
          <w:rFonts w:hint="eastAsia" w:ascii="楷体_GB2312" w:hAnsi="楷体_GB2312" w:eastAsia="楷体_GB2312" w:cs="楷体_GB2312"/>
          <w:b/>
          <w:bCs/>
          <w:sz w:val="32"/>
          <w:szCs w:val="32"/>
          <w:highlight w:val="none"/>
        </w:rPr>
        <w:t>万元，</w:t>
      </w:r>
      <w:r>
        <w:rPr>
          <w:rFonts w:hint="eastAsia" w:ascii="楷体_GB2312" w:hAnsi="楷体_GB2312" w:eastAsia="楷体_GB2312" w:cs="楷体_GB2312"/>
          <w:b/>
          <w:bCs/>
          <w:sz w:val="32"/>
          <w:szCs w:val="32"/>
          <w:u w:color="auto"/>
        </w:rPr>
        <w:t>增长319.08%</w:t>
      </w:r>
      <w:r>
        <w:rPr>
          <w:rFonts w:hint="eastAsia" w:ascii="楷体_GB2312" w:hAnsi="楷体_GB2312" w:eastAsia="楷体_GB2312" w:cs="楷体_GB2312"/>
          <w:b/>
          <w:bCs/>
          <w:sz w:val="32"/>
          <w:szCs w:val="32"/>
          <w:highlight w:val="none"/>
        </w:rPr>
        <w:t>。支出具体情况如下：</w:t>
      </w:r>
    </w:p>
    <w:p>
      <w:pPr>
        <w:keepNext w:val="0"/>
        <w:keepLines w:val="0"/>
        <w:pageBreakBefore w:val="0"/>
        <w:kinsoku/>
        <w:wordWrap/>
        <w:overflowPunct/>
        <w:topLinePunct w:val="0"/>
        <w:bidi w:val="0"/>
        <w:snapToGrid/>
        <w:spacing w:line="540" w:lineRule="exact"/>
        <w:ind w:firstLine="640" w:firstLineChars="200"/>
        <w:textAlignment w:val="auto"/>
        <w:rPr>
          <w:rFonts w:hint="default"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u w:color="auto"/>
        </w:rPr>
        <w:t>.</w:t>
      </w:r>
      <w:r>
        <w:rPr>
          <w:rFonts w:hint="eastAsia" w:ascii="仿宋_GB2312" w:hAnsi="仿宋_GB2312" w:eastAsia="仿宋_GB2312" w:cs="仿宋_GB2312"/>
          <w:sz w:val="32"/>
          <w:szCs w:val="32"/>
          <w:highlight w:val="none"/>
          <w:lang w:bidi="ar"/>
        </w:rPr>
        <w:t>一般公共服务支出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bidi="ar"/>
        </w:rPr>
        <w:t xml:space="preserve">201 </w:t>
      </w:r>
      <w:r>
        <w:rPr>
          <w:rFonts w:hint="eastAsia" w:ascii="仿宋_GB2312" w:hAnsi="仿宋_GB2312" w:eastAsia="仿宋_GB2312" w:cs="仿宋_GB2312"/>
          <w:sz w:val="32"/>
          <w:szCs w:val="32"/>
          <w:highlight w:val="none"/>
        </w:rPr>
        <w:t>类）</w:t>
      </w:r>
      <w:r>
        <w:rPr>
          <w:rFonts w:hint="eastAsia" w:ascii="仿宋_GB2312" w:hAnsi="仿宋_GB2312" w:eastAsia="仿宋_GB2312" w:cs="仿宋_GB2312"/>
          <w:sz w:val="32"/>
          <w:szCs w:val="32"/>
          <w:highlight w:val="none"/>
          <w:lang w:bidi="ar"/>
        </w:rPr>
        <w:t>1437.91</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主要用于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eastAsia="仿宋_GB2312"/>
          <w:sz w:val="32"/>
          <w:szCs w:val="32"/>
        </w:rPr>
        <w:t>主要用于</w:t>
      </w:r>
      <w:r>
        <w:rPr>
          <w:rFonts w:hint="eastAsia" w:ascii="仿宋_GB2312" w:eastAsia="仿宋_GB2312"/>
          <w:sz w:val="32"/>
          <w:szCs w:val="32"/>
          <w:lang w:eastAsia="zh-CN"/>
        </w:rPr>
        <w:t>机关</w:t>
      </w:r>
      <w:r>
        <w:rPr>
          <w:rFonts w:hint="eastAsia" w:ascii="仿宋_GB2312" w:eastAsia="仿宋_GB2312"/>
          <w:sz w:val="32"/>
          <w:szCs w:val="32"/>
        </w:rPr>
        <w:t>日常运转发生的基本支出</w:t>
      </w:r>
      <w:r>
        <w:rPr>
          <w:rFonts w:hint="eastAsia" w:ascii="仿宋_GB2312" w:eastAsia="仿宋_GB2312"/>
          <w:sz w:val="32"/>
          <w:szCs w:val="32"/>
          <w:lang w:eastAsia="zh-CN"/>
        </w:rPr>
        <w:t>和项目支出</w:t>
      </w:r>
      <w:r>
        <w:rPr>
          <w:rFonts w:hint="eastAsia" w:ascii="仿宋_GB2312" w:eastAsia="仿宋_GB2312"/>
          <w:sz w:val="32"/>
          <w:szCs w:val="32"/>
        </w:rPr>
        <w:t>。如根据国家规定的基本工资和津补贴标准等安排的人员经费支出，确保机关正常运转的办公费、印刷费、水电费、培训费、差旅费、会议费</w:t>
      </w:r>
      <w:r>
        <w:rPr>
          <w:rFonts w:hint="eastAsia" w:ascii="仿宋_GB2312" w:eastAsia="仿宋_GB2312"/>
          <w:sz w:val="32"/>
          <w:szCs w:val="32"/>
          <w:lang w:eastAsia="zh-CN"/>
        </w:rPr>
        <w:t>以及</w:t>
      </w:r>
      <w:r>
        <w:rPr>
          <w:rFonts w:hint="eastAsia" w:ascii="仿宋_GB2312" w:eastAsia="仿宋_GB2312"/>
          <w:sz w:val="32"/>
          <w:szCs w:val="32"/>
        </w:rPr>
        <w:t>日常公用经费支出</w:t>
      </w:r>
      <w:r>
        <w:rPr>
          <w:rFonts w:hint="eastAsia" w:ascii="仿宋_GB2312" w:eastAsia="仿宋_GB2312"/>
          <w:sz w:val="32"/>
          <w:szCs w:val="32"/>
          <w:lang w:eastAsia="zh-CN"/>
        </w:rPr>
        <w:t>和财政委托业务支出等。</w:t>
      </w:r>
      <w:r>
        <w:rPr>
          <w:rFonts w:hint="eastAsia" w:ascii="仿宋_GB2312" w:hAnsi="仿宋_GB2312" w:eastAsia="仿宋_GB2312" w:cs="仿宋_GB2312"/>
          <w:sz w:val="32"/>
          <w:szCs w:val="32"/>
          <w:highlight w:val="none"/>
        </w:rPr>
        <w:t>较2021年度决算数</w:t>
      </w:r>
      <w:r>
        <w:rPr>
          <w:rFonts w:hint="eastAsia" w:ascii="仿宋_GB2312" w:hAnsi="仿宋_GB2312" w:eastAsia="仿宋_GB2312" w:cs="仿宋_GB2312"/>
          <w:sz w:val="32"/>
          <w:szCs w:val="32"/>
          <w:highlight w:val="none"/>
          <w:lang w:bidi="ar"/>
        </w:rPr>
        <w:t>增加216.33</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bidi="ar"/>
        </w:rPr>
        <w:t>增长17.71%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主要原因是：一是年度内全县政府性投资项目评审业务量大，由此本部门2022年财政委托业务支出增长幅度较大；其次是年度内抚恤金等其他对家庭和个人补助增加。</w:t>
      </w:r>
    </w:p>
    <w:p>
      <w:pPr>
        <w:keepNext w:val="0"/>
        <w:keepLines w:val="0"/>
        <w:widowControl w:val="0"/>
        <w:suppressLineNumbers w:val="0"/>
        <w:spacing w:before="0" w:beforeAutospacing="0" w:after="0" w:afterAutospacing="0"/>
        <w:ind w:left="0" w:right="0" w:firstLine="640" w:firstLineChars="200"/>
        <w:jc w:val="left"/>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u w:color="auto"/>
        </w:rPr>
        <w:t>.</w:t>
      </w:r>
      <w:r>
        <w:rPr>
          <w:rFonts w:hint="eastAsia" w:ascii="仿宋_GB2312" w:hAnsi="仿宋_GB2312" w:eastAsia="仿宋_GB2312" w:cs="仿宋_GB2312"/>
          <w:color w:val="auto"/>
          <w:sz w:val="32"/>
          <w:szCs w:val="32"/>
          <w:highlight w:val="none"/>
          <w:lang w:bidi="ar"/>
        </w:rPr>
        <w:t>公共安全支出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bidi="ar"/>
        </w:rPr>
        <w:t xml:space="preserve">204 </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bidi="ar"/>
        </w:rPr>
        <w:t>0.60</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聘用人员工资福利支出</w:t>
      </w:r>
      <w:r>
        <w:rPr>
          <w:rFonts w:hint="eastAsia" w:ascii="仿宋_GB2312" w:hAnsi="仿宋_GB2312" w:eastAsia="仿宋_GB2312" w:cs="仿宋_GB2312"/>
          <w:color w:val="auto"/>
          <w:sz w:val="32"/>
          <w:szCs w:val="32"/>
          <w:highlight w:val="none"/>
        </w:rPr>
        <w:t>。较2021年度决算数</w:t>
      </w:r>
      <w:r>
        <w:rPr>
          <w:rFonts w:hint="eastAsia" w:ascii="仿宋_GB2312" w:hAnsi="仿宋_GB2312" w:eastAsia="仿宋_GB2312" w:cs="仿宋_GB2312"/>
          <w:color w:val="auto"/>
          <w:sz w:val="32"/>
          <w:szCs w:val="32"/>
          <w:highlight w:val="none"/>
          <w:lang w:bidi="ar"/>
        </w:rPr>
        <w:t>增加0.60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bidi="ar"/>
        </w:rPr>
        <w:t>增长100%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2"/>
          <w:sz w:val="32"/>
          <w:szCs w:val="32"/>
          <w:highlight w:val="none"/>
          <w:lang w:val="en-US" w:eastAsia="zh-CN" w:bidi="ar"/>
        </w:rPr>
        <w:t>主要原因是：本部门2022年公共安全支出由大财政统筹调剂科目发生支出数据。</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u w:color="auto"/>
        </w:rPr>
        <w:t>.</w:t>
      </w:r>
      <w:r>
        <w:rPr>
          <w:rFonts w:hint="eastAsia" w:ascii="仿宋_GB2312" w:hAnsi="仿宋_GB2312" w:eastAsia="仿宋_GB2312" w:cs="仿宋_GB2312"/>
          <w:sz w:val="32"/>
          <w:szCs w:val="32"/>
          <w:highlight w:val="none"/>
          <w:lang w:bidi="ar"/>
        </w:rPr>
        <w:t>社会保障和就业支出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bidi="ar"/>
        </w:rPr>
        <w:t xml:space="preserve">208 </w:t>
      </w:r>
      <w:r>
        <w:rPr>
          <w:rFonts w:hint="eastAsia" w:ascii="仿宋_GB2312" w:hAnsi="仿宋_GB2312" w:eastAsia="仿宋_GB2312" w:cs="仿宋_GB2312"/>
          <w:sz w:val="32"/>
          <w:szCs w:val="32"/>
          <w:highlight w:val="none"/>
        </w:rPr>
        <w:t>类）</w:t>
      </w:r>
      <w:r>
        <w:rPr>
          <w:rFonts w:hint="eastAsia" w:ascii="仿宋_GB2312" w:hAnsi="仿宋_GB2312" w:eastAsia="仿宋_GB2312" w:cs="仿宋_GB2312"/>
          <w:sz w:val="32"/>
          <w:szCs w:val="32"/>
          <w:highlight w:val="none"/>
          <w:lang w:bidi="ar"/>
        </w:rPr>
        <w:t>103.35</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主要用于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default" w:ascii="仿宋_GB2312" w:hAnsi="Times New Roman" w:eastAsia="仿宋_GB2312" w:cs="Times New Roman"/>
          <w:kern w:val="2"/>
          <w:sz w:val="32"/>
          <w:szCs w:val="32"/>
          <w:highlight w:val="none"/>
          <w:lang w:val="en-US" w:eastAsia="zh-CN" w:bidi="ar-SA"/>
        </w:rPr>
        <w:t>职工基本养老保险缴费</w:t>
      </w:r>
      <w:r>
        <w:rPr>
          <w:rFonts w:hint="eastAsia" w:ascii="仿宋_GB2312" w:hAnsi="Times New Roman" w:eastAsia="仿宋_GB2312" w:cs="Times New Roman"/>
          <w:kern w:val="2"/>
          <w:sz w:val="32"/>
          <w:szCs w:val="32"/>
          <w:highlight w:val="none"/>
          <w:lang w:val="en-US" w:eastAsia="zh-CN" w:bidi="ar-SA"/>
        </w:rPr>
        <w:t>、医疗保险和其他社会保障缴费</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rPr>
        <w:t>较2021年度决算数</w:t>
      </w:r>
      <w:r>
        <w:rPr>
          <w:rFonts w:hint="eastAsia" w:ascii="仿宋_GB2312" w:hAnsi="仿宋_GB2312" w:eastAsia="仿宋_GB2312" w:cs="仿宋_GB2312"/>
          <w:color w:val="auto"/>
          <w:sz w:val="32"/>
          <w:szCs w:val="32"/>
          <w:highlight w:val="none"/>
          <w:lang w:bidi="ar"/>
        </w:rPr>
        <w:t>增加1.12</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bidi="ar"/>
        </w:rPr>
        <w:t>增长1.10%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2"/>
          <w:sz w:val="32"/>
          <w:szCs w:val="32"/>
          <w:highlight w:val="none"/>
          <w:lang w:val="en-US" w:eastAsia="zh-CN" w:bidi="ar"/>
        </w:rPr>
        <w:t>主要原因是：本部门2022年职工人数申报基数调整增加。</w:t>
      </w:r>
    </w:p>
    <w:p>
      <w:pPr>
        <w:keepNext w:val="0"/>
        <w:keepLines w:val="0"/>
        <w:widowControl w:val="0"/>
        <w:suppressLineNumbers w:val="0"/>
        <w:spacing w:before="0" w:beforeAutospacing="0" w:after="0" w:afterAutospacing="0"/>
        <w:ind w:left="0" w:right="0" w:firstLine="640" w:firstLineChars="200"/>
        <w:jc w:val="left"/>
        <w:rPr>
          <w:rFonts w:hint="default" w:ascii="仿宋_GB2312" w:hAnsi="仿宋_GB2312" w:eastAsia="仿宋_GB2312" w:cs="仿宋_GB2312"/>
          <w:color w:val="auto"/>
          <w:kern w:val="2"/>
          <w:sz w:val="32"/>
          <w:szCs w:val="32"/>
          <w:highlight w:val="none"/>
          <w:lang w:val="en-US" w:eastAsia="zh-CN" w:bidi="ar"/>
        </w:rPr>
      </w:pP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u w:color="auto"/>
        </w:rPr>
        <w:t>.</w:t>
      </w:r>
      <w:r>
        <w:rPr>
          <w:rFonts w:hint="eastAsia" w:ascii="仿宋_GB2312" w:hAnsi="仿宋_GB2312" w:eastAsia="仿宋_GB2312" w:cs="仿宋_GB2312"/>
          <w:color w:val="auto"/>
          <w:sz w:val="32"/>
          <w:szCs w:val="32"/>
          <w:highlight w:val="none"/>
          <w:lang w:bidi="ar"/>
        </w:rPr>
        <w:t>农林水支出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bidi="ar"/>
        </w:rPr>
        <w:t xml:space="preserve">213 </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bidi="ar"/>
        </w:rPr>
        <w:t>5026.01</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全县脱贫攻坚成果与乡村振兴有效衔接项目建设，农村综合改革美丽乡村建设和革命老区项目建设</w:t>
      </w:r>
      <w:r>
        <w:rPr>
          <w:rFonts w:hint="eastAsia" w:ascii="仿宋_GB2312" w:hAnsi="仿宋_GB2312" w:eastAsia="仿宋_GB2312" w:cs="仿宋_GB2312"/>
          <w:color w:val="auto"/>
          <w:sz w:val="32"/>
          <w:szCs w:val="32"/>
          <w:highlight w:val="none"/>
        </w:rPr>
        <w:t>。较2021年度决算数</w:t>
      </w:r>
      <w:r>
        <w:rPr>
          <w:rFonts w:hint="eastAsia" w:ascii="仿宋_GB2312" w:hAnsi="仿宋_GB2312" w:eastAsia="仿宋_GB2312" w:cs="仿宋_GB2312"/>
          <w:color w:val="auto"/>
          <w:sz w:val="32"/>
          <w:szCs w:val="32"/>
          <w:highlight w:val="none"/>
          <w:lang w:bidi="ar"/>
        </w:rPr>
        <w:t>增加5026.01</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bidi="ar"/>
        </w:rPr>
        <w:t>增长100%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2"/>
          <w:sz w:val="32"/>
          <w:szCs w:val="32"/>
          <w:highlight w:val="none"/>
          <w:lang w:val="en-US" w:eastAsia="zh-CN" w:bidi="ar"/>
        </w:rPr>
        <w:t>主要原因是：本部门2022年度项目建设账合并到局财务统一核算。</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u w:color="auto"/>
        </w:rPr>
        <w:t>.</w:t>
      </w:r>
      <w:r>
        <w:rPr>
          <w:rFonts w:hint="eastAsia" w:ascii="仿宋_GB2312" w:hAnsi="仿宋_GB2312" w:eastAsia="仿宋_GB2312" w:cs="仿宋_GB2312"/>
          <w:sz w:val="32"/>
          <w:szCs w:val="32"/>
          <w:highlight w:val="none"/>
          <w:lang w:bidi="ar"/>
        </w:rPr>
        <w:t>住房保障支出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bidi="ar"/>
        </w:rPr>
        <w:t xml:space="preserve">221 </w:t>
      </w:r>
      <w:r>
        <w:rPr>
          <w:rFonts w:hint="eastAsia" w:ascii="仿宋_GB2312" w:hAnsi="仿宋_GB2312" w:eastAsia="仿宋_GB2312" w:cs="仿宋_GB2312"/>
          <w:sz w:val="32"/>
          <w:szCs w:val="32"/>
          <w:highlight w:val="none"/>
        </w:rPr>
        <w:t>类）</w:t>
      </w:r>
      <w:r>
        <w:rPr>
          <w:rFonts w:hint="eastAsia" w:ascii="仿宋_GB2312" w:hAnsi="仿宋_GB2312" w:eastAsia="仿宋_GB2312" w:cs="仿宋_GB2312"/>
          <w:sz w:val="32"/>
          <w:szCs w:val="32"/>
          <w:highlight w:val="none"/>
          <w:lang w:bidi="ar"/>
        </w:rPr>
        <w:t>77.71</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主要用于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：职工住房公积金缴费</w:t>
      </w:r>
      <w:r>
        <w:rPr>
          <w:rFonts w:hint="eastAsia" w:ascii="仿宋_GB2312" w:hAnsi="仿宋_GB2312" w:eastAsia="仿宋_GB2312" w:cs="仿宋_GB2312"/>
          <w:sz w:val="32"/>
          <w:szCs w:val="32"/>
          <w:highlight w:val="none"/>
        </w:rPr>
        <w:t>。较2021年度决算数</w:t>
      </w:r>
      <w:r>
        <w:rPr>
          <w:rFonts w:hint="eastAsia" w:ascii="仿宋_GB2312" w:hAnsi="仿宋_GB2312" w:eastAsia="仿宋_GB2312" w:cs="仿宋_GB2312"/>
          <w:sz w:val="32"/>
          <w:szCs w:val="32"/>
          <w:highlight w:val="none"/>
          <w:lang w:bidi="ar"/>
        </w:rPr>
        <w:t>增加5.85</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bidi="ar"/>
        </w:rPr>
        <w:t>增长8.14%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主要原因是：本部门2022年度用业务费缴纳聘用人员公积金合并在一起核算，同时年度公积金基数调整增加部分数据。</w:t>
      </w:r>
    </w:p>
    <w:p>
      <w:pPr>
        <w:keepNext w:val="0"/>
        <w:keepLines w:val="0"/>
        <w:widowControl w:val="0"/>
        <w:suppressLineNumbers w:val="0"/>
        <w:spacing w:before="0" w:beforeAutospacing="0" w:after="0" w:afterAutospacing="0"/>
        <w:ind w:left="0" w:right="0" w:firstLine="640" w:firstLineChars="200"/>
        <w:jc w:val="left"/>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z w:val="32"/>
          <w:szCs w:val="32"/>
          <w:u w:color="auto"/>
        </w:rPr>
        <w:t>.</w:t>
      </w:r>
      <w:r>
        <w:rPr>
          <w:rFonts w:hint="eastAsia" w:ascii="仿宋_GB2312" w:hAnsi="仿宋_GB2312" w:eastAsia="仿宋_GB2312" w:cs="仿宋_GB2312"/>
          <w:sz w:val="32"/>
          <w:szCs w:val="32"/>
          <w:highlight w:val="none"/>
          <w:lang w:bidi="ar"/>
        </w:rPr>
        <w:t>其他支出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bidi="ar"/>
        </w:rPr>
        <w:t xml:space="preserve">229 </w:t>
      </w:r>
      <w:r>
        <w:rPr>
          <w:rFonts w:hint="eastAsia" w:ascii="仿宋_GB2312" w:hAnsi="仿宋_GB2312" w:eastAsia="仿宋_GB2312" w:cs="仿宋_GB2312"/>
          <w:sz w:val="32"/>
          <w:szCs w:val="32"/>
          <w:highlight w:val="none"/>
        </w:rPr>
        <w:t>类）</w:t>
      </w:r>
      <w:r>
        <w:rPr>
          <w:rFonts w:hint="eastAsia" w:ascii="仿宋_GB2312" w:hAnsi="仿宋_GB2312" w:eastAsia="仿宋_GB2312" w:cs="仿宋_GB2312"/>
          <w:sz w:val="32"/>
          <w:szCs w:val="32"/>
          <w:highlight w:val="none"/>
          <w:lang w:bidi="ar"/>
        </w:rPr>
        <w:t>244.51</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主要用于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职工年度绩效考评奖励性补贴</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highlight w:val="none"/>
        </w:rPr>
        <w:t>较2021年度决算数</w:t>
      </w:r>
      <w:r>
        <w:rPr>
          <w:rFonts w:hint="eastAsia" w:ascii="仿宋_GB2312" w:hAnsi="仿宋_GB2312" w:eastAsia="仿宋_GB2312" w:cs="仿宋_GB2312"/>
          <w:sz w:val="32"/>
          <w:szCs w:val="32"/>
          <w:highlight w:val="none"/>
          <w:lang w:bidi="ar"/>
        </w:rPr>
        <w:t>减少4.14</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bidi="ar"/>
        </w:rPr>
        <w:t>下降1.66%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主要原因是：本部门2022年度严格奖励性补贴审核标准，按照全县奖励性补贴发放安排兑现职工福利发放。</w:t>
      </w:r>
    </w:p>
    <w:p>
      <w:pPr>
        <w:keepNext w:val="0"/>
        <w:keepLines w:val="0"/>
        <w:widowControl w:val="0"/>
        <w:suppressLineNumbers w:val="0"/>
        <w:spacing w:before="0" w:beforeAutospacing="0" w:after="0" w:afterAutospacing="0"/>
        <w:ind w:left="0" w:right="0" w:firstLine="640" w:firstLineChars="200"/>
        <w:jc w:val="left"/>
        <w:rPr>
          <w:rFonts w:hint="default" w:ascii="仿宋_GB2312" w:hAnsi="仿宋_GB2312" w:eastAsia="仿宋_GB2312" w:cs="仿宋_GB2312"/>
          <w:color w:val="auto"/>
          <w:sz w:val="32"/>
          <w:szCs w:val="32"/>
          <w:highlight w:val="none"/>
          <w:lang w:val="en-US" w:eastAsia="zh-CN" w:bidi="ar"/>
        </w:rPr>
      </w:pPr>
      <w:r>
        <w:rPr>
          <w:rFonts w:hint="eastAsia" w:ascii="仿宋_GB2312" w:hAnsi="仿宋_GB2312" w:eastAsia="仿宋_GB2312" w:cs="仿宋_GB2312"/>
          <w:i w:val="0"/>
          <w:iCs w:val="0"/>
          <w:caps w:val="0"/>
          <w:color w:val="000000"/>
          <w:spacing w:val="0"/>
          <w:sz w:val="32"/>
          <w:szCs w:val="32"/>
          <w:highlight w:val="none"/>
          <w:shd w:val="clear" w:color="auto" w:fill="FFFFFF"/>
        </w:rPr>
        <w:t>结余分配</w:t>
      </w:r>
      <w:r>
        <w:rPr>
          <w:rFonts w:hint="eastAsia" w:ascii="仿宋_GB2312" w:hAnsi="仿宋_GB2312" w:eastAsia="仿宋_GB2312" w:cs="仿宋_GB2312"/>
          <w:color w:val="000000"/>
          <w:sz w:val="32"/>
          <w:szCs w:val="32"/>
          <w:highlight w:val="none"/>
          <w:shd w:val="clear" w:color="auto" w:fill="FFFFFF"/>
        </w:rPr>
        <w:t>0.00</w:t>
      </w:r>
      <w:r>
        <w:rPr>
          <w:rFonts w:hint="eastAsia" w:ascii="仿宋_GB2312" w:hAnsi="仿宋_GB2312" w:eastAsia="仿宋_GB2312" w:cs="仿宋_GB2312"/>
          <w:i w:val="0"/>
          <w:iCs w:val="0"/>
          <w:caps w:val="0"/>
          <w:color w:val="000000"/>
          <w:spacing w:val="0"/>
          <w:sz w:val="32"/>
          <w:szCs w:val="32"/>
          <w:highlight w:val="none"/>
          <w:shd w:val="clear" w:color="auto" w:fill="FFFFFF"/>
        </w:rPr>
        <w:t>万元，为事业单位按规定提取的专用结余、缴纳所得税和转入非财政拨款结余等。较202</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1</w:t>
      </w:r>
      <w:r>
        <w:rPr>
          <w:rFonts w:hint="eastAsia" w:ascii="仿宋_GB2312" w:hAnsi="仿宋_GB2312" w:eastAsia="仿宋_GB2312" w:cs="仿宋_GB2312"/>
          <w:i w:val="0"/>
          <w:iCs w:val="0"/>
          <w:caps w:val="0"/>
          <w:color w:val="000000"/>
          <w:spacing w:val="0"/>
          <w:sz w:val="32"/>
          <w:szCs w:val="32"/>
          <w:highlight w:val="none"/>
          <w:shd w:val="clear" w:color="auto" w:fill="FFFFFF"/>
        </w:rPr>
        <w:t>年决算</w:t>
      </w:r>
      <w:r>
        <w:rPr>
          <w:rFonts w:hint="eastAsia" w:ascii="仿宋_GB2312" w:hAnsi="仿宋_GB2312" w:eastAsia="仿宋_GB2312" w:cs="仿宋_GB2312"/>
          <w:color w:val="000000"/>
          <w:sz w:val="32"/>
          <w:szCs w:val="32"/>
          <w:highlight w:val="none"/>
          <w:shd w:val="clear" w:color="auto" w:fill="FFFFFF"/>
        </w:rPr>
        <w:t>0.00</w:t>
      </w:r>
      <w:r>
        <w:rPr>
          <w:rFonts w:hint="eastAsia" w:ascii="仿宋_GB2312" w:hAnsi="仿宋_GB2312" w:eastAsia="仿宋_GB2312" w:cs="仿宋_GB2312"/>
          <w:i w:val="0"/>
          <w:iCs w:val="0"/>
          <w:caps w:val="0"/>
          <w:color w:val="000000"/>
          <w:spacing w:val="0"/>
          <w:sz w:val="32"/>
          <w:szCs w:val="32"/>
          <w:highlight w:val="none"/>
          <w:shd w:val="clear" w:color="auto" w:fill="FFFFFF"/>
        </w:rPr>
        <w:t>万元</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w:t>
      </w:r>
      <w:r>
        <w:rPr>
          <w:rFonts w:hint="eastAsia" w:ascii="仿宋_GB2312" w:hAnsi="仿宋_GB2312" w:eastAsia="仿宋_GB2312" w:cs="仿宋_GB2312"/>
          <w:color w:val="000000"/>
          <w:sz w:val="32"/>
          <w:szCs w:val="32"/>
          <w:highlight w:val="none"/>
          <w:shd w:val="clear" w:color="auto" w:fill="FFFFFF"/>
        </w:rPr>
        <w:t>增加0.00</w:t>
      </w:r>
      <w:r>
        <w:rPr>
          <w:rFonts w:hint="eastAsia" w:ascii="仿宋_GB2312" w:hAnsi="仿宋_GB2312" w:eastAsia="仿宋_GB2312" w:cs="仿宋_GB2312"/>
          <w:i w:val="0"/>
          <w:iCs w:val="0"/>
          <w:caps w:val="0"/>
          <w:color w:val="000000"/>
          <w:spacing w:val="0"/>
          <w:sz w:val="32"/>
          <w:szCs w:val="32"/>
          <w:highlight w:val="none"/>
          <w:shd w:val="clear" w:color="auto" w:fill="FFFFFF"/>
        </w:rPr>
        <w:t>万元，</w:t>
      </w:r>
      <w:r>
        <w:rPr>
          <w:rFonts w:hint="eastAsia" w:ascii="仿宋_GB2312" w:hAnsi="仿宋_GB2312" w:eastAsia="仿宋_GB2312" w:cs="仿宋_GB2312"/>
          <w:color w:val="000000"/>
          <w:sz w:val="32"/>
          <w:szCs w:val="32"/>
          <w:highlight w:val="none"/>
          <w:shd w:val="clear" w:color="auto" w:fill="FFFFFF"/>
        </w:rPr>
        <w:t>增长0%</w:t>
      </w:r>
      <w:r>
        <w:rPr>
          <w:rFonts w:hint="eastAsia" w:ascii="仿宋_GB2312" w:hAnsi="仿宋_GB2312" w:eastAsia="仿宋_GB2312" w:cs="仿宋_GB2312"/>
          <w:i w:val="0"/>
          <w:iCs w:val="0"/>
          <w:caps w:val="0"/>
          <w:color w:val="000000"/>
          <w:spacing w:val="0"/>
          <w:sz w:val="32"/>
          <w:szCs w:val="32"/>
          <w:highlight w:val="none"/>
          <w:shd w:val="clear" w:color="auto" w:fill="FFFFFF"/>
        </w:rPr>
        <w:t>，</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14:textFill>
            <w14:solidFill>
              <w14:schemeClr w14:val="tx1"/>
            </w14:solidFill>
          </w14:textFill>
        </w:rPr>
        <w:t>主要原因是</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w:t>
      </w:r>
      <w:r>
        <w:rPr>
          <w:rFonts w:hint="eastAsia" w:ascii="仿宋_GB2312" w:hAnsi="仿宋_GB2312" w:eastAsia="仿宋_GB2312" w:cs="仿宋_GB2312"/>
          <w:color w:val="auto"/>
          <w:kern w:val="2"/>
          <w:sz w:val="32"/>
          <w:szCs w:val="32"/>
          <w:highlight w:val="none"/>
          <w:lang w:val="en-US" w:eastAsia="zh-CN" w:bidi="ar"/>
        </w:rPr>
        <w:t>本部门2022年度没有事业收入，故没有撮的专用结余等。</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年末结转和结余</w:t>
      </w:r>
      <w:r>
        <w:rPr>
          <w:rFonts w:hint="eastAsia" w:ascii="仿宋_GB2312" w:hAnsi="仿宋_GB2312" w:eastAsia="仿宋_GB2312" w:cs="仿宋_GB2312"/>
          <w:sz w:val="32"/>
          <w:szCs w:val="32"/>
          <w:u w:color="auto"/>
        </w:rPr>
        <w:t>0.91</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_GB2312" w:hAnsi="仿宋_GB2312" w:eastAsia="仿宋_GB2312" w:cs="仿宋_GB2312"/>
          <w:sz w:val="32"/>
          <w:szCs w:val="32"/>
          <w:highlight w:val="none"/>
        </w:rPr>
        <w:t>。较2021年度决算数</w:t>
      </w:r>
      <w:r>
        <w:rPr>
          <w:rFonts w:hint="eastAsia" w:ascii="仿宋_GB2312" w:hAnsi="仿宋_GB2312" w:eastAsia="仿宋_GB2312" w:cs="仿宋_GB2312"/>
          <w:sz w:val="32"/>
          <w:szCs w:val="32"/>
          <w:u w:color="auto"/>
        </w:rPr>
        <w:t>增加0.91</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u w:color="auto"/>
        </w:rPr>
        <w:t>增长100%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auto"/>
          <w:sz w:val="32"/>
          <w:szCs w:val="32"/>
          <w:highlight w:val="none"/>
          <w:lang w:val="en-US" w:eastAsia="zh-CN"/>
        </w:rPr>
        <w:t>全县脱贫攻坚成果与乡村振兴有效衔接项目建设，农村综合改革美丽乡村建设和革命老区项目建设未俊工结算，年度部门预算安排项目资金结转到下年继续使用，故年末结转和结余资金较大，并呈增长趋势</w:t>
      </w:r>
      <w:r>
        <w:rPr>
          <w:rFonts w:hint="eastAsia" w:ascii="仿宋_GB2312" w:hAnsi="仿宋_GB2312" w:eastAsia="仿宋_GB2312" w:cs="仿宋_GB2312"/>
          <w:color w:val="auto"/>
          <w:sz w:val="32"/>
          <w:szCs w:val="32"/>
          <w:highlight w:val="none"/>
        </w:rPr>
        <w:t>。</w:t>
      </w:r>
    </w:p>
    <w:p>
      <w:pPr>
        <w:ind w:firstLine="640" w:firstLineChars="200"/>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drawing>
          <wp:inline distT="0" distB="0" distL="114300" distR="114300">
            <wp:extent cx="4138295" cy="2241550"/>
            <wp:effectExtent l="5080" t="4445" r="9525" b="2095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640" w:firstLineChars="200"/>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环江毛南族自治县财政局2022年度一般公共预算财政拨款支出</w:t>
      </w:r>
      <w:r>
        <w:rPr>
          <w:rFonts w:hint="eastAsia" w:ascii="仿宋_GB2312" w:hAnsi="仿宋_GB2312" w:eastAsia="仿宋_GB2312" w:cs="仿宋_GB2312"/>
          <w:sz w:val="32"/>
          <w:szCs w:val="32"/>
          <w:u w:color="auto"/>
        </w:rPr>
        <w:t>6882.33</w:t>
      </w:r>
      <w:r>
        <w:rPr>
          <w:rFonts w:hint="eastAsia" w:ascii="仿宋_GB2312" w:hAnsi="仿宋_GB2312" w:eastAsia="仿宋_GB2312" w:cs="仿宋_GB2312"/>
          <w:sz w:val="32"/>
          <w:szCs w:val="32"/>
          <w:highlight w:val="none"/>
        </w:rPr>
        <w:t>万元，较2021年度决算数</w:t>
      </w:r>
      <w:r>
        <w:rPr>
          <w:rFonts w:hint="eastAsia" w:ascii="仿宋_GB2312" w:hAnsi="仿宋_GB2312" w:eastAsia="仿宋_GB2312" w:cs="仿宋_GB2312"/>
          <w:sz w:val="32"/>
          <w:szCs w:val="32"/>
          <w:u w:color="auto"/>
        </w:rPr>
        <w:t>增加5240.60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u w:color="auto"/>
        </w:rPr>
        <w:t>增长319.21%</w:t>
      </w:r>
      <w:r>
        <w:rPr>
          <w:rFonts w:hint="eastAsia" w:ascii="仿宋_GB2312" w:hAnsi="仿宋_GB2312" w:eastAsia="仿宋_GB2312" w:cs="仿宋_GB2312"/>
          <w:sz w:val="32"/>
          <w:szCs w:val="32"/>
          <w:highlight w:val="none"/>
        </w:rPr>
        <w:t>。其中：基本支出</w:t>
      </w:r>
      <w:r>
        <w:rPr>
          <w:rFonts w:hint="eastAsia" w:ascii="仿宋_GB2312" w:hAnsi="仿宋_GB2312" w:eastAsia="仿宋_GB2312" w:cs="仿宋_GB2312"/>
          <w:sz w:val="32"/>
          <w:szCs w:val="32"/>
          <w:u w:color="auto"/>
        </w:rPr>
        <w:t>1156.82</w:t>
      </w:r>
      <w:r>
        <w:rPr>
          <w:rFonts w:hint="eastAsia" w:ascii="仿宋_GB2312" w:hAnsi="仿宋_GB2312" w:eastAsia="仿宋_GB2312" w:cs="仿宋_GB2312"/>
          <w:sz w:val="32"/>
          <w:szCs w:val="32"/>
          <w:highlight w:val="none"/>
        </w:rPr>
        <w:t>万元，项目支出</w:t>
      </w:r>
      <w:r>
        <w:rPr>
          <w:rFonts w:hint="eastAsia" w:ascii="仿宋_GB2312" w:hAnsi="仿宋_GB2312" w:eastAsia="仿宋_GB2312" w:cs="仿宋_GB2312"/>
          <w:sz w:val="32"/>
          <w:szCs w:val="32"/>
          <w:u w:color="auto"/>
        </w:rPr>
        <w:t>5725.51</w:t>
      </w:r>
      <w:r>
        <w:rPr>
          <w:rFonts w:hint="eastAsia" w:ascii="仿宋_GB2312" w:hAnsi="仿宋_GB2312" w:eastAsia="仿宋_GB2312" w:cs="仿宋_GB2312"/>
          <w:sz w:val="32"/>
          <w:szCs w:val="32"/>
          <w:highlight w:val="none"/>
        </w:rPr>
        <w:t>万元。</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环江毛南族自治县财政局2022 年度一般公共预算财政拨款支出年初预算为</w:t>
      </w:r>
      <w:r>
        <w:rPr>
          <w:rFonts w:hint="eastAsia" w:ascii="仿宋_GB2312" w:hAnsi="仿宋_GB2312" w:eastAsia="仿宋_GB2312" w:cs="仿宋_GB2312"/>
          <w:sz w:val="32"/>
          <w:szCs w:val="32"/>
          <w:u w:color="auto"/>
        </w:rPr>
        <w:t>1261.84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u w:color="auto"/>
        </w:rPr>
        <w:t>6882.33</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u w:color="auto"/>
        </w:rPr>
        <w:t>545.42%</w:t>
      </w:r>
      <w:r>
        <w:rPr>
          <w:rFonts w:hint="eastAsia" w:ascii="仿宋_GB2312" w:hAnsi="仿宋_GB2312" w:eastAsia="仿宋_GB2312" w:cs="仿宋_GB2312"/>
          <w:sz w:val="32"/>
          <w:szCs w:val="32"/>
          <w:highlight w:val="none"/>
        </w:rPr>
        <w:t>。</w:t>
      </w:r>
    </w:p>
    <w:p>
      <w:pPr>
        <w:ind w:firstLine="640"/>
        <w:jc w:val="left"/>
        <w:rPr>
          <w:rFonts w:hint="eastAsia"/>
          <w:lang w:val="en-US" w:eastAsia="zh-CN"/>
        </w:rPr>
      </w:pPr>
      <w:bookmarkStart w:id="3" w:name="OLE_LINK2"/>
      <w:bookmarkEnd w:id="3"/>
      <w:r>
        <w:rPr>
          <w:rFonts w:hint="eastAsia" w:ascii="仿宋_GB2312" w:hAnsi="仿宋_GB2312" w:eastAsia="仿宋_GB2312" w:cs="仿宋_GB2312"/>
          <w:b/>
          <w:bCs/>
          <w:sz w:val="32"/>
          <w:szCs w:val="32"/>
          <w:highlight w:val="none"/>
          <w:lang w:eastAsia="zh-CN"/>
        </w:rPr>
        <w:t>（一）</w:t>
      </w:r>
      <w:r>
        <w:rPr>
          <w:rFonts w:hint="eastAsia" w:ascii="仿宋_GB2312" w:hAnsi="仿宋_GB2312" w:eastAsia="仿宋_GB2312" w:cs="仿宋_GB2312"/>
          <w:b/>
          <w:bCs/>
          <w:sz w:val="32"/>
          <w:szCs w:val="32"/>
          <w:highlight w:val="none"/>
        </w:rPr>
        <w:t>一般公共服务支出</w:t>
      </w:r>
      <w:r>
        <w:rPr>
          <w:rFonts w:hint="eastAsia" w:ascii="仿宋_GB2312" w:hAnsi="仿宋_GB2312" w:eastAsia="仿宋_GB2312" w:cs="仿宋_GB2312"/>
          <w:b/>
          <w:bCs/>
          <w:sz w:val="32"/>
          <w:szCs w:val="32"/>
          <w:u w:color="auto"/>
        </w:rPr>
        <w:t>（201</w:t>
      </w:r>
      <w:r>
        <w:rPr>
          <w:rFonts w:hint="eastAsia" w:ascii="仿宋_GB2312" w:hAnsi="仿宋_GB2312" w:eastAsia="仿宋_GB2312" w:cs="仿宋_GB2312"/>
          <w:b/>
          <w:bCs/>
          <w:sz w:val="32"/>
          <w:szCs w:val="32"/>
          <w:highlight w:val="none"/>
        </w:rPr>
        <w:t>类）年初预算为1091.72万元，支出决算为1430.15万元，完成年初预算的131.00%。</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预决算</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存有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差异</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原因是：</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一是年度内全县政府性投资项目评审业务量大，由此本部门2022年财政委托业务支出增长幅度较大；其次是年度内抚恤金等其他对家庭和个人补助增加。</w:t>
      </w:r>
    </w:p>
    <w:p>
      <w:pPr>
        <w:jc w:val="left"/>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支出具体情况如下：</w:t>
      </w:r>
    </w:p>
    <w:tbl>
      <w:tblPr>
        <w:tblStyle w:val="8"/>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982"/>
        <w:gridCol w:w="921"/>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rPr>
            </w:pPr>
            <w:r>
              <w:rPr>
                <w:rFonts w:hint="eastAsia" w:ascii="仿宋_GB2312" w:hAnsi="仿宋_GB2312" w:eastAsia="仿宋_GB2312" w:cs="仿宋_GB2312"/>
                <w:i w:val="0"/>
                <w:iCs w:val="0"/>
                <w:color w:val="000000"/>
                <w:kern w:val="0"/>
                <w:sz w:val="32"/>
                <w:szCs w:val="32"/>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年初预算数</w:t>
            </w:r>
          </w:p>
        </w:tc>
        <w:tc>
          <w:tcPr>
            <w:tcW w:w="9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决算</w:t>
            </w:r>
          </w:p>
        </w:tc>
        <w:tc>
          <w:tcPr>
            <w:tcW w:w="9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rPr>
            </w:pPr>
            <w:r>
              <w:rPr>
                <w:rFonts w:hint="eastAsia" w:ascii="仿宋_GB2312" w:hAnsi="仿宋_GB2312" w:eastAsia="仿宋_GB2312" w:cs="仿宋_GB2312"/>
                <w:i w:val="0"/>
                <w:iCs w:val="0"/>
                <w:color w:val="000000"/>
                <w:kern w:val="0"/>
                <w:sz w:val="32"/>
                <w:szCs w:val="32"/>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2010301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0.00</w:t>
            </w:r>
          </w:p>
        </w:tc>
        <w:tc>
          <w:tcPr>
            <w:tcW w:w="9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2"/>
                <w:sz w:val="32"/>
                <w:szCs w:val="32"/>
                <w:highlight w:val="none"/>
                <w:u w:val="none"/>
                <w:lang w:val="en-US" w:eastAsia="zh-CN" w:bidi="ar-SA"/>
              </w:rPr>
            </w:pPr>
            <w:r>
              <w:rPr>
                <w:rFonts w:hint="eastAsia" w:ascii="仿宋_GB2312" w:hAnsi="仿宋_GB2312" w:eastAsia="仿宋_GB2312" w:cs="仿宋_GB2312"/>
                <w:i w:val="0"/>
                <w:iCs w:val="0"/>
                <w:color w:val="000000"/>
                <w:kern w:val="2"/>
                <w:sz w:val="32"/>
                <w:szCs w:val="32"/>
                <w:highlight w:val="none"/>
                <w:u w:val="none"/>
                <w:lang w:val="en-US" w:eastAsia="zh-CN" w:bidi="ar-SA"/>
              </w:rPr>
              <w:t>2.23</w:t>
            </w:r>
          </w:p>
        </w:tc>
        <w:tc>
          <w:tcPr>
            <w:tcW w:w="9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机关运转运行</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z w:val="32"/>
                <w:szCs w:val="32"/>
                <w:highlight w:val="none"/>
                <w:u w:val="none"/>
                <w:lang w:val="en-US" w:eastAsia="zh-CN"/>
              </w:rPr>
              <w:t>年中科目调整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2010601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644.73</w:t>
            </w:r>
          </w:p>
        </w:tc>
        <w:tc>
          <w:tcPr>
            <w:tcW w:w="9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2"/>
                <w:sz w:val="32"/>
                <w:szCs w:val="32"/>
                <w:highlight w:val="none"/>
                <w:u w:val="none"/>
                <w:lang w:val="en-US" w:eastAsia="zh-CN" w:bidi="ar-SA"/>
              </w:rPr>
            </w:pPr>
            <w:r>
              <w:rPr>
                <w:rFonts w:hint="eastAsia" w:ascii="仿宋_GB2312" w:hAnsi="仿宋_GB2312" w:eastAsia="仿宋_GB2312" w:cs="仿宋_GB2312"/>
                <w:i w:val="0"/>
                <w:iCs w:val="0"/>
                <w:color w:val="000000"/>
                <w:kern w:val="2"/>
                <w:sz w:val="32"/>
                <w:szCs w:val="32"/>
                <w:highlight w:val="none"/>
                <w:u w:val="none"/>
                <w:lang w:val="en-US" w:eastAsia="zh-CN" w:bidi="ar-SA"/>
              </w:rPr>
              <w:t>735.00</w:t>
            </w:r>
          </w:p>
        </w:tc>
        <w:tc>
          <w:tcPr>
            <w:tcW w:w="9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114.00%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职工工资福利和机关运转</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z w:val="32"/>
                <w:szCs w:val="32"/>
                <w:highlight w:val="none"/>
                <w:u w:val="none"/>
                <w:lang w:val="en-US" w:eastAsia="zh-CN"/>
              </w:rPr>
              <w:t>职级晋升和正常调资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2010604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预算改革业务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10.80</w:t>
            </w:r>
          </w:p>
        </w:tc>
        <w:tc>
          <w:tcPr>
            <w:tcW w:w="9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2"/>
                <w:sz w:val="32"/>
                <w:szCs w:val="32"/>
                <w:highlight w:val="none"/>
                <w:u w:val="none"/>
                <w:lang w:val="en-US" w:eastAsia="zh-CN" w:bidi="ar-SA"/>
              </w:rPr>
            </w:pPr>
            <w:r>
              <w:rPr>
                <w:rFonts w:hint="eastAsia" w:ascii="仿宋_GB2312" w:hAnsi="仿宋_GB2312" w:eastAsia="仿宋_GB2312" w:cs="仿宋_GB2312"/>
                <w:i w:val="0"/>
                <w:iCs w:val="0"/>
                <w:color w:val="000000"/>
                <w:kern w:val="2"/>
                <w:sz w:val="32"/>
                <w:szCs w:val="32"/>
                <w:highlight w:val="none"/>
                <w:u w:val="none"/>
                <w:lang w:val="en-US" w:eastAsia="zh-CN" w:bidi="ar-SA"/>
              </w:rPr>
              <w:t>10.80</w:t>
            </w:r>
          </w:p>
        </w:tc>
        <w:tc>
          <w:tcPr>
            <w:tcW w:w="9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z w:val="32"/>
                <w:szCs w:val="32"/>
                <w:highlight w:val="none"/>
                <w:u w:val="none"/>
                <w:lang w:val="en-US" w:eastAsia="zh-CN"/>
              </w:rPr>
              <w:t>部门预算编制服务费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z w:val="32"/>
                <w:szCs w:val="32"/>
                <w:highlight w:val="none"/>
                <w:u w:val="none"/>
                <w:lang w:val="en-US" w:eastAsia="zh-CN"/>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2010605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财政国库业务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36.00</w:t>
            </w:r>
          </w:p>
        </w:tc>
        <w:tc>
          <w:tcPr>
            <w:tcW w:w="9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2"/>
                <w:sz w:val="32"/>
                <w:szCs w:val="32"/>
                <w:highlight w:val="none"/>
                <w:u w:val="none"/>
                <w:lang w:val="en-US" w:eastAsia="zh-CN" w:bidi="ar-SA"/>
              </w:rPr>
            </w:pPr>
            <w:r>
              <w:rPr>
                <w:rFonts w:hint="eastAsia" w:ascii="仿宋_GB2312" w:hAnsi="仿宋_GB2312" w:eastAsia="仿宋_GB2312" w:cs="仿宋_GB2312"/>
                <w:i w:val="0"/>
                <w:iCs w:val="0"/>
                <w:color w:val="000000"/>
                <w:kern w:val="2"/>
                <w:sz w:val="32"/>
                <w:szCs w:val="32"/>
                <w:highlight w:val="none"/>
                <w:u w:val="none"/>
                <w:lang w:val="en-US" w:eastAsia="zh-CN" w:bidi="ar-SA"/>
              </w:rPr>
              <w:t>36.00</w:t>
            </w:r>
          </w:p>
        </w:tc>
        <w:tc>
          <w:tcPr>
            <w:tcW w:w="9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z w:val="32"/>
                <w:szCs w:val="32"/>
                <w:highlight w:val="none"/>
                <w:u w:val="none"/>
                <w:lang w:val="en-US" w:eastAsia="zh-CN"/>
              </w:rPr>
              <w:t>国库集中收付业务</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2010606</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财政监察</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5.20</w:t>
            </w:r>
          </w:p>
        </w:tc>
        <w:tc>
          <w:tcPr>
            <w:tcW w:w="9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2"/>
                <w:sz w:val="32"/>
                <w:szCs w:val="32"/>
                <w:highlight w:val="none"/>
                <w:u w:val="none"/>
                <w:lang w:val="en-US" w:eastAsia="zh-CN" w:bidi="ar-SA"/>
              </w:rPr>
            </w:pPr>
            <w:r>
              <w:rPr>
                <w:rFonts w:hint="eastAsia" w:ascii="仿宋_GB2312" w:hAnsi="仿宋_GB2312" w:eastAsia="仿宋_GB2312" w:cs="仿宋_GB2312"/>
                <w:i w:val="0"/>
                <w:iCs w:val="0"/>
                <w:color w:val="000000"/>
                <w:kern w:val="2"/>
                <w:sz w:val="32"/>
                <w:szCs w:val="32"/>
                <w:highlight w:val="none"/>
                <w:u w:val="none"/>
                <w:lang w:val="en-US" w:eastAsia="zh-CN" w:bidi="ar-SA"/>
              </w:rPr>
              <w:t>5.20</w:t>
            </w:r>
          </w:p>
        </w:tc>
        <w:tc>
          <w:tcPr>
            <w:tcW w:w="9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财政监督检查工作</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2010608</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财政委托业务支出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170.57</w:t>
            </w:r>
          </w:p>
        </w:tc>
        <w:tc>
          <w:tcPr>
            <w:tcW w:w="9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2"/>
                <w:sz w:val="32"/>
                <w:szCs w:val="32"/>
                <w:highlight w:val="none"/>
                <w:u w:val="none"/>
                <w:lang w:val="en-US" w:eastAsia="zh-CN" w:bidi="ar-SA"/>
              </w:rPr>
            </w:pPr>
            <w:r>
              <w:rPr>
                <w:rFonts w:hint="eastAsia" w:ascii="仿宋_GB2312" w:hAnsi="仿宋_GB2312" w:eastAsia="仿宋_GB2312" w:cs="仿宋_GB2312"/>
                <w:i w:val="0"/>
                <w:iCs w:val="0"/>
                <w:color w:val="000000"/>
                <w:kern w:val="2"/>
                <w:sz w:val="32"/>
                <w:szCs w:val="32"/>
                <w:highlight w:val="none"/>
                <w:u w:val="none"/>
                <w:lang w:val="en-US" w:eastAsia="zh-CN" w:bidi="ar-SA"/>
              </w:rPr>
              <w:t>340.37</w:t>
            </w:r>
          </w:p>
        </w:tc>
        <w:tc>
          <w:tcPr>
            <w:tcW w:w="9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199.55%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全县政府性项目投资评审业务</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上年指标结余转到本年度使用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2010699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其他财政事务支出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212.27</w:t>
            </w:r>
          </w:p>
        </w:tc>
        <w:tc>
          <w:tcPr>
            <w:tcW w:w="9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2"/>
                <w:sz w:val="32"/>
                <w:szCs w:val="32"/>
                <w:highlight w:val="none"/>
                <w:u w:val="none"/>
                <w:lang w:val="en-US" w:eastAsia="zh-CN" w:bidi="ar-SA"/>
              </w:rPr>
            </w:pPr>
            <w:r>
              <w:rPr>
                <w:rFonts w:hint="eastAsia" w:ascii="仿宋_GB2312" w:hAnsi="仿宋_GB2312" w:eastAsia="仿宋_GB2312" w:cs="仿宋_GB2312"/>
                <w:i w:val="0"/>
                <w:iCs w:val="0"/>
                <w:color w:val="000000"/>
                <w:kern w:val="2"/>
                <w:sz w:val="32"/>
                <w:szCs w:val="32"/>
                <w:highlight w:val="none"/>
                <w:u w:val="none"/>
                <w:lang w:val="en-US" w:eastAsia="zh-CN" w:bidi="ar-SA"/>
              </w:rPr>
              <w:t>288.40</w:t>
            </w:r>
          </w:p>
        </w:tc>
        <w:tc>
          <w:tcPr>
            <w:tcW w:w="9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135.86%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z w:val="32"/>
                <w:szCs w:val="32"/>
                <w:highlight w:val="none"/>
                <w:u w:val="none"/>
                <w:lang w:val="en-US" w:eastAsia="zh-CN"/>
              </w:rPr>
              <w:t>国有资产管理、内控改革业务、政采云等业费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z w:val="32"/>
                <w:szCs w:val="32"/>
                <w:highlight w:val="none"/>
                <w:u w:val="none"/>
                <w:lang w:val="en-US" w:eastAsia="zh-CN"/>
              </w:rPr>
              <w:t>预算科目 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12.15</w:t>
            </w:r>
          </w:p>
        </w:tc>
        <w:tc>
          <w:tcPr>
            <w:tcW w:w="9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2"/>
                <w:sz w:val="32"/>
                <w:szCs w:val="32"/>
                <w:highlight w:val="none"/>
                <w:u w:val="none"/>
                <w:lang w:val="en-US" w:eastAsia="zh-CN" w:bidi="ar-SA"/>
              </w:rPr>
            </w:pPr>
            <w:r>
              <w:rPr>
                <w:rFonts w:hint="eastAsia" w:ascii="仿宋_GB2312" w:hAnsi="仿宋_GB2312" w:eastAsia="仿宋_GB2312" w:cs="仿宋_GB2312"/>
                <w:i w:val="0"/>
                <w:iCs w:val="0"/>
                <w:color w:val="000000"/>
                <w:kern w:val="2"/>
                <w:sz w:val="32"/>
                <w:szCs w:val="32"/>
                <w:highlight w:val="none"/>
                <w:u w:val="none"/>
                <w:lang w:val="en-US" w:eastAsia="zh-CN" w:bidi="ar-SA"/>
              </w:rPr>
              <w:t>12.15</w:t>
            </w:r>
          </w:p>
        </w:tc>
        <w:tc>
          <w:tcPr>
            <w:tcW w:w="9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z w:val="32"/>
                <w:szCs w:val="32"/>
                <w:highlight w:val="none"/>
                <w:u w:val="none"/>
                <w:lang w:val="en-US" w:eastAsia="zh-CN"/>
              </w:rPr>
              <w:t>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b/>
                <w:bCs/>
                <w:i w:val="0"/>
                <w:iCs w:val="0"/>
                <w:color w:val="000000"/>
                <w:sz w:val="32"/>
                <w:szCs w:val="32"/>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1091.72</w:t>
            </w:r>
          </w:p>
        </w:tc>
        <w:tc>
          <w:tcPr>
            <w:tcW w:w="9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2"/>
                <w:sz w:val="32"/>
                <w:szCs w:val="32"/>
                <w:highlight w:val="none"/>
                <w:u w:val="none"/>
                <w:lang w:val="en-US" w:eastAsia="zh-CN" w:bidi="ar-SA"/>
              </w:rPr>
            </w:pPr>
            <w:r>
              <w:rPr>
                <w:rFonts w:hint="eastAsia" w:ascii="仿宋_GB2312" w:hAnsi="仿宋_GB2312" w:eastAsia="仿宋_GB2312" w:cs="仿宋_GB2312"/>
                <w:i w:val="0"/>
                <w:iCs w:val="0"/>
                <w:color w:val="000000"/>
                <w:kern w:val="2"/>
                <w:sz w:val="32"/>
                <w:szCs w:val="32"/>
                <w:highlight w:val="none"/>
                <w:u w:val="none"/>
                <w:lang w:val="en-US" w:eastAsia="zh-CN" w:bidi="ar-SA"/>
              </w:rPr>
              <w:t>1430.15</w:t>
            </w:r>
          </w:p>
        </w:tc>
        <w:tc>
          <w:tcPr>
            <w:tcW w:w="9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z w:val="32"/>
                <w:szCs w:val="32"/>
                <w:highlight w:val="none"/>
                <w:u w:val="none"/>
                <w:lang w:val="en-US" w:eastAsia="zh-CN"/>
              </w:rPr>
              <w:t>职工工资、社保缴费和机关运转</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z w:val="32"/>
                <w:szCs w:val="32"/>
                <w:highlight w:val="none"/>
                <w:u w:val="none"/>
                <w:lang w:val="en-US" w:eastAsia="zh-CN"/>
              </w:rPr>
              <w:t>正常调资、财政委托业务量增长等</w:t>
            </w:r>
          </w:p>
        </w:tc>
      </w:tr>
    </w:tbl>
    <w:p>
      <w:pPr>
        <w:jc w:val="left"/>
        <w:rPr>
          <w:rFonts w:hint="eastAsia" w:ascii="仿宋_GB2312" w:hAnsi="仿宋_GB2312" w:eastAsia="仿宋_GB2312" w:cs="仿宋_GB2312"/>
          <w:sz w:val="32"/>
          <w:szCs w:val="32"/>
          <w:highlight w:val="none"/>
        </w:rPr>
      </w:pPr>
    </w:p>
    <w:p>
      <w:pPr>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0"/>
        </w:numPr>
        <w:suppressLineNumbers w:val="0"/>
        <w:spacing w:before="0" w:beforeAutospacing="0" w:after="0" w:afterAutospacing="0"/>
        <w:ind w:left="0" w:leftChars="0" w:right="0" w:rightChars="0" w:firstLine="421" w:firstLineChars="131"/>
        <w:jc w:val="left"/>
        <w:rPr>
          <w:rFonts w:hint="eastAsia"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b/>
          <w:bCs/>
          <w:sz w:val="32"/>
          <w:szCs w:val="32"/>
          <w:highlight w:val="none"/>
          <w:lang w:eastAsia="zh-CN"/>
        </w:rPr>
        <w:t>（二）</w:t>
      </w:r>
      <w:r>
        <w:rPr>
          <w:rFonts w:hint="eastAsia" w:ascii="仿宋_GB2312" w:hAnsi="仿宋_GB2312" w:eastAsia="仿宋_GB2312" w:cs="仿宋_GB2312"/>
          <w:b/>
          <w:bCs/>
          <w:sz w:val="32"/>
          <w:szCs w:val="32"/>
          <w:highlight w:val="none"/>
        </w:rPr>
        <w:t>公共安全支出</w:t>
      </w:r>
      <w:r>
        <w:rPr>
          <w:rFonts w:hint="eastAsia" w:ascii="仿宋_GB2312" w:hAnsi="仿宋_GB2312" w:eastAsia="仿宋_GB2312" w:cs="仿宋_GB2312"/>
          <w:b/>
          <w:bCs/>
          <w:sz w:val="32"/>
          <w:szCs w:val="32"/>
          <w:u w:color="auto"/>
        </w:rPr>
        <w:t>（204</w:t>
      </w:r>
      <w:r>
        <w:rPr>
          <w:rFonts w:hint="eastAsia" w:ascii="仿宋_GB2312" w:hAnsi="仿宋_GB2312" w:eastAsia="仿宋_GB2312" w:cs="仿宋_GB2312"/>
          <w:b/>
          <w:bCs/>
          <w:sz w:val="32"/>
          <w:szCs w:val="32"/>
          <w:highlight w:val="none"/>
        </w:rPr>
        <w:t>类）年初预算为0.60万元，支出决算为0.60万元，完成年初预算的100.00%。</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预决算</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存有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差异</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原因是：</w:t>
      </w:r>
      <w:r>
        <w:rPr>
          <w:rFonts w:hint="eastAsia" w:ascii="仿宋_GB2312" w:hAnsi="仿宋_GB2312" w:eastAsia="仿宋_GB2312" w:cs="仿宋_GB2312"/>
          <w:color w:val="auto"/>
          <w:kern w:val="2"/>
          <w:sz w:val="32"/>
          <w:szCs w:val="32"/>
          <w:highlight w:val="none"/>
          <w:lang w:val="en-US" w:eastAsia="zh-CN" w:bidi="ar"/>
        </w:rPr>
        <w:t>本部门2022年公共安全支出由大财政统筹调剂科目发生支出数据。</w:t>
      </w:r>
    </w:p>
    <w:p>
      <w:pPr>
        <w:keepNext w:val="0"/>
        <w:keepLines w:val="0"/>
        <w:widowControl w:val="0"/>
        <w:numPr>
          <w:ilvl w:val="0"/>
          <w:numId w:val="0"/>
        </w:numPr>
        <w:suppressLineNumbers w:val="0"/>
        <w:spacing w:before="0" w:beforeAutospacing="0" w:after="0" w:afterAutospacing="0"/>
        <w:ind w:right="0" w:rightChars="0"/>
        <w:jc w:val="left"/>
        <w:rPr>
          <w:rFonts w:hint="eastAsia" w:ascii="仿宋_GB2312" w:hAnsi="仿宋_GB2312" w:eastAsia="仿宋_GB2312" w:cs="仿宋_GB2312"/>
          <w:color w:val="auto"/>
          <w:kern w:val="2"/>
          <w:sz w:val="32"/>
          <w:szCs w:val="32"/>
          <w:highlight w:val="none"/>
          <w:lang w:val="en-US" w:eastAsia="zh-CN" w:bidi="ar"/>
        </w:rPr>
      </w:pPr>
      <w:r>
        <w:rPr>
          <w:rFonts w:hint="eastAsia" w:ascii="仿宋_GB2312" w:hAnsi="仿宋_GB2312" w:eastAsia="仿宋_GB2312" w:cs="仿宋_GB2312"/>
          <w:color w:val="auto"/>
          <w:kern w:val="2"/>
          <w:sz w:val="32"/>
          <w:szCs w:val="32"/>
          <w:highlight w:val="none"/>
          <w:lang w:val="en-US" w:eastAsia="zh-CN" w:bidi="ar"/>
        </w:rPr>
        <w:t>支出具体情况如下：</w:t>
      </w:r>
    </w:p>
    <w:tbl>
      <w:tblPr>
        <w:tblStyle w:val="8"/>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965"/>
        <w:gridCol w:w="938"/>
        <w:gridCol w:w="1945"/>
        <w:gridCol w:w="1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rPr>
            </w:pPr>
            <w:r>
              <w:rPr>
                <w:rFonts w:hint="eastAsia" w:ascii="仿宋_GB2312" w:hAnsi="仿宋_GB2312" w:eastAsia="仿宋_GB2312" w:cs="仿宋_GB2312"/>
                <w:i w:val="0"/>
                <w:iCs w:val="0"/>
                <w:color w:val="000000"/>
                <w:kern w:val="0"/>
                <w:sz w:val="32"/>
                <w:szCs w:val="32"/>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年初预算数</w:t>
            </w: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决算</w:t>
            </w:r>
          </w:p>
        </w:tc>
        <w:tc>
          <w:tcPr>
            <w:tcW w:w="93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rPr>
            </w:pPr>
            <w:r>
              <w:rPr>
                <w:rFonts w:hint="eastAsia" w:ascii="仿宋_GB2312" w:hAnsi="仿宋_GB2312" w:eastAsia="仿宋_GB2312" w:cs="仿宋_GB2312"/>
                <w:i w:val="0"/>
                <w:iCs w:val="0"/>
                <w:color w:val="000000"/>
                <w:kern w:val="0"/>
                <w:sz w:val="32"/>
                <w:szCs w:val="32"/>
                <w:highlight w:val="none"/>
                <w:u w:val="none"/>
                <w:lang w:val="en-US" w:eastAsia="zh-CN" w:bidi="ar"/>
              </w:rPr>
              <w:t>完成预算百分比</w:t>
            </w:r>
          </w:p>
        </w:tc>
        <w:tc>
          <w:tcPr>
            <w:tcW w:w="194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主要用于</w:t>
            </w:r>
          </w:p>
        </w:tc>
        <w:tc>
          <w:tcPr>
            <w:tcW w:w="166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2040201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0.00</w:t>
            </w: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2"/>
                <w:sz w:val="32"/>
                <w:szCs w:val="32"/>
                <w:highlight w:val="none"/>
                <w:u w:val="none"/>
                <w:lang w:val="en-US" w:eastAsia="zh-CN" w:bidi="ar-SA"/>
              </w:rPr>
            </w:pPr>
            <w:r>
              <w:rPr>
                <w:rFonts w:hint="eastAsia" w:ascii="仿宋_GB2312" w:hAnsi="仿宋_GB2312" w:eastAsia="仿宋_GB2312" w:cs="仿宋_GB2312"/>
                <w:i w:val="0"/>
                <w:iCs w:val="0"/>
                <w:color w:val="000000"/>
                <w:kern w:val="2"/>
                <w:sz w:val="32"/>
                <w:szCs w:val="32"/>
                <w:highlight w:val="none"/>
                <w:u w:val="none"/>
                <w:lang w:val="en-US" w:eastAsia="zh-CN" w:bidi="ar-SA"/>
              </w:rPr>
              <w:t>0.60</w:t>
            </w:r>
          </w:p>
        </w:tc>
        <w:tc>
          <w:tcPr>
            <w:tcW w:w="93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100.00%</w:t>
            </w:r>
          </w:p>
        </w:tc>
        <w:tc>
          <w:tcPr>
            <w:tcW w:w="194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z w:val="32"/>
                <w:szCs w:val="32"/>
                <w:highlight w:val="none"/>
                <w:u w:val="none"/>
                <w:lang w:val="en-US" w:eastAsia="zh-CN"/>
              </w:rPr>
              <w:t>人员工资和社保缴费</w:t>
            </w:r>
          </w:p>
        </w:tc>
        <w:tc>
          <w:tcPr>
            <w:tcW w:w="166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科目调整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p>
        </w:tc>
        <w:tc>
          <w:tcPr>
            <w:tcW w:w="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2"/>
                <w:sz w:val="32"/>
                <w:szCs w:val="32"/>
                <w:highlight w:val="none"/>
                <w:u w:val="none"/>
                <w:lang w:val="en-US" w:eastAsia="zh-CN" w:bidi="ar-SA"/>
              </w:rPr>
            </w:pPr>
            <w:r>
              <w:rPr>
                <w:rFonts w:hint="eastAsia" w:ascii="仿宋_GB2312" w:hAnsi="仿宋_GB2312" w:eastAsia="仿宋_GB2312" w:cs="仿宋_GB2312"/>
                <w:i w:val="0"/>
                <w:iCs w:val="0"/>
                <w:color w:val="000000"/>
                <w:kern w:val="2"/>
                <w:sz w:val="32"/>
                <w:szCs w:val="32"/>
                <w:highlight w:val="none"/>
                <w:u w:val="none"/>
                <w:lang w:val="en-US" w:eastAsia="zh-CN" w:bidi="ar-SA"/>
              </w:rPr>
              <w:t>0.60</w:t>
            </w:r>
          </w:p>
        </w:tc>
        <w:tc>
          <w:tcPr>
            <w:tcW w:w="93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p>
        </w:tc>
        <w:tc>
          <w:tcPr>
            <w:tcW w:w="194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z w:val="32"/>
                <w:szCs w:val="32"/>
                <w:highlight w:val="none"/>
                <w:u w:val="none"/>
                <w:lang w:val="en-US" w:eastAsia="zh-CN"/>
              </w:rPr>
              <w:t>人员工资和社保缴费</w:t>
            </w:r>
          </w:p>
        </w:tc>
        <w:tc>
          <w:tcPr>
            <w:tcW w:w="166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科目调整</w:t>
            </w:r>
          </w:p>
        </w:tc>
      </w:tr>
    </w:tbl>
    <w:p>
      <w:pPr>
        <w:jc w:val="left"/>
        <w:rPr>
          <w:rFonts w:hint="eastAsia" w:ascii="仿宋_GB2312" w:hAnsi="仿宋_GB2312" w:eastAsia="仿宋_GB2312" w:cs="仿宋_GB2312"/>
          <w:sz w:val="32"/>
          <w:szCs w:val="32"/>
          <w:highlight w:val="none"/>
        </w:rPr>
      </w:pPr>
    </w:p>
    <w:p>
      <w:pPr>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0"/>
        </w:numPr>
        <w:suppressLineNumbers w:val="0"/>
        <w:spacing w:before="0" w:beforeAutospacing="0" w:after="0" w:afterAutospacing="0"/>
        <w:ind w:left="0" w:leftChars="0" w:right="0" w:rightChars="0" w:firstLine="421" w:firstLineChars="131"/>
        <w:jc w:val="left"/>
        <w:rPr>
          <w:rFonts w:hint="eastAsia"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b/>
          <w:bCs/>
          <w:color w:val="auto"/>
          <w:sz w:val="32"/>
          <w:szCs w:val="32"/>
          <w:highlight w:val="none"/>
          <w:lang w:eastAsia="zh-CN"/>
        </w:rPr>
        <w:t>（三）</w:t>
      </w:r>
      <w:r>
        <w:rPr>
          <w:rFonts w:hint="eastAsia" w:ascii="仿宋_GB2312" w:hAnsi="仿宋_GB2312" w:eastAsia="仿宋_GB2312" w:cs="仿宋_GB2312"/>
          <w:b/>
          <w:bCs/>
          <w:color w:val="auto"/>
          <w:sz w:val="32"/>
          <w:szCs w:val="32"/>
          <w:highlight w:val="none"/>
        </w:rPr>
        <w:t>社会保障和就业支出</w:t>
      </w:r>
      <w:r>
        <w:rPr>
          <w:rFonts w:hint="eastAsia" w:ascii="仿宋_GB2312" w:hAnsi="仿宋_GB2312" w:eastAsia="仿宋_GB2312" w:cs="仿宋_GB2312"/>
          <w:b/>
          <w:bCs/>
          <w:color w:val="auto"/>
          <w:sz w:val="32"/>
          <w:szCs w:val="32"/>
          <w:u w:color="auto"/>
        </w:rPr>
        <w:t>（208</w:t>
      </w:r>
      <w:r>
        <w:rPr>
          <w:rFonts w:hint="eastAsia" w:ascii="仿宋_GB2312" w:hAnsi="仿宋_GB2312" w:eastAsia="仿宋_GB2312" w:cs="仿宋_GB2312"/>
          <w:b/>
          <w:bCs/>
          <w:color w:val="auto"/>
          <w:sz w:val="32"/>
          <w:szCs w:val="32"/>
          <w:highlight w:val="none"/>
        </w:rPr>
        <w:t>类）年初预算为97.21万元，支出决算为103.35万元，完成年初预算的106.32%。预决算</w:t>
      </w:r>
      <w:r>
        <w:rPr>
          <w:rFonts w:hint="eastAsia" w:ascii="仿宋_GB2312" w:hAnsi="仿宋_GB2312" w:eastAsia="仿宋_GB2312" w:cs="仿宋_GB2312"/>
          <w:b/>
          <w:bCs/>
          <w:color w:val="auto"/>
          <w:sz w:val="32"/>
          <w:szCs w:val="32"/>
          <w:highlight w:val="none"/>
          <w:lang w:val="en-US" w:eastAsia="zh-CN"/>
        </w:rPr>
        <w:t>存有</w:t>
      </w:r>
      <w:r>
        <w:rPr>
          <w:rFonts w:hint="eastAsia" w:ascii="仿宋_GB2312" w:hAnsi="仿宋_GB2312" w:eastAsia="仿宋_GB2312" w:cs="仿宋_GB2312"/>
          <w:b/>
          <w:bCs/>
          <w:color w:val="auto"/>
          <w:sz w:val="32"/>
          <w:szCs w:val="32"/>
          <w:highlight w:val="none"/>
        </w:rPr>
        <w:t>差异</w:t>
      </w:r>
      <w:r>
        <w:rPr>
          <w:rFonts w:hint="eastAsia" w:ascii="仿宋_GB2312" w:hAnsi="仿宋_GB2312" w:eastAsia="仿宋_GB2312" w:cs="仿宋_GB2312"/>
          <w:b/>
          <w:bCs/>
          <w:color w:val="auto"/>
          <w:sz w:val="32"/>
          <w:szCs w:val="32"/>
          <w:highlight w:val="none"/>
          <w:lang w:val="en-US" w:eastAsia="zh-CN"/>
        </w:rPr>
        <w:t>原因是：</w:t>
      </w:r>
      <w:r>
        <w:rPr>
          <w:rFonts w:hint="eastAsia" w:ascii="仿宋_GB2312" w:hAnsi="仿宋_GB2312" w:eastAsia="仿宋_GB2312" w:cs="仿宋_GB2312"/>
          <w:color w:val="auto"/>
          <w:kern w:val="2"/>
          <w:sz w:val="32"/>
          <w:szCs w:val="32"/>
          <w:highlight w:val="none"/>
          <w:lang w:val="en-US" w:eastAsia="zh-CN" w:bidi="ar"/>
        </w:rPr>
        <w:t>本部门2022年职工人数申报基数调整增加。</w:t>
      </w:r>
    </w:p>
    <w:p>
      <w:pPr>
        <w:keepNext w:val="0"/>
        <w:keepLines w:val="0"/>
        <w:widowControl w:val="0"/>
        <w:numPr>
          <w:ilvl w:val="0"/>
          <w:numId w:val="0"/>
        </w:numPr>
        <w:suppressLineNumbers w:val="0"/>
        <w:spacing w:before="0" w:beforeAutospacing="0" w:after="0" w:afterAutospacing="0"/>
        <w:ind w:right="0" w:rightChars="0"/>
        <w:jc w:val="left"/>
        <w:rPr>
          <w:rFonts w:hint="eastAsia" w:ascii="仿宋_GB2312" w:hAnsi="仿宋_GB2312" w:eastAsia="仿宋_GB2312" w:cs="仿宋_GB2312"/>
          <w:color w:val="auto"/>
          <w:kern w:val="2"/>
          <w:sz w:val="32"/>
          <w:szCs w:val="32"/>
          <w:highlight w:val="none"/>
          <w:lang w:val="en-US" w:eastAsia="zh-CN" w:bidi="ar"/>
        </w:rPr>
      </w:pPr>
      <w:r>
        <w:rPr>
          <w:rFonts w:hint="eastAsia" w:ascii="仿宋_GB2312" w:hAnsi="仿宋_GB2312" w:eastAsia="仿宋_GB2312" w:cs="仿宋_GB2312"/>
          <w:color w:val="auto"/>
          <w:kern w:val="2"/>
          <w:sz w:val="32"/>
          <w:szCs w:val="32"/>
          <w:highlight w:val="none"/>
          <w:lang w:val="en-US" w:eastAsia="zh-CN" w:bidi="ar"/>
        </w:rPr>
        <w:t>支出具体情况如下：</w:t>
      </w:r>
    </w:p>
    <w:tbl>
      <w:tblPr>
        <w:tblStyle w:val="8"/>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rPr>
            </w:pPr>
            <w:r>
              <w:rPr>
                <w:rFonts w:hint="eastAsia" w:ascii="仿宋_GB2312" w:hAnsi="仿宋_GB2312" w:eastAsia="仿宋_GB2312" w:cs="仿宋_GB2312"/>
                <w:i w:val="0"/>
                <w:iCs w:val="0"/>
                <w:color w:val="000000"/>
                <w:kern w:val="0"/>
                <w:sz w:val="32"/>
                <w:szCs w:val="32"/>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rPr>
            </w:pPr>
            <w:r>
              <w:rPr>
                <w:rFonts w:hint="eastAsia" w:ascii="仿宋_GB2312" w:hAnsi="仿宋_GB2312" w:eastAsia="仿宋_GB2312" w:cs="仿宋_GB2312"/>
                <w:i w:val="0"/>
                <w:iCs w:val="0"/>
                <w:color w:val="000000"/>
                <w:kern w:val="0"/>
                <w:sz w:val="32"/>
                <w:szCs w:val="32"/>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97.21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2"/>
                <w:sz w:val="32"/>
                <w:szCs w:val="32"/>
                <w:highlight w:val="none"/>
                <w:u w:val="none"/>
                <w:lang w:val="en-US" w:eastAsia="zh-CN" w:bidi="ar-SA"/>
              </w:rPr>
            </w:pPr>
            <w:r>
              <w:rPr>
                <w:rFonts w:hint="eastAsia" w:ascii="仿宋_GB2312" w:hAnsi="仿宋_GB2312" w:eastAsia="仿宋_GB2312" w:cs="仿宋_GB2312"/>
                <w:i w:val="0"/>
                <w:iCs w:val="0"/>
                <w:color w:val="000000"/>
                <w:kern w:val="2"/>
                <w:sz w:val="32"/>
                <w:szCs w:val="32"/>
                <w:highlight w:val="none"/>
                <w:u w:val="none"/>
                <w:lang w:val="en-US" w:eastAsia="zh-CN" w:bidi="ar-SA"/>
              </w:rPr>
              <w:t>103.35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106.32%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z w:val="32"/>
                <w:szCs w:val="32"/>
                <w:highlight w:val="none"/>
                <w:u w:val="none"/>
                <w:lang w:val="en-US" w:eastAsia="zh-CN"/>
              </w:rPr>
              <w:t>职工养老保障缴费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z w:val="32"/>
                <w:szCs w:val="32"/>
                <w:highlight w:val="none"/>
                <w:u w:val="none"/>
                <w:lang w:val="en-US" w:eastAsia="zh-CN"/>
              </w:rPr>
              <w:t>基数申报 调增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97.21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2"/>
                <w:sz w:val="32"/>
                <w:szCs w:val="32"/>
                <w:highlight w:val="none"/>
                <w:u w:val="none"/>
                <w:lang w:val="en-US" w:eastAsia="zh-CN" w:bidi="ar-SA"/>
              </w:rPr>
            </w:pPr>
            <w:r>
              <w:rPr>
                <w:rFonts w:hint="eastAsia" w:ascii="仿宋_GB2312" w:hAnsi="仿宋_GB2312" w:eastAsia="仿宋_GB2312" w:cs="仿宋_GB2312"/>
                <w:i w:val="0"/>
                <w:iCs w:val="0"/>
                <w:color w:val="000000"/>
                <w:kern w:val="2"/>
                <w:sz w:val="32"/>
                <w:szCs w:val="32"/>
                <w:highlight w:val="none"/>
                <w:u w:val="none"/>
                <w:lang w:val="en-US" w:eastAsia="zh-CN" w:bidi="ar-SA"/>
              </w:rPr>
              <w:t>103.35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z w:val="32"/>
                <w:szCs w:val="32"/>
                <w:highlight w:val="none"/>
                <w:u w:val="none"/>
                <w:lang w:val="en-US" w:eastAsia="zh-CN"/>
              </w:rPr>
              <w:t>职工养老保障缴费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z w:val="32"/>
                <w:szCs w:val="32"/>
                <w:highlight w:val="none"/>
                <w:u w:val="none"/>
                <w:lang w:val="en-US" w:eastAsia="zh-CN"/>
              </w:rPr>
              <w:t>基数申报 调增</w:t>
            </w:r>
          </w:p>
        </w:tc>
      </w:tr>
    </w:tbl>
    <w:p>
      <w:pPr>
        <w:jc w:val="left"/>
        <w:rPr>
          <w:rFonts w:hint="eastAsia" w:ascii="仿宋_GB2312" w:hAnsi="仿宋_GB2312" w:eastAsia="仿宋_GB2312" w:cs="仿宋_GB2312"/>
          <w:sz w:val="32"/>
          <w:szCs w:val="32"/>
          <w:highlight w:val="none"/>
        </w:rPr>
      </w:pPr>
    </w:p>
    <w:p>
      <w:pPr>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suppressLineNumbers w:val="0"/>
        <w:spacing w:before="0" w:beforeAutospacing="0" w:after="0" w:afterAutospacing="0"/>
        <w:ind w:left="0" w:right="0" w:firstLine="643" w:firstLineChars="200"/>
        <w:jc w:val="left"/>
        <w:rPr>
          <w:rFonts w:hint="eastAsia"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b/>
          <w:bCs/>
          <w:sz w:val="32"/>
          <w:szCs w:val="32"/>
          <w:highlight w:val="none"/>
          <w:lang w:eastAsia="zh-CN"/>
        </w:rPr>
        <w:t>（四）</w:t>
      </w:r>
      <w:r>
        <w:rPr>
          <w:rFonts w:hint="eastAsia" w:ascii="仿宋_GB2312" w:hAnsi="仿宋_GB2312" w:eastAsia="仿宋_GB2312" w:cs="仿宋_GB2312"/>
          <w:b/>
          <w:bCs/>
          <w:sz w:val="32"/>
          <w:szCs w:val="32"/>
          <w:highlight w:val="none"/>
        </w:rPr>
        <w:t>农林水支出</w:t>
      </w:r>
      <w:r>
        <w:rPr>
          <w:rFonts w:hint="eastAsia" w:ascii="仿宋_GB2312" w:hAnsi="仿宋_GB2312" w:eastAsia="仿宋_GB2312" w:cs="仿宋_GB2312"/>
          <w:b/>
          <w:bCs/>
          <w:sz w:val="32"/>
          <w:szCs w:val="32"/>
          <w:u w:color="auto"/>
        </w:rPr>
        <w:t>（213</w:t>
      </w:r>
      <w:r>
        <w:rPr>
          <w:rFonts w:hint="eastAsia" w:ascii="仿宋_GB2312" w:hAnsi="仿宋_GB2312" w:eastAsia="仿宋_GB2312" w:cs="仿宋_GB2312"/>
          <w:b/>
          <w:bCs/>
          <w:sz w:val="32"/>
          <w:szCs w:val="32"/>
          <w:highlight w:val="none"/>
        </w:rPr>
        <w:t>类）年初预算为5026.01万元，支出决算为5026.01万元，完成年初预算的100.00%。</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预决算</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存有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差异</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原因是：</w:t>
      </w:r>
      <w:r>
        <w:rPr>
          <w:rFonts w:hint="eastAsia" w:ascii="仿宋_GB2312" w:hAnsi="仿宋_GB2312" w:eastAsia="仿宋_GB2312" w:cs="仿宋_GB2312"/>
          <w:color w:val="auto"/>
          <w:sz w:val="32"/>
          <w:szCs w:val="32"/>
          <w:highlight w:val="none"/>
          <w:lang w:val="en-US" w:eastAsia="zh-CN"/>
        </w:rPr>
        <w:t>全县脱贫攻坚成果与乡村振兴有效衔接项目建设、农村综合改革美丽乡村建设和革命老区项目建设</w:t>
      </w:r>
      <w:r>
        <w:rPr>
          <w:rFonts w:hint="eastAsia" w:ascii="仿宋_GB2312" w:hAnsi="仿宋_GB2312" w:eastAsia="仿宋_GB2312" w:cs="仿宋_GB2312"/>
          <w:color w:val="auto"/>
          <w:sz w:val="32"/>
          <w:szCs w:val="32"/>
          <w:highlight w:val="none"/>
          <w:lang w:eastAsia="zh-CN"/>
        </w:rPr>
        <w:t>资金年初预算为预留项目资金，预算调整到本部门，故产生预决算差异较大。</w:t>
      </w:r>
    </w:p>
    <w:p>
      <w:pPr>
        <w:keepNext w:val="0"/>
        <w:keepLines w:val="0"/>
        <w:widowControl w:val="0"/>
        <w:suppressLineNumbers w:val="0"/>
        <w:spacing w:before="0" w:beforeAutospacing="0" w:after="0" w:afterAutospacing="0"/>
        <w:ind w:right="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支出具体情况如下：</w:t>
      </w:r>
    </w:p>
    <w:tbl>
      <w:tblPr>
        <w:tblStyle w:val="8"/>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285"/>
        <w:gridCol w:w="785"/>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5"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rPr>
            </w:pPr>
            <w:r>
              <w:rPr>
                <w:rFonts w:hint="eastAsia" w:ascii="仿宋_GB2312" w:hAnsi="仿宋_GB2312" w:eastAsia="仿宋_GB2312" w:cs="仿宋_GB2312"/>
                <w:i w:val="0"/>
                <w:iCs w:val="0"/>
                <w:color w:val="000000"/>
                <w:kern w:val="0"/>
                <w:sz w:val="32"/>
                <w:szCs w:val="32"/>
                <w:highlight w:val="none"/>
                <w:u w:val="none"/>
                <w:lang w:val="en-US" w:eastAsia="zh-CN" w:bidi="ar"/>
              </w:rPr>
              <w:t>类款项</w:t>
            </w:r>
          </w:p>
        </w:tc>
        <w:tc>
          <w:tcPr>
            <w:tcW w:w="12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科目名称</w:t>
            </w:r>
          </w:p>
        </w:tc>
        <w:tc>
          <w:tcPr>
            <w:tcW w:w="7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rPr>
            </w:pPr>
            <w:r>
              <w:rPr>
                <w:rFonts w:hint="eastAsia" w:ascii="仿宋_GB2312" w:hAnsi="仿宋_GB2312" w:eastAsia="仿宋_GB2312" w:cs="仿宋_GB2312"/>
                <w:i w:val="0"/>
                <w:iCs w:val="0"/>
                <w:color w:val="000000"/>
                <w:kern w:val="0"/>
                <w:sz w:val="32"/>
                <w:szCs w:val="32"/>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2130142</w:t>
            </w:r>
          </w:p>
        </w:tc>
        <w:tc>
          <w:tcPr>
            <w:tcW w:w="12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农村道路建设</w:t>
            </w:r>
          </w:p>
        </w:tc>
        <w:tc>
          <w:tcPr>
            <w:tcW w:w="7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2"/>
                <w:sz w:val="32"/>
                <w:szCs w:val="32"/>
                <w:highlight w:val="none"/>
                <w:u w:val="none"/>
                <w:lang w:val="en-US" w:eastAsia="zh-CN" w:bidi="ar-SA"/>
              </w:rPr>
            </w:pPr>
            <w:r>
              <w:rPr>
                <w:rFonts w:hint="eastAsia" w:ascii="仿宋_GB2312" w:hAnsi="仿宋_GB2312" w:eastAsia="仿宋_GB2312" w:cs="仿宋_GB2312"/>
                <w:i w:val="0"/>
                <w:iCs w:val="0"/>
                <w:color w:val="000000"/>
                <w:kern w:val="2"/>
                <w:sz w:val="32"/>
                <w:szCs w:val="32"/>
                <w:highlight w:val="none"/>
                <w:u w:val="none"/>
                <w:lang w:val="en-US" w:eastAsia="zh-CN" w:bidi="ar-SA"/>
              </w:rPr>
              <w:t>451.99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全县革命老区项目管理费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2130199</w:t>
            </w:r>
          </w:p>
        </w:tc>
        <w:tc>
          <w:tcPr>
            <w:tcW w:w="12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其他农业农村支出</w:t>
            </w:r>
          </w:p>
        </w:tc>
        <w:tc>
          <w:tcPr>
            <w:tcW w:w="7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2"/>
                <w:sz w:val="32"/>
                <w:szCs w:val="32"/>
                <w:highlight w:val="none"/>
                <w:u w:val="none"/>
                <w:lang w:val="en-US" w:eastAsia="zh-CN" w:bidi="ar-SA"/>
              </w:rPr>
            </w:pPr>
            <w:r>
              <w:rPr>
                <w:rFonts w:hint="eastAsia" w:ascii="仿宋_GB2312" w:hAnsi="仿宋_GB2312" w:eastAsia="仿宋_GB2312" w:cs="仿宋_GB2312"/>
                <w:i w:val="0"/>
                <w:iCs w:val="0"/>
                <w:color w:val="000000"/>
                <w:kern w:val="2"/>
                <w:sz w:val="32"/>
                <w:szCs w:val="32"/>
                <w:highlight w:val="none"/>
                <w:u w:val="none"/>
                <w:lang w:val="en-US" w:eastAsia="zh-CN" w:bidi="ar-SA"/>
              </w:rPr>
              <w:t>7.78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z w:val="32"/>
                <w:szCs w:val="32"/>
                <w:highlight w:val="none"/>
                <w:u w:val="none"/>
                <w:lang w:val="en-US" w:eastAsia="zh-CN"/>
              </w:rPr>
              <w:t>其他农村公益事业项目</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2130504</w:t>
            </w:r>
          </w:p>
        </w:tc>
        <w:tc>
          <w:tcPr>
            <w:tcW w:w="12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农村基础设施建设</w:t>
            </w:r>
          </w:p>
        </w:tc>
        <w:tc>
          <w:tcPr>
            <w:tcW w:w="7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2"/>
                <w:sz w:val="32"/>
                <w:szCs w:val="32"/>
                <w:highlight w:val="none"/>
                <w:u w:val="none"/>
                <w:lang w:val="en-US" w:eastAsia="zh-CN" w:bidi="ar-SA"/>
              </w:rPr>
            </w:pPr>
            <w:r>
              <w:rPr>
                <w:rFonts w:hint="eastAsia" w:ascii="仿宋_GB2312" w:hAnsi="仿宋_GB2312" w:eastAsia="仿宋_GB2312" w:cs="仿宋_GB2312"/>
                <w:i w:val="0"/>
                <w:iCs w:val="0"/>
                <w:color w:val="000000"/>
                <w:kern w:val="2"/>
                <w:sz w:val="32"/>
                <w:szCs w:val="32"/>
                <w:highlight w:val="none"/>
                <w:u w:val="none"/>
                <w:lang w:val="en-US" w:eastAsia="zh-CN" w:bidi="ar-SA"/>
              </w:rPr>
              <w:t>2042.24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z w:val="32"/>
                <w:szCs w:val="32"/>
                <w:highlight w:val="none"/>
                <w:u w:val="none"/>
                <w:lang w:val="en-US" w:eastAsia="zh-CN"/>
              </w:rPr>
              <w:t>革命老区项目建设</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2130599</w:t>
            </w:r>
          </w:p>
        </w:tc>
        <w:tc>
          <w:tcPr>
            <w:tcW w:w="12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其他巩固脱贫衔接乡村振兴支出</w:t>
            </w:r>
          </w:p>
        </w:tc>
        <w:tc>
          <w:tcPr>
            <w:tcW w:w="7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2"/>
                <w:sz w:val="32"/>
                <w:szCs w:val="32"/>
                <w:highlight w:val="none"/>
                <w:u w:val="none"/>
                <w:lang w:val="en-US" w:eastAsia="zh-CN" w:bidi="ar-SA"/>
              </w:rPr>
            </w:pPr>
            <w:r>
              <w:rPr>
                <w:rFonts w:hint="eastAsia" w:ascii="仿宋_GB2312" w:hAnsi="仿宋_GB2312" w:eastAsia="仿宋_GB2312" w:cs="仿宋_GB2312"/>
                <w:i w:val="0"/>
                <w:iCs w:val="0"/>
                <w:color w:val="000000"/>
                <w:kern w:val="2"/>
                <w:sz w:val="32"/>
                <w:szCs w:val="32"/>
                <w:highlight w:val="none"/>
                <w:u w:val="none"/>
                <w:lang w:val="en-US" w:eastAsia="zh-CN" w:bidi="ar-SA"/>
              </w:rPr>
              <w:t>94.31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脱贫攻坚成果与乡村振兴有效衔接项目</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2130701</w:t>
            </w:r>
          </w:p>
        </w:tc>
        <w:tc>
          <w:tcPr>
            <w:tcW w:w="12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对村级公益事业建设的补助</w:t>
            </w:r>
          </w:p>
        </w:tc>
        <w:tc>
          <w:tcPr>
            <w:tcW w:w="7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2"/>
                <w:sz w:val="32"/>
                <w:szCs w:val="32"/>
                <w:highlight w:val="none"/>
                <w:u w:val="none"/>
                <w:lang w:val="en-US" w:eastAsia="zh-CN" w:bidi="ar-SA"/>
              </w:rPr>
            </w:pPr>
            <w:r>
              <w:rPr>
                <w:rFonts w:hint="eastAsia" w:ascii="仿宋_GB2312" w:hAnsi="仿宋_GB2312" w:eastAsia="仿宋_GB2312" w:cs="仿宋_GB2312"/>
                <w:i w:val="0"/>
                <w:iCs w:val="0"/>
                <w:color w:val="000000"/>
                <w:kern w:val="2"/>
                <w:sz w:val="32"/>
                <w:szCs w:val="32"/>
                <w:highlight w:val="none"/>
                <w:u w:val="none"/>
                <w:lang w:val="en-US" w:eastAsia="zh-CN" w:bidi="ar-SA"/>
              </w:rPr>
              <w:t>437.94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 xml:space="preserve">农村公益事业财政奖补项目 </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2130707</w:t>
            </w:r>
          </w:p>
        </w:tc>
        <w:tc>
          <w:tcPr>
            <w:tcW w:w="12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农村综合改革示范试点补助</w:t>
            </w:r>
          </w:p>
        </w:tc>
        <w:tc>
          <w:tcPr>
            <w:tcW w:w="7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2"/>
                <w:sz w:val="32"/>
                <w:szCs w:val="32"/>
                <w:highlight w:val="none"/>
                <w:u w:val="none"/>
                <w:lang w:val="en-US" w:eastAsia="zh-CN" w:bidi="ar-SA"/>
              </w:rPr>
            </w:pPr>
            <w:r>
              <w:rPr>
                <w:rFonts w:hint="eastAsia" w:ascii="仿宋_GB2312" w:hAnsi="仿宋_GB2312" w:eastAsia="仿宋_GB2312" w:cs="仿宋_GB2312"/>
                <w:i w:val="0"/>
                <w:iCs w:val="0"/>
                <w:color w:val="000000"/>
                <w:kern w:val="2"/>
                <w:sz w:val="32"/>
                <w:szCs w:val="32"/>
                <w:highlight w:val="none"/>
                <w:u w:val="none"/>
                <w:lang w:val="en-US" w:eastAsia="zh-CN" w:bidi="ar-SA"/>
              </w:rPr>
              <w:t>1245.56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农村综合改革美丽乡村建设项目</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2130799</w:t>
            </w:r>
          </w:p>
        </w:tc>
        <w:tc>
          <w:tcPr>
            <w:tcW w:w="12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其他农村综合改革支出</w:t>
            </w:r>
          </w:p>
        </w:tc>
        <w:tc>
          <w:tcPr>
            <w:tcW w:w="7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2"/>
                <w:sz w:val="32"/>
                <w:szCs w:val="32"/>
                <w:highlight w:val="none"/>
                <w:u w:val="none"/>
                <w:lang w:val="en-US" w:eastAsia="zh-CN" w:bidi="ar-SA"/>
              </w:rPr>
            </w:pPr>
            <w:r>
              <w:rPr>
                <w:rFonts w:hint="eastAsia" w:ascii="仿宋_GB2312" w:hAnsi="仿宋_GB2312" w:eastAsia="仿宋_GB2312" w:cs="仿宋_GB2312"/>
                <w:i w:val="0"/>
                <w:iCs w:val="0"/>
                <w:color w:val="000000"/>
                <w:kern w:val="2"/>
                <w:sz w:val="32"/>
                <w:szCs w:val="32"/>
                <w:highlight w:val="none"/>
                <w:u w:val="none"/>
                <w:lang w:val="en-US" w:eastAsia="zh-CN" w:bidi="ar-SA"/>
              </w:rPr>
              <w:t>647.31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农村综合改革美丽乡村建设项目</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2139999</w:t>
            </w:r>
          </w:p>
        </w:tc>
        <w:tc>
          <w:tcPr>
            <w:tcW w:w="12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其他农林水支出</w:t>
            </w:r>
          </w:p>
        </w:tc>
        <w:tc>
          <w:tcPr>
            <w:tcW w:w="7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2"/>
                <w:sz w:val="32"/>
                <w:szCs w:val="32"/>
                <w:highlight w:val="none"/>
                <w:u w:val="none"/>
                <w:lang w:val="en-US" w:eastAsia="zh-CN" w:bidi="ar-SA"/>
              </w:rPr>
            </w:pPr>
            <w:r>
              <w:rPr>
                <w:rFonts w:hint="eastAsia" w:ascii="仿宋_GB2312" w:hAnsi="仿宋_GB2312" w:eastAsia="仿宋_GB2312" w:cs="仿宋_GB2312"/>
                <w:i w:val="0"/>
                <w:iCs w:val="0"/>
                <w:color w:val="000000"/>
                <w:kern w:val="2"/>
                <w:sz w:val="32"/>
                <w:szCs w:val="32"/>
                <w:highlight w:val="none"/>
                <w:u w:val="none"/>
                <w:lang w:val="en-US" w:eastAsia="zh-CN" w:bidi="ar-SA"/>
              </w:rPr>
              <w:t>98.88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农村综合改革美丽乡村建设项目</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合计数</w:t>
            </w:r>
          </w:p>
        </w:tc>
        <w:tc>
          <w:tcPr>
            <w:tcW w:w="12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p>
        </w:tc>
        <w:tc>
          <w:tcPr>
            <w:tcW w:w="7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2"/>
                <w:sz w:val="32"/>
                <w:szCs w:val="32"/>
                <w:highlight w:val="none"/>
                <w:u w:val="none"/>
                <w:lang w:val="en-US" w:eastAsia="zh-CN" w:bidi="ar-SA"/>
              </w:rPr>
            </w:pPr>
            <w:r>
              <w:rPr>
                <w:rFonts w:hint="eastAsia" w:ascii="仿宋_GB2312" w:hAnsi="仿宋_GB2312" w:eastAsia="仿宋_GB2312" w:cs="仿宋_GB2312"/>
                <w:i w:val="0"/>
                <w:iCs w:val="0"/>
                <w:color w:val="000000"/>
                <w:kern w:val="2"/>
                <w:sz w:val="32"/>
                <w:szCs w:val="32"/>
                <w:highlight w:val="none"/>
                <w:u w:val="none"/>
                <w:lang w:val="en-US" w:eastAsia="zh-CN" w:bidi="ar-SA"/>
              </w:rPr>
              <w:t>5026.01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z w:val="32"/>
                <w:szCs w:val="32"/>
                <w:highlight w:val="none"/>
                <w:u w:val="none"/>
                <w:lang w:val="en-US" w:eastAsia="zh-CN"/>
              </w:rPr>
              <w:t>项目建设</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预算调整</w:t>
            </w:r>
          </w:p>
        </w:tc>
      </w:tr>
    </w:tbl>
    <w:p>
      <w:pPr>
        <w:jc w:val="left"/>
        <w:rPr>
          <w:rFonts w:hint="eastAsia" w:ascii="仿宋_GB2312" w:hAnsi="仿宋_GB2312" w:eastAsia="仿宋_GB2312" w:cs="仿宋_GB2312"/>
          <w:sz w:val="32"/>
          <w:szCs w:val="32"/>
          <w:highlight w:val="none"/>
        </w:rPr>
      </w:pPr>
    </w:p>
    <w:p>
      <w:pPr>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0"/>
        </w:numPr>
        <w:suppressLineNumbers w:val="0"/>
        <w:spacing w:before="0" w:beforeAutospacing="0" w:after="0" w:afterAutospacing="0"/>
        <w:ind w:left="0" w:leftChars="0" w:right="0" w:rightChars="0" w:firstLine="421" w:firstLineChars="131"/>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lang w:eastAsia="zh-CN"/>
        </w:rPr>
        <w:t>（五）</w:t>
      </w:r>
      <w:r>
        <w:rPr>
          <w:rFonts w:hint="eastAsia" w:ascii="仿宋_GB2312" w:hAnsi="仿宋_GB2312" w:eastAsia="仿宋_GB2312" w:cs="仿宋_GB2312"/>
          <w:b/>
          <w:bCs/>
          <w:sz w:val="32"/>
          <w:szCs w:val="32"/>
          <w:highlight w:val="none"/>
        </w:rPr>
        <w:t>住房保障支出</w:t>
      </w:r>
      <w:r>
        <w:rPr>
          <w:rFonts w:hint="eastAsia" w:ascii="仿宋_GB2312" w:hAnsi="仿宋_GB2312" w:eastAsia="仿宋_GB2312" w:cs="仿宋_GB2312"/>
          <w:b/>
          <w:bCs/>
          <w:sz w:val="32"/>
          <w:szCs w:val="32"/>
          <w:u w:color="auto"/>
        </w:rPr>
        <w:t>（221</w:t>
      </w:r>
      <w:r>
        <w:rPr>
          <w:rFonts w:hint="eastAsia" w:ascii="仿宋_GB2312" w:hAnsi="仿宋_GB2312" w:eastAsia="仿宋_GB2312" w:cs="仿宋_GB2312"/>
          <w:b/>
          <w:bCs/>
          <w:sz w:val="32"/>
          <w:szCs w:val="32"/>
          <w:highlight w:val="none"/>
        </w:rPr>
        <w:t>类）年初预算为72.91万元，支出决算为77.71万元，完成年初预算的106.58%。</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预决算</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存有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差异</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原因</w:t>
      </w:r>
      <w:r>
        <w:rPr>
          <w:rFonts w:hint="eastAsia" w:ascii="仿宋_GB2312" w:hAnsi="仿宋_GB2312" w:eastAsia="仿宋_GB2312" w:cs="仿宋_GB2312"/>
          <w:b/>
          <w:bCs/>
          <w:color w:val="auto"/>
          <w:sz w:val="32"/>
          <w:szCs w:val="32"/>
          <w:highlight w:val="none"/>
          <w:lang w:val="en-US" w:eastAsia="zh-CN"/>
        </w:rPr>
        <w:t>是：</w:t>
      </w:r>
      <w:r>
        <w:rPr>
          <w:rFonts w:hint="eastAsia" w:ascii="仿宋_GB2312" w:hAnsi="仿宋_GB2312" w:eastAsia="仿宋_GB2312" w:cs="仿宋_GB2312"/>
          <w:color w:val="auto"/>
          <w:kern w:val="2"/>
          <w:sz w:val="32"/>
          <w:szCs w:val="32"/>
          <w:highlight w:val="none"/>
          <w:lang w:val="en-US" w:eastAsia="zh-CN" w:bidi="ar"/>
        </w:rPr>
        <w:t>申报基数调整。</w:t>
      </w:r>
    </w:p>
    <w:p>
      <w:pPr>
        <w:jc w:val="left"/>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支出具体情况如下</w:t>
      </w:r>
      <w:r>
        <w:rPr>
          <w:rFonts w:hint="eastAsia" w:ascii="仿宋_GB2312" w:hAnsi="仿宋_GB2312" w:eastAsia="仿宋_GB2312" w:cs="仿宋_GB2312"/>
          <w:b w:val="0"/>
          <w:bCs w:val="0"/>
          <w:color w:val="auto"/>
          <w:sz w:val="32"/>
          <w:szCs w:val="32"/>
          <w:highlight w:val="none"/>
        </w:rPr>
        <w:t>：</w:t>
      </w:r>
    </w:p>
    <w:tbl>
      <w:tblPr>
        <w:tblStyle w:val="8"/>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rPr>
            </w:pPr>
            <w:r>
              <w:rPr>
                <w:rFonts w:hint="eastAsia" w:ascii="仿宋_GB2312" w:hAnsi="仿宋_GB2312" w:eastAsia="仿宋_GB2312" w:cs="仿宋_GB2312"/>
                <w:i w:val="0"/>
                <w:iCs w:val="0"/>
                <w:color w:val="000000"/>
                <w:kern w:val="0"/>
                <w:sz w:val="32"/>
                <w:szCs w:val="32"/>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rPr>
            </w:pPr>
            <w:r>
              <w:rPr>
                <w:rFonts w:hint="eastAsia" w:ascii="仿宋_GB2312" w:hAnsi="仿宋_GB2312" w:eastAsia="仿宋_GB2312" w:cs="仿宋_GB2312"/>
                <w:i w:val="0"/>
                <w:iCs w:val="0"/>
                <w:color w:val="000000"/>
                <w:kern w:val="0"/>
                <w:sz w:val="32"/>
                <w:szCs w:val="32"/>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72.91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2"/>
                <w:sz w:val="32"/>
                <w:szCs w:val="32"/>
                <w:highlight w:val="none"/>
                <w:u w:val="none"/>
                <w:lang w:val="en-US" w:eastAsia="zh-CN" w:bidi="ar-SA"/>
              </w:rPr>
            </w:pPr>
            <w:r>
              <w:rPr>
                <w:rFonts w:hint="eastAsia" w:ascii="仿宋_GB2312" w:hAnsi="仿宋_GB2312" w:eastAsia="仿宋_GB2312" w:cs="仿宋_GB2312"/>
                <w:i w:val="0"/>
                <w:iCs w:val="0"/>
                <w:color w:val="000000"/>
                <w:kern w:val="2"/>
                <w:sz w:val="32"/>
                <w:szCs w:val="32"/>
                <w:highlight w:val="none"/>
                <w:u w:val="none"/>
                <w:lang w:val="en-US" w:eastAsia="zh-CN" w:bidi="ar-SA"/>
              </w:rPr>
              <w:t>77.71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106.58%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职工住房公积金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申报基数 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72.91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2"/>
                <w:sz w:val="32"/>
                <w:szCs w:val="32"/>
                <w:highlight w:val="none"/>
                <w:u w:val="none"/>
                <w:lang w:val="en-US" w:eastAsia="zh-CN" w:bidi="ar-SA"/>
              </w:rPr>
            </w:pPr>
            <w:r>
              <w:rPr>
                <w:rFonts w:hint="eastAsia" w:ascii="仿宋_GB2312" w:hAnsi="仿宋_GB2312" w:eastAsia="仿宋_GB2312" w:cs="仿宋_GB2312"/>
                <w:i w:val="0"/>
                <w:iCs w:val="0"/>
                <w:color w:val="000000"/>
                <w:kern w:val="2"/>
                <w:sz w:val="32"/>
                <w:szCs w:val="32"/>
                <w:highlight w:val="none"/>
                <w:u w:val="none"/>
                <w:lang w:val="en-US" w:eastAsia="zh-CN" w:bidi="ar-SA"/>
              </w:rPr>
              <w:t>77.71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职工住房公积金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申报基数 调整</w:t>
            </w:r>
          </w:p>
        </w:tc>
      </w:tr>
    </w:tbl>
    <w:p>
      <w:pPr>
        <w:jc w:val="left"/>
        <w:rPr>
          <w:rFonts w:hint="eastAsia" w:ascii="仿宋_GB2312" w:hAnsi="仿宋_GB2312" w:eastAsia="仿宋_GB2312" w:cs="仿宋_GB2312"/>
          <w:sz w:val="32"/>
          <w:szCs w:val="32"/>
          <w:highlight w:val="none"/>
        </w:rPr>
      </w:pPr>
    </w:p>
    <w:p>
      <w:pPr>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0"/>
        </w:numPr>
        <w:suppressLineNumbers w:val="0"/>
        <w:spacing w:before="0" w:beforeAutospacing="0" w:after="0" w:afterAutospacing="0"/>
        <w:ind w:left="0" w:leftChars="0" w:right="0" w:rightChars="0" w:firstLine="643" w:firstLineChars="200"/>
        <w:jc w:val="left"/>
        <w:rPr>
          <w:rFonts w:hint="eastAsia"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b/>
          <w:bCs/>
          <w:sz w:val="32"/>
          <w:szCs w:val="32"/>
          <w:highlight w:val="none"/>
          <w:lang w:eastAsia="zh-CN"/>
        </w:rPr>
        <w:t>（六）</w:t>
      </w:r>
      <w:r>
        <w:rPr>
          <w:rFonts w:hint="eastAsia" w:ascii="仿宋_GB2312" w:hAnsi="仿宋_GB2312" w:eastAsia="仿宋_GB2312" w:cs="仿宋_GB2312"/>
          <w:b/>
          <w:bCs/>
          <w:sz w:val="32"/>
          <w:szCs w:val="32"/>
          <w:highlight w:val="none"/>
        </w:rPr>
        <w:t>其他支出</w:t>
      </w:r>
      <w:r>
        <w:rPr>
          <w:rFonts w:hint="eastAsia" w:ascii="仿宋_GB2312" w:hAnsi="仿宋_GB2312" w:eastAsia="仿宋_GB2312" w:cs="仿宋_GB2312"/>
          <w:b/>
          <w:bCs/>
          <w:sz w:val="32"/>
          <w:szCs w:val="32"/>
          <w:u w:color="auto"/>
        </w:rPr>
        <w:t>（229</w:t>
      </w:r>
      <w:r>
        <w:rPr>
          <w:rFonts w:hint="eastAsia" w:ascii="仿宋_GB2312" w:hAnsi="仿宋_GB2312" w:eastAsia="仿宋_GB2312" w:cs="仿宋_GB2312"/>
          <w:b/>
          <w:bCs/>
          <w:sz w:val="32"/>
          <w:szCs w:val="32"/>
          <w:highlight w:val="none"/>
        </w:rPr>
        <w:t>类）年初预算为244.51万元，支出决算为244.51万元，完成年初预算的100.00%。</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预决算</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存有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差异</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原因是</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kern w:val="2"/>
          <w:sz w:val="32"/>
          <w:szCs w:val="32"/>
          <w:highlight w:val="none"/>
          <w:lang w:val="en-US" w:eastAsia="zh-CN" w:bidi="ar"/>
        </w:rPr>
        <w:t>持平。</w:t>
      </w:r>
    </w:p>
    <w:p>
      <w:pPr>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支出具体情况如下</w:t>
      </w:r>
      <w:r>
        <w:rPr>
          <w:rFonts w:hint="eastAsia" w:ascii="仿宋_GB2312" w:hAnsi="仿宋_GB2312" w:eastAsia="仿宋_GB2312" w:cs="仿宋_GB2312"/>
          <w:sz w:val="32"/>
          <w:szCs w:val="32"/>
          <w:highlight w:val="none"/>
        </w:rPr>
        <w:t>：</w:t>
      </w:r>
    </w:p>
    <w:tbl>
      <w:tblPr>
        <w:tblStyle w:val="8"/>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rPr>
            </w:pPr>
            <w:r>
              <w:rPr>
                <w:rFonts w:hint="eastAsia" w:ascii="仿宋_GB2312" w:hAnsi="仿宋_GB2312" w:eastAsia="仿宋_GB2312" w:cs="仿宋_GB2312"/>
                <w:i w:val="0"/>
                <w:iCs w:val="0"/>
                <w:color w:val="000000"/>
                <w:kern w:val="0"/>
                <w:sz w:val="32"/>
                <w:szCs w:val="32"/>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rPr>
            </w:pPr>
            <w:r>
              <w:rPr>
                <w:rFonts w:hint="eastAsia" w:ascii="仿宋_GB2312" w:hAnsi="仿宋_GB2312" w:eastAsia="仿宋_GB2312" w:cs="仿宋_GB2312"/>
                <w:i w:val="0"/>
                <w:iCs w:val="0"/>
                <w:color w:val="000000"/>
                <w:kern w:val="0"/>
                <w:sz w:val="32"/>
                <w:szCs w:val="32"/>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2"/>
                <w:sz w:val="32"/>
                <w:szCs w:val="32"/>
                <w:highlight w:val="none"/>
                <w:u w:val="none"/>
                <w:lang w:val="en-US" w:eastAsia="zh-CN" w:bidi="ar-SA"/>
              </w:rPr>
            </w:pPr>
            <w:r>
              <w:rPr>
                <w:rFonts w:hint="eastAsia" w:ascii="仿宋_GB2312" w:hAnsi="仿宋_GB2312" w:eastAsia="仿宋_GB2312" w:cs="仿宋_GB2312"/>
                <w:i w:val="0"/>
                <w:iCs w:val="0"/>
                <w:color w:val="000000"/>
                <w:kern w:val="2"/>
                <w:sz w:val="32"/>
                <w:szCs w:val="32"/>
                <w:highlight w:val="none"/>
                <w:u w:val="none"/>
                <w:lang w:val="en-US" w:eastAsia="zh-CN" w:bidi="ar-SA"/>
              </w:rPr>
              <w:t>244.51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职工奖励性补贴</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r>
              <w:rPr>
                <w:rFonts w:hint="eastAsia" w:ascii="仿宋_GB2312" w:hAnsi="仿宋_GB2312" w:eastAsia="仿宋_GB2312" w:cs="仿宋_GB2312"/>
                <w:i w:val="0"/>
                <w:iCs w:val="0"/>
                <w:color w:val="000000"/>
                <w:sz w:val="32"/>
                <w:szCs w:val="32"/>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32"/>
                <w:szCs w:val="32"/>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2"/>
                <w:sz w:val="32"/>
                <w:szCs w:val="32"/>
                <w:highlight w:val="none"/>
                <w:u w:val="none"/>
                <w:lang w:val="en-US" w:eastAsia="zh-CN" w:bidi="ar-SA"/>
              </w:rPr>
            </w:pPr>
            <w:r>
              <w:rPr>
                <w:rFonts w:hint="eastAsia" w:ascii="仿宋_GB2312" w:hAnsi="仿宋_GB2312" w:eastAsia="仿宋_GB2312" w:cs="仿宋_GB2312"/>
                <w:i w:val="0"/>
                <w:iCs w:val="0"/>
                <w:color w:val="000000"/>
                <w:kern w:val="2"/>
                <w:sz w:val="32"/>
                <w:szCs w:val="32"/>
                <w:highlight w:val="none"/>
                <w:u w:val="none"/>
                <w:lang w:val="en-US" w:eastAsia="zh-CN" w:bidi="ar-SA"/>
              </w:rPr>
              <w:t>244.51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32"/>
                <w:szCs w:val="32"/>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职工奖励性补贴</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持平</w:t>
            </w:r>
          </w:p>
        </w:tc>
      </w:tr>
    </w:tbl>
    <w:p>
      <w:pPr>
        <w:jc w:val="left"/>
        <w:rPr>
          <w:rFonts w:hint="eastAsia" w:ascii="仿宋_GB2312" w:hAnsi="仿宋_GB2312" w:eastAsia="仿宋_GB2312" w:cs="仿宋_GB2312"/>
          <w:sz w:val="32"/>
          <w:szCs w:val="32"/>
          <w:highlight w:val="none"/>
        </w:rPr>
      </w:pPr>
    </w:p>
    <w:p>
      <w:pPr>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drawing>
          <wp:inline distT="0" distB="0" distL="114300" distR="114300">
            <wp:extent cx="4474845" cy="3215640"/>
            <wp:effectExtent l="4445" t="4445" r="16510" b="5715"/>
            <wp:docPr id="1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ind w:firstLine="640" w:firstLineChars="200"/>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环江毛南族自治县财政局2022年度一般公共预算财政拨款基本支出</w:t>
      </w:r>
      <w:r>
        <w:rPr>
          <w:rFonts w:hint="eastAsia" w:ascii="仿宋_GB2312" w:hAnsi="仿宋_GB2312" w:eastAsia="仿宋_GB2312" w:cs="仿宋_GB2312"/>
          <w:sz w:val="32"/>
          <w:szCs w:val="32"/>
          <w:u w:color="auto"/>
        </w:rPr>
        <w:t>1156.82</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i w:val="0"/>
          <w:iCs w:val="0"/>
          <w:caps w:val="0"/>
          <w:color w:val="000000"/>
          <w:spacing w:val="0"/>
          <w:sz w:val="32"/>
          <w:szCs w:val="32"/>
          <w:highlight w:val="none"/>
          <w:shd w:val="clear" w:color="auto" w:fill="FFFFFF"/>
        </w:rPr>
        <w:t>其中：人员经费支出</w:t>
      </w:r>
      <w:r>
        <w:rPr>
          <w:rFonts w:hint="eastAsia" w:ascii="仿宋_GB2312" w:hAnsi="仿宋_GB2312" w:eastAsia="仿宋_GB2312" w:cs="仿宋_GB2312"/>
          <w:sz w:val="32"/>
          <w:szCs w:val="32"/>
          <w:highlight w:val="none"/>
        </w:rPr>
        <w:t>1117.93</w:t>
      </w:r>
      <w:r>
        <w:rPr>
          <w:rFonts w:hint="eastAsia" w:ascii="仿宋_GB2312" w:hAnsi="仿宋_GB2312" w:eastAsia="仿宋_GB2312" w:cs="仿宋_GB2312"/>
          <w:i w:val="0"/>
          <w:iCs w:val="0"/>
          <w:caps w:val="0"/>
          <w:color w:val="000000"/>
          <w:spacing w:val="0"/>
          <w:sz w:val="32"/>
          <w:szCs w:val="32"/>
          <w:highlight w:val="none"/>
          <w:shd w:val="clear" w:color="auto" w:fill="FFFFFF"/>
        </w:rPr>
        <w:t>万元，公用经费支出</w:t>
      </w:r>
      <w:r>
        <w:rPr>
          <w:rFonts w:hint="eastAsia" w:ascii="仿宋_GB2312" w:hAnsi="仿宋_GB2312" w:eastAsia="仿宋_GB2312" w:cs="仿宋_GB2312"/>
          <w:sz w:val="32"/>
          <w:szCs w:val="32"/>
          <w:highlight w:val="none"/>
        </w:rPr>
        <w:t>38.89</w:t>
      </w:r>
      <w:r>
        <w:rPr>
          <w:rFonts w:hint="eastAsia" w:ascii="仿宋_GB2312" w:hAnsi="仿宋_GB2312" w:eastAsia="仿宋_GB2312" w:cs="仿宋_GB2312"/>
          <w:i w:val="0"/>
          <w:iCs w:val="0"/>
          <w:caps w:val="0"/>
          <w:color w:val="000000"/>
          <w:spacing w:val="0"/>
          <w:sz w:val="32"/>
          <w:szCs w:val="32"/>
          <w:highlight w:val="none"/>
          <w:shd w:val="clear" w:color="auto" w:fill="FFFFFF"/>
        </w:rPr>
        <w:t>万元，</w:t>
      </w:r>
      <w:r>
        <w:rPr>
          <w:rFonts w:hint="eastAsia" w:ascii="仿宋_GB2312" w:hAnsi="仿宋_GB2312" w:eastAsia="仿宋_GB2312" w:cs="仿宋_GB2312"/>
          <w:sz w:val="32"/>
          <w:szCs w:val="32"/>
          <w:highlight w:val="none"/>
        </w:rPr>
        <w:t>支出具体情况如下：</w:t>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sz w:val="32"/>
          <w:szCs w:val="32"/>
          <w:highlight w:val="none"/>
        </w:rPr>
        <w:t>工资福利支出</w:t>
      </w:r>
      <w:r>
        <w:rPr>
          <w:rFonts w:hint="eastAsia" w:ascii="仿宋_GB2312" w:hAnsi="仿宋_GB2312" w:eastAsia="仿宋_GB2312" w:cs="仿宋_GB2312"/>
          <w:sz w:val="32"/>
          <w:szCs w:val="32"/>
          <w:u w:color="auto"/>
        </w:rPr>
        <w:t>1042.57万元，</w:t>
      </w:r>
      <w:r>
        <w:rPr>
          <w:rFonts w:hint="eastAsia" w:ascii="仿宋_GB2312" w:hAnsi="仿宋_GB2312" w:eastAsia="仿宋_GB2312" w:cs="仿宋_GB2312"/>
          <w:i w:val="0"/>
          <w:iCs w:val="0"/>
          <w:caps w:val="0"/>
          <w:color w:val="000000"/>
          <w:spacing w:val="0"/>
          <w:sz w:val="32"/>
          <w:szCs w:val="32"/>
          <w:highlight w:val="none"/>
          <w:shd w:val="clear" w:color="auto" w:fill="FFFFFF"/>
        </w:rPr>
        <w:t>完成年初预算的</w:t>
      </w:r>
      <w:r>
        <w:rPr>
          <w:rFonts w:hint="eastAsia" w:ascii="仿宋_GB2312" w:hAnsi="仿宋_GB2312" w:eastAsia="仿宋_GB2312" w:cs="仿宋_GB2312"/>
          <w:sz w:val="32"/>
          <w:szCs w:val="32"/>
          <w:highlight w:val="none"/>
        </w:rPr>
        <w:t>147.47%</w:t>
      </w:r>
      <w:r>
        <w:rPr>
          <w:rFonts w:hint="eastAsia" w:ascii="仿宋_GB2312" w:hAnsi="仿宋_GB2312" w:eastAsia="仿宋_GB2312" w:cs="仿宋_GB2312"/>
          <w:i w:val="0"/>
          <w:iCs w:val="0"/>
          <w:caps w:val="0"/>
          <w:color w:val="000000"/>
          <w:spacing w:val="0"/>
          <w:sz w:val="32"/>
          <w:szCs w:val="32"/>
          <w:highlight w:val="none"/>
          <w:shd w:val="clear" w:color="auto" w:fill="FFFFFF"/>
        </w:rPr>
        <w:t>，</w:t>
      </w:r>
      <w:r>
        <w:rPr>
          <w:rFonts w:hint="eastAsia" w:ascii="仿宋_GB2312" w:hAnsi="仿宋_GB2312" w:eastAsia="仿宋_GB2312" w:cs="仿宋_GB2312"/>
          <w:sz w:val="32"/>
          <w:szCs w:val="32"/>
          <w:highlight w:val="none"/>
          <w:lang w:eastAsia="zh-CN"/>
        </w:rPr>
        <w:t>决算数比年初预算数增加</w:t>
      </w:r>
      <w:r>
        <w:rPr>
          <w:rFonts w:hint="eastAsia" w:ascii="仿宋_GB2312" w:hAnsi="仿宋_GB2312" w:eastAsia="仿宋_GB2312" w:cs="仿宋_GB2312"/>
          <w:sz w:val="32"/>
          <w:szCs w:val="32"/>
          <w:highlight w:val="none"/>
          <w:lang w:val="en-US" w:eastAsia="zh-CN"/>
        </w:rPr>
        <w:t>335.61万元，</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auto"/>
          <w:kern w:val="2"/>
          <w:sz w:val="32"/>
          <w:szCs w:val="32"/>
          <w:highlight w:val="none"/>
          <w:lang w:val="en-US" w:eastAsia="zh-CN" w:bidi="ar"/>
        </w:rPr>
        <w:t>奖励性补贴系预算调整到本部门。</w:t>
      </w:r>
    </w:p>
    <w:p>
      <w:pPr>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支出具体情况</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30101基本工资276.82万元，30102津贴补贴189.43万元，30103奖金323.38万元，30107绩效工资8.77万元，30108机关事业单位基本养老保险缴费105.06万元，30110职工基本医疗保险缴费40.65万元，30112其他社会保障缴费10.04万元，30113住房公积金78.46万元，30199其他工资福利支出9.96万元。</w:t>
      </w:r>
    </w:p>
    <w:p>
      <w:pPr>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drawing>
          <wp:inline distT="0" distB="0" distL="114300" distR="114300">
            <wp:extent cx="4408805" cy="2444115"/>
            <wp:effectExtent l="4445" t="5080" r="6350" b="825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sz w:val="32"/>
          <w:szCs w:val="32"/>
          <w:highlight w:val="none"/>
        </w:rPr>
        <w:t>商品和服务支出</w:t>
      </w:r>
      <w:r>
        <w:rPr>
          <w:rFonts w:hint="eastAsia" w:ascii="仿宋_GB2312" w:hAnsi="仿宋_GB2312" w:eastAsia="仿宋_GB2312" w:cs="仿宋_GB2312"/>
          <w:sz w:val="32"/>
          <w:szCs w:val="32"/>
          <w:u w:color="auto"/>
        </w:rPr>
        <w:t>38.89万元，</w:t>
      </w:r>
      <w:r>
        <w:rPr>
          <w:rFonts w:hint="eastAsia" w:ascii="仿宋_GB2312" w:hAnsi="仿宋_GB2312" w:eastAsia="仿宋_GB2312" w:cs="仿宋_GB2312"/>
          <w:i w:val="0"/>
          <w:iCs w:val="0"/>
          <w:caps w:val="0"/>
          <w:color w:val="000000"/>
          <w:spacing w:val="0"/>
          <w:sz w:val="32"/>
          <w:szCs w:val="32"/>
          <w:highlight w:val="none"/>
          <w:shd w:val="clear" w:color="auto" w:fill="FFFFFF"/>
        </w:rPr>
        <w:t>完成年初预算的</w:t>
      </w:r>
      <w:r>
        <w:rPr>
          <w:rFonts w:hint="eastAsia" w:ascii="仿宋_GB2312" w:hAnsi="仿宋_GB2312" w:eastAsia="仿宋_GB2312" w:cs="仿宋_GB2312"/>
          <w:sz w:val="32"/>
          <w:szCs w:val="32"/>
          <w:highlight w:val="none"/>
        </w:rPr>
        <w:t>43.67%</w:t>
      </w:r>
      <w:r>
        <w:rPr>
          <w:rFonts w:hint="eastAsia" w:ascii="仿宋_GB2312" w:hAnsi="仿宋_GB2312" w:eastAsia="仿宋_GB2312" w:cs="仿宋_GB2312"/>
          <w:i w:val="0"/>
          <w:iCs w:val="0"/>
          <w:caps w:val="0"/>
          <w:color w:val="000000"/>
          <w:spacing w:val="0"/>
          <w:sz w:val="32"/>
          <w:szCs w:val="32"/>
          <w:highlight w:val="none"/>
          <w:shd w:val="clear" w:color="auto" w:fill="FFFFFF"/>
        </w:rPr>
        <w:t>，</w:t>
      </w:r>
      <w:r>
        <w:rPr>
          <w:rFonts w:hint="eastAsia" w:ascii="仿宋_GB2312" w:hAnsi="仿宋_GB2312" w:eastAsia="仿宋_GB2312" w:cs="仿宋_GB2312"/>
          <w:sz w:val="32"/>
          <w:szCs w:val="32"/>
          <w:highlight w:val="none"/>
          <w:lang w:eastAsia="zh-CN"/>
        </w:rPr>
        <w:t>决算数比年初预算数减少</w:t>
      </w:r>
      <w:r>
        <w:rPr>
          <w:rFonts w:hint="eastAsia" w:ascii="仿宋_GB2312" w:hAnsi="仿宋_GB2312" w:eastAsia="仿宋_GB2312" w:cs="仿宋_GB2312"/>
          <w:sz w:val="32"/>
          <w:szCs w:val="32"/>
          <w:highlight w:val="none"/>
          <w:lang w:val="en-US" w:eastAsia="zh-CN"/>
        </w:rPr>
        <w:t>50.16万元，</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auto"/>
          <w:kern w:val="2"/>
          <w:sz w:val="32"/>
          <w:szCs w:val="32"/>
          <w:highlight w:val="none"/>
          <w:lang w:val="en-US" w:eastAsia="zh-CN" w:bidi="ar"/>
        </w:rPr>
        <w:t>年初预算项目“其他交通费用”即公务交通补贴指标实际发放时列支工资福利支出项目。</w:t>
      </w:r>
    </w:p>
    <w:p>
      <w:pPr>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支出具体情况</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30205水费0.94万元，30206电费4.09万元，30207邮电费21.65万元，30213维修（护）费0.06万元，30228工会经费12.15万元。</w:t>
      </w:r>
    </w:p>
    <w:p>
      <w:pPr>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drawing>
          <wp:inline distT="0" distB="0" distL="114300" distR="114300">
            <wp:extent cx="4474845" cy="2198370"/>
            <wp:effectExtent l="4445" t="4445" r="16510" b="698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对个人和家庭的补助</w:t>
      </w:r>
      <w:r>
        <w:rPr>
          <w:rFonts w:hint="eastAsia" w:ascii="仿宋_GB2312" w:hAnsi="仿宋_GB2312" w:eastAsia="仿宋_GB2312" w:cs="仿宋_GB2312"/>
          <w:sz w:val="32"/>
          <w:szCs w:val="32"/>
          <w:u w:color="auto"/>
        </w:rPr>
        <w:t>75.36万元，</w:t>
      </w:r>
      <w:r>
        <w:rPr>
          <w:rFonts w:hint="eastAsia" w:ascii="仿宋_GB2312" w:hAnsi="仿宋_GB2312" w:eastAsia="仿宋_GB2312" w:cs="仿宋_GB2312"/>
          <w:i w:val="0"/>
          <w:iCs w:val="0"/>
          <w:caps w:val="0"/>
          <w:color w:val="000000"/>
          <w:spacing w:val="0"/>
          <w:sz w:val="32"/>
          <w:szCs w:val="32"/>
          <w:highlight w:val="none"/>
          <w:shd w:val="clear" w:color="auto" w:fill="FFFFFF"/>
        </w:rPr>
        <w:t>完成年初预算的</w:t>
      </w:r>
      <w:r>
        <w:rPr>
          <w:rFonts w:hint="eastAsia" w:ascii="仿宋_GB2312" w:hAnsi="仿宋_GB2312" w:eastAsia="仿宋_GB2312" w:cs="仿宋_GB2312"/>
          <w:sz w:val="32"/>
          <w:szCs w:val="32"/>
          <w:highlight w:val="none"/>
        </w:rPr>
        <w:t>243.18%</w:t>
      </w:r>
      <w:r>
        <w:rPr>
          <w:rFonts w:hint="eastAsia" w:ascii="仿宋_GB2312" w:hAnsi="仿宋_GB2312" w:eastAsia="仿宋_GB2312" w:cs="仿宋_GB2312"/>
          <w:i w:val="0"/>
          <w:iCs w:val="0"/>
          <w:caps w:val="0"/>
          <w:color w:val="000000"/>
          <w:spacing w:val="0"/>
          <w:sz w:val="32"/>
          <w:szCs w:val="32"/>
          <w:highlight w:val="none"/>
          <w:shd w:val="clear" w:color="auto" w:fill="FFFFFF"/>
        </w:rPr>
        <w:t>，</w:t>
      </w:r>
      <w:r>
        <w:rPr>
          <w:rFonts w:hint="eastAsia" w:ascii="仿宋_GB2312" w:hAnsi="仿宋_GB2312" w:eastAsia="仿宋_GB2312" w:cs="仿宋_GB2312"/>
          <w:sz w:val="32"/>
          <w:szCs w:val="32"/>
          <w:highlight w:val="none"/>
          <w:lang w:eastAsia="zh-CN"/>
        </w:rPr>
        <w:t>决算数比年初预算数增加</w:t>
      </w:r>
      <w:r>
        <w:rPr>
          <w:rFonts w:hint="eastAsia" w:ascii="仿宋_GB2312" w:hAnsi="仿宋_GB2312" w:eastAsia="仿宋_GB2312" w:cs="仿宋_GB2312"/>
          <w:sz w:val="32"/>
          <w:szCs w:val="32"/>
          <w:highlight w:val="none"/>
          <w:lang w:val="en-US" w:eastAsia="zh-CN"/>
        </w:rPr>
        <w:t>30.98万元，</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auto"/>
          <w:kern w:val="2"/>
          <w:sz w:val="32"/>
          <w:szCs w:val="32"/>
          <w:highlight w:val="none"/>
          <w:lang w:val="en-US" w:eastAsia="zh-CN" w:bidi="ar"/>
        </w:rPr>
        <w:t>工资统发把退休生活补助列进来，年度内有抚恤金支出。</w:t>
      </w:r>
    </w:p>
    <w:p>
      <w:pPr>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支出具体情况</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30301离休费11.01万元，30304抚恤金27.71万元，30305生活补助24.04万元，30399其他对个人和家庭的补助12.60万元。</w:t>
      </w:r>
    </w:p>
    <w:p>
      <w:pPr>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drawing>
          <wp:inline distT="0" distB="0" distL="114300" distR="114300">
            <wp:extent cx="4474845" cy="2530475"/>
            <wp:effectExtent l="4445" t="4445" r="16510" b="17780"/>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债务利息及费用支出</w:t>
      </w:r>
      <w:r>
        <w:rPr>
          <w:rFonts w:hint="eastAsia" w:ascii="仿宋_GB2312" w:hAnsi="仿宋_GB2312" w:eastAsia="仿宋_GB2312" w:cs="仿宋_GB2312"/>
          <w:sz w:val="32"/>
          <w:szCs w:val="32"/>
          <w:u w:color="auto"/>
        </w:rPr>
        <w:t>0.00万元，</w:t>
      </w:r>
      <w:r>
        <w:rPr>
          <w:rFonts w:hint="eastAsia" w:ascii="仿宋_GB2312" w:hAnsi="仿宋_GB2312" w:eastAsia="仿宋_GB2312" w:cs="仿宋_GB2312"/>
          <w:i w:val="0"/>
          <w:iCs w:val="0"/>
          <w:caps w:val="0"/>
          <w:color w:val="000000"/>
          <w:spacing w:val="0"/>
          <w:sz w:val="32"/>
          <w:szCs w:val="32"/>
          <w:highlight w:val="none"/>
          <w:shd w:val="clear" w:color="auto" w:fill="FFFFFF"/>
        </w:rPr>
        <w:t>完成年初预算的</w:t>
      </w:r>
      <w:r>
        <w:rPr>
          <w:rFonts w:hint="eastAsia" w:ascii="仿宋_GB2312" w:hAnsi="仿宋_GB2312" w:eastAsia="仿宋_GB2312" w:cs="仿宋_GB2312"/>
          <w:sz w:val="32"/>
          <w:szCs w:val="32"/>
          <w:highlight w:val="none"/>
        </w:rPr>
        <w:t>0%</w:t>
      </w:r>
      <w:r>
        <w:rPr>
          <w:rFonts w:hint="eastAsia" w:ascii="仿宋_GB2312" w:hAnsi="仿宋_GB2312" w:eastAsia="仿宋_GB2312" w:cs="仿宋_GB2312"/>
          <w:i w:val="0"/>
          <w:iCs w:val="0"/>
          <w:caps w:val="0"/>
          <w:color w:val="000000"/>
          <w:spacing w:val="0"/>
          <w:sz w:val="32"/>
          <w:szCs w:val="32"/>
          <w:highlight w:val="none"/>
          <w:shd w:val="clear" w:color="auto" w:fill="FFFFFF"/>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auto"/>
          <w:kern w:val="2"/>
          <w:sz w:val="32"/>
          <w:szCs w:val="32"/>
          <w:highlight w:val="none"/>
          <w:lang w:val="en-US" w:eastAsia="zh-CN" w:bidi="ar"/>
        </w:rPr>
        <w:t>本部门2022年没有债务利息及费用支出，故无数据。</w:t>
      </w:r>
    </w:p>
    <w:p>
      <w:pPr>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支出具体情况如下</w:t>
      </w:r>
      <w:r>
        <w:rPr>
          <w:rFonts w:hint="eastAsia" w:ascii="仿宋_GB2312" w:hAnsi="仿宋_GB2312" w:eastAsia="仿宋_GB2312" w:cs="仿宋_GB2312"/>
          <w:sz w:val="32"/>
          <w:szCs w:val="32"/>
          <w:highlight w:val="none"/>
        </w:rPr>
        <w:t>：</w:t>
      </w:r>
    </w:p>
    <w:p>
      <w:pPr>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drawing>
          <wp:inline distT="0" distB="0" distL="114300" distR="114300">
            <wp:extent cx="4474845" cy="2139950"/>
            <wp:effectExtent l="4445" t="4445" r="16510" b="825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资本性支出</w:t>
      </w:r>
      <w:r>
        <w:rPr>
          <w:rFonts w:hint="eastAsia" w:ascii="仿宋_GB2312" w:hAnsi="仿宋_GB2312" w:eastAsia="仿宋_GB2312" w:cs="仿宋_GB2312"/>
          <w:sz w:val="32"/>
          <w:szCs w:val="32"/>
          <w:u w:color="auto"/>
        </w:rPr>
        <w:t>0.00万元，</w:t>
      </w:r>
      <w:r>
        <w:rPr>
          <w:rFonts w:hint="eastAsia" w:ascii="仿宋_GB2312" w:hAnsi="仿宋_GB2312" w:eastAsia="仿宋_GB2312" w:cs="仿宋_GB2312"/>
          <w:i w:val="0"/>
          <w:iCs w:val="0"/>
          <w:caps w:val="0"/>
          <w:color w:val="000000"/>
          <w:spacing w:val="0"/>
          <w:sz w:val="32"/>
          <w:szCs w:val="32"/>
          <w:highlight w:val="none"/>
          <w:shd w:val="clear" w:color="auto" w:fill="FFFFFF"/>
        </w:rPr>
        <w:t>完成年初预算的</w:t>
      </w:r>
      <w:r>
        <w:rPr>
          <w:rFonts w:hint="eastAsia" w:ascii="仿宋_GB2312" w:hAnsi="仿宋_GB2312" w:eastAsia="仿宋_GB2312" w:cs="仿宋_GB2312"/>
          <w:sz w:val="32"/>
          <w:szCs w:val="32"/>
          <w:highlight w:val="none"/>
        </w:rPr>
        <w:t>0%</w:t>
      </w:r>
      <w:r>
        <w:rPr>
          <w:rFonts w:hint="eastAsia" w:ascii="仿宋_GB2312" w:hAnsi="仿宋_GB2312" w:eastAsia="仿宋_GB2312" w:cs="仿宋_GB2312"/>
          <w:i w:val="0"/>
          <w:iCs w:val="0"/>
          <w:caps w:val="0"/>
          <w:color w:val="000000"/>
          <w:spacing w:val="0"/>
          <w:sz w:val="32"/>
          <w:szCs w:val="32"/>
          <w:highlight w:val="none"/>
          <w:shd w:val="clear" w:color="auto" w:fill="FFFFFF"/>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auto"/>
          <w:kern w:val="2"/>
          <w:sz w:val="32"/>
          <w:szCs w:val="32"/>
          <w:highlight w:val="none"/>
          <w:lang w:val="en-US" w:eastAsia="zh-CN" w:bidi="ar"/>
        </w:rPr>
        <w:t>本部门2022年没有资本性支出，故无数据。</w:t>
      </w:r>
    </w:p>
    <w:p>
      <w:pPr>
        <w:ind w:firstLine="320" w:firstLineChars="1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支出具体情况如下</w:t>
      </w:r>
      <w:r>
        <w:rPr>
          <w:rFonts w:hint="eastAsia" w:ascii="仿宋_GB2312" w:hAnsi="仿宋_GB2312" w:eastAsia="仿宋_GB2312" w:cs="仿宋_GB2312"/>
          <w:sz w:val="32"/>
          <w:szCs w:val="32"/>
          <w:highlight w:val="none"/>
        </w:rPr>
        <w:t>：</w:t>
      </w:r>
    </w:p>
    <w:p>
      <w:pPr>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sz w:val="32"/>
          <w:szCs w:val="32"/>
          <w:highlight w:val="none"/>
        </w:rPr>
        <w:t>其他支出</w:t>
      </w:r>
      <w:r>
        <w:rPr>
          <w:rFonts w:hint="eastAsia" w:ascii="仿宋_GB2312" w:hAnsi="仿宋_GB2312" w:eastAsia="仿宋_GB2312" w:cs="仿宋_GB2312"/>
          <w:sz w:val="32"/>
          <w:szCs w:val="32"/>
          <w:u w:color="auto"/>
        </w:rPr>
        <w:t>0.00万元，</w:t>
      </w:r>
      <w:r>
        <w:rPr>
          <w:rFonts w:hint="eastAsia" w:ascii="仿宋_GB2312" w:hAnsi="仿宋_GB2312" w:eastAsia="仿宋_GB2312" w:cs="仿宋_GB2312"/>
          <w:i w:val="0"/>
          <w:iCs w:val="0"/>
          <w:caps w:val="0"/>
          <w:color w:val="000000"/>
          <w:spacing w:val="0"/>
          <w:sz w:val="32"/>
          <w:szCs w:val="32"/>
          <w:highlight w:val="none"/>
          <w:shd w:val="clear" w:color="auto" w:fill="FFFFFF"/>
        </w:rPr>
        <w:t>完成年初预算的</w:t>
      </w:r>
      <w:r>
        <w:rPr>
          <w:rFonts w:hint="eastAsia" w:ascii="仿宋_GB2312" w:hAnsi="仿宋_GB2312" w:eastAsia="仿宋_GB2312" w:cs="仿宋_GB2312"/>
          <w:sz w:val="32"/>
          <w:szCs w:val="32"/>
          <w:highlight w:val="none"/>
        </w:rPr>
        <w:t>0%</w:t>
      </w:r>
      <w:r>
        <w:rPr>
          <w:rFonts w:hint="eastAsia" w:ascii="仿宋_GB2312" w:hAnsi="仿宋_GB2312" w:eastAsia="仿宋_GB2312" w:cs="仿宋_GB2312"/>
          <w:i w:val="0"/>
          <w:iCs w:val="0"/>
          <w:caps w:val="0"/>
          <w:color w:val="000000"/>
          <w:spacing w:val="0"/>
          <w:sz w:val="32"/>
          <w:szCs w:val="32"/>
          <w:highlight w:val="none"/>
          <w:shd w:val="clear" w:color="auto" w:fill="FFFFFF"/>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auto"/>
          <w:kern w:val="2"/>
          <w:sz w:val="32"/>
          <w:szCs w:val="32"/>
          <w:highlight w:val="none"/>
          <w:lang w:val="en-US" w:eastAsia="zh-CN" w:bidi="ar"/>
        </w:rPr>
        <w:t>本部门2022年没有其他支出，故无数据。</w:t>
      </w:r>
    </w:p>
    <w:p>
      <w:pPr>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支出具体情况如下</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drawing>
          <wp:inline distT="0" distB="0" distL="114300" distR="114300">
            <wp:extent cx="4474845" cy="2782570"/>
            <wp:effectExtent l="4445" t="4445" r="16510" b="13335"/>
            <wp:docPr id="2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ind w:firstLine="640" w:firstLineChars="200"/>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环江毛南族自治县财政局2022年度政府性基金支出0.00万元，较2021年度决算数增加0.00万元，增长0%其中：基本支出0.00万元，项目支出0.00万元。</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环江毛南族自治县财政局2022年度政府性基金支出年初预算为0.00万元，支出决算为0.00万元，完成年初预算的0%。</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环江毛南族自治县财政局</w:t>
      </w:r>
      <w:r>
        <w:rPr>
          <w:rFonts w:hint="eastAsia" w:ascii="仿宋_GB2312" w:hAnsi="仿宋_GB2312" w:eastAsia="仿宋_GB2312" w:cs="仿宋_GB2312"/>
          <w:color w:val="auto"/>
          <w:sz w:val="32"/>
          <w:szCs w:val="32"/>
          <w:u w:color="auto"/>
        </w:rPr>
        <w:t>没有政府性基金收入，也没有政府性基金收入安排的支出</w:t>
      </w:r>
      <w:r>
        <w:rPr>
          <w:rFonts w:hint="eastAsia" w:ascii="仿宋_GB2312" w:hAnsi="仿宋_GB2312" w:eastAsia="仿宋_GB2312" w:cs="仿宋_GB2312"/>
          <w:color w:val="auto"/>
          <w:sz w:val="32"/>
          <w:szCs w:val="32"/>
          <w:lang w:eastAsia="zh-CN"/>
        </w:rPr>
        <w:t>。</w:t>
      </w:r>
    </w:p>
    <w:p>
      <w:pPr>
        <w:ind w:firstLine="640" w:firstLineChars="200"/>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环江毛南族自治县财政局2022年度国有资本经营预算支出0.00万元。其中：基本支出0.00万元，项目支出0.00万元。</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环江毛南族自治县财政局2022 年度国有资本经营预算支出年初预算为0.00万元，支出决算为0.00万元，完成年初预算的0%。</w:t>
      </w:r>
    </w:p>
    <w:p>
      <w:pPr>
        <w:ind w:firstLine="640" w:firstLineChars="200"/>
        <w:jc w:val="left"/>
        <w:rPr>
          <w:rFonts w:hint="eastAsia" w:ascii="仿宋_GB2312" w:hAnsi="仿宋_GB2312" w:eastAsia="仿宋_GB2312" w:cs="仿宋_GB2312"/>
          <w:color w:val="auto"/>
          <w:sz w:val="32"/>
          <w:szCs w:val="32"/>
          <w:highlight w:val="none"/>
        </w:rPr>
      </w:pPr>
      <w:bookmarkStart w:id="4" w:name="PO_part3A5B1C1DiffReason1"/>
      <w:r>
        <w:rPr>
          <w:rFonts w:hint="eastAsia" w:ascii="仿宋_GB2312" w:hAnsi="仿宋_GB2312" w:eastAsia="仿宋_GB2312" w:cs="仿宋_GB2312"/>
          <w:color w:val="auto"/>
          <w:sz w:val="32"/>
          <w:szCs w:val="32"/>
        </w:rPr>
        <w:t>环江毛南族自治县财政局</w:t>
      </w:r>
      <w:r>
        <w:rPr>
          <w:rFonts w:hint="eastAsia" w:ascii="仿宋_GB2312" w:hAnsi="仿宋_GB2312" w:eastAsia="仿宋_GB2312" w:cs="仿宋_GB2312"/>
          <w:color w:val="auto"/>
          <w:sz w:val="32"/>
          <w:szCs w:val="32"/>
          <w:u w:color="auto"/>
        </w:rPr>
        <w:t>没有国有资本经营预算收入，也没有国有资本经营预算收入</w:t>
      </w:r>
      <w:r>
        <w:rPr>
          <w:rFonts w:hint="eastAsia" w:ascii="仿宋_GB2312" w:hAnsi="仿宋_GB2312" w:eastAsia="仿宋_GB2312" w:cs="仿宋_GB2312"/>
          <w:color w:val="auto"/>
          <w:sz w:val="32"/>
          <w:szCs w:val="32"/>
          <w:u w:color="auto"/>
          <w:lang w:val="en-US" w:eastAsia="zh-CN"/>
        </w:rPr>
        <w:t>安排的支出</w:t>
      </w:r>
      <w:r>
        <w:rPr>
          <w:rFonts w:hint="eastAsia" w:ascii="仿宋_GB2312" w:hAnsi="仿宋_GB2312" w:eastAsia="仿宋_GB2312" w:cs="仿宋_GB2312"/>
          <w:color w:val="auto"/>
          <w:sz w:val="32"/>
          <w:szCs w:val="32"/>
          <w:lang w:eastAsia="zh-CN"/>
        </w:rPr>
        <w:t>。</w:t>
      </w:r>
      <w:bookmarkEnd w:id="4"/>
    </w:p>
    <w:p>
      <w:pPr>
        <w:ind w:firstLine="640" w:firstLineChars="200"/>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2022年预算财政拨款安排的“三公”经费支出5.00万元，完成年初预算的100%，比上年增加0.42万元，</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auto"/>
          <w:kern w:val="2"/>
          <w:sz w:val="32"/>
          <w:szCs w:val="32"/>
          <w:highlight w:val="none"/>
          <w:lang w:val="en-US" w:eastAsia="zh-CN" w:bidi="ar"/>
        </w:rPr>
        <w:t>全县“五位一体”农村农村信用体系建设，接待创建公司和前来观摩人员。</w:t>
      </w:r>
      <w:r>
        <w:rPr>
          <w:rFonts w:hint="eastAsia" w:ascii="仿宋_GB2312" w:hAnsi="仿宋_GB2312" w:eastAsia="仿宋_GB2312" w:cs="仿宋_GB2312"/>
          <w:color w:val="000000" w:themeColor="text1"/>
          <w:sz w:val="32"/>
          <w:szCs w:val="32"/>
          <w:highlight w:val="none"/>
          <w14:textFill>
            <w14:solidFill>
              <w14:schemeClr w14:val="tx1"/>
            </w14:solidFill>
          </w14:textFill>
        </w:rPr>
        <w:t>其中：因公出国（境）费支出决算0.00</w:t>
      </w:r>
      <w:r>
        <w:rPr>
          <w:rFonts w:hint="eastAsia" w:ascii="仿宋_GB2312" w:hAnsi="仿宋_GB2312" w:eastAsia="仿宋_GB2312" w:cs="仿宋_GB2312"/>
          <w:sz w:val="32"/>
          <w:szCs w:val="32"/>
          <w:highlight w:val="none"/>
        </w:rPr>
        <w:t>万元，公务用车购置及运行费支出决算0.00万元，公务接待费支出决算5.00万元。</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具体情况如下：</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（一）因公出国（境）费支出0.00万元，完成年初预算的0%，比上年增加0.00 万元。</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（二）公务用车购置及运行维护费</w:t>
      </w:r>
      <w:r>
        <w:rPr>
          <w:rFonts w:hint="eastAsia" w:ascii="仿宋_GB2312" w:hAnsi="仿宋_GB2312" w:eastAsia="仿宋_GB2312" w:cs="仿宋_GB2312"/>
          <w:sz w:val="32"/>
          <w:szCs w:val="32"/>
          <w:u w:color="auto"/>
        </w:rPr>
        <w:t>0.00</w:t>
      </w:r>
      <w:r>
        <w:rPr>
          <w:rFonts w:hint="eastAsia" w:ascii="仿宋_GB2312" w:hAnsi="仿宋_GB2312" w:eastAsia="仿宋_GB2312" w:cs="仿宋_GB2312"/>
          <w:sz w:val="32"/>
          <w:szCs w:val="32"/>
          <w:highlight w:val="none"/>
        </w:rPr>
        <w:t>万元。其中：公务用车购置支出</w:t>
      </w:r>
      <w:r>
        <w:rPr>
          <w:rFonts w:hint="eastAsia" w:ascii="仿宋_GB2312" w:hAnsi="仿宋_GB2312" w:eastAsia="仿宋_GB2312" w:cs="仿宋_GB2312"/>
          <w:sz w:val="32"/>
          <w:szCs w:val="32"/>
          <w:u w:color="auto"/>
        </w:rPr>
        <w:t>0.00</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u w:color="auto"/>
        </w:rPr>
        <w:t>0%</w:t>
      </w:r>
      <w:r>
        <w:rPr>
          <w:rFonts w:hint="eastAsia" w:ascii="仿宋_GB2312" w:hAnsi="仿宋_GB2312" w:eastAsia="仿宋_GB2312" w:cs="仿宋_GB2312"/>
          <w:sz w:val="32"/>
          <w:szCs w:val="32"/>
          <w:highlight w:val="none"/>
        </w:rPr>
        <w:t>，比上年</w:t>
      </w:r>
      <w:r>
        <w:rPr>
          <w:rFonts w:hint="eastAsia" w:ascii="仿宋_GB2312" w:hAnsi="仿宋_GB2312" w:eastAsia="仿宋_GB2312" w:cs="仿宋_GB2312"/>
          <w:sz w:val="32"/>
          <w:szCs w:val="32"/>
          <w:u w:color="auto"/>
        </w:rPr>
        <w:t>增加0.00</w:t>
      </w:r>
      <w:r>
        <w:rPr>
          <w:rFonts w:hint="eastAsia" w:ascii="仿宋_GB2312" w:hAnsi="仿宋_GB2312" w:eastAsia="仿宋_GB2312" w:cs="仿宋_GB2312"/>
          <w:sz w:val="32"/>
          <w:szCs w:val="32"/>
          <w:highlight w:val="none"/>
        </w:rPr>
        <w:t xml:space="preserve"> 万元。</w:t>
      </w:r>
    </w:p>
    <w:p>
      <w:pPr>
        <w:ind w:firstLine="640" w:firstLineChars="200"/>
        <w:jc w:val="left"/>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sz w:val="32"/>
          <w:szCs w:val="32"/>
          <w:highlight w:val="none"/>
        </w:rPr>
        <w:t>公务用车运行维护支出</w:t>
      </w:r>
      <w:r>
        <w:rPr>
          <w:rFonts w:hint="eastAsia" w:ascii="仿宋_GB2312" w:hAnsi="仿宋_GB2312" w:eastAsia="仿宋_GB2312" w:cs="仿宋_GB2312"/>
          <w:sz w:val="32"/>
          <w:szCs w:val="32"/>
          <w:u w:color="auto"/>
        </w:rPr>
        <w:t>0.00</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u w:color="auto"/>
        </w:rPr>
        <w:t>0%</w:t>
      </w:r>
      <w:r>
        <w:rPr>
          <w:rFonts w:hint="eastAsia" w:ascii="仿宋_GB2312" w:hAnsi="仿宋_GB2312" w:eastAsia="仿宋_GB2312" w:cs="仿宋_GB2312"/>
          <w:sz w:val="32"/>
          <w:szCs w:val="32"/>
          <w:highlight w:val="none"/>
        </w:rPr>
        <w:t>，比上年</w:t>
      </w:r>
      <w:r>
        <w:rPr>
          <w:rFonts w:hint="eastAsia" w:ascii="仿宋_GB2312" w:hAnsi="仿宋_GB2312" w:eastAsia="仿宋_GB2312" w:cs="仿宋_GB2312"/>
          <w:sz w:val="32"/>
          <w:szCs w:val="32"/>
          <w:u w:color="auto"/>
        </w:rPr>
        <w:t>增加0.00</w:t>
      </w:r>
      <w:r>
        <w:rPr>
          <w:rFonts w:hint="eastAsia" w:ascii="仿宋_GB2312" w:hAnsi="仿宋_GB2312" w:eastAsia="仿宋_GB2312" w:cs="仿宋_GB2312"/>
          <w:sz w:val="32"/>
          <w:szCs w:val="32"/>
          <w:highlight w:val="none"/>
        </w:rPr>
        <w:t>万元。2022年，</w:t>
      </w:r>
      <w:r>
        <w:rPr>
          <w:rFonts w:hint="eastAsia" w:ascii="仿宋_GB2312" w:hAnsi="仿宋_GB2312" w:eastAsia="仿宋_GB2312" w:cs="仿宋_GB2312"/>
          <w:sz w:val="32"/>
          <w:szCs w:val="32"/>
          <w:u w:color="auto"/>
        </w:rPr>
        <w:t>广西河池市环江毛南族自治县财政局</w:t>
      </w:r>
      <w:r>
        <w:rPr>
          <w:rFonts w:hint="eastAsia" w:ascii="仿宋_GB2312" w:hAnsi="仿宋_GB2312" w:eastAsia="仿宋_GB2312" w:cs="仿宋_GB2312"/>
          <w:sz w:val="32"/>
          <w:szCs w:val="32"/>
          <w:highlight w:val="none"/>
        </w:rPr>
        <w:t>及</w:t>
      </w:r>
      <w:r>
        <w:rPr>
          <w:rFonts w:hint="eastAsia" w:ascii="仿宋_GB2312" w:hAnsi="仿宋_GB2312" w:eastAsia="仿宋_GB2312" w:cs="仿宋_GB2312"/>
          <w:color w:val="auto"/>
          <w:sz w:val="32"/>
          <w:szCs w:val="32"/>
          <w:highlight w:val="none"/>
          <w:u w:val="single"/>
          <w:lang w:val="en-US" w:eastAsia="zh-CN"/>
        </w:rPr>
        <w:t>7个</w:t>
      </w:r>
      <w:r>
        <w:rPr>
          <w:rFonts w:hint="eastAsia" w:ascii="仿宋_GB2312" w:hAnsi="仿宋_GB2312" w:eastAsia="仿宋_GB2312" w:cs="仿宋_GB2312"/>
          <w:sz w:val="32"/>
          <w:szCs w:val="32"/>
          <w:highlight w:val="none"/>
        </w:rPr>
        <w:t>所属单位开支财政拨款的公务用车保有量为</w:t>
      </w:r>
      <w:r>
        <w:rPr>
          <w:rFonts w:hint="eastAsia" w:ascii="仿宋_GB2312" w:hAnsi="仿宋_GB2312" w:eastAsia="仿宋_GB2312" w:cs="仿宋_GB2312"/>
          <w:sz w:val="32"/>
          <w:szCs w:val="32"/>
          <w:u w:color="auto"/>
        </w:rPr>
        <w:t>0</w:t>
      </w:r>
      <w:r>
        <w:rPr>
          <w:rFonts w:hint="eastAsia" w:ascii="仿宋_GB2312" w:hAnsi="仿宋_GB2312" w:eastAsia="仿宋_GB2312" w:cs="仿宋_GB2312"/>
          <w:sz w:val="32"/>
          <w:szCs w:val="32"/>
          <w:highlight w:val="none"/>
        </w:rPr>
        <w:t>辆</w:t>
      </w:r>
      <w:r>
        <w:rPr>
          <w:rFonts w:hint="eastAsia" w:ascii="仿宋_GB2312" w:hAnsi="仿宋_GB2312" w:eastAsia="仿宋_GB2312" w:cs="仿宋_GB2312"/>
          <w:color w:val="auto"/>
          <w:sz w:val="32"/>
          <w:szCs w:val="32"/>
          <w:highlight w:val="none"/>
        </w:rPr>
        <w:t>，全年运行费支出</w:t>
      </w:r>
      <w:r>
        <w:rPr>
          <w:rFonts w:hint="eastAsia" w:ascii="仿宋_GB2312" w:hAnsi="仿宋_GB2312" w:eastAsia="仿宋_GB2312" w:cs="仿宋_GB2312"/>
          <w:color w:val="auto"/>
          <w:sz w:val="32"/>
          <w:szCs w:val="32"/>
          <w:u w:color="auto"/>
        </w:rPr>
        <w:t>0.00</w:t>
      </w:r>
      <w:r>
        <w:rPr>
          <w:rFonts w:hint="eastAsia" w:ascii="仿宋_GB2312" w:hAnsi="仿宋_GB2312" w:eastAsia="仿宋_GB2312" w:cs="仿宋_GB2312"/>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（三）公务接待费支出5.00万元，完成年初预算的100%， 比上年增加0.42万元，</w:t>
      </w:r>
      <w:r>
        <w:rPr>
          <w:rFonts w:hint="eastAsia" w:ascii="仿宋_GB2312" w:hAnsi="仿宋_GB2312" w:eastAsia="仿宋_GB2312" w:cs="仿宋_GB2312"/>
          <w:color w:val="auto"/>
          <w:kern w:val="2"/>
          <w:sz w:val="32"/>
          <w:szCs w:val="32"/>
          <w:highlight w:val="none"/>
          <w:lang w:val="en-US" w:eastAsia="zh-CN" w:bidi="ar"/>
        </w:rPr>
        <w:t>主要原因是：全县“五位一体”农村农村信用体系建设，接待创建公司和前来观摩人员。</w:t>
      </w:r>
      <w:r>
        <w:rPr>
          <w:rFonts w:hint="eastAsia" w:ascii="仿宋_GB2312" w:hAnsi="仿宋_GB2312" w:eastAsia="仿宋_GB2312" w:cs="仿宋_GB2312"/>
          <w:color w:val="000000" w:themeColor="text1"/>
          <w:sz w:val="32"/>
          <w:szCs w:val="32"/>
          <w:highlight w:val="none"/>
          <w14:textFill>
            <w14:solidFill>
              <w14:schemeClr w14:val="tx1"/>
            </w14:solidFill>
          </w14:textFill>
        </w:rPr>
        <w:t>国内公务接待批次50</w:t>
      </w:r>
      <w:r>
        <w:rPr>
          <w:rFonts w:hint="eastAsia" w:ascii="仿宋_GB2312" w:hAnsi="仿宋_GB2312" w:eastAsia="仿宋_GB2312" w:cs="仿宋_GB2312"/>
          <w:sz w:val="32"/>
          <w:szCs w:val="32"/>
          <w:highlight w:val="none"/>
        </w:rPr>
        <w:t>次，人次400次，国（境）外公务接待批次0次，人次0次。</w:t>
      </w:r>
    </w:p>
    <w:p>
      <w:pPr>
        <w:ind w:firstLine="640" w:firstLineChars="200"/>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七、其他重要事项情况说明</w:t>
      </w:r>
    </w:p>
    <w:p>
      <w:pPr>
        <w:ind w:firstLine="643" w:firstLineChars="200"/>
        <w:jc w:val="left"/>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 机关运行经费支出情况说明</w:t>
      </w:r>
    </w:p>
    <w:p>
      <w:pPr>
        <w:ind w:firstLine="640" w:firstLineChars="200"/>
        <w:jc w:val="left"/>
        <w:rPr>
          <w:rFonts w:hint="eastAsia" w:ascii="仿宋_GB2312" w:hAnsi="仿宋_GB2312" w:eastAsia="仿宋_GB2312" w:cs="仿宋_GB2312"/>
          <w:color w:val="auto"/>
          <w:kern w:val="2"/>
          <w:sz w:val="32"/>
          <w:szCs w:val="32"/>
          <w:highlight w:val="none"/>
          <w:lang w:val="en-US" w:eastAsia="zh-CN" w:bidi="ar"/>
        </w:rPr>
      </w:pPr>
      <w:bookmarkStart w:id="5" w:name="_GoBack"/>
      <w:bookmarkEnd w:id="5"/>
      <w:r>
        <w:rPr>
          <w:rFonts w:hint="eastAsia" w:ascii="仿宋_GB2312" w:hAnsi="仿宋_GB2312" w:eastAsia="仿宋_GB2312" w:cs="仿宋_GB2312"/>
          <w:sz w:val="32"/>
          <w:szCs w:val="32"/>
          <w:highlight w:val="none"/>
        </w:rPr>
        <w:t>本部门2022年度机关运行经费支出38.89万元，比年初预算数减少50.16万元，下降56.33%，比上年决算数减少14.40万元，下降27.02%。</w:t>
      </w:r>
      <w:r>
        <w:rPr>
          <w:rFonts w:hint="eastAsia" w:ascii="仿宋_GB2312" w:hAnsi="仿宋_GB2312" w:eastAsia="仿宋_GB2312" w:cs="仿宋_GB2312"/>
          <w:color w:val="auto"/>
          <w:sz w:val="32"/>
          <w:szCs w:val="32"/>
          <w:highlight w:val="none"/>
        </w:rPr>
        <w:t>原因是：</w:t>
      </w:r>
      <w:r>
        <w:rPr>
          <w:rFonts w:hint="eastAsia" w:ascii="仿宋_GB2312" w:hAnsi="仿宋_GB2312" w:eastAsia="仿宋_GB2312" w:cs="仿宋_GB2312"/>
          <w:color w:val="auto"/>
          <w:kern w:val="2"/>
          <w:sz w:val="32"/>
          <w:szCs w:val="32"/>
          <w:highlight w:val="none"/>
          <w:lang w:val="en-US" w:eastAsia="zh-CN" w:bidi="ar"/>
        </w:rPr>
        <w:t xml:space="preserve">年初预算项目“其他交通费用”即公务交通补贴指标实际发放时列支工资福利支出项目。  </w:t>
      </w:r>
    </w:p>
    <w:p>
      <w:pPr>
        <w:ind w:firstLine="643" w:firstLineChars="200"/>
        <w:jc w:val="left"/>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（二）政府采购支出情况说明</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2022年度政府采购支出总额4856.95万元，其中：政府采购货物支出41.23万元、政府采购工程支出4815.72万元、政府采购服务支出0.00万元。授予中小企业合同金额0.00万元，占政府采购支出总额的0.00%，其中：授予小微企业合同金额0.00万元，占授予中小企业合同金额的0%。</w:t>
      </w:r>
    </w:p>
    <w:p>
      <w:pPr>
        <w:ind w:firstLine="643" w:firstLineChars="200"/>
        <w:jc w:val="left"/>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（三）国有资产占用情况说明</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截至2022年12月31日，本部门共有车辆0辆，其中：副部（省）级领导干部用车0辆、机要通信用车0辆、应急保障用车0辆、执法执勤用车0辆、特种专业技术用车0辆、其他用车0辆；单位价值50万元以上通用设备0台（套）；单位价值</w:t>
      </w:r>
      <w:r>
        <w:rPr>
          <w:rFonts w:hint="eastAsia" w:ascii="仿宋_GB2312" w:hAnsi="仿宋_GB2312" w:eastAsia="仿宋_GB2312" w:cs="仿宋_GB2312"/>
          <w:sz w:val="32"/>
          <w:szCs w:val="32"/>
          <w:highlight w:val="none"/>
          <w:lang w:val="en-US" w:eastAsia="zh-CN"/>
        </w:rPr>
        <w:t>100万</w:t>
      </w:r>
      <w:r>
        <w:rPr>
          <w:rFonts w:hint="eastAsia" w:ascii="仿宋_GB2312" w:hAnsi="仿宋_GB2312" w:eastAsia="仿宋_GB2312" w:cs="仿宋_GB2312"/>
          <w:sz w:val="32"/>
          <w:szCs w:val="32"/>
          <w:highlight w:val="none"/>
        </w:rPr>
        <w:t>元以上专用设备台（套）。</w:t>
      </w:r>
    </w:p>
    <w:p>
      <w:pPr>
        <w:ind w:firstLine="643" w:firstLineChars="200"/>
        <w:jc w:val="left"/>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（四）预算绩效管理工作开展情况</w:t>
      </w:r>
    </w:p>
    <w:p>
      <w:pPr>
        <w:ind w:firstLine="643" w:firstLineChars="200"/>
        <w:jc w:val="left"/>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1.绩效管理工作开展情况。</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根据财政预算管理要求，本部门组织对</w:t>
      </w:r>
      <w:r>
        <w:rPr>
          <w:rFonts w:hint="eastAsia" w:ascii="仿宋_GB2312" w:hAnsi="仿宋_GB2312" w:eastAsia="仿宋_GB2312" w:cs="仿宋_GB2312"/>
          <w:color w:val="auto"/>
          <w:sz w:val="32"/>
          <w:szCs w:val="32"/>
          <w:lang w:eastAsia="zh-CN"/>
        </w:rPr>
        <w:t>2022年</w:t>
      </w:r>
      <w:r>
        <w:rPr>
          <w:rFonts w:hint="eastAsia" w:ascii="仿宋_GB2312" w:hAnsi="仿宋_GB2312" w:eastAsia="仿宋_GB2312" w:cs="仿宋_GB2312"/>
          <w:color w:val="auto"/>
          <w:sz w:val="32"/>
          <w:szCs w:val="32"/>
        </w:rPr>
        <w:t>度一般公共预算项目支出全面开展绩效自评。其中，一</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个，占一般公共预算项目支出总额的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p>
    <w:p>
      <w:pPr>
        <w:spacing w:line="560" w:lineRule="exact"/>
        <w:ind w:firstLine="640" w:firstLineChars="20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000000" w:themeColor="text1"/>
          <w:sz w:val="32"/>
          <w:szCs w:val="32"/>
          <w14:textFill>
            <w14:solidFill>
              <w14:schemeClr w14:val="tx1"/>
            </w14:solidFill>
          </w14:textFill>
        </w:rPr>
        <w:t>组织对“</w:t>
      </w:r>
      <w:r>
        <w:rPr>
          <w:rFonts w:hint="eastAsia" w:ascii="仿宋_GB2312" w:hAnsi="仿宋_GB2312" w:eastAsia="仿宋_GB2312" w:cs="仿宋_GB2312"/>
          <w:color w:val="000000" w:themeColor="text1"/>
          <w:sz w:val="32"/>
          <w:szCs w:val="32"/>
          <w:lang w:eastAsia="zh-CN"/>
          <w14:textFill>
            <w14:solidFill>
              <w14:schemeClr w14:val="tx1"/>
            </w14:solidFill>
          </w14:textFill>
        </w:rPr>
        <w:t>财政评审委托业务费</w:t>
      </w:r>
      <w:r>
        <w:rPr>
          <w:rFonts w:hint="eastAsia" w:ascii="仿宋_GB2312" w:hAnsi="仿宋_GB2312" w:eastAsia="仿宋_GB2312" w:cs="仿宋_GB2312"/>
          <w:color w:val="000000" w:themeColor="text1"/>
          <w:sz w:val="32"/>
          <w:szCs w:val="32"/>
          <w14:textFill>
            <w14:solidFill>
              <w14:schemeClr w14:val="tx1"/>
            </w14:solidFill>
          </w14:textFill>
        </w:rPr>
        <w:t>”等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个项目进行了部门评价，涉及一般公共预算支出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238.59</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从评价情况来看，</w:t>
      </w:r>
      <w:r>
        <w:rPr>
          <w:rFonts w:hint="eastAsia" w:ascii="仿宋_GB2312" w:hAnsi="仿宋_GB2312" w:eastAsia="仿宋_GB2312" w:cs="仿宋_GB2312"/>
          <w:color w:val="auto"/>
          <w:sz w:val="32"/>
          <w:szCs w:val="32"/>
          <w:highlight w:val="none"/>
        </w:rPr>
        <w:t>环江毛南族自治县财政局2022年委托评审业务项目立项依据充分，预定目标较为明确、合理。项目在规范财政资金安全有效运行方面产生了较好的效果，通过加强财政投资项目评审，着力从源头上把关，能够合理压缩项目投资的财政支出，提升资金使用效益。项目实施使工程造价预算虚高问题得到基本解决，达到有效控制项目工程造价的目的。经评价小组综合评价分析，项目综合得分</w:t>
      </w:r>
      <w:r>
        <w:rPr>
          <w:rFonts w:hint="eastAsia" w:ascii="仿宋_GB2312" w:hAnsi="仿宋_GB2312" w:eastAsia="仿宋_GB2312" w:cs="仿宋_GB2312"/>
          <w:b w:val="0"/>
          <w:bCs w:val="0"/>
          <w:color w:val="auto"/>
          <w:sz w:val="32"/>
          <w:szCs w:val="32"/>
          <w:highlight w:val="none"/>
          <w:u w:val="single"/>
          <w:lang w:val="en-US" w:eastAsia="zh-CN"/>
        </w:rPr>
        <w:t xml:space="preserve"> </w:t>
      </w:r>
      <w:r>
        <w:rPr>
          <w:rFonts w:hint="eastAsia" w:ascii="仿宋_GB2312" w:hAnsi="仿宋_GB2312" w:eastAsia="仿宋_GB2312" w:cs="仿宋_GB2312"/>
          <w:b w:val="0"/>
          <w:bCs w:val="0"/>
          <w:color w:val="auto"/>
          <w:sz w:val="32"/>
          <w:szCs w:val="32"/>
          <w:highlight w:val="none"/>
          <w:u w:val="single"/>
        </w:rPr>
        <w:t>92分</w:t>
      </w:r>
      <w:r>
        <w:rPr>
          <w:rFonts w:hint="eastAsia" w:ascii="仿宋_GB2312" w:hAnsi="仿宋_GB2312" w:eastAsia="仿宋_GB2312" w:cs="仿宋_GB2312"/>
          <w:color w:val="auto"/>
          <w:sz w:val="32"/>
          <w:szCs w:val="32"/>
          <w:highlight w:val="none"/>
        </w:rPr>
        <w:t>，评价等级为</w:t>
      </w:r>
      <w:r>
        <w:rPr>
          <w:rFonts w:hint="eastAsia" w:ascii="仿宋_GB2312" w:hAnsi="仿宋_GB2312" w:eastAsia="仿宋_GB2312" w:cs="仿宋_GB2312"/>
          <w:b w:val="0"/>
          <w:bCs w:val="0"/>
          <w:color w:val="auto"/>
          <w:sz w:val="32"/>
          <w:szCs w:val="32"/>
          <w:highlight w:val="none"/>
          <w:u w:val="single"/>
          <w:lang w:eastAsia="zh-CN"/>
        </w:rPr>
        <w:t>“</w:t>
      </w:r>
      <w:r>
        <w:rPr>
          <w:rFonts w:hint="eastAsia" w:ascii="仿宋_GB2312" w:hAnsi="仿宋_GB2312" w:eastAsia="仿宋_GB2312" w:cs="仿宋_GB2312"/>
          <w:b w:val="0"/>
          <w:bCs w:val="0"/>
          <w:color w:val="auto"/>
          <w:sz w:val="32"/>
          <w:szCs w:val="32"/>
          <w:highlight w:val="none"/>
          <w:u w:val="single"/>
        </w:rPr>
        <w:t>优秀</w:t>
      </w:r>
      <w:r>
        <w:rPr>
          <w:rFonts w:hint="eastAsia" w:ascii="仿宋_GB2312" w:hAnsi="仿宋_GB2312" w:eastAsia="仿宋_GB2312" w:cs="仿宋_GB2312"/>
          <w:b w:val="0"/>
          <w:bCs w:val="0"/>
          <w:color w:val="auto"/>
          <w:sz w:val="32"/>
          <w:szCs w:val="32"/>
          <w:highlight w:val="none"/>
          <w:u w:val="single"/>
          <w:lang w:eastAsia="zh-CN"/>
        </w:rPr>
        <w:t>”</w:t>
      </w:r>
      <w:r>
        <w:rPr>
          <w:rFonts w:hint="eastAsia" w:ascii="仿宋_GB2312" w:hAnsi="仿宋_GB2312" w:eastAsia="仿宋_GB2312" w:cs="仿宋_GB2312"/>
          <w:color w:val="auto"/>
          <w:sz w:val="32"/>
          <w:szCs w:val="32"/>
          <w:highlight w:val="none"/>
        </w:rPr>
        <w:t>。</w:t>
      </w:r>
    </w:p>
    <w:p>
      <w:pPr>
        <w:ind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组织对</w:t>
      </w:r>
      <w:r>
        <w:rPr>
          <w:rFonts w:hint="eastAsia" w:ascii="仿宋_GB2312" w:hAnsi="仿宋_GB2312" w:eastAsia="仿宋_GB2312" w:cs="仿宋_GB2312"/>
          <w:color w:val="000000" w:themeColor="text1"/>
          <w:sz w:val="32"/>
          <w:szCs w:val="32"/>
          <w:lang w:eastAsia="zh-CN"/>
          <w14:textFill>
            <w14:solidFill>
              <w14:schemeClr w14:val="tx1"/>
            </w14:solidFill>
          </w14:textFill>
        </w:rPr>
        <w:t>本</w:t>
      </w:r>
      <w:r>
        <w:rPr>
          <w:rFonts w:hint="eastAsia" w:ascii="仿宋_GB2312" w:hAnsi="仿宋_GB2312" w:eastAsia="仿宋_GB2312" w:cs="仿宋_GB2312"/>
          <w:color w:val="000000" w:themeColor="text1"/>
          <w:sz w:val="32"/>
          <w:szCs w:val="32"/>
          <w14:textFill>
            <w14:solidFill>
              <w14:schemeClr w14:val="tx1"/>
            </w14:solidFill>
          </w14:textFill>
        </w:rPr>
        <w:t>个部门开展整体支出绩效评价试点，涉及一般公共预算支出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6253.75</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333333"/>
          <w:spacing w:val="0"/>
          <w:sz w:val="32"/>
          <w:szCs w:val="32"/>
          <w:lang w:eastAsia="zh-CN"/>
        </w:rPr>
        <w:t>本单位</w:t>
      </w:r>
      <w:r>
        <w:rPr>
          <w:rFonts w:hint="eastAsia" w:ascii="仿宋_GB2312" w:hAnsi="仿宋_GB2312" w:eastAsia="仿宋_GB2312" w:cs="仿宋_GB2312"/>
          <w:i w:val="0"/>
          <w:iCs w:val="0"/>
          <w:caps w:val="0"/>
          <w:color w:val="333333"/>
          <w:spacing w:val="0"/>
          <w:sz w:val="32"/>
          <w:szCs w:val="32"/>
        </w:rPr>
        <w:t>年初部预门算</w:t>
      </w:r>
      <w:r>
        <w:rPr>
          <w:rFonts w:hint="eastAsia" w:ascii="仿宋_GB2312" w:hAnsi="仿宋_GB2312" w:eastAsia="仿宋_GB2312" w:cs="仿宋_GB2312"/>
          <w:i w:val="0"/>
          <w:iCs w:val="0"/>
          <w:caps w:val="0"/>
          <w:color w:val="333333"/>
          <w:spacing w:val="0"/>
          <w:sz w:val="32"/>
          <w:szCs w:val="32"/>
          <w:lang w:eastAsia="zh-CN"/>
        </w:rPr>
        <w:t>安排</w:t>
      </w:r>
      <w:r>
        <w:rPr>
          <w:rFonts w:hint="eastAsia" w:ascii="仿宋_GB2312" w:hAnsi="仿宋_GB2312" w:eastAsia="仿宋_GB2312" w:cs="仿宋_GB2312"/>
          <w:i w:val="0"/>
          <w:iCs w:val="0"/>
          <w:caps w:val="0"/>
          <w:color w:val="333333"/>
          <w:spacing w:val="0"/>
          <w:sz w:val="32"/>
          <w:szCs w:val="32"/>
        </w:rPr>
        <w:t>情况</w:t>
      </w:r>
      <w:r>
        <w:rPr>
          <w:rFonts w:hint="eastAsia" w:ascii="仿宋_GB2312" w:hAnsi="仿宋_GB2312" w:eastAsia="仿宋_GB2312" w:cs="仿宋_GB2312"/>
          <w:i w:val="0"/>
          <w:iCs w:val="0"/>
          <w:caps w:val="0"/>
          <w:color w:val="333333"/>
          <w:spacing w:val="0"/>
          <w:sz w:val="32"/>
          <w:szCs w:val="32"/>
          <w:lang w:eastAsia="zh-CN"/>
        </w:rPr>
        <w:t>：预算</w:t>
      </w:r>
      <w:r>
        <w:rPr>
          <w:rFonts w:hint="eastAsia" w:ascii="仿宋_GB2312" w:hAnsi="仿宋_GB2312" w:eastAsia="仿宋_GB2312" w:cs="仿宋_GB2312"/>
          <w:i w:val="0"/>
          <w:iCs w:val="0"/>
          <w:caps w:val="0"/>
          <w:color w:val="333333"/>
          <w:spacing w:val="0"/>
          <w:sz w:val="32"/>
          <w:szCs w:val="32"/>
        </w:rPr>
        <w:t>资金全部来自一般公共预算财政拨款，</w:t>
      </w:r>
    </w:p>
    <w:p>
      <w:pPr>
        <w:ind w:firstLine="640" w:firstLineChars="200"/>
        <w:jc w:val="left"/>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2022年初预算1261.837万元，年中预算调整6032.999万元，调整后预算7294.836万元，实际支出5771.655万元，预算执行率79.12%。</w:t>
      </w:r>
    </w:p>
    <w:p>
      <w:pPr>
        <w:ind w:firstLine="643" w:firstLineChars="200"/>
        <w:jc w:val="left"/>
        <w:rPr>
          <w:rFonts w:hint="eastAsia" w:ascii="仿宋_GB2312" w:hAnsi="仿宋_GB2312" w:eastAsia="仿宋_GB2312" w:cs="仿宋_GB2312"/>
          <w:b/>
          <w:bCs/>
          <w:color w:val="FF0000"/>
          <w:sz w:val="32"/>
          <w:szCs w:val="32"/>
          <w:lang w:eastAsia="zh-CN"/>
        </w:rPr>
      </w:pPr>
      <w:r>
        <w:rPr>
          <w:rFonts w:hint="eastAsia" w:ascii="仿宋_GB2312" w:hAnsi="仿宋_GB2312" w:eastAsia="仿宋_GB2312" w:cs="仿宋_GB2312"/>
          <w:b/>
          <w:bCs/>
          <w:color w:val="000000" w:themeColor="text1"/>
          <w:sz w:val="32"/>
          <w:szCs w:val="32"/>
          <w14:textFill>
            <w14:solidFill>
              <w14:schemeClr w14:val="tx1"/>
            </w14:solidFill>
          </w14:textFill>
        </w:rPr>
        <w:t>2.部门决算中项目绩效自评结果</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p>
    <w:p>
      <w:pPr>
        <w:ind w:firstLine="640" w:firstLineChars="200"/>
        <w:jc w:val="left"/>
        <w:rPr>
          <w:rFonts w:hint="eastAsia" w:ascii="仿宋_GB2312" w:hAnsi="仿宋_GB2312" w:eastAsia="仿宋_GB2312" w:cs="Times New Roman"/>
          <w:sz w:val="32"/>
          <w:szCs w:val="32"/>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我部门根据年初设定的绩效目标，</w:t>
      </w:r>
      <w:r>
        <w:rPr>
          <w:rFonts w:hint="eastAsia" w:ascii="仿宋_GB2312" w:hAnsi="仿宋_GB2312" w:eastAsia="仿宋_GB2312" w:cs="Times New Roman"/>
          <w:sz w:val="32"/>
          <w:szCs w:val="32"/>
          <w:lang w:val="en-US" w:eastAsia="zh-CN"/>
        </w:rPr>
        <w:t>绩效自评97.91分，其中，指标完成自评90分，预算执行自评7.91分，整体自评结论为一等。2022年度预算绩效自评项目共计22个。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right="0" w:firstLine="640" w:firstLineChars="200"/>
        <w:jc w:val="left"/>
        <w:textAlignment w:val="center"/>
        <w:rPr>
          <w:rFonts w:hint="eastAsia" w:ascii="仿宋_GB2312" w:hAnsi="仿宋_GB2312" w:eastAsia="仿宋_GB2312" w:cs="仿宋_GB2312"/>
          <w:i w:val="0"/>
          <w:iCs w:val="0"/>
          <w:caps w:val="0"/>
          <w:color w:val="333333"/>
          <w:spacing w:val="0"/>
          <w:sz w:val="32"/>
          <w:szCs w:val="32"/>
          <w:lang w:eastAsia="zh-CN"/>
        </w:rPr>
      </w:pPr>
      <w:r>
        <w:rPr>
          <w:rFonts w:hint="eastAsia" w:ascii="仿宋_GB2312" w:hAnsi="仿宋_GB2312" w:eastAsia="仿宋_GB2312" w:cs="仿宋_GB2312"/>
          <w:i w:val="0"/>
          <w:iCs w:val="0"/>
          <w:caps w:val="0"/>
          <w:color w:val="333333"/>
          <w:spacing w:val="0"/>
          <w:sz w:val="32"/>
          <w:szCs w:val="32"/>
          <w:lang w:val="en-US" w:eastAsia="zh-CN"/>
        </w:rPr>
        <w:t>（1）</w:t>
      </w:r>
      <w:r>
        <w:rPr>
          <w:rFonts w:hint="eastAsia" w:ascii="仿宋_GB2312" w:hAnsi="仿宋_GB2312" w:eastAsia="仿宋_GB2312" w:cs="仿宋_GB2312"/>
          <w:i w:val="0"/>
          <w:iCs w:val="0"/>
          <w:caps w:val="0"/>
          <w:color w:val="333333"/>
          <w:spacing w:val="0"/>
          <w:sz w:val="32"/>
          <w:szCs w:val="32"/>
          <w:lang w:eastAsia="zh-CN"/>
        </w:rPr>
        <w:t>产出指标完成情况分析。</w:t>
      </w:r>
      <w:r>
        <w:rPr>
          <w:rFonts w:hint="eastAsia" w:ascii="仿宋_GB2312" w:hAnsi="仿宋_GB2312" w:eastAsia="仿宋_GB2312" w:cs="Times New Roman"/>
          <w:sz w:val="32"/>
          <w:szCs w:val="32"/>
          <w:lang w:val="en-US" w:eastAsia="zh-CN"/>
        </w:rPr>
        <w:t>2022年初预算1261.837万元，年中预算调整6032.999万元，调整后预算7294.836万元，实际支出5771.655万元，预算执行率79.12%。</w:t>
      </w:r>
      <w:r>
        <w:rPr>
          <w:rFonts w:hint="eastAsia" w:ascii="仿宋_GB2312" w:hAnsi="仿宋_GB2312" w:eastAsia="仿宋_GB2312" w:cs="仿宋_GB2312"/>
          <w:i w:val="0"/>
          <w:iCs w:val="0"/>
          <w:caps w:val="0"/>
          <w:color w:val="333333"/>
          <w:spacing w:val="0"/>
          <w:sz w:val="32"/>
          <w:szCs w:val="32"/>
          <w:lang w:eastAsia="zh-CN"/>
        </w:rPr>
        <w:t>经费支出合规，能按时支付各项款项，确保各项工作顺利开展，推进完成年度目标任务。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（2）</w:t>
      </w:r>
      <w:r>
        <w:rPr>
          <w:rFonts w:hint="eastAsia" w:ascii="仿宋_GB2312" w:hAnsi="仿宋_GB2312" w:eastAsia="仿宋_GB2312" w:cs="仿宋_GB2312"/>
          <w:i w:val="0"/>
          <w:iCs w:val="0"/>
          <w:caps w:val="0"/>
          <w:color w:val="333333"/>
          <w:spacing w:val="0"/>
          <w:sz w:val="32"/>
          <w:szCs w:val="32"/>
        </w:rPr>
        <w:t>效益指标完成情况分析。经济效益</w:t>
      </w:r>
      <w:r>
        <w:rPr>
          <w:rFonts w:hint="eastAsia" w:ascii="仿宋_GB2312" w:hAnsi="仿宋_GB2312" w:eastAsia="仿宋_GB2312" w:cs="仿宋_GB2312"/>
          <w:i w:val="0"/>
          <w:iCs w:val="0"/>
          <w:caps w:val="0"/>
          <w:color w:val="333333"/>
          <w:spacing w:val="0"/>
          <w:sz w:val="32"/>
          <w:szCs w:val="32"/>
          <w:lang w:eastAsia="zh-CN"/>
        </w:rPr>
        <w:t>，各项工作</w:t>
      </w:r>
      <w:r>
        <w:rPr>
          <w:rFonts w:hint="eastAsia" w:ascii="仿宋_GB2312" w:hAnsi="仿宋_GB2312" w:eastAsia="仿宋_GB2312" w:cs="仿宋_GB2312"/>
          <w:i w:val="0"/>
          <w:iCs w:val="0"/>
          <w:caps w:val="0"/>
          <w:color w:val="333333"/>
          <w:spacing w:val="0"/>
          <w:sz w:val="32"/>
          <w:szCs w:val="32"/>
        </w:rPr>
        <w:t>经费保障效果</w:t>
      </w:r>
      <w:r>
        <w:rPr>
          <w:rFonts w:hint="eastAsia" w:ascii="仿宋_GB2312" w:hAnsi="仿宋_GB2312" w:eastAsia="仿宋_GB2312" w:cs="仿宋_GB2312"/>
          <w:i w:val="0"/>
          <w:iCs w:val="0"/>
          <w:caps w:val="0"/>
          <w:color w:val="333333"/>
          <w:spacing w:val="0"/>
          <w:sz w:val="32"/>
          <w:szCs w:val="32"/>
          <w:lang w:eastAsia="zh-CN"/>
        </w:rPr>
        <w:t>显著，推动了业务</w:t>
      </w:r>
      <w:r>
        <w:rPr>
          <w:rFonts w:hint="eastAsia" w:ascii="仿宋_GB2312" w:hAnsi="仿宋_GB2312" w:eastAsia="仿宋_GB2312" w:cs="仿宋_GB2312"/>
          <w:i w:val="0"/>
          <w:iCs w:val="0"/>
          <w:caps w:val="0"/>
          <w:color w:val="333333"/>
          <w:spacing w:val="0"/>
          <w:sz w:val="32"/>
          <w:szCs w:val="32"/>
        </w:rPr>
        <w:t>规范程序</w:t>
      </w:r>
      <w:r>
        <w:rPr>
          <w:rFonts w:hint="eastAsia" w:ascii="仿宋_GB2312" w:hAnsi="仿宋_GB2312" w:eastAsia="仿宋_GB2312" w:cs="仿宋_GB2312"/>
          <w:i w:val="0"/>
          <w:iCs w:val="0"/>
          <w:caps w:val="0"/>
          <w:color w:val="333333"/>
          <w:spacing w:val="0"/>
          <w:sz w:val="32"/>
          <w:szCs w:val="32"/>
          <w:lang w:eastAsia="zh-CN"/>
        </w:rPr>
        <w:t>建设</w:t>
      </w:r>
      <w:r>
        <w:rPr>
          <w:rFonts w:hint="eastAsia" w:ascii="仿宋_GB2312" w:hAnsi="仿宋_GB2312" w:eastAsia="仿宋_GB2312" w:cs="仿宋_GB2312"/>
          <w:i w:val="0"/>
          <w:iCs w:val="0"/>
          <w:caps w:val="0"/>
          <w:color w:val="333333"/>
          <w:spacing w:val="0"/>
          <w:sz w:val="32"/>
          <w:szCs w:val="32"/>
        </w:rPr>
        <w:t>，提高资金使用效率，节约建设资金</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rPr>
        <w:t>社会效益</w:t>
      </w:r>
      <w:r>
        <w:rPr>
          <w:rFonts w:hint="eastAsia" w:ascii="仿宋_GB2312" w:hAnsi="仿宋_GB2312" w:eastAsia="仿宋_GB2312" w:cs="仿宋_GB2312"/>
          <w:i w:val="0"/>
          <w:iCs w:val="0"/>
          <w:caps w:val="0"/>
          <w:color w:val="333333"/>
          <w:spacing w:val="0"/>
          <w:sz w:val="32"/>
          <w:szCs w:val="32"/>
          <w:lang w:eastAsia="zh-CN"/>
        </w:rPr>
        <w:t>，推进节约型政府建设，政府投资性建设，项目评审环节节约了财政建设资金。</w:t>
      </w:r>
      <w:r>
        <w:rPr>
          <w:rFonts w:hint="eastAsia" w:ascii="仿宋_GB2312" w:hAnsi="仿宋_GB2312" w:eastAsia="仿宋_GB2312" w:cs="仿宋_GB2312"/>
          <w:i w:val="0"/>
          <w:iCs w:val="0"/>
          <w:caps w:val="0"/>
          <w:color w:val="333333"/>
          <w:spacing w:val="0"/>
          <w:sz w:val="32"/>
          <w:szCs w:val="32"/>
        </w:rPr>
        <w:t>生态效益可持续影响都达到预期要求。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20"/>
        <w:jc w:val="left"/>
        <w:textAlignment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（3）</w:t>
      </w:r>
      <w:r>
        <w:rPr>
          <w:rFonts w:hint="eastAsia" w:ascii="仿宋_GB2312" w:hAnsi="仿宋_GB2312" w:eastAsia="仿宋_GB2312" w:cs="仿宋_GB2312"/>
          <w:i w:val="0"/>
          <w:iCs w:val="0"/>
          <w:caps w:val="0"/>
          <w:color w:val="333333"/>
          <w:spacing w:val="0"/>
          <w:sz w:val="32"/>
          <w:szCs w:val="32"/>
        </w:rPr>
        <w:t>满意度指标完成情况分析。服务对象对</w:t>
      </w:r>
      <w:r>
        <w:rPr>
          <w:rFonts w:hint="eastAsia" w:ascii="仿宋_GB2312" w:hAnsi="仿宋_GB2312" w:eastAsia="仿宋_GB2312" w:cs="仿宋_GB2312"/>
          <w:i w:val="0"/>
          <w:iCs w:val="0"/>
          <w:caps w:val="0"/>
          <w:color w:val="333333"/>
          <w:spacing w:val="0"/>
          <w:sz w:val="32"/>
          <w:szCs w:val="32"/>
          <w:lang w:eastAsia="zh-CN"/>
        </w:rPr>
        <w:t>政府</w:t>
      </w:r>
      <w:r>
        <w:rPr>
          <w:rFonts w:hint="eastAsia" w:ascii="仿宋_GB2312" w:hAnsi="仿宋_GB2312" w:eastAsia="仿宋_GB2312" w:cs="仿宋_GB2312"/>
          <w:i w:val="0"/>
          <w:iCs w:val="0"/>
          <w:caps w:val="0"/>
          <w:color w:val="333333"/>
          <w:spacing w:val="0"/>
          <w:sz w:val="32"/>
          <w:szCs w:val="32"/>
        </w:rPr>
        <w:t>工作的满意度达9</w:t>
      </w:r>
      <w:r>
        <w:rPr>
          <w:rFonts w:hint="eastAsia" w:ascii="仿宋_GB2312" w:hAnsi="仿宋_GB2312" w:eastAsia="仿宋_GB2312" w:cs="仿宋_GB2312"/>
          <w:i w:val="0"/>
          <w:iCs w:val="0"/>
          <w:caps w:val="0"/>
          <w:color w:val="333333"/>
          <w:spacing w:val="0"/>
          <w:sz w:val="32"/>
          <w:szCs w:val="32"/>
          <w:lang w:val="en-US" w:eastAsia="zh-CN"/>
        </w:rPr>
        <w:t>0</w:t>
      </w:r>
      <w:r>
        <w:rPr>
          <w:rFonts w:hint="eastAsia" w:ascii="仿宋_GB2312" w:hAnsi="仿宋_GB2312" w:eastAsia="仿宋_GB2312" w:cs="仿宋_GB2312"/>
          <w:i w:val="0"/>
          <w:iCs w:val="0"/>
          <w:caps w:val="0"/>
          <w:color w:val="333333"/>
          <w:spacing w:val="0"/>
          <w:sz w:val="32"/>
          <w:szCs w:val="32"/>
        </w:rPr>
        <w:t>%以上。</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发现的主要问题及原因：</w:t>
      </w:r>
      <w:r>
        <w:rPr>
          <w:rFonts w:hint="eastAsia" w:ascii="仿宋_GB2312" w:hAnsi="仿宋_GB2312" w:eastAsia="仿宋_GB2312" w:cs="仿宋_GB2312"/>
          <w:color w:val="auto"/>
          <w:sz w:val="32"/>
          <w:szCs w:val="32"/>
          <w:lang w:val="en-US" w:eastAsia="zh-CN"/>
        </w:rPr>
        <w:t>年初指标设置还不够科学规范。下一步，我们将对照单位年度工作计划合理设置指标，进一步推进项目预算能更好服务政协履职工作，年度预算执行更加规范化。</w:t>
      </w:r>
    </w:p>
    <w:p>
      <w:pPr>
        <w:keepNext w:val="0"/>
        <w:keepLines w:val="0"/>
        <w:widowControl/>
        <w:suppressLineNumbers w:val="0"/>
        <w:jc w:val="left"/>
        <w:rPr>
          <w:rFonts w:hint="eastAsia" w:ascii="仿宋_GB2312" w:hAnsi="仿宋_GB2312" w:eastAsia="仿宋_GB2312" w:cs="仿宋_GB2312"/>
          <w:color w:val="FF0000"/>
          <w:sz w:val="32"/>
          <w:szCs w:val="32"/>
        </w:rPr>
      </w:pPr>
      <w:r>
        <w:rPr>
          <w:rFonts w:ascii="宋体" w:hAnsi="宋体" w:eastAsia="宋体" w:cs="宋体"/>
          <w:kern w:val="0"/>
          <w:sz w:val="24"/>
          <w:szCs w:val="24"/>
          <w:lang w:val="en-US" w:eastAsia="zh-CN" w:bidi="ar"/>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20"/>
                    <a:stretch>
                      <a:fillRect/>
                    </a:stretch>
                  </pic:blipFill>
                  <pic:spPr>
                    <a:xfrm>
                      <a:off x="0" y="0"/>
                      <a:ext cx="304800" cy="304800"/>
                    </a:xfrm>
                    <a:prstGeom prst="rect">
                      <a:avLst/>
                    </a:prstGeom>
                    <a:noFill/>
                    <a:ln w="9525">
                      <a:noFill/>
                    </a:ln>
                  </pic:spPr>
                </pic:pic>
              </a:graphicData>
            </a:graphic>
          </wp:inline>
        </w:drawing>
      </w:r>
      <w:r>
        <w:rPr>
          <w:rFonts w:hint="eastAsia" w:ascii="仿宋_GB2312" w:hAnsi="仿宋_GB2312" w:eastAsia="仿宋_GB2312" w:cs="仿宋_GB2312"/>
          <w:color w:val="FF0000"/>
          <w:sz w:val="32"/>
          <w:szCs w:val="32"/>
        </w:rPr>
        <w:drawing>
          <wp:inline distT="0" distB="0" distL="114300" distR="114300">
            <wp:extent cx="5271135" cy="6543040"/>
            <wp:effectExtent l="0" t="0" r="5715" b="10160"/>
            <wp:docPr id="5" name="图片 5" descr="9]0SWV{4%28)29{8436%W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9]0SWV{4%28)29{8436%WES"/>
                    <pic:cNvPicPr>
                      <a:picLocks noChangeAspect="1"/>
                    </pic:cNvPicPr>
                  </pic:nvPicPr>
                  <pic:blipFill>
                    <a:blip r:embed="rId21"/>
                    <a:stretch>
                      <a:fillRect/>
                    </a:stretch>
                  </pic:blipFill>
                  <pic:spPr>
                    <a:xfrm>
                      <a:off x="0" y="0"/>
                      <a:ext cx="5271135" cy="6543040"/>
                    </a:xfrm>
                    <a:prstGeom prst="rect">
                      <a:avLst/>
                    </a:prstGeom>
                  </pic:spPr>
                </pic:pic>
              </a:graphicData>
            </a:graphic>
          </wp:inline>
        </w:drawing>
      </w:r>
      <w:r>
        <w:rPr>
          <w:rFonts w:hint="eastAsia" w:ascii="仿宋_GB2312" w:hAnsi="仿宋_GB2312" w:eastAsia="仿宋_GB2312" w:cs="仿宋_GB2312"/>
          <w:color w:val="FF0000"/>
          <w:sz w:val="32"/>
          <w:szCs w:val="32"/>
        </w:rPr>
        <w:drawing>
          <wp:inline distT="0" distB="0" distL="114300" distR="114300">
            <wp:extent cx="5270500" cy="4033520"/>
            <wp:effectExtent l="0" t="0" r="6350" b="5080"/>
            <wp:docPr id="7" name="图片 7" descr="2HRHIN5WYJDI6[)7O~[2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HRHIN5WYJDI6[)7O~[2L`R"/>
                    <pic:cNvPicPr>
                      <a:picLocks noChangeAspect="1"/>
                    </pic:cNvPicPr>
                  </pic:nvPicPr>
                  <pic:blipFill>
                    <a:blip r:embed="rId22"/>
                    <a:stretch>
                      <a:fillRect/>
                    </a:stretch>
                  </pic:blipFill>
                  <pic:spPr>
                    <a:xfrm>
                      <a:off x="0" y="0"/>
                      <a:ext cx="5270500" cy="4033520"/>
                    </a:xfrm>
                    <a:prstGeom prst="rect">
                      <a:avLst/>
                    </a:prstGeom>
                  </pic:spPr>
                </pic:pic>
              </a:graphicData>
            </a:graphic>
          </wp:inline>
        </w:drawing>
      </w:r>
    </w:p>
    <w:p>
      <w:pPr>
        <w:jc w:val="center"/>
        <w:rPr>
          <w:rFonts w:hint="eastAsia" w:ascii="方正小标宋简体" w:hAnsi="方正小标宋简体" w:eastAsia="方正小标宋简体" w:cs="方正小标宋简体"/>
          <w:sz w:val="32"/>
          <w:szCs w:val="32"/>
          <w:highlight w:val="none"/>
        </w:rPr>
      </w:pPr>
      <w:r>
        <w:rPr>
          <w:rFonts w:hint="eastAsia" w:ascii="方正小标宋简体" w:hAnsi="方正小标宋简体" w:eastAsia="方正小标宋简体" w:cs="方正小标宋简体"/>
          <w:sz w:val="32"/>
          <w:szCs w:val="32"/>
          <w:highlight w:val="none"/>
        </w:rPr>
        <w:t>第四部分  名词解释</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一、财政拨款收入：指</w:t>
      </w:r>
      <w:r>
        <w:rPr>
          <w:rFonts w:hint="eastAsia" w:ascii="仿宋_GB2312" w:hAnsi="仿宋_GB2312" w:eastAsia="仿宋_GB2312" w:cs="仿宋_GB2312"/>
          <w:sz w:val="32"/>
          <w:szCs w:val="32"/>
          <w:u w:color="auto"/>
        </w:rPr>
        <w:t>环江毛南族自治县财政部门当年拨付的资金。</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二、事业收入：指事业单位开展专业业务活动及辅助活动所取得的收入。</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三、经营收入：指事业单位在专业业务活动及其辅助活动之外开展非独立核算经营活动取得的收入。</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四、其他收入：指除上述“财政拨款收入”“事业收入”“经营收入”等以外的收入。</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六、年初结转和结余：指以前年度尚未完成、结转到本年 按有关规定继续使用的资金</w:t>
      </w:r>
      <w:r>
        <w:rPr>
          <w:rFonts w:hint="eastAsia" w:ascii="仿宋_GB2312" w:hAnsi="仿宋_GB2312" w:eastAsia="仿宋_GB2312" w:cs="仿宋_GB2312"/>
          <w:sz w:val="32"/>
          <w:szCs w:val="32"/>
          <w:highlight w:val="none"/>
          <w:lang w:eastAsia="zh-CN"/>
        </w:rPr>
        <w:t>。</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九、基本支出：指为保障机构正常运转、完成日常工作任务而发生的人员支出和公用支出。 </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十、项目支出：指在基本支出之外为完成特定行政任务和事业发展目标所发生的支出。 </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十一、经营支出：指事业单位在专业业务活动及其辅助活动之外开展非独立核算经营活动发生的支出。</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十二、“三公”经费：纳入</w:t>
      </w:r>
      <w:r>
        <w:rPr>
          <w:rFonts w:hint="eastAsia" w:ascii="仿宋_GB2312" w:hAnsi="仿宋_GB2312" w:eastAsia="仿宋_GB2312" w:cs="仿宋_GB2312"/>
          <w:sz w:val="32"/>
          <w:szCs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95FEE"/>
    <w:rsid w:val="003A4973"/>
    <w:rsid w:val="003C1C96"/>
    <w:rsid w:val="003C69F8"/>
    <w:rsid w:val="003E40BA"/>
    <w:rsid w:val="003E7165"/>
    <w:rsid w:val="0041579D"/>
    <w:rsid w:val="00427074"/>
    <w:rsid w:val="00434D04"/>
    <w:rsid w:val="004C4D73"/>
    <w:rsid w:val="004D7D0E"/>
    <w:rsid w:val="005234F5"/>
    <w:rsid w:val="00531745"/>
    <w:rsid w:val="00574196"/>
    <w:rsid w:val="00583020"/>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1BE3BEC"/>
    <w:rsid w:val="01F77570"/>
    <w:rsid w:val="01FE3350"/>
    <w:rsid w:val="020C171D"/>
    <w:rsid w:val="0216715F"/>
    <w:rsid w:val="02E0291A"/>
    <w:rsid w:val="04E54546"/>
    <w:rsid w:val="0507096B"/>
    <w:rsid w:val="05241B93"/>
    <w:rsid w:val="05631463"/>
    <w:rsid w:val="059454B6"/>
    <w:rsid w:val="05992762"/>
    <w:rsid w:val="05DB36AB"/>
    <w:rsid w:val="066A1827"/>
    <w:rsid w:val="06C64729"/>
    <w:rsid w:val="070F27A4"/>
    <w:rsid w:val="07A11524"/>
    <w:rsid w:val="07B0770E"/>
    <w:rsid w:val="07C531CC"/>
    <w:rsid w:val="08352586"/>
    <w:rsid w:val="087D297A"/>
    <w:rsid w:val="0942143F"/>
    <w:rsid w:val="09FE75F3"/>
    <w:rsid w:val="0A136F96"/>
    <w:rsid w:val="0BCB0E68"/>
    <w:rsid w:val="0BE72997"/>
    <w:rsid w:val="0D100297"/>
    <w:rsid w:val="0D202B45"/>
    <w:rsid w:val="0DCC18B3"/>
    <w:rsid w:val="0E33255C"/>
    <w:rsid w:val="0E4B7C02"/>
    <w:rsid w:val="0E604325"/>
    <w:rsid w:val="0F8D4C87"/>
    <w:rsid w:val="0FA57681"/>
    <w:rsid w:val="0FB87ABA"/>
    <w:rsid w:val="10505FAA"/>
    <w:rsid w:val="105F7E7E"/>
    <w:rsid w:val="109542C4"/>
    <w:rsid w:val="111C4301"/>
    <w:rsid w:val="11E56B5B"/>
    <w:rsid w:val="125C77AB"/>
    <w:rsid w:val="12F02E1F"/>
    <w:rsid w:val="137A2D83"/>
    <w:rsid w:val="142E658A"/>
    <w:rsid w:val="149A53D9"/>
    <w:rsid w:val="14CB726E"/>
    <w:rsid w:val="156328A3"/>
    <w:rsid w:val="15640325"/>
    <w:rsid w:val="15AB651B"/>
    <w:rsid w:val="16301FF7"/>
    <w:rsid w:val="17A440D7"/>
    <w:rsid w:val="17E92249"/>
    <w:rsid w:val="18D304F1"/>
    <w:rsid w:val="19F32577"/>
    <w:rsid w:val="19F45B80"/>
    <w:rsid w:val="1B0C078D"/>
    <w:rsid w:val="1B2B31E2"/>
    <w:rsid w:val="1B4C295A"/>
    <w:rsid w:val="1B973C63"/>
    <w:rsid w:val="1BA1001E"/>
    <w:rsid w:val="1D317259"/>
    <w:rsid w:val="1E664F5B"/>
    <w:rsid w:val="1EA75ED9"/>
    <w:rsid w:val="1EB34BE1"/>
    <w:rsid w:val="1FDA4FD1"/>
    <w:rsid w:val="203A62EF"/>
    <w:rsid w:val="215E639F"/>
    <w:rsid w:val="21893A13"/>
    <w:rsid w:val="21EC3183"/>
    <w:rsid w:val="2233335D"/>
    <w:rsid w:val="225E72CD"/>
    <w:rsid w:val="22A31EF1"/>
    <w:rsid w:val="243E030D"/>
    <w:rsid w:val="246E2F77"/>
    <w:rsid w:val="24D021B3"/>
    <w:rsid w:val="254B4E2B"/>
    <w:rsid w:val="263B17C8"/>
    <w:rsid w:val="27C47FCA"/>
    <w:rsid w:val="283D7C94"/>
    <w:rsid w:val="28BD5FE3"/>
    <w:rsid w:val="28EC32AF"/>
    <w:rsid w:val="28F92530"/>
    <w:rsid w:val="29480E03"/>
    <w:rsid w:val="2983634D"/>
    <w:rsid w:val="29E84CF0"/>
    <w:rsid w:val="2BAC2E33"/>
    <w:rsid w:val="2BB02055"/>
    <w:rsid w:val="2C575A56"/>
    <w:rsid w:val="2CB76337"/>
    <w:rsid w:val="2E267CD1"/>
    <w:rsid w:val="2E280FC9"/>
    <w:rsid w:val="2EF20488"/>
    <w:rsid w:val="2F257714"/>
    <w:rsid w:val="2F3275E5"/>
    <w:rsid w:val="305D17F6"/>
    <w:rsid w:val="30AA08EF"/>
    <w:rsid w:val="30D23D1C"/>
    <w:rsid w:val="31221CF5"/>
    <w:rsid w:val="31400178"/>
    <w:rsid w:val="31622A14"/>
    <w:rsid w:val="321E3342"/>
    <w:rsid w:val="327759C8"/>
    <w:rsid w:val="32BE3907"/>
    <w:rsid w:val="33185FE3"/>
    <w:rsid w:val="332D3A29"/>
    <w:rsid w:val="34BB3BE7"/>
    <w:rsid w:val="34EE2E36"/>
    <w:rsid w:val="35C773D6"/>
    <w:rsid w:val="36777241"/>
    <w:rsid w:val="371E78D5"/>
    <w:rsid w:val="38A951DB"/>
    <w:rsid w:val="38B31605"/>
    <w:rsid w:val="39003F4F"/>
    <w:rsid w:val="39515718"/>
    <w:rsid w:val="399F7A16"/>
    <w:rsid w:val="39A139C2"/>
    <w:rsid w:val="39D46BEB"/>
    <w:rsid w:val="39F95ACD"/>
    <w:rsid w:val="3A070042"/>
    <w:rsid w:val="3BAB4D14"/>
    <w:rsid w:val="3C07002B"/>
    <w:rsid w:val="3C6D68AF"/>
    <w:rsid w:val="3D0D152A"/>
    <w:rsid w:val="3DF62756"/>
    <w:rsid w:val="3E006BD7"/>
    <w:rsid w:val="3EF25354"/>
    <w:rsid w:val="3F1B7587"/>
    <w:rsid w:val="3FE5266D"/>
    <w:rsid w:val="40962182"/>
    <w:rsid w:val="40BE1148"/>
    <w:rsid w:val="415B4202"/>
    <w:rsid w:val="41643AD4"/>
    <w:rsid w:val="41E57B4F"/>
    <w:rsid w:val="42EE6E5E"/>
    <w:rsid w:val="432F26F6"/>
    <w:rsid w:val="43880F63"/>
    <w:rsid w:val="4413593C"/>
    <w:rsid w:val="44166243"/>
    <w:rsid w:val="441C5A6F"/>
    <w:rsid w:val="44C44FCC"/>
    <w:rsid w:val="44CC7369"/>
    <w:rsid w:val="44EA0679"/>
    <w:rsid w:val="453D4124"/>
    <w:rsid w:val="45516648"/>
    <w:rsid w:val="457F5108"/>
    <w:rsid w:val="4627618F"/>
    <w:rsid w:val="46840182"/>
    <w:rsid w:val="46951B6B"/>
    <w:rsid w:val="46FA5CA9"/>
    <w:rsid w:val="47CF1EDB"/>
    <w:rsid w:val="48E66F9D"/>
    <w:rsid w:val="491621F6"/>
    <w:rsid w:val="49870082"/>
    <w:rsid w:val="498A7FB7"/>
    <w:rsid w:val="49A34401"/>
    <w:rsid w:val="4A3E30AB"/>
    <w:rsid w:val="4AC14DAC"/>
    <w:rsid w:val="4B303B6B"/>
    <w:rsid w:val="4C9C37CD"/>
    <w:rsid w:val="4D154C85"/>
    <w:rsid w:val="4D4D0662"/>
    <w:rsid w:val="4D665E71"/>
    <w:rsid w:val="4E140649"/>
    <w:rsid w:val="4EB35ECE"/>
    <w:rsid w:val="50716C05"/>
    <w:rsid w:val="508F4E24"/>
    <w:rsid w:val="51461E90"/>
    <w:rsid w:val="51463753"/>
    <w:rsid w:val="52553A93"/>
    <w:rsid w:val="52716848"/>
    <w:rsid w:val="52877104"/>
    <w:rsid w:val="532219F2"/>
    <w:rsid w:val="53521F8B"/>
    <w:rsid w:val="53E22F47"/>
    <w:rsid w:val="54522FF8"/>
    <w:rsid w:val="55450629"/>
    <w:rsid w:val="56501831"/>
    <w:rsid w:val="56692963"/>
    <w:rsid w:val="568B0F48"/>
    <w:rsid w:val="5786217B"/>
    <w:rsid w:val="58104109"/>
    <w:rsid w:val="59337A15"/>
    <w:rsid w:val="59810274"/>
    <w:rsid w:val="59F66527"/>
    <w:rsid w:val="5A131CE8"/>
    <w:rsid w:val="5AD671E0"/>
    <w:rsid w:val="5B5B3870"/>
    <w:rsid w:val="5BA6536C"/>
    <w:rsid w:val="5CA96A00"/>
    <w:rsid w:val="5CF730BC"/>
    <w:rsid w:val="5D3024F2"/>
    <w:rsid w:val="5DC60467"/>
    <w:rsid w:val="5E5F0DCE"/>
    <w:rsid w:val="5F276DA9"/>
    <w:rsid w:val="5FA40A7B"/>
    <w:rsid w:val="5FAF21C4"/>
    <w:rsid w:val="5FB70224"/>
    <w:rsid w:val="5FD56D29"/>
    <w:rsid w:val="5FE96E67"/>
    <w:rsid w:val="5FEC7F3F"/>
    <w:rsid w:val="60111977"/>
    <w:rsid w:val="604B33D6"/>
    <w:rsid w:val="60EC3212"/>
    <w:rsid w:val="60F74BC3"/>
    <w:rsid w:val="617D3BF8"/>
    <w:rsid w:val="61841F6A"/>
    <w:rsid w:val="61BD2427"/>
    <w:rsid w:val="623007A9"/>
    <w:rsid w:val="62592BD8"/>
    <w:rsid w:val="637D7558"/>
    <w:rsid w:val="644F19AC"/>
    <w:rsid w:val="657B681A"/>
    <w:rsid w:val="657E2C91"/>
    <w:rsid w:val="65AA4920"/>
    <w:rsid w:val="65E31D0B"/>
    <w:rsid w:val="6717752F"/>
    <w:rsid w:val="67694F1E"/>
    <w:rsid w:val="67B870B8"/>
    <w:rsid w:val="69597934"/>
    <w:rsid w:val="6A942CE9"/>
    <w:rsid w:val="6B2111EB"/>
    <w:rsid w:val="6B8B1F7C"/>
    <w:rsid w:val="6B964DDC"/>
    <w:rsid w:val="6C783074"/>
    <w:rsid w:val="6C78592B"/>
    <w:rsid w:val="6C8E6023"/>
    <w:rsid w:val="6D9E65C6"/>
    <w:rsid w:val="6DA81947"/>
    <w:rsid w:val="6EB66DE2"/>
    <w:rsid w:val="6ED3075F"/>
    <w:rsid w:val="6F2A2D4B"/>
    <w:rsid w:val="6F374B04"/>
    <w:rsid w:val="6F8A0C1E"/>
    <w:rsid w:val="703F45D4"/>
    <w:rsid w:val="715D6546"/>
    <w:rsid w:val="71974AEA"/>
    <w:rsid w:val="71BE069E"/>
    <w:rsid w:val="71CF667C"/>
    <w:rsid w:val="71FC2290"/>
    <w:rsid w:val="7334523E"/>
    <w:rsid w:val="73953409"/>
    <w:rsid w:val="73C4767E"/>
    <w:rsid w:val="73E069A3"/>
    <w:rsid w:val="76616386"/>
    <w:rsid w:val="76787B6C"/>
    <w:rsid w:val="76C57C6B"/>
    <w:rsid w:val="76F73CBD"/>
    <w:rsid w:val="775C5BE0"/>
    <w:rsid w:val="77F708C1"/>
    <w:rsid w:val="78104AA8"/>
    <w:rsid w:val="78291AB0"/>
    <w:rsid w:val="78DD2859"/>
    <w:rsid w:val="78E257C5"/>
    <w:rsid w:val="794B35BE"/>
    <w:rsid w:val="7A5101BC"/>
    <w:rsid w:val="7B0A3A31"/>
    <w:rsid w:val="7B3360ED"/>
    <w:rsid w:val="7B8E776C"/>
    <w:rsid w:val="7BC053F6"/>
    <w:rsid w:val="7BDF037E"/>
    <w:rsid w:val="7BF50948"/>
    <w:rsid w:val="7C793044"/>
    <w:rsid w:val="7C7F12D0"/>
    <w:rsid w:val="7CCE35F1"/>
    <w:rsid w:val="7CE66A78"/>
    <w:rsid w:val="7D004222"/>
    <w:rsid w:val="7D23564C"/>
    <w:rsid w:val="7D5E062D"/>
    <w:rsid w:val="7DF76CD8"/>
    <w:rsid w:val="7E233080"/>
    <w:rsid w:val="7F695C26"/>
    <w:rsid w:val="7F7A1433"/>
    <w:rsid w:val="7F942D35"/>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2">
    <w:name w:val="heading 3"/>
    <w:basedOn w:val="1"/>
    <w:next w:val="1"/>
    <w:qFormat/>
    <w:uiPriority w:val="0"/>
    <w:pPr>
      <w:keepNext/>
      <w:keepLines/>
      <w:autoSpaceDE/>
      <w:autoSpaceDN/>
      <w:adjustRightInd/>
      <w:snapToGrid/>
      <w:spacing w:line="360" w:lineRule="auto"/>
      <w:ind w:firstLine="600" w:firstLineChars="200"/>
      <w:outlineLvl w:val="2"/>
    </w:pPr>
    <w:rPr>
      <w:rFonts w:ascii="Times New Roman" w:hAnsi="仿宋" w:eastAsia="黑体" w:cs="Times New Roman"/>
      <w:bCs/>
      <w:spacing w:val="0"/>
      <w:kern w:val="0"/>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Title"/>
    <w:basedOn w:val="1"/>
    <w:next w:val="1"/>
    <w:qFormat/>
    <w:uiPriority w:val="0"/>
    <w:pPr>
      <w:spacing w:before="60" w:after="120" w:line="560" w:lineRule="exact"/>
      <w:jc w:val="center"/>
      <w:outlineLvl w:val="0"/>
    </w:pPr>
    <w:rPr>
      <w:rFonts w:eastAsia="方正小标宋简体"/>
      <w:bCs/>
      <w:sz w:val="44"/>
    </w:rPr>
  </w:style>
  <w:style w:type="character" w:styleId="10">
    <w:name w:val="Strong"/>
    <w:basedOn w:val="9"/>
    <w:qFormat/>
    <w:uiPriority w:val="0"/>
    <w:rPr>
      <w:sz w:val="24"/>
      <w:szCs w:val="24"/>
    </w:rPr>
  </w:style>
  <w:style w:type="character" w:styleId="11">
    <w:name w:val="Emphasis"/>
    <w:basedOn w:val="9"/>
    <w:qFormat/>
    <w:uiPriority w:val="0"/>
    <w:rPr>
      <w:i/>
    </w:rPr>
  </w:style>
  <w:style w:type="character" w:customStyle="1" w:styleId="12">
    <w:name w:val="页眉 Char"/>
    <w:basedOn w:val="9"/>
    <w:link w:val="5"/>
    <w:qFormat/>
    <w:uiPriority w:val="0"/>
    <w:rPr>
      <w:rFonts w:asciiTheme="minorHAnsi" w:hAnsiTheme="minorHAnsi" w:eastAsiaTheme="minorEastAsia" w:cstheme="minorBidi"/>
      <w:kern w:val="2"/>
      <w:sz w:val="18"/>
      <w:szCs w:val="18"/>
    </w:rPr>
  </w:style>
  <w:style w:type="character" w:customStyle="1" w:styleId="13">
    <w:name w:val="页脚 Char"/>
    <w:basedOn w:val="9"/>
    <w:link w:val="4"/>
    <w:qFormat/>
    <w:uiPriority w:val="0"/>
    <w:rPr>
      <w:rFonts w:asciiTheme="minorHAnsi" w:hAnsiTheme="minorHAnsi" w:eastAsiaTheme="minorEastAsia" w:cstheme="minorBidi"/>
      <w:kern w:val="2"/>
      <w:sz w:val="18"/>
      <w:szCs w:val="18"/>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numbering" Target="numbering.xml"/><Relationship Id="rId22" Type="http://schemas.openxmlformats.org/officeDocument/2006/relationships/image" Target="media/image3.png"/><Relationship Id="rId21" Type="http://schemas.openxmlformats.org/officeDocument/2006/relationships/image" Target="media/image2.png"/><Relationship Id="rId20" Type="http://schemas.openxmlformats.org/officeDocument/2006/relationships/image" Target="../NULL"/><Relationship Id="rId2" Type="http://schemas.openxmlformats.org/officeDocument/2006/relationships/settings" Target="settings.xml"/><Relationship Id="rId19" Type="http://schemas.openxmlformats.org/officeDocument/2006/relationships/chart" Target="charts/chart14.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9.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4.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6882.33</c:v>
                </c:pt>
                <c:pt idx="1">
                  <c:v>8.66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0</c:v>
                </c:pt>
                <c:pt idx="1">
                  <c:v>0</c:v>
                </c:pt>
                <c:pt idx="2">
                  <c:v>0</c:v>
                </c:pt>
                <c:pt idx="3">
                  <c:v>0</c:v>
                </c:pt>
                <c:pt idx="4">
                  <c:v>0.94</c:v>
                </c:pt>
                <c:pt idx="5">
                  <c:v>4.09</c:v>
                </c:pt>
                <c:pt idx="6">
                  <c:v>21.65</c:v>
                </c:pt>
                <c:pt idx="7">
                  <c:v>0</c:v>
                </c:pt>
                <c:pt idx="8">
                  <c:v>0</c:v>
                </c:pt>
                <c:pt idx="9">
                  <c:v>0</c:v>
                </c:pt>
                <c:pt idx="10">
                  <c:v>0</c:v>
                </c:pt>
                <c:pt idx="11">
                  <c:v>0.06</c:v>
                </c:pt>
                <c:pt idx="12">
                  <c:v>0</c:v>
                </c:pt>
                <c:pt idx="13">
                  <c:v>0</c:v>
                </c:pt>
                <c:pt idx="14">
                  <c:v>0</c:v>
                </c:pt>
                <c:pt idx="15">
                  <c:v>0</c:v>
                </c:pt>
                <c:pt idx="16">
                  <c:v>0</c:v>
                </c:pt>
                <c:pt idx="17">
                  <c:v>0</c:v>
                </c:pt>
                <c:pt idx="18">
                  <c:v>0</c:v>
                </c:pt>
                <c:pt idx="19">
                  <c:v>0</c:v>
                </c:pt>
                <c:pt idx="20">
                  <c:v>0</c:v>
                </c:pt>
                <c:pt idx="21">
                  <c:v>12.15</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11.01</c:v>
                </c:pt>
                <c:pt idx="1">
                  <c:v>0</c:v>
                </c:pt>
                <c:pt idx="2">
                  <c:v>0</c:v>
                </c:pt>
                <c:pt idx="3">
                  <c:v>27.71</c:v>
                </c:pt>
                <c:pt idx="4">
                  <c:v>24.04</c:v>
                </c:pt>
                <c:pt idx="5">
                  <c:v>0</c:v>
                </c:pt>
                <c:pt idx="6">
                  <c:v>0</c:v>
                </c:pt>
                <c:pt idx="7">
                  <c:v>0</c:v>
                </c:pt>
                <c:pt idx="8">
                  <c:v>0</c:v>
                </c:pt>
                <c:pt idx="9">
                  <c:v>0</c:v>
                </c:pt>
                <c:pt idx="10">
                  <c:v>0</c:v>
                </c:pt>
                <c:pt idx="11">
                  <c:v>12.6</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Sheet1!$A$2:$A$7</c:f>
              <c:strCache>
                <c:ptCount val="6"/>
                <c:pt idx="0">
                  <c:v>一般公共服务支出</c:v>
                </c:pt>
                <c:pt idx="1">
                  <c:v>公共安全支出</c:v>
                </c:pt>
                <c:pt idx="2">
                  <c:v>社会保障和就业支出</c:v>
                </c:pt>
                <c:pt idx="3">
                  <c:v>农林水支出</c:v>
                </c:pt>
                <c:pt idx="4">
                  <c:v>住房保障支出</c:v>
                </c:pt>
                <c:pt idx="5">
                  <c:v>其他支出</c:v>
                </c:pt>
              </c:strCache>
            </c:strRef>
          </c:cat>
          <c:val>
            <c:numRef>
              <c:f>Sheet1!$B$2:$B$7</c:f>
              <c:numCache>
                <c:formatCode>General</c:formatCode>
                <c:ptCount val="6"/>
                <c:pt idx="0">
                  <c:v>1221.58</c:v>
                </c:pt>
                <c:pt idx="1">
                  <c:v>0</c:v>
                </c:pt>
                <c:pt idx="2">
                  <c:v>102.23</c:v>
                </c:pt>
                <c:pt idx="3">
                  <c:v>0</c:v>
                </c:pt>
                <c:pt idx="4">
                  <c:v>71.86</c:v>
                </c:pt>
                <c:pt idx="5">
                  <c:v>248.65</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Sheet1!$A$2:$A$7</c:f>
              <c:strCache>
                <c:ptCount val="6"/>
                <c:pt idx="0">
                  <c:v>一般公共服务支出</c:v>
                </c:pt>
                <c:pt idx="1">
                  <c:v>公共安全支出</c:v>
                </c:pt>
                <c:pt idx="2">
                  <c:v>社会保障和就业支出</c:v>
                </c:pt>
                <c:pt idx="3">
                  <c:v>农林水支出</c:v>
                </c:pt>
                <c:pt idx="4">
                  <c:v>住房保障支出</c:v>
                </c:pt>
                <c:pt idx="5">
                  <c:v>其他支出</c:v>
                </c:pt>
              </c:strCache>
            </c:strRef>
          </c:cat>
          <c:val>
            <c:numRef>
              <c:f>Sheet1!$C$2:$C$7</c:f>
              <c:numCache>
                <c:formatCode>General</c:formatCode>
                <c:ptCount val="6"/>
                <c:pt idx="0">
                  <c:v>1437.91</c:v>
                </c:pt>
                <c:pt idx="1">
                  <c:v>0.6</c:v>
                </c:pt>
                <c:pt idx="2">
                  <c:v>103.35</c:v>
                </c:pt>
                <c:pt idx="3">
                  <c:v>5026.01</c:v>
                </c:pt>
                <c:pt idx="4">
                  <c:v>77.71</c:v>
                </c:pt>
                <c:pt idx="5">
                  <c:v>244.51</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Sheet1!$A$2:$A$10</c:f>
              <c:strCache>
                <c:ptCount val="9"/>
                <c:pt idx="0">
                  <c:v>2010301</c:v>
                </c:pt>
                <c:pt idx="1">
                  <c:v>2010601</c:v>
                </c:pt>
                <c:pt idx="2">
                  <c:v>2010604</c:v>
                </c:pt>
                <c:pt idx="3">
                  <c:v>2010605</c:v>
                </c:pt>
                <c:pt idx="4">
                  <c:v>2010606</c:v>
                </c:pt>
                <c:pt idx="5">
                  <c:v>2010608</c:v>
                </c:pt>
                <c:pt idx="6">
                  <c:v>2010699</c:v>
                </c:pt>
                <c:pt idx="7">
                  <c:v>2012999</c:v>
                </c:pt>
                <c:pt idx="8">
                  <c:v>201x</c:v>
                </c:pt>
              </c:strCache>
            </c:strRef>
          </c:cat>
          <c:val>
            <c:numRef>
              <c:f>Sheet1!$B$2:$B$10</c:f>
              <c:numCache>
                <c:formatCode>General</c:formatCode>
                <c:ptCount val="9"/>
                <c:pt idx="0">
                  <c:v>2.23</c:v>
                </c:pt>
                <c:pt idx="1">
                  <c:v>735</c:v>
                </c:pt>
                <c:pt idx="2">
                  <c:v>10.8</c:v>
                </c:pt>
                <c:pt idx="3">
                  <c:v>36</c:v>
                </c:pt>
                <c:pt idx="4">
                  <c:v>5.2</c:v>
                </c:pt>
                <c:pt idx="5">
                  <c:v>340.37</c:v>
                </c:pt>
                <c:pt idx="6">
                  <c:v>288.4</c:v>
                </c:pt>
                <c:pt idx="7">
                  <c:v>12.15</c:v>
                </c:pt>
                <c:pt idx="8">
                  <c:v>1430.15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公共安全支出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2040201</c:v>
                </c:pt>
                <c:pt idx="1">
                  <c:v>204x</c:v>
                </c:pt>
              </c:strCache>
            </c:strRef>
          </c:cat>
          <c:val>
            <c:numRef>
              <c:f>Sheet1!$B$2:$B$3</c:f>
              <c:numCache>
                <c:formatCode>General</c:formatCode>
                <c:ptCount val="2"/>
                <c:pt idx="0">
                  <c:v>0.6</c:v>
                </c:pt>
                <c:pt idx="1">
                  <c:v>0.6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103.35</c:v>
                </c:pt>
                <c:pt idx="1">
                  <c:v>103.35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农林水支出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Sheet1!$A$2:$A$10</c:f>
              <c:strCache>
                <c:ptCount val="9"/>
                <c:pt idx="0">
                  <c:v>2130142</c:v>
                </c:pt>
                <c:pt idx="1">
                  <c:v>2130199</c:v>
                </c:pt>
                <c:pt idx="2">
                  <c:v>2130504</c:v>
                </c:pt>
                <c:pt idx="3">
                  <c:v>2130599</c:v>
                </c:pt>
                <c:pt idx="4">
                  <c:v>2130701</c:v>
                </c:pt>
                <c:pt idx="5">
                  <c:v>2130707</c:v>
                </c:pt>
                <c:pt idx="6">
                  <c:v>2130799</c:v>
                </c:pt>
                <c:pt idx="7">
                  <c:v>2139999</c:v>
                </c:pt>
                <c:pt idx="8">
                  <c:v>213x</c:v>
                </c:pt>
              </c:strCache>
            </c:strRef>
          </c:cat>
          <c:val>
            <c:numRef>
              <c:f>Sheet1!$B$2:$B$10</c:f>
              <c:numCache>
                <c:formatCode>General</c:formatCode>
                <c:ptCount val="9"/>
                <c:pt idx="0">
                  <c:v>451.99</c:v>
                </c:pt>
                <c:pt idx="1">
                  <c:v>7.78</c:v>
                </c:pt>
                <c:pt idx="2">
                  <c:v>2042.24</c:v>
                </c:pt>
                <c:pt idx="3">
                  <c:v>94.31</c:v>
                </c:pt>
                <c:pt idx="4">
                  <c:v>437.94</c:v>
                </c:pt>
                <c:pt idx="5">
                  <c:v>1245.56</c:v>
                </c:pt>
                <c:pt idx="6">
                  <c:v>647.31</c:v>
                </c:pt>
                <c:pt idx="7">
                  <c:v>98.88</c:v>
                </c:pt>
                <c:pt idx="8">
                  <c:v>5026.01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77.71</c:v>
                </c:pt>
                <c:pt idx="1">
                  <c:v>77.71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244.51</c:v>
                </c:pt>
                <c:pt idx="1">
                  <c:v>244.51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276.82</c:v>
                </c:pt>
                <c:pt idx="1">
                  <c:v>189.43</c:v>
                </c:pt>
                <c:pt idx="2">
                  <c:v>323.38</c:v>
                </c:pt>
                <c:pt idx="3">
                  <c:v>0</c:v>
                </c:pt>
                <c:pt idx="4">
                  <c:v>8.77</c:v>
                </c:pt>
                <c:pt idx="5">
                  <c:v>105.06</c:v>
                </c:pt>
                <c:pt idx="6">
                  <c:v>0</c:v>
                </c:pt>
                <c:pt idx="7">
                  <c:v>40.65</c:v>
                </c:pt>
                <c:pt idx="8">
                  <c:v>0</c:v>
                </c:pt>
                <c:pt idx="9">
                  <c:v>10.04</c:v>
                </c:pt>
                <c:pt idx="10">
                  <c:v>78.46</c:v>
                </c:pt>
                <c:pt idx="11">
                  <c:v>0</c:v>
                </c:pt>
                <c:pt idx="12">
                  <c:v>9.96</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4</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cp:lastPrinted>2023-11-22T10:35:00Z</cp:lastPrinted>
  <dcterms:modified xsi:type="dcterms:W3CDTF">2023-11-29T07:27:39Z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