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52"/>
          <w:szCs w:val="52"/>
        </w:rPr>
      </w:pPr>
      <w:r>
        <w:rPr>
          <w:rFonts w:hint="eastAsia" w:ascii="黑体" w:hAnsi="黑体" w:eastAsia="黑体" w:cs="黑体"/>
          <w:b/>
          <w:bCs/>
          <w:sz w:val="52"/>
          <w:szCs w:val="52"/>
        </w:rPr>
        <w:t>环江毛南族自治县驯乐苗族乡中心小学2022年度部门决算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36"/>
          <w:szCs w:val="36"/>
        </w:rPr>
      </w:pPr>
      <w:r>
        <w:rPr>
          <w:rFonts w:hint="eastAsia" w:ascii="黑体" w:hAnsi="黑体" w:eastAsia="黑体" w:cs="黑体"/>
          <w:b/>
          <w:bCs/>
          <w:sz w:val="36"/>
          <w:szCs w:val="36"/>
        </w:rPr>
        <w:t>2023年10</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环江毛南族自治县驯乐苗族乡中心小学</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环江毛南族自治县驯乐苗族乡中心小学</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环江毛南族自治县驯乐苗族乡中心小学</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环江毛南族自治县驯乐苗族乡中心小学</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（一）贯彻执行党和国家的教育方针、政策和法律法规；拟订全乡教育改革与发展规划并组织实施。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（二）编制本乡教育事业发展规划并检查实施情况，向人民政府和上级教育部门作出报告。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（三）督促检查全乡贯彻执行教育方针、政策、法令、法规和上级的各项规定；评估指导全乡教育教学工作。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（四）负责推进义务教育均衡发展和促进教育公平，负责义务教育的宏观指导与协调，指导全乡小学教育工作。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（五）负责全乡教育系统人才队伍和教师队伍建设，包括校长岗位培训、后备干部队伍建设、教师学历教育、继续教育等。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（六）负责组织全乡做好学校考务工作、招生录取工作和学籍管理工作。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（七）按照中央关于全面推进素质教育要求，负责教育教学管理、教育教学改革及教育教学科学研究工作，检查指导全乡实施素质教育工作，并组织推广先进的教育教学经验。</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（八）检查指导学校教育教学设备的装备、管理和使用工作。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（九）检查指导全县开展电化教育和信息化教学工作。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（十）负责全乡教师初、中、高级专业技术职务资格的申报工作。按照管理权限对教师进行考核、聘任、奖惩、晋升等工作。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（十一）负责监督全乡教育经费管理与使用工作。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（十二）负责全乡学校教学教育常规管理评估工作，指导全乡学校德育、体育、卫生、艺术、安全工作以及团组织和少先队工作。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（十三）指导全乡的教育督导工作，指导基础教育发展水平、质量的监测工作。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（十四）负责指导全乡学生资助管理工作。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（十五）负责语言文字和指导推广普通话工作。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（十六）完成自政府及上级主管部门交办的其他工作。</w:t>
      </w:r>
    </w:p>
    <w:p>
      <w:pPr>
        <w:jc w:val="left"/>
        <w:rPr>
          <w:rFonts w:ascii="仿宋" w:hAnsi="仿宋" w:eastAsia="仿宋" w:cs="仿宋"/>
          <w:sz w:val="32"/>
          <w:szCs w:val="32"/>
        </w:rPr>
      </w:pPr>
      <w:r>
        <w:rPr>
          <w:rFonts w:hint="eastAsia" w:ascii="黑体" w:hAnsi="黑体" w:eastAsia="黑体" w:cs="黑体"/>
          <w:sz w:val="32"/>
          <w:szCs w:val="32"/>
        </w:rPr>
        <w:t>二、部门决算单位构成</w:t>
      </w:r>
    </w:p>
    <w:p>
      <w:pPr>
        <w:ind w:firstLine="640" w:firstLineChars="200"/>
        <w:rPr>
          <w:rFonts w:ascii="仿宋" w:hAnsi="仿宋" w:eastAsia="仿宋" w:cs="仿宋"/>
          <w:sz w:val="32"/>
          <w:szCs w:val="32"/>
        </w:rPr>
      </w:pPr>
      <w:r>
        <w:rPr>
          <w:rFonts w:hint="eastAsia" w:ascii="仿宋" w:hAnsi="仿宋" w:eastAsia="仿宋" w:cs="仿宋"/>
          <w:sz w:val="32"/>
          <w:szCs w:val="32"/>
        </w:rPr>
        <w:t>（一）内设机构情况</w:t>
      </w:r>
    </w:p>
    <w:p>
      <w:pPr>
        <w:ind w:firstLine="640" w:firstLineChars="200"/>
        <w:rPr>
          <w:rFonts w:ascii="仿宋" w:hAnsi="仿宋" w:eastAsia="仿宋" w:cs="仿宋"/>
          <w:sz w:val="32"/>
          <w:szCs w:val="32"/>
        </w:rPr>
      </w:pPr>
      <w:r>
        <w:rPr>
          <w:rFonts w:hint="eastAsia" w:ascii="仿宋" w:hAnsi="仿宋" w:eastAsia="仿宋" w:cs="仿宋"/>
          <w:sz w:val="32"/>
          <w:szCs w:val="32"/>
        </w:rPr>
        <w:t>驯乐苗族乡中心小学有七个内设机构，分别为：办公室、督导室、教研活动室、资助办公室、财务室、党员活动室、工会活动室。</w:t>
      </w:r>
    </w:p>
    <w:p>
      <w:pPr>
        <w:ind w:firstLine="640" w:firstLineChars="200"/>
        <w:rPr>
          <w:rFonts w:ascii="仿宋" w:hAnsi="仿宋" w:eastAsia="仿宋" w:cs="仿宋"/>
          <w:sz w:val="32"/>
          <w:szCs w:val="32"/>
        </w:rPr>
      </w:pPr>
      <w:r>
        <w:rPr>
          <w:rFonts w:hint="eastAsia" w:ascii="仿宋" w:hAnsi="仿宋" w:eastAsia="仿宋" w:cs="仿宋"/>
          <w:sz w:val="32"/>
          <w:szCs w:val="32"/>
        </w:rPr>
        <w:t>（二）下属机构情况</w:t>
      </w:r>
    </w:p>
    <w:p>
      <w:pPr>
        <w:ind w:firstLine="640" w:firstLineChars="200"/>
        <w:rPr>
          <w:rFonts w:ascii="仿宋" w:hAnsi="仿宋" w:eastAsia="仿宋" w:cs="仿宋"/>
          <w:sz w:val="32"/>
          <w:szCs w:val="32"/>
        </w:rPr>
      </w:pPr>
      <w:r>
        <w:rPr>
          <w:rFonts w:hint="eastAsia" w:ascii="仿宋" w:hAnsi="仿宋" w:eastAsia="仿宋" w:cs="仿宋"/>
          <w:sz w:val="32"/>
          <w:szCs w:val="32"/>
        </w:rPr>
        <w:t>驯乐苗族乡中心小学下属机构有3个，分别是驯乐苗族乡中心校、驯乐苗族乡上朝小学、驯乐苗族乡山岗小学。</w:t>
      </w:r>
    </w:p>
    <w:p>
      <w:pPr>
        <w:jc w:val="center"/>
        <w:rPr>
          <w:rFonts w:ascii="黑体" w:hAnsi="黑体" w:eastAsia="黑体" w:cs="黑体"/>
          <w:sz w:val="32"/>
          <w:szCs w:val="32"/>
        </w:rPr>
      </w:pPr>
    </w:p>
    <w:p>
      <w:pPr>
        <w:rPr>
          <w:rFonts w:ascii="黑体" w:hAnsi="黑体" w:eastAsia="黑体" w:cs="黑体"/>
          <w:sz w:val="32"/>
          <w:szCs w:val="32"/>
        </w:rPr>
        <w:sectPr>
          <w:pgSz w:w="11906" w:h="16838"/>
          <w:pgMar w:top="1440" w:right="1134" w:bottom="1134" w:left="1134" w:header="851" w:footer="992" w:gutter="0"/>
          <w:cols w:space="425" w:num="1"/>
          <w:docGrid w:type="lines" w:linePitch="312" w:charSpace="0"/>
        </w:sectPr>
      </w:pPr>
    </w:p>
    <w:p>
      <w:pPr>
        <w:ind w:firstLine="1600" w:firstLineChars="500"/>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环江毛南族自治县驯乐苗族乡中心小学</w:t>
      </w:r>
      <w:r>
        <w:rPr>
          <w:rFonts w:hint="eastAsia" w:ascii="黑体" w:hAnsi="黑体" w:eastAsia="黑体" w:cs="黑体"/>
          <w:sz w:val="32"/>
          <w:szCs w:val="32"/>
        </w:rPr>
        <w:t>2022年度部门决算报表</w:t>
      </w:r>
    </w:p>
    <w:tbl>
      <w:tblPr>
        <w:tblStyle w:val="7"/>
        <w:tblW w:w="5000" w:type="pct"/>
        <w:tblInd w:w="0" w:type="dxa"/>
        <w:tblLayout w:type="autofit"/>
        <w:tblCellMar>
          <w:top w:w="0" w:type="dxa"/>
          <w:left w:w="108" w:type="dxa"/>
          <w:bottom w:w="0" w:type="dxa"/>
          <w:right w:w="108" w:type="dxa"/>
        </w:tblCellMar>
      </w:tblPr>
      <w:tblGrid>
        <w:gridCol w:w="3096"/>
        <w:gridCol w:w="2415"/>
        <w:gridCol w:w="2248"/>
        <w:gridCol w:w="2916"/>
        <w:gridCol w:w="2215"/>
        <w:gridCol w:w="1896"/>
      </w:tblGrid>
      <w:tr>
        <w:tblPrEx>
          <w:tblCellMar>
            <w:top w:w="0" w:type="dxa"/>
            <w:left w:w="108" w:type="dxa"/>
            <w:bottom w:w="0" w:type="dxa"/>
            <w:right w:w="108" w:type="dxa"/>
          </w:tblCellMar>
        </w:tblPrEx>
        <w:trPr>
          <w:trHeight w:val="794" w:hRule="exact"/>
        </w:trPr>
        <w:tc>
          <w:tcPr>
            <w:tcW w:w="5000" w:type="pct"/>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91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5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0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9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8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2571" w:type="pct"/>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957"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79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8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27" w:hRule="atLeast"/>
        </w:trPr>
        <w:tc>
          <w:tcPr>
            <w:tcW w:w="2571"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收入</w:t>
            </w:r>
          </w:p>
        </w:tc>
        <w:tc>
          <w:tcPr>
            <w:tcW w:w="24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支出</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行次</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一、一般公共预算财政拨款收入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1755.93</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一、一般公共服务支出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32</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二、政府性基金预算财政拨款收入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二、外交支出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33</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三、国有资本经营预算财政拨款收入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三、国防支出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34</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四、上级补助收入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四、公共安全支出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35</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五、事业收入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五、教育支出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36</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1270.97</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六、经营收入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六、科学技术支出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37</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七、附属单位上缴收入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七、文化旅游体育与传媒支出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38</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八、其他收入</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八、社会保障和就业支出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39</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九、卫生健康支出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40</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十、节能环保支出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41</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十一、城乡社区支出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42</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十二、农林水支出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43</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十三、交通运输支出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44</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十四、资源勘探工业信息等支出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45</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十五、商业服务业等支出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46</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十六、金融支出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47</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十七、援助其他地区支出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48</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十八、自然资源海洋气象等支出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49</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十九、住房保障支出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50</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二十、粮油物资储备支出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51</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二十一、国有资本经营预算支出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52</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22</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二十二、灾害防治及应急管理支出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53</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23</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二十三、其他支出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54</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246.74</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24</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二十四、债务还本支出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55</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25</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二十五、债务付息支出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56</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26</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二十六、抗疫特别国债安排的支出</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57</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本年收入合计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27</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1758.96</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本年支出合计</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58</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1758.96</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使用非财政拨款结余</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28</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结余分配</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59</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年初结转和结余</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29</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年末结转和结余</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60</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61</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27" w:hRule="atLeast"/>
        </w:trPr>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sz w:val="18"/>
                <w:szCs w:val="18"/>
              </w:rPr>
            </w:pPr>
            <w:r>
              <w:rPr>
                <w:rFonts w:hint="eastAsia"/>
                <w:sz w:val="18"/>
                <w:szCs w:val="18"/>
              </w:rPr>
              <w:t>总计</w:t>
            </w:r>
          </w:p>
        </w:tc>
        <w:tc>
          <w:tcPr>
            <w:tcW w:w="8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31</w:t>
            </w:r>
          </w:p>
        </w:tc>
        <w:tc>
          <w:tcPr>
            <w:tcW w:w="8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1758.96</w:t>
            </w:r>
          </w:p>
        </w:tc>
        <w:tc>
          <w:tcPr>
            <w:tcW w:w="9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总计</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62</w:t>
            </w:r>
          </w:p>
        </w:tc>
        <w:tc>
          <w:tcPr>
            <w:tcW w:w="6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1758.96</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7"/>
        <w:tblW w:w="5000" w:type="pct"/>
        <w:tblInd w:w="0" w:type="dxa"/>
        <w:tblLayout w:type="autofit"/>
        <w:tblCellMar>
          <w:top w:w="0" w:type="dxa"/>
          <w:left w:w="108" w:type="dxa"/>
          <w:bottom w:w="0" w:type="dxa"/>
          <w:right w:w="108" w:type="dxa"/>
        </w:tblCellMar>
      </w:tblPr>
      <w:tblGrid>
        <w:gridCol w:w="1821"/>
        <w:gridCol w:w="1201"/>
        <w:gridCol w:w="1201"/>
        <w:gridCol w:w="1201"/>
        <w:gridCol w:w="1514"/>
        <w:gridCol w:w="1514"/>
        <w:gridCol w:w="1425"/>
        <w:gridCol w:w="1029"/>
        <w:gridCol w:w="1029"/>
        <w:gridCol w:w="1822"/>
        <w:gridCol w:w="1029"/>
      </w:tblGrid>
      <w:tr>
        <w:tblPrEx>
          <w:tblCellMar>
            <w:top w:w="0" w:type="dxa"/>
            <w:left w:w="108" w:type="dxa"/>
            <w:bottom w:w="0" w:type="dxa"/>
            <w:right w:w="108" w:type="dxa"/>
          </w:tblCellMar>
        </w:tblPrEx>
        <w:trPr>
          <w:trHeight w:val="951" w:hRule="atLeast"/>
        </w:trPr>
        <w:tc>
          <w:tcPr>
            <w:tcW w:w="5000" w:type="pct"/>
            <w:gridSpan w:val="11"/>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61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0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1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1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4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4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64" w:type="pct"/>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2858"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482"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8"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8"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964" w:type="pct"/>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84" w:hRule="exact"/>
        </w:trPr>
        <w:tc>
          <w:tcPr>
            <w:tcW w:w="183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本年收入合计</w:t>
            </w:r>
          </w:p>
        </w:tc>
        <w:tc>
          <w:tcPr>
            <w:tcW w:w="5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财政拨款收入</w:t>
            </w:r>
          </w:p>
        </w:tc>
        <w:tc>
          <w:tcPr>
            <w:tcW w:w="4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上级补助收入</w:t>
            </w:r>
          </w:p>
        </w:tc>
        <w:tc>
          <w:tcPr>
            <w:tcW w:w="3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事业收入</w:t>
            </w:r>
          </w:p>
        </w:tc>
        <w:tc>
          <w:tcPr>
            <w:tcW w:w="3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经营收入</w:t>
            </w:r>
          </w:p>
        </w:tc>
        <w:tc>
          <w:tcPr>
            <w:tcW w:w="6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附属单位上缴收入</w:t>
            </w:r>
          </w:p>
        </w:tc>
        <w:tc>
          <w:tcPr>
            <w:tcW w:w="3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其他收入</w:t>
            </w:r>
          </w:p>
        </w:tc>
      </w:tr>
      <w:tr>
        <w:tblPrEx>
          <w:tblCellMar>
            <w:top w:w="0" w:type="dxa"/>
            <w:left w:w="108" w:type="dxa"/>
            <w:bottom w:w="0" w:type="dxa"/>
            <w:right w:w="108" w:type="dxa"/>
          </w:tblCellMar>
        </w:tblPrEx>
        <w:trPr>
          <w:trHeight w:val="284" w:hRule="exact"/>
        </w:trPr>
        <w:tc>
          <w:tcPr>
            <w:tcW w:w="6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功能分类科目编码</w:t>
            </w:r>
          </w:p>
        </w:tc>
        <w:tc>
          <w:tcPr>
            <w:tcW w:w="1218"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4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6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218" w:type="pct"/>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4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6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218" w:type="pct"/>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1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4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4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183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3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3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1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3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r>
      <w:tr>
        <w:tblPrEx>
          <w:tblCellMar>
            <w:top w:w="0" w:type="dxa"/>
            <w:left w:w="108" w:type="dxa"/>
            <w:bottom w:w="0" w:type="dxa"/>
            <w:right w:w="108" w:type="dxa"/>
          </w:tblCellMar>
        </w:tblPrEx>
        <w:trPr>
          <w:trHeight w:val="284" w:hRule="exact"/>
        </w:trPr>
        <w:tc>
          <w:tcPr>
            <w:tcW w:w="183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1758.96</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1758.96</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一般公共服务支出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20129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群众团体事务</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2012999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其他群众团体事务支出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教育支出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1270.97</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1270.97</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普通教育</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1270.52</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1270.52</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2050202</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小学教育</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1248.56</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1248.56</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2050299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其他普通教育支出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21.96</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21.96</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教育费附加安排的支出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2050999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其他教育费附加安排的支出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社会保障和就业支出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20805</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行政事业单位养老支出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2080505</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机关事业单位基本养老保险缴费支出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住房保障支出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22102</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住房改革支出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2210201</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住房公积金</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其他支出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246.74</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246.74</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22960</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彩票公益金安排的支出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2296004</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用于教育事业的彩票公益金支出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22999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其他支出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2299999</w:t>
            </w:r>
          </w:p>
        </w:tc>
        <w:tc>
          <w:tcPr>
            <w:tcW w:w="12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其他支出</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5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34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327" w:hRule="atLeast"/>
        </w:trPr>
        <w:tc>
          <w:tcPr>
            <w:tcW w:w="5000" w:type="pct"/>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注：本表反映部门本年度取得的各项收入情况。</w:t>
            </w:r>
          </w:p>
        </w:tc>
      </w:tr>
    </w:tbl>
    <w:p>
      <w:pP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tbl>
      <w:tblPr>
        <w:tblStyle w:val="7"/>
        <w:tblW w:w="5000" w:type="pct"/>
        <w:tblInd w:w="0" w:type="dxa"/>
        <w:tblLayout w:type="autofit"/>
        <w:tblCellMar>
          <w:top w:w="0" w:type="dxa"/>
          <w:left w:w="108" w:type="dxa"/>
          <w:bottom w:w="0" w:type="dxa"/>
          <w:right w:w="108" w:type="dxa"/>
        </w:tblCellMar>
      </w:tblPr>
      <w:tblGrid>
        <w:gridCol w:w="1111"/>
        <w:gridCol w:w="222"/>
        <w:gridCol w:w="177"/>
        <w:gridCol w:w="88"/>
        <w:gridCol w:w="3188"/>
        <w:gridCol w:w="1541"/>
        <w:gridCol w:w="1682"/>
        <w:gridCol w:w="1765"/>
        <w:gridCol w:w="1653"/>
        <w:gridCol w:w="1656"/>
        <w:gridCol w:w="1703"/>
      </w:tblGrid>
      <w:tr>
        <w:tblPrEx>
          <w:tblCellMar>
            <w:top w:w="0" w:type="dxa"/>
            <w:left w:w="108" w:type="dxa"/>
            <w:bottom w:w="0" w:type="dxa"/>
            <w:right w:w="108" w:type="dxa"/>
          </w:tblCellMar>
        </w:tblPrEx>
        <w:trPr>
          <w:trHeight w:val="623" w:hRule="atLeast"/>
        </w:trPr>
        <w:tc>
          <w:tcPr>
            <w:tcW w:w="5000" w:type="pct"/>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408"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85"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08" w:type="pct"/>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795"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582"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601"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591"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592" w:type="pct"/>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609"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3209" w:type="pct"/>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591" w:type="pct"/>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592" w:type="pct"/>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609" w:type="pct"/>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84" w:hRule="exact"/>
        </w:trPr>
        <w:tc>
          <w:tcPr>
            <w:tcW w:w="1396"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58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本年支出合计</w:t>
            </w:r>
          </w:p>
        </w:tc>
        <w:tc>
          <w:tcPr>
            <w:tcW w:w="6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基本支出</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5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上缴上级支出</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经营支出</w:t>
            </w:r>
          </w:p>
        </w:tc>
        <w:tc>
          <w:tcPr>
            <w:tcW w:w="6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对附属单位补助支出</w:t>
            </w:r>
          </w:p>
        </w:tc>
      </w:tr>
      <w:tr>
        <w:tblPrEx>
          <w:tblCellMar>
            <w:top w:w="0" w:type="dxa"/>
            <w:left w:w="108" w:type="dxa"/>
            <w:bottom w:w="0" w:type="dxa"/>
            <w:right w:w="108" w:type="dxa"/>
          </w:tblCellMar>
        </w:tblPrEx>
        <w:trPr>
          <w:trHeight w:val="284" w:hRule="exact"/>
        </w:trPr>
        <w:tc>
          <w:tcPr>
            <w:tcW w:w="57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功能分类科目编码</w:t>
            </w:r>
          </w:p>
        </w:tc>
        <w:tc>
          <w:tcPr>
            <w:tcW w:w="818" w:type="pct"/>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5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57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81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5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579"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818" w:type="pct"/>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58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6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1396"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5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108" w:type="dxa"/>
            <w:bottom w:w="0" w:type="dxa"/>
            <w:right w:w="108" w:type="dxa"/>
          </w:tblCellMar>
        </w:tblPrEx>
        <w:trPr>
          <w:trHeight w:val="284" w:hRule="exact"/>
        </w:trPr>
        <w:tc>
          <w:tcPr>
            <w:tcW w:w="1396"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ascii="宋体" w:hAnsi="宋体" w:eastAsia="宋体" w:cs="宋体"/>
                <w:b/>
                <w:bCs/>
                <w:color w:val="000000"/>
                <w:sz w:val="18"/>
                <w:szCs w:val="18"/>
              </w:rPr>
              <w:t>1758.96</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ascii="宋体" w:hAnsi="宋体" w:eastAsia="宋体" w:cs="宋体"/>
                <w:b/>
                <w:bCs/>
                <w:color w:val="000000"/>
                <w:sz w:val="18"/>
                <w:szCs w:val="18"/>
              </w:rPr>
              <w:t>1446.83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312.12</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hint="eastAsia" w:ascii="宋体" w:hAnsi="宋体" w:eastAsia="宋体" w:cs="宋体"/>
                <w:b/>
                <w:bCs/>
                <w:color w:val="000000"/>
                <w:sz w:val="18"/>
                <w:szCs w:val="18"/>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18"/>
                <w:szCs w:val="18"/>
              </w:rPr>
            </w:pPr>
            <w:r>
              <w:rPr>
                <w:rFonts w:ascii="宋体" w:hAnsi="宋体" w:eastAsia="宋体" w:cs="宋体"/>
                <w:b/>
                <w:bCs/>
                <w:color w:val="000000"/>
                <w:sz w:val="18"/>
                <w:szCs w:val="18"/>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一般公共服务支出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21.27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20129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群众团体事务</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21.27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2012999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其他群众团体事务支出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21.27</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21.27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教育支出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1270.97</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1205.59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65.38</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普通教育</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1270.52</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1205.59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64.93</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2050202</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小学教育</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1248.56</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1205.59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42.97</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2050299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其他普通教育支出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21.96</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21.96</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教育费附加安排的支出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2050999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其他教育费附加安排的支出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0.45</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社会保障和就业支出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123.19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20805</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行政事业单位养老支出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123.19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2080505</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机关事业单位基本养老保险缴费支出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123.19</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123.19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住房保障支出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96.78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22102</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住房改革支出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96.78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2210201</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住房公积金</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96.78</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96.78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其他支出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246.74</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246.74</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22960</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彩票公益金安排的支出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2296004</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用于教育事业的彩票公益金支出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3.03</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22999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其他支出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57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2299999</w:t>
            </w:r>
          </w:p>
        </w:tc>
        <w:tc>
          <w:tcPr>
            <w:tcW w:w="81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 xml:space="preserve">  其他支出</w:t>
            </w: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60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243.72</w:t>
            </w:r>
          </w:p>
        </w:tc>
        <w:tc>
          <w:tcPr>
            <w:tcW w:w="5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c>
          <w:tcPr>
            <w:tcW w:w="6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322" w:hRule="atLeast"/>
        </w:trPr>
        <w:tc>
          <w:tcPr>
            <w:tcW w:w="5000" w:type="pct"/>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7"/>
        <w:tblW w:w="5000" w:type="pct"/>
        <w:tblInd w:w="0" w:type="dxa"/>
        <w:tblLayout w:type="autofit"/>
        <w:tblCellMar>
          <w:top w:w="0" w:type="dxa"/>
          <w:left w:w="108" w:type="dxa"/>
          <w:bottom w:w="0" w:type="dxa"/>
          <w:right w:w="108" w:type="dxa"/>
        </w:tblCellMar>
      </w:tblPr>
      <w:tblGrid>
        <w:gridCol w:w="2873"/>
        <w:gridCol w:w="759"/>
        <w:gridCol w:w="1254"/>
        <w:gridCol w:w="3062"/>
        <w:gridCol w:w="820"/>
        <w:gridCol w:w="1048"/>
        <w:gridCol w:w="1696"/>
        <w:gridCol w:w="1729"/>
        <w:gridCol w:w="154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73"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629"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42"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73"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     入</w:t>
            </w:r>
          </w:p>
        </w:tc>
        <w:tc>
          <w:tcPr>
            <w:tcW w:w="3471"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38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一般公共预算财政拨款</w:t>
            </w:r>
          </w:p>
        </w:tc>
        <w:tc>
          <w:tcPr>
            <w:tcW w:w="64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政府性基金预算财政拨款</w:t>
            </w:r>
          </w:p>
        </w:tc>
        <w:tc>
          <w:tcPr>
            <w:tcW w:w="6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38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64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67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1755.93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33</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21.27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21.27</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3.03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34</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35</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36</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37</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1270.97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1270.97</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38</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39</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40</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123.19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123.19</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41</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42</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43</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44</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45</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46</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47</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48</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49</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50</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51</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96.78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96.78</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52</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53</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54</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55</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246.74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243.72</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3.03</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56</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57</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58</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1758.96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59</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1758.96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1755.93</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3.03</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60</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61</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62</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63</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0.00</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1758.96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r>
              <w:rPr>
                <w:rFonts w:ascii="宋体" w:hAnsi="宋体" w:eastAsia="宋体" w:cs="宋体"/>
                <w:color w:val="000000"/>
                <w:sz w:val="20"/>
                <w:szCs w:val="20"/>
              </w:rPr>
              <w:t>64</w:t>
            </w:r>
          </w:p>
        </w:tc>
        <w:tc>
          <w:tcPr>
            <w:tcW w:w="38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1758.96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1755.93</w:t>
            </w:r>
          </w:p>
        </w:tc>
        <w:tc>
          <w:tcPr>
            <w:tcW w:w="64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3.03</w:t>
            </w:r>
          </w:p>
        </w:tc>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0"/>
                <w:szCs w:val="20"/>
                <w:lang w:bidi="ar"/>
              </w:rPr>
            </w:pPr>
          </w:p>
        </w:tc>
        <w:tc>
          <w:tcPr>
            <w:tcW w:w="673"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84" w:hRule="exac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本年支出</w:t>
            </w:r>
          </w:p>
        </w:tc>
      </w:tr>
      <w:tr>
        <w:tblPrEx>
          <w:tblCellMar>
            <w:top w:w="0" w:type="dxa"/>
            <w:left w:w="108" w:type="dxa"/>
            <w:bottom w:w="0" w:type="dxa"/>
            <w:right w:w="108" w:type="dxa"/>
          </w:tblCellMar>
        </w:tblPrEx>
        <w:trPr>
          <w:trHeight w:val="284" w:hRule="exac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r>
      <w:tr>
        <w:tblPrEx>
          <w:tblCellMar>
            <w:top w:w="0" w:type="dxa"/>
            <w:left w:w="108" w:type="dxa"/>
            <w:bottom w:w="0" w:type="dxa"/>
            <w:right w:w="108" w:type="dxa"/>
          </w:tblCellMar>
        </w:tblPrEx>
        <w:trPr>
          <w:trHeight w:val="284" w:hRule="exac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exac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108" w:type="dxa"/>
            <w:bottom w:w="0" w:type="dxa"/>
            <w:right w:w="108" w:type="dxa"/>
          </w:tblCellMar>
        </w:tblPrEx>
        <w:trPr>
          <w:trHeight w:val="284" w:hRule="exac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ascii="宋体" w:hAnsi="宋体" w:eastAsia="宋体" w:cs="宋体"/>
                <w:b/>
                <w:bCs/>
                <w:color w:val="000000"/>
                <w:sz w:val="18"/>
                <w:szCs w:val="18"/>
              </w:rPr>
              <w:t>1755.93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1446.83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309.10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1270.97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1205.59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65.38</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1270.52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1205.59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64.93</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1248.56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1205.59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42.97</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21.96</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0.45</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0.45</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r>
      <w:tr>
        <w:tblPrEx>
          <w:tblCellMar>
            <w:top w:w="0" w:type="dxa"/>
            <w:left w:w="108" w:type="dxa"/>
            <w:bottom w:w="0" w:type="dxa"/>
            <w:right w:w="108" w:type="dxa"/>
          </w:tblCellMar>
        </w:tblPrEx>
        <w:trPr>
          <w:trHeight w:val="284" w:hRule="exac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sz w:val="18"/>
                <w:szCs w:val="18"/>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243.72</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注：本表反映部门本年度一般公共预算财政拨款支出情况。</w:t>
            </w:r>
          </w:p>
        </w:tc>
      </w:tr>
    </w:tbl>
    <w:p>
      <w:pPr>
        <w:rPr>
          <w:rFonts w:ascii="仿宋" w:hAnsi="仿宋" w:eastAsia="仿宋" w:cs="仿宋"/>
          <w:sz w:val="18"/>
          <w:szCs w:val="18"/>
        </w:rPr>
      </w:pPr>
      <w:r>
        <w:rPr>
          <w:rFonts w:ascii="仿宋" w:hAnsi="仿宋" w:eastAsia="仿宋" w:cs="仿宋"/>
          <w:sz w:val="18"/>
          <w:szCs w:val="18"/>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7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116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84"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公用经费</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科目编码</w:t>
            </w:r>
          </w:p>
          <w:p>
            <w:pPr>
              <w:widowControl/>
              <w:jc w:val="center"/>
              <w:textAlignment w:val="center"/>
              <w:rPr>
                <w:rFonts w:ascii="宋体" w:hAnsi="宋体" w:eastAsia="宋体" w:cs="宋体"/>
                <w:color w:val="000000"/>
                <w:sz w:val="18"/>
                <w:szCs w:val="18"/>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1168.33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62.69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505.53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104.31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60.13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1.79</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204.99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1.79</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123.19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4.64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58.35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6.25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96.78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8.79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214.02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0.40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73.83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105.18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21.27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27.34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8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bookmarkStart w:id="0" w:name="OLE_LINK3"/>
            <w:bookmarkEnd w:id="0"/>
            <w:bookmarkStart w:id="1" w:name="OLE_LINK4"/>
            <w:bookmarkEnd w:id="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1382.35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64.48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注：本表反映部门本年度一般公共预算财政拨款基本支出明细情况。</w:t>
            </w:r>
          </w:p>
        </w:tc>
      </w:tr>
    </w:tbl>
    <w:p>
      <w:pPr>
        <w:jc w:val="left"/>
        <w:rPr>
          <w:rFonts w:ascii="仿宋" w:hAnsi="仿宋" w:eastAsia="仿宋" w:cs="仿宋"/>
          <w:sz w:val="18"/>
          <w:szCs w:val="18"/>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16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3.03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3.03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3.03</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3.03</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3.03</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3.03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3.03</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注：本表反映部门本年度政府性基金预算财政拨款收入、支出及结转和结余情况。</w:t>
            </w:r>
          </w:p>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r>
    </w:tbl>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jc w:val="left"/>
        <w:textAlignment w:val="center"/>
        <w:rPr>
          <w:rFonts w:ascii="宋体" w:hAnsi="宋体" w:eastAsia="宋体" w:cs="宋体"/>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年度没有国有资本经营预算财政拨款收入，也没有国有资本经营预算财政拨款安排的支出，故本表无数据。</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kern w:val="0"/>
                <w:sz w:val="30"/>
                <w:szCs w:val="30"/>
                <w:lang w:bidi="ar"/>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环江毛南族自治县驯乐苗族乡中心小学</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textAlignment w:val="center"/>
              <w:rPr>
                <w:rFonts w:ascii="宋体" w:hAnsi="宋体" w:eastAsia="宋体" w:cs="宋体"/>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 xml:space="preserve">年度没有财政拨款“三公”经费收入，也没有财政拨款“三公”经费安排的支出，故本表无数据。 </w:t>
            </w:r>
          </w:p>
        </w:tc>
      </w:tr>
    </w:tbl>
    <w:p>
      <w:pPr>
        <w:ind w:firstLine="420"/>
        <w:jc w:val="left"/>
        <w:rPr>
          <w:rFonts w:ascii="仿宋" w:hAnsi="仿宋" w:eastAsia="仿宋" w:cs="仿宋"/>
          <w:sz w:val="24"/>
        </w:rPr>
        <w:sectPr>
          <w:pgSz w:w="16838" w:h="11906" w:orient="landscape"/>
          <w:pgMar w:top="1134" w:right="1134" w:bottom="1134" w:left="1134" w:header="851" w:footer="992" w:gutter="0"/>
          <w:cols w:space="425" w:num="1"/>
          <w:docGrid w:type="lines" w:linePitch="312" w:charSpace="0"/>
        </w:sectPr>
      </w:pPr>
    </w:p>
    <w:p>
      <w:pP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环江毛南族自治县驯乐苗族乡中心小学</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1758.96</w:t>
      </w:r>
      <w:r>
        <w:rPr>
          <w:rFonts w:hint="eastAsia" w:ascii="仿宋" w:hAnsi="仿宋" w:eastAsia="仿宋" w:cs="仿宋"/>
          <w:sz w:val="32"/>
          <w:szCs w:val="32"/>
        </w:rPr>
        <w:t>万元，较2021年度决算数</w:t>
      </w:r>
      <w:r>
        <w:rPr>
          <w:rFonts w:ascii="仿宋" w:hAnsi="仿宋" w:eastAsia="仿宋" w:cs="仿宋"/>
          <w:sz w:val="32"/>
        </w:rPr>
        <w:t>减少1129.58</w:t>
      </w:r>
      <w:r>
        <w:rPr>
          <w:rFonts w:hint="eastAsia" w:ascii="仿宋" w:hAnsi="仿宋" w:eastAsia="仿宋" w:cs="仿宋"/>
          <w:sz w:val="32"/>
          <w:szCs w:val="32"/>
        </w:rPr>
        <w:t>万元，</w:t>
      </w:r>
      <w:r>
        <w:rPr>
          <w:rFonts w:ascii="仿宋" w:hAnsi="仿宋" w:eastAsia="仿宋" w:cs="仿宋"/>
          <w:sz w:val="32"/>
        </w:rPr>
        <w:t>下降39.11%</w:t>
      </w:r>
      <w:r>
        <w:rPr>
          <w:rFonts w:hint="eastAsia" w:ascii="仿宋" w:hAnsi="仿宋" w:eastAsia="仿宋" w:cs="仿宋"/>
          <w:sz w:val="32"/>
          <w:szCs w:val="32"/>
        </w:rPr>
        <w:t>，其中本年收入</w:t>
      </w:r>
      <w:r>
        <w:rPr>
          <w:rFonts w:ascii="仿宋" w:hAnsi="仿宋" w:eastAsia="仿宋" w:cs="仿宋"/>
          <w:sz w:val="32"/>
        </w:rPr>
        <w:t>1758.96</w:t>
      </w:r>
      <w:r>
        <w:rPr>
          <w:rFonts w:hint="eastAsia" w:ascii="仿宋" w:hAnsi="仿宋" w:eastAsia="仿宋" w:cs="仿宋"/>
          <w:sz w:val="32"/>
          <w:szCs w:val="32"/>
        </w:rPr>
        <w:t>万元。收入具体情况如下。</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1.一般公共预算财政拨款收入</w:t>
      </w:r>
      <w:r>
        <w:rPr>
          <w:rFonts w:ascii="仿宋" w:hAnsi="仿宋" w:eastAsia="仿宋" w:cs="仿宋"/>
          <w:sz w:val="32"/>
        </w:rPr>
        <w:t>1755.93</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减少255.55</w:t>
      </w:r>
      <w:r>
        <w:rPr>
          <w:rFonts w:hint="eastAsia" w:ascii="仿宋" w:hAnsi="仿宋" w:eastAsia="仿宋" w:cs="仿宋"/>
          <w:sz w:val="32"/>
          <w:szCs w:val="32"/>
          <w:lang w:bidi="ar"/>
        </w:rPr>
        <w:t>万元，</w:t>
      </w:r>
      <w:r>
        <w:rPr>
          <w:rFonts w:ascii="仿宋" w:hAnsi="仿宋" w:eastAsia="仿宋" w:cs="仿宋"/>
          <w:sz w:val="32"/>
        </w:rPr>
        <w:t>下降12.70%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r>
        <w:rPr>
          <w:rFonts w:hint="eastAsia" w:ascii="仿宋" w:hAnsi="仿宋" w:eastAsia="仿宋" w:cs="仿宋"/>
          <w:sz w:val="32"/>
          <w:szCs w:val="32"/>
          <w:lang w:bidi="ar"/>
        </w:rPr>
        <w:t>主要原因是全乡学生数减少，上级专款收入随之减少。</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2.政府性基金预算财政拨款收入</w:t>
      </w:r>
      <w:r>
        <w:rPr>
          <w:rFonts w:ascii="仿宋" w:hAnsi="仿宋" w:eastAsia="仿宋" w:cs="仿宋"/>
          <w:sz w:val="32"/>
        </w:rPr>
        <w:t>3.03</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增加3.03</w:t>
      </w:r>
      <w:r>
        <w:rPr>
          <w:rFonts w:hint="eastAsia" w:ascii="仿宋" w:hAnsi="仿宋" w:eastAsia="仿宋" w:cs="仿宋"/>
          <w:sz w:val="32"/>
          <w:szCs w:val="32"/>
          <w:lang w:bidi="ar"/>
        </w:rPr>
        <w:t>万元，</w:t>
      </w:r>
      <w:r>
        <w:rPr>
          <w:rFonts w:ascii="仿宋" w:hAnsi="仿宋" w:eastAsia="仿宋" w:cs="仿宋"/>
          <w:sz w:val="32"/>
        </w:rPr>
        <w:t>增长100%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r>
        <w:rPr>
          <w:rFonts w:hint="eastAsia" w:ascii="仿宋" w:hAnsi="仿宋" w:eastAsia="仿宋" w:cs="仿宋"/>
          <w:sz w:val="32"/>
          <w:szCs w:val="32"/>
          <w:lang w:bidi="ar"/>
        </w:rPr>
        <w:t>本年度新增彩票公益基金安排的少年宫项目经费。</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3.国有资本经营预算财政拨款收入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本年度单位无此项收入。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本单位没有上级补助收入。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本单位没有事业收入。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6.</w:t>
      </w:r>
      <w:r>
        <w:rPr>
          <w:rFonts w:hint="eastAsia" w:ascii="仿宋" w:hAnsi="仿宋" w:eastAsia="仿宋" w:cs="仿宋"/>
          <w:sz w:val="36"/>
          <w:szCs w:val="36"/>
          <w:lang w:bidi="ar"/>
        </w:rPr>
        <w:t>经营收入</w:t>
      </w:r>
      <w:r>
        <w:rPr>
          <w:rFonts w:hint="eastAsia" w:ascii="仿宋" w:hAnsi="仿宋" w:eastAsia="仿宋" w:cs="仿宋"/>
          <w:sz w:val="32"/>
          <w:szCs w:val="32"/>
          <w:lang w:bidi="ar"/>
        </w:rPr>
        <w:t>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本单位没有经营性收入。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7.附属单位上缴收入</w:t>
      </w:r>
      <w:r>
        <w:rPr>
          <w:rFonts w:ascii="仿宋" w:hAnsi="仿宋" w:eastAsia="仿宋" w:cs="仿宋"/>
          <w:sz w:val="32"/>
        </w:rPr>
        <w:t>0.00</w:t>
      </w:r>
      <w:r>
        <w:rPr>
          <w:rFonts w:hint="eastAsia" w:ascii="仿宋" w:hAnsi="仿宋" w:eastAsia="仿宋" w:cs="仿宋"/>
          <w:sz w:val="32"/>
          <w:szCs w:val="32"/>
          <w:lang w:bidi="ar"/>
        </w:rPr>
        <w:t>万元。较2021年度决算数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本单位无附属单位上缴收入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8.其他收入</w:t>
      </w:r>
      <w:r>
        <w:rPr>
          <w:rFonts w:ascii="仿宋" w:hAnsi="仿宋" w:eastAsia="仿宋" w:cs="仿宋"/>
          <w:sz w:val="32"/>
        </w:rPr>
        <w:t>0.00</w:t>
      </w:r>
      <w:r>
        <w:rPr>
          <w:rFonts w:hint="eastAsia" w:ascii="仿宋" w:hAnsi="仿宋" w:eastAsia="仿宋" w:cs="仿宋"/>
          <w:sz w:val="32"/>
          <w:szCs w:val="32"/>
          <w:lang w:bidi="ar"/>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本单位没有其他收入。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9.使用非财政拨款结余</w:t>
      </w:r>
      <w:r>
        <w:rPr>
          <w:rFonts w:ascii="仿宋" w:hAnsi="仿宋" w:eastAsia="仿宋" w:cs="仿宋"/>
          <w:sz w:val="32"/>
        </w:rPr>
        <w:t>0.00</w:t>
      </w:r>
      <w:r>
        <w:rPr>
          <w:rFonts w:hint="eastAsia" w:ascii="仿宋" w:hAnsi="仿宋" w:eastAsia="仿宋" w:cs="仿宋"/>
          <w:sz w:val="32"/>
          <w:szCs w:val="32"/>
          <w:lang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本单位没有非财政拨款结余。</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10.上年结转和结余</w:t>
      </w:r>
      <w:r>
        <w:rPr>
          <w:rFonts w:ascii="仿宋" w:hAnsi="仿宋" w:eastAsia="仿宋" w:cs="仿宋"/>
          <w:sz w:val="32"/>
        </w:rPr>
        <w:t>0.00</w:t>
      </w:r>
      <w:r>
        <w:rPr>
          <w:rFonts w:hint="eastAsia" w:ascii="仿宋" w:hAnsi="仿宋" w:eastAsia="仿宋" w:cs="仿宋"/>
          <w:sz w:val="32"/>
          <w:szCs w:val="32"/>
          <w:lang w:bidi="ar"/>
        </w:rPr>
        <w:t>万元，为以前年度支出预算因客观条件变化未执行完毕、结转到本年度按有关规定继续使用的资金。较2021年度决算数</w:t>
      </w:r>
      <w:r>
        <w:rPr>
          <w:rFonts w:ascii="仿宋" w:hAnsi="仿宋" w:eastAsia="仿宋" w:cs="仿宋"/>
          <w:sz w:val="32"/>
        </w:rPr>
        <w:t>减少877.06</w:t>
      </w:r>
      <w:r>
        <w:rPr>
          <w:rFonts w:hint="eastAsia" w:ascii="仿宋" w:hAnsi="仿宋" w:eastAsia="仿宋" w:cs="仿宋"/>
          <w:sz w:val="32"/>
          <w:szCs w:val="32"/>
          <w:lang w:bidi="ar"/>
        </w:rPr>
        <w:t>万元，</w:t>
      </w:r>
      <w:r>
        <w:rPr>
          <w:rFonts w:ascii="仿宋" w:hAnsi="仿宋" w:eastAsia="仿宋" w:cs="仿宋"/>
          <w:sz w:val="32"/>
        </w:rPr>
        <w:t>下降100.00%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r>
        <w:rPr>
          <w:rFonts w:hint="eastAsia" w:ascii="仿宋" w:hAnsi="仿宋" w:eastAsia="仿宋" w:cs="仿宋"/>
          <w:sz w:val="32"/>
          <w:szCs w:val="32"/>
          <w:lang w:bidi="ar"/>
        </w:rPr>
        <w:t>部分项目已在本年执行完毕，不需要结转至下年继续执行。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794250" cy="2886075"/>
            <wp:effectExtent l="0" t="0" r="25400" b="952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1758.96</w:t>
      </w:r>
      <w:r>
        <w:rPr>
          <w:rFonts w:hint="eastAsia" w:ascii="仿宋" w:hAnsi="仿宋" w:eastAsia="仿宋" w:cs="仿宋"/>
          <w:sz w:val="32"/>
          <w:szCs w:val="32"/>
        </w:rPr>
        <w:t>万元，其中本年支出</w:t>
      </w:r>
      <w:r>
        <w:rPr>
          <w:rFonts w:ascii="仿宋" w:hAnsi="仿宋" w:eastAsia="仿宋" w:cs="仿宋"/>
          <w:sz w:val="32"/>
        </w:rPr>
        <w:t>1758.96</w:t>
      </w:r>
      <w:r>
        <w:rPr>
          <w:rFonts w:hint="eastAsia" w:ascii="仿宋" w:hAnsi="仿宋" w:eastAsia="仿宋" w:cs="仿宋"/>
          <w:sz w:val="32"/>
          <w:szCs w:val="32"/>
        </w:rPr>
        <w:t>万元，较2021年度决算数</w:t>
      </w:r>
      <w:r>
        <w:rPr>
          <w:rFonts w:ascii="仿宋" w:hAnsi="仿宋" w:eastAsia="仿宋" w:cs="仿宋"/>
          <w:sz w:val="32"/>
        </w:rPr>
        <w:t>减少1129.58</w:t>
      </w:r>
      <w:r>
        <w:rPr>
          <w:rFonts w:hint="eastAsia" w:ascii="仿宋" w:hAnsi="仿宋" w:eastAsia="仿宋" w:cs="仿宋"/>
          <w:sz w:val="32"/>
          <w:szCs w:val="32"/>
        </w:rPr>
        <w:t>万元，</w:t>
      </w:r>
      <w:r>
        <w:rPr>
          <w:rFonts w:ascii="仿宋" w:hAnsi="仿宋" w:eastAsia="仿宋" w:cs="仿宋"/>
          <w:sz w:val="32"/>
        </w:rPr>
        <w:t>下降39.11%</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lang w:bidi="ar"/>
        </w:rPr>
        <w:t>一般公共服务支出</w:t>
      </w:r>
      <w:r>
        <w:rPr>
          <w:rFonts w:hint="eastAsia" w:ascii="仿宋" w:hAnsi="仿宋" w:eastAsia="仿宋" w:cs="仿宋"/>
          <w:sz w:val="32"/>
          <w:szCs w:val="32"/>
        </w:rPr>
        <w:t>（</w:t>
      </w:r>
      <w:r>
        <w:rPr>
          <w:rFonts w:hint="eastAsia" w:ascii="仿宋" w:hAnsi="仿宋" w:eastAsia="仿宋" w:cs="仿宋"/>
          <w:sz w:val="32"/>
          <w:szCs w:val="32"/>
          <w:lang w:bidi="ar"/>
        </w:rPr>
        <w:t>201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21.27</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本年度工会活动支出。较2021年度决算数</w:t>
      </w:r>
      <w:r>
        <w:rPr>
          <w:rFonts w:hint="eastAsia" w:ascii="仿宋" w:hAnsi="仿宋" w:eastAsia="仿宋" w:cs="仿宋"/>
          <w:sz w:val="32"/>
          <w:szCs w:val="32"/>
          <w:lang w:bidi="ar"/>
        </w:rPr>
        <w:t>增加21.27</w:t>
      </w:r>
      <w:r>
        <w:rPr>
          <w:rFonts w:hint="eastAsia" w:ascii="仿宋" w:hAnsi="仿宋" w:eastAsia="仿宋" w:cs="仿宋"/>
          <w:sz w:val="32"/>
          <w:szCs w:val="32"/>
        </w:rPr>
        <w:t>万元，</w:t>
      </w:r>
      <w:r>
        <w:rPr>
          <w:rFonts w:hint="eastAsia" w:ascii="仿宋" w:hAnsi="仿宋" w:eastAsia="仿宋" w:cs="仿宋"/>
          <w:sz w:val="32"/>
          <w:szCs w:val="32"/>
          <w:lang w:bidi="ar"/>
        </w:rPr>
        <w:t>增长100%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本年度新增工会活动项目。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lang w:bidi="ar"/>
        </w:rPr>
        <w:t>教育支出</w:t>
      </w:r>
      <w:r>
        <w:rPr>
          <w:rFonts w:hint="eastAsia" w:ascii="仿宋" w:hAnsi="仿宋" w:eastAsia="仿宋" w:cs="仿宋"/>
          <w:sz w:val="32"/>
          <w:szCs w:val="32"/>
        </w:rPr>
        <w:t>（</w:t>
      </w:r>
      <w:r>
        <w:rPr>
          <w:rFonts w:hint="eastAsia" w:ascii="仿宋" w:hAnsi="仿宋" w:eastAsia="仿宋" w:cs="仿宋"/>
          <w:sz w:val="32"/>
          <w:szCs w:val="32"/>
          <w:lang w:bidi="ar"/>
        </w:rPr>
        <w:t>205</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1270.97</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人员工资，商品服务支出。较2021年度决算数</w:t>
      </w:r>
      <w:r>
        <w:rPr>
          <w:rFonts w:hint="eastAsia" w:ascii="仿宋" w:hAnsi="仿宋" w:eastAsia="仿宋" w:cs="仿宋"/>
          <w:sz w:val="32"/>
          <w:szCs w:val="32"/>
          <w:lang w:bidi="ar"/>
        </w:rPr>
        <w:t>减少854.78</w:t>
      </w:r>
      <w:r>
        <w:rPr>
          <w:rFonts w:hint="eastAsia" w:ascii="仿宋" w:hAnsi="仿宋" w:eastAsia="仿宋" w:cs="仿宋"/>
          <w:sz w:val="32"/>
          <w:szCs w:val="32"/>
        </w:rPr>
        <w:t>万元，</w:t>
      </w:r>
      <w:r>
        <w:rPr>
          <w:rFonts w:hint="eastAsia" w:ascii="仿宋" w:hAnsi="仿宋" w:eastAsia="仿宋" w:cs="仿宋"/>
          <w:sz w:val="32"/>
          <w:szCs w:val="32"/>
          <w:lang w:bidi="ar"/>
        </w:rPr>
        <w:t>下降40.21%</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是2022年人员减少及各种教育教学活动减少。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lang w:bidi="ar"/>
        </w:rPr>
        <w:t>社会保障和就业支出</w:t>
      </w:r>
      <w:r>
        <w:rPr>
          <w:rFonts w:hint="eastAsia" w:ascii="仿宋" w:hAnsi="仿宋" w:eastAsia="仿宋" w:cs="仿宋"/>
          <w:sz w:val="32"/>
          <w:szCs w:val="32"/>
        </w:rPr>
        <w:t>（</w:t>
      </w:r>
      <w:r>
        <w:rPr>
          <w:rFonts w:hint="eastAsia" w:ascii="仿宋" w:hAnsi="仿宋" w:eastAsia="仿宋" w:cs="仿宋"/>
          <w:sz w:val="32"/>
          <w:szCs w:val="32"/>
          <w:lang w:bidi="ar"/>
        </w:rPr>
        <w:t>208</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123.19</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缴纳教职工“五险”。较2021年度决算数</w:t>
      </w:r>
      <w:r>
        <w:rPr>
          <w:rFonts w:hint="eastAsia" w:ascii="仿宋" w:hAnsi="仿宋" w:eastAsia="仿宋" w:cs="仿宋"/>
          <w:sz w:val="32"/>
          <w:szCs w:val="32"/>
          <w:lang w:bidi="ar"/>
        </w:rPr>
        <w:t>减少36.54</w:t>
      </w:r>
      <w:r>
        <w:rPr>
          <w:rFonts w:hint="eastAsia" w:ascii="仿宋" w:hAnsi="仿宋" w:eastAsia="仿宋" w:cs="仿宋"/>
          <w:sz w:val="32"/>
          <w:szCs w:val="32"/>
        </w:rPr>
        <w:t>万元，</w:t>
      </w:r>
      <w:r>
        <w:rPr>
          <w:rFonts w:hint="eastAsia" w:ascii="仿宋" w:hAnsi="仿宋" w:eastAsia="仿宋" w:cs="仿宋"/>
          <w:sz w:val="32"/>
          <w:szCs w:val="32"/>
          <w:lang w:bidi="ar"/>
        </w:rPr>
        <w:t>下降22.88%</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人员人数减少，教职工“五险”缴费比去年随之减少。</w:t>
      </w:r>
    </w:p>
    <w:p>
      <w:pPr>
        <w:ind w:firstLine="640" w:firstLineChars="200"/>
        <w:jc w:val="left"/>
        <w:rPr>
          <w:rFonts w:ascii="仿宋" w:hAnsi="仿宋" w:eastAsia="仿宋" w:cs="仿宋"/>
          <w:sz w:val="32"/>
          <w:szCs w:val="32"/>
          <w:lang w:bidi="ar"/>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lang w:bidi="ar"/>
        </w:rPr>
        <w:t>住房保障支出</w:t>
      </w:r>
      <w:r>
        <w:rPr>
          <w:rFonts w:hint="eastAsia" w:ascii="仿宋" w:hAnsi="仿宋" w:eastAsia="仿宋" w:cs="仿宋"/>
          <w:sz w:val="32"/>
          <w:szCs w:val="32"/>
        </w:rPr>
        <w:t>（</w:t>
      </w:r>
      <w:r>
        <w:rPr>
          <w:rFonts w:hint="eastAsia" w:ascii="仿宋" w:hAnsi="仿宋" w:eastAsia="仿宋" w:cs="仿宋"/>
          <w:sz w:val="32"/>
          <w:szCs w:val="32"/>
          <w:lang w:bidi="ar"/>
        </w:rPr>
        <w:t>221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96.78</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住房公积金缴费。较2021年度决算数</w:t>
      </w:r>
      <w:r>
        <w:rPr>
          <w:rFonts w:hint="eastAsia" w:ascii="仿宋" w:hAnsi="仿宋" w:eastAsia="仿宋" w:cs="仿宋"/>
          <w:sz w:val="32"/>
          <w:szCs w:val="32"/>
          <w:lang w:bidi="ar"/>
        </w:rPr>
        <w:t>增加21.59</w:t>
      </w:r>
      <w:r>
        <w:rPr>
          <w:rFonts w:hint="eastAsia" w:ascii="仿宋" w:hAnsi="仿宋" w:eastAsia="仿宋" w:cs="仿宋"/>
          <w:sz w:val="32"/>
          <w:szCs w:val="32"/>
        </w:rPr>
        <w:t>万元，</w:t>
      </w:r>
      <w:r>
        <w:rPr>
          <w:rFonts w:hint="eastAsia" w:ascii="仿宋" w:hAnsi="仿宋" w:eastAsia="仿宋" w:cs="仿宋"/>
          <w:sz w:val="32"/>
          <w:szCs w:val="32"/>
          <w:lang w:bidi="ar"/>
        </w:rPr>
        <w:t>增长28.71%</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本年度公积金基数大幅度调整提高。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lang w:bidi="ar"/>
        </w:rPr>
        <w:t>其他支出</w:t>
      </w:r>
      <w:r>
        <w:rPr>
          <w:rFonts w:hint="eastAsia" w:ascii="仿宋" w:hAnsi="仿宋" w:eastAsia="仿宋" w:cs="仿宋"/>
          <w:sz w:val="32"/>
          <w:szCs w:val="32"/>
        </w:rPr>
        <w:t>（</w:t>
      </w:r>
      <w:r>
        <w:rPr>
          <w:rFonts w:hint="eastAsia" w:ascii="仿宋" w:hAnsi="仿宋" w:eastAsia="仿宋" w:cs="仿宋"/>
          <w:sz w:val="32"/>
          <w:szCs w:val="32"/>
          <w:lang w:bidi="ar"/>
        </w:rPr>
        <w:t>229</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246.74</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人员工资福利及其他商品服务支出。较2021年度决算数</w:t>
      </w:r>
      <w:r>
        <w:rPr>
          <w:rFonts w:hint="eastAsia" w:ascii="仿宋" w:hAnsi="仿宋" w:eastAsia="仿宋" w:cs="仿宋"/>
          <w:sz w:val="32"/>
          <w:szCs w:val="32"/>
          <w:lang w:bidi="ar"/>
        </w:rPr>
        <w:t>减少281.12</w:t>
      </w:r>
      <w:r>
        <w:rPr>
          <w:rFonts w:hint="eastAsia" w:ascii="仿宋" w:hAnsi="仿宋" w:eastAsia="仿宋" w:cs="仿宋"/>
          <w:sz w:val="32"/>
          <w:szCs w:val="32"/>
        </w:rPr>
        <w:t>万元，</w:t>
      </w:r>
      <w:r>
        <w:rPr>
          <w:rFonts w:hint="eastAsia" w:ascii="仿宋" w:hAnsi="仿宋" w:eastAsia="仿宋" w:cs="仿宋"/>
          <w:sz w:val="32"/>
          <w:szCs w:val="32"/>
          <w:lang w:bidi="ar"/>
        </w:rPr>
        <w:t>下降53.26%</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本年度师生人数减少其他商品服务支出费用随之减少。</w:t>
      </w:r>
    </w:p>
    <w:p>
      <w:pPr>
        <w:ind w:firstLine="620" w:firstLineChars="200"/>
        <w:jc w:val="left"/>
        <w:rPr>
          <w:rFonts w:ascii="仿宋" w:hAnsi="仿宋" w:eastAsia="仿宋_GB2312" w:cs="仿宋"/>
          <w:sz w:val="32"/>
          <w:szCs w:val="32"/>
          <w:lang w:bidi="ar"/>
        </w:rPr>
      </w:pPr>
      <w:r>
        <w:rPr>
          <w:rFonts w:ascii="仿宋_GB2312" w:hAnsi="微软雅黑" w:eastAsia="仿宋_GB2312" w:cs="仿宋_GB2312"/>
          <w:color w:val="000000"/>
          <w:sz w:val="31"/>
          <w:szCs w:val="31"/>
          <w:shd w:val="clear" w:color="auto" w:fill="FFFFFF"/>
        </w:rPr>
        <w:t>结余分配</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000000"/>
          <w:sz w:val="31"/>
          <w:szCs w:val="31"/>
          <w:shd w:val="clear" w:color="auto" w:fill="FFFFFF"/>
        </w:rPr>
        <w:t>1</w:t>
      </w:r>
      <w:r>
        <w:rPr>
          <w:rFonts w:ascii="仿宋_GB2312" w:hAnsi="微软雅黑" w:eastAsia="仿宋_GB2312" w:cs="仿宋_GB2312"/>
          <w:color w:val="000000"/>
          <w:sz w:val="31"/>
          <w:szCs w:val="31"/>
          <w:shd w:val="clear" w:color="auto" w:fill="FFFFFF"/>
        </w:rPr>
        <w:t>年决算</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,增加0.00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增长0%</w:t>
      </w:r>
      <w:r>
        <w:rPr>
          <w:rFonts w:ascii="仿宋_GB2312" w:hAnsi="微软雅黑" w:eastAsia="仿宋_GB2312" w:cs="仿宋_GB2312"/>
          <w:color w:val="000000"/>
          <w:sz w:val="31"/>
          <w:szCs w:val="31"/>
          <w:shd w:val="clear" w:color="auto" w:fill="FFFFFF"/>
        </w:rPr>
        <w:t>，</w:t>
      </w:r>
      <w:r>
        <w:rPr>
          <w:rFonts w:ascii="仿宋_GB2312" w:hAnsi="微软雅黑" w:eastAsia="仿宋_GB2312" w:cs="仿宋_GB2312"/>
          <w:color w:val="000000" w:themeColor="text1"/>
          <w:sz w:val="31"/>
          <w:szCs w:val="31"/>
          <w:shd w:val="clear" w:color="auto" w:fill="FFFFFF"/>
          <w14:textFill>
            <w14:solidFill>
              <w14:schemeClr w14:val="tx1"/>
            </w14:solidFill>
          </w14:textFill>
        </w:rPr>
        <w:t>主要原因是</w:t>
      </w:r>
      <w:r>
        <w:rPr>
          <w:rFonts w:hint="eastAsia" w:ascii="仿宋" w:hAnsi="仿宋" w:eastAsia="仿宋" w:cs="仿宋"/>
          <w:color w:val="000000" w:themeColor="text1"/>
          <w:sz w:val="32"/>
          <w:szCs w:val="32"/>
          <w:lang w:bidi="ar"/>
          <w14:textFill>
            <w14:solidFill>
              <w14:schemeClr w14:val="tx1"/>
            </w14:solidFill>
          </w14:textFill>
        </w:rPr>
        <w:t>：</w:t>
      </w:r>
      <w:r>
        <w:rPr>
          <w:rFonts w:hint="eastAsia" w:ascii="仿宋" w:hAnsi="仿宋" w:eastAsia="仿宋" w:cs="仿宋"/>
          <w:sz w:val="32"/>
          <w:szCs w:val="32"/>
          <w:lang w:bidi="ar"/>
        </w:rPr>
        <w:t>本年度无</w:t>
      </w:r>
      <w:r>
        <w:rPr>
          <w:rFonts w:ascii="仿宋_GB2312" w:hAnsi="微软雅黑" w:eastAsia="仿宋_GB2312" w:cs="仿宋_GB2312"/>
          <w:color w:val="000000"/>
          <w:sz w:val="31"/>
          <w:szCs w:val="31"/>
          <w:shd w:val="clear" w:color="auto" w:fill="FFFFFF"/>
        </w:rPr>
        <w:t>结余</w:t>
      </w:r>
      <w:r>
        <w:rPr>
          <w:rFonts w:hint="eastAsia" w:ascii="仿宋" w:hAnsi="仿宋" w:eastAsia="仿宋" w:cs="仿宋"/>
          <w:sz w:val="32"/>
          <w:szCs w:val="32"/>
          <w:lang w:bidi="ar"/>
        </w:rPr>
        <w:t>。</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rPr>
        <w:t>。较2021年度决算数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各项目已在本年执行完毕，不需要结转至下年继续执行。</w:t>
      </w:r>
      <w:r>
        <w:rPr>
          <w:rFonts w:hint="eastAsia" w:ascii="仿宋" w:hAnsi="仿宋" w:eastAsia="仿宋" w:cs="仿宋"/>
          <w:sz w:val="32"/>
          <w:szCs w:val="32"/>
        </w:rPr>
        <w:drawing>
          <wp:inline distT="0" distB="0" distL="114300" distR="114300">
            <wp:extent cx="5072380" cy="2560320"/>
            <wp:effectExtent l="0" t="0" r="1397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2" w:name="OLE_LINK1"/>
      <w:r>
        <w:rPr>
          <w:rFonts w:hint="eastAsia" w:ascii="黑体" w:hAnsi="黑体" w:eastAsia="黑体" w:cs="黑体"/>
          <w:sz w:val="32"/>
          <w:szCs w:val="32"/>
        </w:rPr>
        <w:t>一般公共预算财政拨款支出决算情况</w:t>
      </w:r>
      <w:bookmarkEnd w:id="2"/>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环江毛南族自治县驯乐苗族乡中心小学2022年度一般公共预算财政拨款支出</w:t>
      </w:r>
      <w:r>
        <w:rPr>
          <w:rFonts w:ascii="仿宋" w:hAnsi="仿宋" w:eastAsia="仿宋" w:cs="仿宋"/>
          <w:sz w:val="32"/>
        </w:rPr>
        <w:t>1755.93</w:t>
      </w:r>
      <w:r>
        <w:rPr>
          <w:rFonts w:hint="eastAsia" w:ascii="仿宋" w:hAnsi="仿宋" w:eastAsia="仿宋" w:cs="仿宋"/>
          <w:sz w:val="32"/>
          <w:szCs w:val="32"/>
        </w:rPr>
        <w:t>万元，较2021年度决算数</w:t>
      </w:r>
      <w:r>
        <w:rPr>
          <w:rFonts w:ascii="仿宋" w:hAnsi="仿宋" w:eastAsia="仿宋" w:cs="仿宋"/>
          <w:sz w:val="32"/>
        </w:rPr>
        <w:t>减少1129.61</w:t>
      </w:r>
      <w:r>
        <w:rPr>
          <w:rFonts w:hint="eastAsia" w:ascii="仿宋" w:hAnsi="仿宋" w:eastAsia="仿宋" w:cs="仿宋"/>
          <w:sz w:val="32"/>
          <w:szCs w:val="32"/>
        </w:rPr>
        <w:t>万元，</w:t>
      </w:r>
      <w:r>
        <w:rPr>
          <w:rFonts w:ascii="仿宋" w:hAnsi="仿宋" w:eastAsia="仿宋" w:cs="仿宋"/>
          <w:sz w:val="32"/>
        </w:rPr>
        <w:t>下降39.15%</w:t>
      </w:r>
      <w:r>
        <w:rPr>
          <w:rFonts w:hint="eastAsia" w:ascii="仿宋" w:hAnsi="仿宋" w:eastAsia="仿宋" w:cs="仿宋"/>
          <w:sz w:val="32"/>
          <w:szCs w:val="32"/>
        </w:rPr>
        <w:t>。其中：基本支出</w:t>
      </w:r>
      <w:r>
        <w:rPr>
          <w:rFonts w:ascii="仿宋" w:hAnsi="仿宋" w:eastAsia="仿宋" w:cs="仿宋"/>
          <w:sz w:val="32"/>
        </w:rPr>
        <w:t>1446.83</w:t>
      </w:r>
      <w:r>
        <w:rPr>
          <w:rFonts w:hint="eastAsia" w:ascii="仿宋" w:hAnsi="仿宋" w:eastAsia="仿宋" w:cs="仿宋"/>
          <w:sz w:val="32"/>
          <w:szCs w:val="32"/>
        </w:rPr>
        <w:t>万元，项目支出</w:t>
      </w:r>
      <w:r>
        <w:rPr>
          <w:rFonts w:ascii="仿宋" w:hAnsi="仿宋" w:eastAsia="仿宋" w:cs="仿宋"/>
          <w:sz w:val="32"/>
        </w:rPr>
        <w:t>309.10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环江毛南族自治县驯乐苗族乡中心小学2022 年度一般公共预算财政拨款支出年初预算为</w:t>
      </w:r>
      <w:r>
        <w:rPr>
          <w:rFonts w:ascii="仿宋" w:hAnsi="仿宋" w:eastAsia="仿宋" w:cs="仿宋"/>
          <w:sz w:val="32"/>
        </w:rPr>
        <w:t>1477.47</w:t>
      </w:r>
      <w:r>
        <w:rPr>
          <w:rFonts w:hint="eastAsia" w:ascii="仿宋" w:hAnsi="仿宋" w:eastAsia="仿宋" w:cs="仿宋"/>
          <w:sz w:val="32"/>
          <w:szCs w:val="32"/>
        </w:rPr>
        <w:t>万元，支出决算为</w:t>
      </w:r>
      <w:r>
        <w:rPr>
          <w:rFonts w:ascii="仿宋" w:hAnsi="仿宋" w:eastAsia="仿宋" w:cs="仿宋"/>
          <w:sz w:val="32"/>
        </w:rPr>
        <w:t>1755.93</w:t>
      </w:r>
      <w:r>
        <w:rPr>
          <w:rFonts w:hint="eastAsia" w:ascii="仿宋" w:hAnsi="仿宋" w:eastAsia="仿宋" w:cs="仿宋"/>
          <w:sz w:val="32"/>
          <w:szCs w:val="32"/>
        </w:rPr>
        <w:t>万元，完成年初预算的</w:t>
      </w:r>
      <w:r>
        <w:rPr>
          <w:rFonts w:ascii="仿宋" w:hAnsi="仿宋" w:eastAsia="仿宋" w:cs="仿宋"/>
          <w:sz w:val="32"/>
        </w:rPr>
        <w:t>118.85%</w:t>
      </w:r>
      <w:r>
        <w:rPr>
          <w:rFonts w:hint="eastAsia" w:ascii="仿宋" w:hAnsi="仿宋" w:eastAsia="仿宋" w:cs="仿宋"/>
          <w:sz w:val="32"/>
          <w:szCs w:val="32"/>
        </w:rPr>
        <w:t>。</w:t>
      </w:r>
      <w:bookmarkStart w:id="3" w:name="OLE_LINK2"/>
      <w:bookmarkEnd w:id="3"/>
    </w:p>
    <w:p>
      <w:pPr>
        <w:numPr>
          <w:ilvl w:val="0"/>
          <w:numId w:val="1"/>
        </w:numPr>
        <w:jc w:val="left"/>
        <w:rPr>
          <w:rFonts w:eastAsia="仿宋"/>
          <w:color w:val="FF0000"/>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21.27</w:t>
      </w:r>
      <w:r>
        <w:rPr>
          <w:rFonts w:hint="eastAsia" w:ascii="仿宋" w:hAnsi="仿宋" w:eastAsia="仿宋"/>
          <w:sz w:val="32"/>
          <w:szCs w:val="32"/>
        </w:rPr>
        <w:t>万元，支出决算为</w:t>
      </w:r>
      <w:r>
        <w:rPr>
          <w:rFonts w:ascii="仿宋" w:hAnsi="仿宋" w:eastAsia="仿宋"/>
          <w:sz w:val="32"/>
          <w:szCs w:val="32"/>
        </w:rPr>
        <w:t>21.27</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预决算已不存在差异</w:t>
      </w:r>
      <w:r>
        <w:rPr>
          <w:rFonts w:hint="eastAsia" w:ascii="仿宋" w:hAnsi="仿宋" w:eastAsia="仿宋" w:cs="仿宋"/>
          <w:sz w:val="32"/>
          <w:szCs w:val="32"/>
          <w:lang w:bidi="ar"/>
        </w:rPr>
        <w:t>。</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216"/>
        <w:gridCol w:w="1216"/>
        <w:gridCol w:w="666"/>
        <w:gridCol w:w="1616"/>
        <w:gridCol w:w="183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5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630"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58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47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643"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044"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06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2012999</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其他群众团体事务支出</w:t>
            </w: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21.27</w:t>
            </w: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21.27</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本年度工会活动支出</w:t>
            </w:r>
          </w:p>
        </w:tc>
        <w:tc>
          <w:tcPr>
            <w:tcW w:w="1069"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21.27</w:t>
            </w: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21.27</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本年度工会活动支出</w:t>
            </w:r>
          </w:p>
        </w:tc>
        <w:tc>
          <w:tcPr>
            <w:tcW w:w="1069"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无偏差</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1"/>
        </w:numPr>
        <w:jc w:val="left"/>
        <w:rPr>
          <w:rFonts w:eastAsia="仿宋"/>
          <w:color w:val="FF0000"/>
        </w:rPr>
      </w:pP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1158.44</w:t>
      </w:r>
      <w:r>
        <w:rPr>
          <w:rFonts w:hint="eastAsia" w:ascii="仿宋" w:hAnsi="仿宋" w:eastAsia="仿宋"/>
          <w:sz w:val="32"/>
          <w:szCs w:val="32"/>
        </w:rPr>
        <w:t>万元，支出决算为</w:t>
      </w:r>
      <w:r>
        <w:rPr>
          <w:rFonts w:ascii="仿宋" w:hAnsi="仿宋" w:eastAsia="仿宋"/>
          <w:sz w:val="32"/>
          <w:szCs w:val="32"/>
        </w:rPr>
        <w:t>1270.97</w:t>
      </w:r>
      <w:r>
        <w:rPr>
          <w:rFonts w:hint="eastAsia" w:ascii="仿宋" w:hAnsi="仿宋" w:eastAsia="仿宋"/>
          <w:sz w:val="32"/>
          <w:szCs w:val="32"/>
        </w:rPr>
        <w:t>万元，完成年初预算的</w:t>
      </w:r>
      <w:r>
        <w:rPr>
          <w:rFonts w:ascii="仿宋" w:hAnsi="仿宋" w:eastAsia="仿宋"/>
          <w:sz w:val="32"/>
          <w:szCs w:val="32"/>
        </w:rPr>
        <w:t>109.71%</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人员工资增长以及商品服务支出增加。</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981"/>
        <w:gridCol w:w="952"/>
        <w:gridCol w:w="981"/>
        <w:gridCol w:w="942"/>
        <w:gridCol w:w="193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70"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05"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483"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498"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478"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98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184"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2050202</w:t>
            </w:r>
          </w:p>
        </w:tc>
        <w:tc>
          <w:tcPr>
            <w:tcW w:w="1005"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小学教育</w:t>
            </w:r>
          </w:p>
        </w:tc>
        <w:tc>
          <w:tcPr>
            <w:tcW w:w="48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1158.44</w:t>
            </w:r>
          </w:p>
        </w:tc>
        <w:tc>
          <w:tcPr>
            <w:tcW w:w="49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1248.56</w:t>
            </w:r>
          </w:p>
        </w:tc>
        <w:tc>
          <w:tcPr>
            <w:tcW w:w="47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107.78%</w:t>
            </w:r>
          </w:p>
        </w:tc>
        <w:tc>
          <w:tcPr>
            <w:tcW w:w="982"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人员基本工资和商品服务支出</w:t>
            </w:r>
          </w:p>
        </w:tc>
        <w:tc>
          <w:tcPr>
            <w:tcW w:w="118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人员工资增长以及商品服务支出增加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2050299</w:t>
            </w:r>
          </w:p>
        </w:tc>
        <w:tc>
          <w:tcPr>
            <w:tcW w:w="1005"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其他普通教育支出</w:t>
            </w:r>
          </w:p>
        </w:tc>
        <w:tc>
          <w:tcPr>
            <w:tcW w:w="48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49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21.96</w:t>
            </w:r>
          </w:p>
        </w:tc>
        <w:tc>
          <w:tcPr>
            <w:tcW w:w="47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982"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人员基本工资和商品服务支出</w:t>
            </w:r>
          </w:p>
        </w:tc>
        <w:tc>
          <w:tcPr>
            <w:tcW w:w="118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人员工资增长以及商品服务支出增加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2050999</w:t>
            </w:r>
          </w:p>
        </w:tc>
        <w:tc>
          <w:tcPr>
            <w:tcW w:w="1005"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其他教育费附加安排的支出</w:t>
            </w:r>
          </w:p>
        </w:tc>
        <w:tc>
          <w:tcPr>
            <w:tcW w:w="48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49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0.45</w:t>
            </w:r>
          </w:p>
        </w:tc>
        <w:tc>
          <w:tcPr>
            <w:tcW w:w="47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982"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人员基本工资和商品服务支出</w:t>
            </w:r>
          </w:p>
        </w:tc>
        <w:tc>
          <w:tcPr>
            <w:tcW w:w="118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人员工资增长以及商品服务支出增加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7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05" w:type="pct"/>
            <w:shd w:val="clear" w:color="auto" w:fill="FFFFFF"/>
            <w:noWrap/>
            <w:vAlign w:val="center"/>
          </w:tcPr>
          <w:p>
            <w:pPr>
              <w:widowControl/>
              <w:jc w:val="left"/>
              <w:textAlignment w:val="center"/>
              <w:rPr>
                <w:rFonts w:ascii="宋体" w:hAnsi="宋体" w:eastAsia="宋体" w:cs="宋体"/>
                <w:color w:val="000000"/>
                <w:sz w:val="20"/>
                <w:szCs w:val="20"/>
              </w:rPr>
            </w:pPr>
          </w:p>
        </w:tc>
        <w:tc>
          <w:tcPr>
            <w:tcW w:w="48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1158.44</w:t>
            </w:r>
          </w:p>
        </w:tc>
        <w:tc>
          <w:tcPr>
            <w:tcW w:w="498"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1270.97</w:t>
            </w:r>
          </w:p>
        </w:tc>
        <w:tc>
          <w:tcPr>
            <w:tcW w:w="478"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982" w:type="pct"/>
            <w:shd w:val="clear" w:color="auto" w:fill="FFFFFF"/>
            <w:noWrap/>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rPr>
              <w:t>人员基本工资和商品服务支出</w:t>
            </w:r>
          </w:p>
        </w:tc>
        <w:tc>
          <w:tcPr>
            <w:tcW w:w="1184" w:type="pct"/>
            <w:shd w:val="clear" w:color="auto" w:fill="FFFFFF"/>
            <w:noWrap/>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rPr>
              <w:t>人员工资增长以及商品服务支出增加</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1"/>
        </w:numPr>
        <w:jc w:val="left"/>
        <w:rPr>
          <w:rFonts w:eastAsia="仿宋"/>
          <w:color w:val="FF0000"/>
        </w:rPr>
      </w:pP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170.15</w:t>
      </w:r>
      <w:r>
        <w:rPr>
          <w:rFonts w:hint="eastAsia" w:ascii="仿宋" w:hAnsi="仿宋" w:eastAsia="仿宋"/>
          <w:sz w:val="32"/>
          <w:szCs w:val="32"/>
        </w:rPr>
        <w:t>万元，支出决算为</w:t>
      </w:r>
      <w:r>
        <w:rPr>
          <w:rFonts w:ascii="仿宋" w:hAnsi="仿宋" w:eastAsia="仿宋"/>
          <w:sz w:val="32"/>
          <w:szCs w:val="32"/>
        </w:rPr>
        <w:t>123.19</w:t>
      </w:r>
      <w:r>
        <w:rPr>
          <w:rFonts w:hint="eastAsia" w:ascii="仿宋" w:hAnsi="仿宋" w:eastAsia="仿宋"/>
          <w:sz w:val="32"/>
          <w:szCs w:val="32"/>
        </w:rPr>
        <w:t>万元，完成年初预算的</w:t>
      </w:r>
      <w:r>
        <w:rPr>
          <w:rFonts w:ascii="仿宋" w:hAnsi="仿宋" w:eastAsia="仿宋"/>
          <w:sz w:val="32"/>
          <w:szCs w:val="32"/>
        </w:rPr>
        <w:t>72.40%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初预算有偏差以及人员有减少。</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716"/>
        <w:gridCol w:w="997"/>
        <w:gridCol w:w="879"/>
        <w:gridCol w:w="1070"/>
        <w:gridCol w:w="1527"/>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87"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378"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506"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446"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543"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775"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966"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87"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w:t>
            </w:r>
          </w:p>
        </w:tc>
        <w:tc>
          <w:tcPr>
            <w:tcW w:w="1378"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机关事业单位基本养老保险缴费支出</w:t>
            </w:r>
          </w:p>
        </w:tc>
        <w:tc>
          <w:tcPr>
            <w:tcW w:w="506"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170.15</w:t>
            </w:r>
          </w:p>
        </w:tc>
        <w:tc>
          <w:tcPr>
            <w:tcW w:w="446"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123.19</w:t>
            </w:r>
          </w:p>
        </w:tc>
        <w:tc>
          <w:tcPr>
            <w:tcW w:w="54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72.40%</w:t>
            </w:r>
          </w:p>
        </w:tc>
        <w:tc>
          <w:tcPr>
            <w:tcW w:w="775"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单位基本养老缴费</w:t>
            </w:r>
          </w:p>
        </w:tc>
        <w:tc>
          <w:tcPr>
            <w:tcW w:w="966"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年初预算有偏差及人员减少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87"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378" w:type="pct"/>
            <w:shd w:val="clear" w:color="auto" w:fill="FFFFFF"/>
            <w:noWrap/>
            <w:vAlign w:val="center"/>
          </w:tcPr>
          <w:p>
            <w:pPr>
              <w:widowControl/>
              <w:jc w:val="left"/>
              <w:textAlignment w:val="center"/>
              <w:rPr>
                <w:rFonts w:ascii="宋体" w:hAnsi="宋体" w:eastAsia="宋体" w:cs="宋体"/>
                <w:color w:val="000000"/>
                <w:sz w:val="20"/>
                <w:szCs w:val="20"/>
              </w:rPr>
            </w:pPr>
          </w:p>
        </w:tc>
        <w:tc>
          <w:tcPr>
            <w:tcW w:w="506"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170.15</w:t>
            </w:r>
          </w:p>
        </w:tc>
        <w:tc>
          <w:tcPr>
            <w:tcW w:w="446"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123.19</w:t>
            </w:r>
          </w:p>
        </w:tc>
        <w:tc>
          <w:tcPr>
            <w:tcW w:w="543"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775"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单位基本养老缴费</w:t>
            </w:r>
          </w:p>
        </w:tc>
        <w:tc>
          <w:tcPr>
            <w:tcW w:w="966"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 w:val="18"/>
                <w:szCs w:val="18"/>
              </w:rPr>
              <w:t>年初预算有偏差及人员减少</w:t>
            </w:r>
          </w:p>
        </w:tc>
      </w:tr>
    </w:tbl>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68495" cy="2504440"/>
            <wp:effectExtent l="0" t="0" r="27305" b="1016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jc w:val="left"/>
        <w:rPr>
          <w:rFonts w:eastAsia="仿宋"/>
        </w:rPr>
      </w:pP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127.61</w:t>
      </w:r>
      <w:r>
        <w:rPr>
          <w:rFonts w:hint="eastAsia" w:ascii="仿宋" w:hAnsi="仿宋" w:eastAsia="仿宋"/>
          <w:sz w:val="32"/>
          <w:szCs w:val="32"/>
        </w:rPr>
        <w:t>万元，支出决算为</w:t>
      </w:r>
      <w:r>
        <w:rPr>
          <w:rFonts w:ascii="仿宋" w:hAnsi="仿宋" w:eastAsia="仿宋"/>
          <w:sz w:val="32"/>
          <w:szCs w:val="32"/>
        </w:rPr>
        <w:t>96.78</w:t>
      </w:r>
      <w:r>
        <w:rPr>
          <w:rFonts w:hint="eastAsia" w:ascii="仿宋" w:hAnsi="仿宋" w:eastAsia="仿宋"/>
          <w:sz w:val="32"/>
          <w:szCs w:val="32"/>
        </w:rPr>
        <w:t>万元，完成年初预算的</w:t>
      </w:r>
      <w:r>
        <w:rPr>
          <w:rFonts w:ascii="仿宋" w:hAnsi="仿宋" w:eastAsia="仿宋"/>
          <w:sz w:val="32"/>
          <w:szCs w:val="32"/>
        </w:rPr>
        <w:t>75.84%</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年初预算有所偏差。</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216"/>
        <w:gridCol w:w="1216"/>
        <w:gridCol w:w="788"/>
        <w:gridCol w:w="1617"/>
        <w:gridCol w:w="197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5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630"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58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47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643"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044"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06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2210201</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住房公积金</w:t>
            </w: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127.61</w:t>
            </w: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96.78</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75.84%</w:t>
            </w: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住房公积金缴费</w:t>
            </w:r>
          </w:p>
        </w:tc>
        <w:tc>
          <w:tcPr>
            <w:tcW w:w="1069" w:type="pct"/>
            <w:shd w:val="clear" w:color="auto" w:fill="FFFFFF"/>
            <w:noWrap/>
            <w:vAlign w:val="center"/>
          </w:tcPr>
          <w:p>
            <w:pPr>
              <w:widowControl/>
              <w:jc w:val="center"/>
              <w:textAlignment w:val="center"/>
              <w:rPr>
                <w:rFonts w:ascii="宋体" w:hAnsi="宋体" w:cs="宋体"/>
                <w:szCs w:val="21"/>
              </w:rPr>
            </w:pPr>
            <w:r>
              <w:rPr>
                <w:rFonts w:hint="eastAsia" w:ascii="仿宋" w:hAnsi="仿宋" w:eastAsia="仿宋" w:cs="仿宋"/>
                <w:szCs w:val="21"/>
              </w:rPr>
              <w:t>年初预算有偏差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127.61</w:t>
            </w: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96.78</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住房公积金缴费</w:t>
            </w:r>
          </w:p>
        </w:tc>
        <w:tc>
          <w:tcPr>
            <w:tcW w:w="1069" w:type="pct"/>
            <w:shd w:val="clear" w:color="auto" w:fill="FFFFFF"/>
            <w:noWrap/>
            <w:vAlign w:val="center"/>
          </w:tcPr>
          <w:p>
            <w:pPr>
              <w:widowControl/>
              <w:jc w:val="center"/>
              <w:textAlignment w:val="center"/>
              <w:rPr>
                <w:rFonts w:ascii="宋体" w:hAnsi="宋体" w:cs="宋体"/>
                <w:szCs w:val="21"/>
              </w:rPr>
            </w:pPr>
            <w:r>
              <w:rPr>
                <w:rFonts w:hint="eastAsia" w:ascii="仿宋" w:hAnsi="仿宋" w:eastAsia="仿宋" w:cs="仿宋"/>
                <w:szCs w:val="21"/>
              </w:rPr>
              <w:t>年初预算有偏差</w:t>
            </w:r>
          </w:p>
        </w:tc>
      </w:tr>
    </w:tbl>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68495" cy="3053080"/>
            <wp:effectExtent l="0" t="0" r="27305" b="1397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
        </w:numPr>
        <w:jc w:val="left"/>
        <w:rPr>
          <w:rFonts w:eastAsia="仿宋"/>
          <w:color w:val="FF0000"/>
        </w:rPr>
      </w:pP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69.46</w:t>
      </w:r>
      <w:r>
        <w:rPr>
          <w:rFonts w:hint="eastAsia" w:ascii="仿宋" w:hAnsi="仿宋" w:eastAsia="仿宋"/>
          <w:sz w:val="32"/>
          <w:szCs w:val="32"/>
        </w:rPr>
        <w:t>万元，支出决算为</w:t>
      </w:r>
      <w:r>
        <w:rPr>
          <w:rFonts w:ascii="仿宋" w:hAnsi="仿宋" w:eastAsia="仿宋"/>
          <w:sz w:val="32"/>
          <w:szCs w:val="32"/>
        </w:rPr>
        <w:t>243.72</w:t>
      </w:r>
      <w:r>
        <w:rPr>
          <w:rFonts w:hint="eastAsia" w:ascii="仿宋" w:hAnsi="仿宋" w:eastAsia="仿宋"/>
          <w:sz w:val="32"/>
          <w:szCs w:val="32"/>
        </w:rPr>
        <w:t>万元，完成年初预算的</w:t>
      </w:r>
      <w:r>
        <w:rPr>
          <w:rFonts w:ascii="仿宋" w:hAnsi="仿宋" w:eastAsia="仿宋"/>
          <w:sz w:val="32"/>
          <w:szCs w:val="32"/>
        </w:rPr>
        <w:t>350.88%</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2022年教育教学活动增加及其他商品服务支出增加。</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158"/>
        <w:gridCol w:w="1216"/>
        <w:gridCol w:w="846"/>
        <w:gridCol w:w="1617"/>
        <w:gridCol w:w="197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5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630"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58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472"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643"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044"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069" w:type="pct"/>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2299999</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其他支出</w:t>
            </w: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243.72</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其他商品服务支出</w:t>
            </w:r>
          </w:p>
        </w:tc>
        <w:tc>
          <w:tcPr>
            <w:tcW w:w="1069" w:type="pct"/>
            <w:shd w:val="clear" w:color="auto" w:fill="FFFFFF"/>
            <w:noWrap/>
            <w:vAlign w:val="center"/>
          </w:tcPr>
          <w:p>
            <w:pPr>
              <w:widowControl/>
              <w:jc w:val="center"/>
              <w:textAlignment w:val="center"/>
              <w:rPr>
                <w:rFonts w:ascii="宋体" w:hAnsi="宋体" w:cs="宋体"/>
                <w:szCs w:val="21"/>
              </w:rPr>
            </w:pPr>
            <w:r>
              <w:rPr>
                <w:rFonts w:hint="eastAsia" w:ascii="仿宋" w:hAnsi="仿宋" w:eastAsia="仿宋" w:cs="仿宋"/>
                <w:szCs w:val="21"/>
              </w:rPr>
              <w:t>年初预算有偏差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59" w:type="pct"/>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630" w:type="pct"/>
            <w:shd w:val="clear" w:color="auto" w:fill="FFFFFF"/>
            <w:noWrap/>
            <w:vAlign w:val="center"/>
          </w:tcPr>
          <w:p>
            <w:pPr>
              <w:widowControl/>
              <w:jc w:val="left"/>
              <w:textAlignment w:val="center"/>
              <w:rPr>
                <w:rFonts w:ascii="宋体" w:hAnsi="宋体" w:eastAsia="宋体" w:cs="宋体"/>
                <w:color w:val="000000"/>
                <w:sz w:val="20"/>
                <w:szCs w:val="20"/>
              </w:rPr>
            </w:pPr>
          </w:p>
        </w:tc>
        <w:tc>
          <w:tcPr>
            <w:tcW w:w="582"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472" w:type="pct"/>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243.72</w:t>
            </w:r>
          </w:p>
        </w:tc>
        <w:tc>
          <w:tcPr>
            <w:tcW w:w="643" w:type="pct"/>
            <w:shd w:val="clear" w:color="auto" w:fill="FFFFFF"/>
            <w:noWrap/>
            <w:vAlign w:val="center"/>
          </w:tcPr>
          <w:p>
            <w:pPr>
              <w:widowControl/>
              <w:jc w:val="center"/>
              <w:textAlignment w:val="center"/>
              <w:rPr>
                <w:rFonts w:ascii="宋体" w:hAnsi="宋体" w:eastAsia="宋体" w:cs="宋体"/>
                <w:color w:val="000000"/>
                <w:sz w:val="18"/>
                <w:szCs w:val="18"/>
              </w:rPr>
            </w:pPr>
          </w:p>
        </w:tc>
        <w:tc>
          <w:tcPr>
            <w:tcW w:w="1044" w:type="pct"/>
            <w:shd w:val="clear" w:color="auto" w:fill="FFFFFF"/>
            <w:noWrap/>
            <w:vAlign w:val="center"/>
          </w:tcPr>
          <w:p>
            <w:pPr>
              <w:widowControl/>
              <w:jc w:val="center"/>
              <w:textAlignment w:val="center"/>
              <w:rPr>
                <w:rFonts w:ascii="宋体" w:hAnsi="宋体" w:cs="宋体"/>
                <w:sz w:val="18"/>
                <w:szCs w:val="18"/>
              </w:rPr>
            </w:pPr>
            <w:r>
              <w:rPr>
                <w:rFonts w:hint="eastAsia" w:ascii="仿宋" w:hAnsi="仿宋" w:eastAsia="仿宋" w:cs="仿宋"/>
                <w:szCs w:val="21"/>
              </w:rPr>
              <w:t>其他商品服务支出</w:t>
            </w:r>
          </w:p>
        </w:tc>
        <w:tc>
          <w:tcPr>
            <w:tcW w:w="1069" w:type="pct"/>
            <w:shd w:val="clear" w:color="auto" w:fill="FFFFFF"/>
            <w:noWrap/>
            <w:vAlign w:val="center"/>
          </w:tcPr>
          <w:p>
            <w:pPr>
              <w:widowControl/>
              <w:jc w:val="center"/>
              <w:textAlignment w:val="center"/>
              <w:rPr>
                <w:rFonts w:ascii="宋体" w:hAnsi="宋体" w:cs="宋体"/>
                <w:szCs w:val="21"/>
              </w:rPr>
            </w:pPr>
            <w:r>
              <w:rPr>
                <w:rFonts w:hint="eastAsia" w:ascii="仿宋" w:hAnsi="仿宋" w:eastAsia="仿宋" w:cs="仿宋"/>
                <w:szCs w:val="21"/>
              </w:rPr>
              <w:t>年初预算有偏差</w:t>
            </w: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环江毛南族自治县驯乐苗族乡中心小学2022年度一般公共预算财政拨款基本支出</w:t>
      </w:r>
      <w:r>
        <w:rPr>
          <w:rFonts w:ascii="仿宋" w:hAnsi="仿宋" w:eastAsia="仿宋" w:cs="仿宋"/>
          <w:sz w:val="32"/>
        </w:rPr>
        <w:t>1446.83</w:t>
      </w:r>
      <w:r>
        <w:rPr>
          <w:rFonts w:hint="eastAsia" w:ascii="仿宋" w:hAnsi="仿宋" w:eastAsia="仿宋" w:cs="仿宋"/>
          <w:sz w:val="32"/>
          <w:szCs w:val="32"/>
        </w:rPr>
        <w:t>万元，</w:t>
      </w:r>
      <w:r>
        <w:rPr>
          <w:rFonts w:ascii="仿宋_GB2312" w:hAnsi="微软雅黑" w:eastAsia="仿宋_GB2312" w:cs="仿宋_GB2312"/>
          <w:color w:val="000000"/>
          <w:sz w:val="31"/>
          <w:szCs w:val="31"/>
          <w:shd w:val="clear" w:color="auto" w:fill="FFFFFF"/>
        </w:rPr>
        <w:t>其中：人员经费支出</w:t>
      </w:r>
      <w:r>
        <w:rPr>
          <w:rFonts w:hint="eastAsia" w:ascii="仿宋" w:hAnsi="仿宋" w:eastAsia="仿宋" w:cs="仿宋"/>
          <w:sz w:val="32"/>
          <w:szCs w:val="32"/>
        </w:rPr>
        <w:t>1382.35</w:t>
      </w:r>
      <w:r>
        <w:rPr>
          <w:rFonts w:ascii="仿宋_GB2312" w:hAnsi="微软雅黑" w:eastAsia="仿宋_GB2312" w:cs="仿宋_GB2312"/>
          <w:color w:val="000000"/>
          <w:sz w:val="31"/>
          <w:szCs w:val="31"/>
          <w:shd w:val="clear" w:color="auto" w:fill="FFFFFF"/>
        </w:rPr>
        <w:t>万元，公用经费支出</w:t>
      </w:r>
      <w:r>
        <w:rPr>
          <w:rFonts w:hint="eastAsia" w:ascii="仿宋" w:hAnsi="仿宋" w:eastAsia="仿宋" w:cs="仿宋"/>
          <w:sz w:val="32"/>
          <w:szCs w:val="32"/>
        </w:rPr>
        <w:t>64.48</w:t>
      </w:r>
      <w:r>
        <w:rPr>
          <w:rFonts w:ascii="仿宋_GB2312" w:hAnsi="微软雅黑" w:eastAsia="仿宋_GB2312" w:cs="仿宋_GB2312"/>
          <w:color w:val="000000"/>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工资福利支出</w:t>
      </w:r>
      <w:r>
        <w:rPr>
          <w:rFonts w:ascii="仿宋" w:hAnsi="仿宋" w:eastAsia="仿宋" w:cs="仿宋"/>
          <w:sz w:val="32"/>
        </w:rPr>
        <w:t>1168.33万元，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85.4%</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人员减少。</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505.53万元，30102津贴补贴104.31万元，30103奖金60.13万元，30107绩效工资204.99万元，30108机关事业单位基本养老保险缴费123.19万元，30110职工基本医疗保险缴费58.35万元，30112其他社会保障缴费6.25万元，30113住房公积金96.78万元，30199其他工资福利支出8.79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商品和服务支出</w:t>
      </w:r>
      <w:r>
        <w:rPr>
          <w:rFonts w:ascii="仿宋" w:hAnsi="仿宋" w:eastAsia="仿宋" w:cs="仿宋"/>
          <w:sz w:val="32"/>
        </w:rPr>
        <w:t>62.69万元，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294.73%</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聘用人员增加及商品和服务支出增加。</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：30201办公费21.55万元，30206电费6.13万元，30207邮电费4.64万元，30209物业管理费0.48万元，30211差旅费7.21万元，30213维修（护）费1.01万元，30218专用材料费0.40万元，30228工会经费21.27万元。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214.02万元，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308.12%</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享受人员增加。</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：30304抚恤金7.66万元，30305生活补助73.83万元，30308助学金105.18万元，30399其他对个人和家庭的补助27.34万元。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68495" cy="2782570"/>
            <wp:effectExtent l="0" t="0" r="27305"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主要原因是：本单位无</w:t>
      </w:r>
      <w:r>
        <w:rPr>
          <w:rFonts w:hint="eastAsia" w:ascii="仿宋" w:hAnsi="仿宋" w:eastAsia="仿宋" w:cs="仿宋"/>
          <w:sz w:val="32"/>
          <w:szCs w:val="32"/>
          <w:lang w:bidi="ar"/>
        </w:rPr>
        <w:t>债务利息及费用支出。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资本性支出</w:t>
      </w:r>
      <w:r>
        <w:rPr>
          <w:rFonts w:ascii="仿宋" w:hAnsi="仿宋" w:eastAsia="仿宋" w:cs="仿宋"/>
          <w:sz w:val="32"/>
        </w:rPr>
        <w:t>1.79万元，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100%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年初预算没有此项目，此项目主要用办公设备购置支出。此项目为年中调整项目，主要用办公设备购置支出。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：31002办公设备购置1.79万元。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rFonts w:ascii="仿宋" w:hAnsi="仿宋" w:eastAsia="仿宋" w:cs="仿宋"/>
          <w:sz w:val="32"/>
          <w:szCs w:val="32"/>
        </w:rPr>
      </w:pP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本年度无其他支出。</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rPr>
          <w:rFonts w:ascii="仿宋" w:hAnsi="仿宋" w:eastAsia="仿宋" w:cs="仿宋"/>
          <w:sz w:val="32"/>
          <w:szCs w:val="32"/>
        </w:rPr>
      </w:pPr>
      <w:r>
        <w:rPr>
          <w:rFonts w:hint="eastAsia" w:ascii="仿宋" w:hAnsi="仿宋" w:eastAsia="仿宋" w:cs="仿宋"/>
          <w:sz w:val="32"/>
          <w:szCs w:val="32"/>
        </w:rPr>
        <w:t>环江毛南族自治县驯乐苗族乡中心小学2022年度政府性基金支出</w:t>
      </w:r>
      <w:r>
        <w:rPr>
          <w:rFonts w:ascii="仿宋" w:hAnsi="仿宋" w:eastAsia="仿宋" w:cs="仿宋"/>
          <w:sz w:val="32"/>
          <w:szCs w:val="32"/>
        </w:rPr>
        <w:t>3.03</w:t>
      </w:r>
      <w:r>
        <w:rPr>
          <w:rFonts w:hint="eastAsia" w:ascii="仿宋" w:hAnsi="仿宋" w:eastAsia="仿宋" w:cs="仿宋"/>
          <w:sz w:val="32"/>
          <w:szCs w:val="32"/>
        </w:rPr>
        <w:t>万元，较2021年度决算数</w:t>
      </w:r>
      <w:r>
        <w:rPr>
          <w:rFonts w:ascii="仿宋" w:hAnsi="仿宋" w:eastAsia="仿宋" w:cs="仿宋"/>
          <w:sz w:val="32"/>
          <w:szCs w:val="32"/>
        </w:rPr>
        <w:t>增加0.03</w:t>
      </w:r>
      <w:r>
        <w:rPr>
          <w:rFonts w:hint="eastAsia" w:ascii="仿宋" w:hAnsi="仿宋" w:eastAsia="仿宋" w:cs="仿宋"/>
          <w:sz w:val="32"/>
          <w:szCs w:val="32"/>
        </w:rPr>
        <w:t>万元，</w:t>
      </w:r>
      <w:r>
        <w:rPr>
          <w:rFonts w:ascii="仿宋" w:hAnsi="仿宋" w:eastAsia="仿宋" w:cs="仿宋"/>
          <w:sz w:val="32"/>
          <w:szCs w:val="32"/>
        </w:rPr>
        <w:t>增长1.00%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3.03</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环江毛南族自治县驯乐苗族乡中心小学2022年度政府性基金支出年初预算为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3.03</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w:t>
      </w:r>
    </w:p>
    <w:p>
      <w:pPr>
        <w:ind w:firstLine="640" w:firstLineChars="200"/>
        <w:rPr>
          <w:rFonts w:ascii="仿宋" w:hAnsi="仿宋" w:eastAsia="仿宋" w:cs="仿宋"/>
          <w:kern w:val="0"/>
          <w:sz w:val="32"/>
          <w:szCs w:val="32"/>
        </w:rPr>
      </w:pPr>
      <w:r>
        <w:rPr>
          <w:rFonts w:ascii="仿宋" w:hAnsi="仿宋" w:eastAsia="仿宋" w:cs="仿宋"/>
          <w:color w:val="000000"/>
          <w:sz w:val="32"/>
        </w:rPr>
        <w:t>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类）彩票公益金安排的支出（</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rPr>
        <w:t>）</w:t>
      </w:r>
      <w:r>
        <w:rPr>
          <w:rFonts w:hint="eastAsia" w:ascii="仿宋" w:hAnsi="仿宋" w:eastAsia="仿宋" w:cs="仿宋"/>
          <w:color w:val="000000"/>
          <w:sz w:val="32"/>
          <w:szCs w:val="32"/>
          <w:shd w:val="clear" w:color="auto" w:fill="FFFFFF"/>
        </w:rPr>
        <w:t>，用于教育事业的彩票公益金支出（</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rPr>
        <w:t>3.03</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14:textFill>
            <w14:solidFill>
              <w14:schemeClr w14:val="tx1"/>
            </w14:solidFill>
          </w14:textFill>
        </w:rPr>
        <w:t>形成</w:t>
      </w:r>
      <w:r>
        <w:rPr>
          <w:rFonts w:hint="eastAsia" w:ascii="仿宋" w:hAnsi="仿宋" w:eastAsia="仿宋" w:cs="仿宋"/>
          <w:color w:val="000000" w:themeColor="text1"/>
          <w:sz w:val="32"/>
          <w:szCs w:val="32"/>
          <w14:textFill>
            <w14:solidFill>
              <w14:schemeClr w14:val="tx1"/>
            </w14:solidFill>
          </w14:textFill>
        </w:rPr>
        <w:t>预决算差异原因是：年中调整项目，为</w:t>
      </w:r>
      <w:r>
        <w:rPr>
          <w:rFonts w:hint="eastAsia" w:ascii="仿宋" w:hAnsi="仿宋" w:eastAsia="仿宋" w:cs="仿宋"/>
          <w:sz w:val="32"/>
          <w:szCs w:val="32"/>
          <w:lang w:bidi="ar"/>
        </w:rPr>
        <w:t>本年度调整的政府性基金支出，已支付完毕。</w:t>
      </w:r>
    </w:p>
    <w:p>
      <w:pPr>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rPr>
          <w:rFonts w:ascii="仿宋" w:hAnsi="仿宋" w:eastAsia="仿宋" w:cs="仿宋"/>
          <w:sz w:val="32"/>
          <w:szCs w:val="32"/>
        </w:rPr>
      </w:pPr>
      <w:r>
        <w:rPr>
          <w:rFonts w:hint="eastAsia" w:ascii="仿宋" w:hAnsi="仿宋" w:eastAsia="仿宋" w:cs="仿宋"/>
          <w:sz w:val="32"/>
          <w:szCs w:val="32"/>
        </w:rPr>
        <w:t>环江毛南族自治县驯乐苗族乡中心小学2022年度国有资本经营预算支出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环江毛南族自治县驯乐苗族乡中心小学2022年度国有资本经营预算支出年初预算为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rPr>
          <w:rFonts w:ascii="仿宋" w:hAnsi="仿宋" w:eastAsia="仿宋" w:cs="仿宋"/>
          <w:sz w:val="32"/>
          <w:szCs w:val="32"/>
        </w:rPr>
      </w:pPr>
      <w:bookmarkStart w:id="4" w:name="PO_part3A5B1C1DiffReason1"/>
      <w:r>
        <w:rPr>
          <w:rFonts w:hint="eastAsia" w:ascii="仿宋_GB2312" w:hAnsi="Times New Roman" w:eastAsia="仿宋_GB2312" w:cs="Times New Roman"/>
          <w:sz w:val="32"/>
          <w:szCs w:val="32"/>
        </w:rPr>
        <w:t>环江毛南族自治县驯乐苗族乡中心小学</w:t>
      </w:r>
      <w:r>
        <w:rPr>
          <w:rFonts w:ascii="仿宋_GB2312" w:hAnsi="仿宋_GB2312" w:eastAsia="仿宋_GB2312" w:cs="仿宋_GB2312"/>
          <w:sz w:val="32"/>
        </w:rPr>
        <w:t>没有国有资本经营预算收入，也没有国有资本经营预算收入</w:t>
      </w:r>
      <w:r>
        <w:rPr>
          <w:rFonts w:hint="eastAsia" w:ascii="仿宋_GB2312" w:hAnsi="Times New Roman" w:eastAsia="仿宋_GB2312" w:cs="Times New Roman"/>
          <w:sz w:val="32"/>
          <w:szCs w:val="32"/>
        </w:rPr>
        <w:t>安排的支出。</w:t>
      </w:r>
      <w:bookmarkEnd w:id="4"/>
    </w:p>
    <w:p>
      <w:pPr>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rPr>
          <w:rFonts w:hint="eastAsia" w:ascii="仿宋" w:hAnsi="仿宋" w:eastAsia="仿宋" w:cs="仿宋"/>
          <w:sz w:val="32"/>
          <w:szCs w:val="32"/>
          <w:lang w:bidi="ar"/>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环江毛南族自治县驯乐苗族乡中心小学没有财政拨款“三公”经费预算收入，也没有财政拨款“三公”经费预算收入安排的支出。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（一）因公出国（境）费支出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 xml:space="preserve"> 万元。</w:t>
      </w:r>
      <w:r>
        <w:rPr>
          <w:rFonts w:hint="eastAsia" w:ascii="仿宋" w:hAnsi="仿宋" w:eastAsia="仿宋" w:cs="仿宋"/>
          <w:color w:val="000000" w:themeColor="text1"/>
          <w:sz w:val="32"/>
          <w:szCs w:val="32"/>
          <w14:textFill>
            <w14:solidFill>
              <w14:schemeClr w14:val="tx1"/>
            </w14:solidFill>
          </w14:textFill>
        </w:rPr>
        <w:t>原因是：</w:t>
      </w:r>
      <w:r>
        <w:rPr>
          <w:rFonts w:hint="eastAsia" w:ascii="仿宋_GB2312" w:hAnsi="Times New Roman" w:eastAsia="仿宋_GB2312" w:cs="Times New Roman"/>
          <w:color w:val="000000" w:themeColor="text1"/>
          <w:sz w:val="32"/>
          <w:szCs w:val="32"/>
          <w14:textFill>
            <w14:solidFill>
              <w14:schemeClr w14:val="tx1"/>
            </w14:solidFill>
          </w14:textFill>
        </w:rPr>
        <w:t>本单位无出国（境）费支出</w:t>
      </w:r>
      <w:r>
        <w:rPr>
          <w:rFonts w:hint="eastAsia" w:ascii="仿宋" w:hAnsi="仿宋" w:eastAsia="仿宋" w:cs="仿宋"/>
          <w:sz w:val="32"/>
          <w:szCs w:val="32"/>
        </w:rPr>
        <w:t>。全年因公出国（境）团组共计</w:t>
      </w:r>
      <w:r>
        <w:rPr>
          <w:rFonts w:ascii="仿宋" w:hAnsi="仿宋" w:eastAsia="仿宋" w:cs="仿宋"/>
          <w:sz w:val="32"/>
          <w:szCs w:val="32"/>
        </w:rPr>
        <w:t>0</w:t>
      </w:r>
      <w:r>
        <w:rPr>
          <w:rFonts w:hint="eastAsia" w:ascii="仿宋" w:hAnsi="仿宋" w:eastAsia="仿宋" w:cs="仿宋"/>
          <w:sz w:val="32"/>
          <w:szCs w:val="32"/>
        </w:rPr>
        <w:t>个，累计</w:t>
      </w:r>
      <w:r>
        <w:rPr>
          <w:rFonts w:ascii="仿宋" w:hAnsi="仿宋" w:eastAsia="仿宋" w:cs="仿宋"/>
          <w:sz w:val="32"/>
          <w:szCs w:val="32"/>
        </w:rPr>
        <w:t>0</w:t>
      </w:r>
      <w:r>
        <w:rPr>
          <w:rFonts w:hint="eastAsia" w:ascii="仿宋" w:hAnsi="仿宋" w:eastAsia="仿宋" w:cs="仿宋"/>
          <w:sz w:val="32"/>
          <w:szCs w:val="32"/>
        </w:rPr>
        <w:t>人次。</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（二）公务用车购置及运行维护费</w:t>
      </w:r>
      <w:r>
        <w:rPr>
          <w:rFonts w:ascii="仿宋" w:hAnsi="仿宋" w:eastAsia="仿宋" w:cs="仿宋"/>
          <w:sz w:val="32"/>
        </w:rPr>
        <w:t>0.00</w:t>
      </w:r>
      <w:r>
        <w:rPr>
          <w:rFonts w:hint="eastAsia" w:ascii="仿宋" w:hAnsi="仿宋" w:eastAsia="仿宋" w:cs="仿宋"/>
          <w:sz w:val="32"/>
          <w:szCs w:val="32"/>
        </w:rPr>
        <w:t>万元。其中：公务用车购置支出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 xml:space="preserve"> 万元</w:t>
      </w:r>
      <w:r>
        <w:rPr>
          <w:rFonts w:hint="eastAsia" w:ascii="仿宋" w:hAnsi="仿宋" w:eastAsia="仿宋" w:cs="仿宋"/>
          <w:color w:val="000000" w:themeColor="text1"/>
          <w:sz w:val="32"/>
          <w:szCs w:val="32"/>
          <w14:textFill>
            <w14:solidFill>
              <w14:schemeClr w14:val="tx1"/>
            </w14:solidFill>
          </w14:textFill>
        </w:rPr>
        <w:t>。</w:t>
      </w:r>
      <w:bookmarkStart w:id="5"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5"/>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公务用车运行维护支出</w:t>
      </w:r>
      <w:r>
        <w:rPr>
          <w:rFonts w:ascii="仿宋" w:hAnsi="仿宋" w:eastAsia="仿宋" w:cs="仿宋"/>
          <w:sz w:val="32"/>
        </w:rPr>
        <w:t>0.00</w:t>
      </w:r>
      <w:r>
        <w:rPr>
          <w:rFonts w:hint="eastAsia" w:ascii="仿宋" w:hAnsi="仿宋" w:eastAsia="仿宋" w:cs="仿宋"/>
          <w:sz w:val="32"/>
          <w:szCs w:val="32"/>
        </w:rPr>
        <w:t>万元，完成年初预算的</w:t>
      </w:r>
      <w:r>
        <w:rPr>
          <w:rFonts w:ascii="仿宋" w:hAnsi="仿宋" w:eastAsia="仿宋" w:cs="仿宋"/>
          <w:sz w:val="32"/>
        </w:rPr>
        <w:t>0%</w:t>
      </w:r>
      <w:r>
        <w:rPr>
          <w:rFonts w:hint="eastAsia" w:ascii="仿宋" w:hAnsi="仿宋" w:eastAsia="仿宋" w:cs="仿宋"/>
          <w:sz w:val="32"/>
          <w:szCs w:val="32"/>
        </w:rPr>
        <w:t>，比上年</w:t>
      </w:r>
      <w:r>
        <w:rPr>
          <w:rFonts w:ascii="仿宋" w:hAnsi="仿宋" w:eastAsia="仿宋" w:cs="仿宋"/>
          <w:sz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主要原因是：本单位无公务车运行维护支出。</w:t>
      </w:r>
      <w:r>
        <w:rPr>
          <w:rFonts w:hint="eastAsia" w:ascii="仿宋" w:hAnsi="仿宋" w:eastAsia="仿宋" w:cs="仿宋"/>
          <w:sz w:val="32"/>
          <w:szCs w:val="32"/>
        </w:rPr>
        <w:t>2022年，</w:t>
      </w:r>
      <w:r>
        <w:rPr>
          <w:rFonts w:hint="eastAsia" w:ascii="仿宋" w:hAnsi="仿宋" w:eastAsia="仿宋" w:cs="仿宋"/>
          <w:sz w:val="32"/>
          <w:lang w:val="en-US" w:eastAsia="zh-CN"/>
        </w:rPr>
        <w:t>本</w:t>
      </w:r>
      <w:r>
        <w:rPr>
          <w:rFonts w:hint="eastAsia" w:ascii="仿宋" w:hAnsi="仿宋" w:eastAsia="仿宋" w:cs="仿宋"/>
          <w:sz w:val="32"/>
          <w:szCs w:val="32"/>
        </w:rPr>
        <w:t>单位开支财政拨款的公务用车保有量为</w:t>
      </w:r>
      <w:r>
        <w:rPr>
          <w:rFonts w:ascii="仿宋" w:hAnsi="仿宋" w:eastAsia="仿宋" w:cs="仿宋"/>
          <w:sz w:val="32"/>
        </w:rPr>
        <w:t>0</w:t>
      </w:r>
      <w:r>
        <w:rPr>
          <w:rFonts w:hint="eastAsia" w:ascii="仿宋" w:hAnsi="仿宋" w:eastAsia="仿宋" w:cs="仿宋"/>
          <w:sz w:val="32"/>
          <w:szCs w:val="32"/>
        </w:rPr>
        <w:t>辆，全年运行费支出</w:t>
      </w:r>
      <w:r>
        <w:rPr>
          <w:rFonts w:ascii="仿宋" w:hAnsi="仿宋" w:eastAsia="仿宋" w:cs="仿宋"/>
          <w:sz w:val="32"/>
        </w:rPr>
        <w:t>0.00</w:t>
      </w:r>
      <w:r>
        <w:rPr>
          <w:rFonts w:hint="eastAsia" w:ascii="仿宋" w:hAnsi="仿宋" w:eastAsia="仿宋" w:cs="仿宋"/>
          <w:sz w:val="32"/>
          <w:szCs w:val="32"/>
        </w:rPr>
        <w:t>万元。</w:t>
      </w:r>
      <w:r>
        <w:rPr>
          <w:rFonts w:ascii="仿宋" w:hAnsi="仿宋" w:eastAsia="仿宋" w:cs="仿宋"/>
          <w:sz w:val="32"/>
          <w:szCs w:val="32"/>
        </w:rPr>
        <w:t xml:space="preserve"> </w:t>
      </w:r>
    </w:p>
    <w:p>
      <w:pPr>
        <w:ind w:firstLine="640" w:firstLineChars="200"/>
        <w:jc w:val="left"/>
        <w:rPr>
          <w:rFonts w:hint="eastAsia" w:ascii="仿宋" w:hAnsi="仿宋" w:eastAsia="仿宋" w:cs="仿宋"/>
          <w:sz w:val="32"/>
          <w:szCs w:val="32"/>
          <w:lang w:bidi="ar"/>
        </w:rPr>
      </w:pPr>
      <w:r>
        <w:rPr>
          <w:rFonts w:hint="eastAsia" w:ascii="仿宋" w:hAnsi="仿宋" w:eastAsia="仿宋" w:cs="仿宋"/>
          <w:sz w:val="32"/>
          <w:szCs w:val="32"/>
        </w:rPr>
        <w:t>（三）公务接待费支出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 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lang w:bidi="ar"/>
          <w14:textFill>
            <w14:solidFill>
              <w14:schemeClr w14:val="tx1"/>
            </w14:solidFill>
          </w14:textFill>
        </w:rPr>
        <w:t>主要原因是：本单位无公务接待费支出。</w:t>
      </w:r>
      <w:r>
        <w:rPr>
          <w:rFonts w:hint="eastAsia" w:ascii="仿宋" w:hAnsi="仿宋" w:eastAsia="仿宋" w:cs="仿宋"/>
          <w:color w:val="000000" w:themeColor="text1"/>
          <w:sz w:val="32"/>
          <w:szCs w:val="32"/>
          <w14:textFill>
            <w14:solidFill>
              <w14:schemeClr w14:val="tx1"/>
            </w14:solidFill>
          </w14:textFill>
        </w:rPr>
        <w:t>国内公务接待批次</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rPr>
          <w:rFonts w:ascii="仿宋" w:hAnsi="仿宋" w:eastAsia="仿宋" w:cs="仿宋"/>
          <w:sz w:val="32"/>
          <w:szCs w:val="32"/>
        </w:rPr>
      </w:pPr>
      <w:r>
        <w:rPr>
          <w:rFonts w:hint="eastAsia" w:ascii="黑体" w:hAnsi="黑体" w:eastAsia="黑体" w:cs="黑体"/>
          <w:sz w:val="32"/>
          <w:szCs w:val="32"/>
        </w:rPr>
        <w:t>七、其他重要事项情况说明</w:t>
      </w:r>
    </w:p>
    <w:p>
      <w:pPr>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rPr>
          <w:rFonts w:ascii="仿宋" w:hAnsi="仿宋" w:eastAsia="仿宋" w:cs="仿宋"/>
          <w:color w:val="FF0000"/>
          <w:sz w:val="32"/>
          <w:szCs w:val="32"/>
        </w:rPr>
      </w:pPr>
      <w:bookmarkStart w:id="6" w:name="_GoBack"/>
      <w:bookmarkEnd w:id="6"/>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万元，比年初预算数</w:t>
      </w:r>
      <w:r>
        <w:rPr>
          <w:rFonts w:ascii="仿宋" w:hAnsi="仿宋" w:eastAsia="仿宋" w:cs="仿宋"/>
          <w:sz w:val="32"/>
          <w:szCs w:val="32"/>
        </w:rPr>
        <w:t>减少</w:t>
      </w:r>
      <w:r>
        <w:rPr>
          <w:rFonts w:hint="default" w:ascii="仿宋" w:hAnsi="仿宋" w:eastAsia="仿宋" w:cs="仿宋"/>
          <w:sz w:val="32"/>
          <w:szCs w:val="32"/>
          <w:lang w:val="en"/>
        </w:rPr>
        <w:t>0.00</w:t>
      </w:r>
      <w:r>
        <w:rPr>
          <w:rFonts w:hint="eastAsia" w:ascii="仿宋" w:hAnsi="仿宋" w:eastAsia="仿宋" w:cs="仿宋"/>
          <w:sz w:val="32"/>
          <w:szCs w:val="32"/>
        </w:rPr>
        <w:t>万元，</w:t>
      </w:r>
      <w:r>
        <w:rPr>
          <w:rFonts w:ascii="仿宋" w:hAnsi="仿宋" w:eastAsia="仿宋" w:cs="仿宋"/>
          <w:sz w:val="32"/>
          <w:szCs w:val="32"/>
        </w:rPr>
        <w:t>下降</w:t>
      </w:r>
      <w:r>
        <w:rPr>
          <w:rFonts w:hint="default" w:ascii="仿宋" w:hAnsi="仿宋" w:eastAsia="仿宋" w:cs="仿宋"/>
          <w:sz w:val="32"/>
          <w:szCs w:val="32"/>
          <w:lang w:val="en"/>
        </w:rPr>
        <w:t>0.00</w:t>
      </w:r>
      <w:r>
        <w:rPr>
          <w:rFonts w:ascii="仿宋" w:hAnsi="仿宋" w:eastAsia="仿宋" w:cs="仿宋"/>
          <w:sz w:val="32"/>
          <w:szCs w:val="32"/>
        </w:rPr>
        <w:t>%</w:t>
      </w:r>
      <w:r>
        <w:rPr>
          <w:rFonts w:hint="eastAsia" w:ascii="仿宋" w:hAnsi="仿宋" w:eastAsia="仿宋" w:cs="仿宋"/>
          <w:sz w:val="32"/>
          <w:szCs w:val="32"/>
        </w:rPr>
        <w:t>，比上年决算数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。环江毛南族自治县驯乐苗族乡中心小学没有机关运行经费此项支出，年初预算的21.27万元已作为一般公共服务支出。</w:t>
      </w:r>
    </w:p>
    <w:p>
      <w:pPr>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台（套）；单位价值100万元以上专用设备台（套）。</w:t>
      </w:r>
    </w:p>
    <w:p>
      <w:pPr>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14个，二等项目5个，共涉及资金322.42万元，占一般公共预算项目支出总额的69.79%。组织对2022年度中央专项彩票公益金支持乡村学校少年宫经费1个政府性基金预算项目支出开展绩效自评，共涉及资金1.8万元，占政府性基金预算项目支出总额的100%。</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组织对21个项目进行了部门评价，涉及一般公共预算支出462万元，政府性基金预算支出1.8万元。从评价情况来看，</w:t>
      </w:r>
      <w:r>
        <w:rPr>
          <w:rFonts w:hint="eastAsia" w:ascii="仿宋" w:hAnsi="仿宋" w:eastAsia="仿宋" w:cs="仿宋"/>
          <w:sz w:val="32"/>
          <w:szCs w:val="32"/>
        </w:rPr>
        <w:t>各项目目标明确，组织管理到位，执行项目有力，资金管理规范，综合评价结果为优。</w:t>
      </w:r>
    </w:p>
    <w:p>
      <w:pPr>
        <w:ind w:firstLine="640" w:firstLineChars="200"/>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义务教育阶段家庭经济困难学生生活中央补助资金项目自评得分为100分；民族班及壮文经费项目自评得分为80分，发现的主要问题及原因：相关学校材料未能收集齐全，该项经费未能在年内支付。下一步改进措施：积极与财政沟通，未付的经费于下一年支付完毕；驯乐乡中心小学2022年年初预算经费(行政办公务费)</w:t>
      </w:r>
      <w:r>
        <w:rPr>
          <w:rFonts w:hint="eastAsia"/>
        </w:rPr>
        <w:t xml:space="preserve"> </w:t>
      </w:r>
      <w:r>
        <w:rPr>
          <w:rFonts w:hint="eastAsia" w:ascii="仿宋" w:hAnsi="仿宋" w:eastAsia="仿宋" w:cs="仿宋"/>
          <w:color w:val="000000" w:themeColor="text1"/>
          <w:sz w:val="32"/>
          <w:szCs w:val="32"/>
          <w14:textFill>
            <w14:solidFill>
              <w14:schemeClr w14:val="tx1"/>
            </w14:solidFill>
          </w14:textFill>
        </w:rPr>
        <w:t>项目自评得分为80分，发现的主要问题及原因：由于优先使用上年资金进行支付，2022年年初预算经费未能完成支付。下一步改进措施：积极与财政沟通，该项目经费未支付部分于下一年度完成支付，往后年度按时完成上级下达的指标支付；义务教育中央级公用经费项目自评得分为92.14分，发现的主要问题及原因：还有不少项目没有报账。下一步改进措施：2023年向财政申请拨回继续使用，保障了学校教学正常运转；全县校园安全保卫经费项目自评得分为85分，发现的主要问题及原因：协管员人员调整，人员减少产生偏差。下一步改进措施：加强预算管理，尽量做到预算项目准确无误；全县校长绩效工资项目自评得分为100分；自治区公用经费项目自评得分为88.4分，发现的主要问题及原因：还有不少项目没有报账。下一步改进措施：2023年向财政申请拨回继续使用，保障了学校教学正常运转；奖励性补贴项目自评得分为100分；营养改善计划膳食补助资金项目自评得分为98.34分，发现的主要问题及原因：因本年疫情提前放假，开餐天数减少而未能支付完成；死亡抚恤金项目自评得分为100分；驯乐乡中心小学2022年年初预算经费(门面租金) 项目自评得分为78分，发现的主要问题及原因：由于疫情影响，商户生意不景气，未能收到租金。下一步改进措施：积极与财政沟通，在下一年度支付，以保障了学校教学正常运转；特岗教师工资项目自评得分为100分；自治区级乡村教师生活补助项目自评得分为99.48分，发现的主要问题及原因：因年中有人员变动减少，所以该项目预算执行率未达100%；食堂钟点工补贴资金项目自评得分为100分；伙食补助项目自评得分为100分；退休人员居住修缮费项目自评得分为100分；教师节经费项目自评得分为100分；城乡义务教育公用经费县级配套资金项目自评得分为88.26分，发现的主要问题及原因：相关学校材料未能收集齐全，该项经费未能在年内支付完成。下一步改进措施：积极与财政沟通，未付的经费于下一年支付完毕；中央专项彩票公益金支持乡村学校少年宫经费项目自评得分为100分；年初预算数项目自评得分为96.64分，发现的主要问题及原因：由于疫情影响，商户生意不景气，未能收到租金。下一步改进措施：积极与财政沟通，在下一年度支付，以保障了学校教学正常运转；班主任津贴项目自评得分为90.11分，发现的主要问题及原因：2022年春季学期班主任津贴已足额发放，2022年秋季学期班主任津贴暂未发放。下一步改进措施：2022年秋季学期班主任津贴已跟财政协商好将于2023年初支付完毕。</w:t>
      </w:r>
    </w:p>
    <w:p>
      <w:pP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134" w:bottom="1134" w:left="113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OTZkYjkwN2Q1MTBhY2U1NDI3ZmEwNzcyMDM4OGMifQ=="/>
  </w:docVars>
  <w:rsids>
    <w:rsidRoot w:val="637D7558"/>
    <w:rsid w:val="00002C84"/>
    <w:rsid w:val="00022149"/>
    <w:rsid w:val="00047F6C"/>
    <w:rsid w:val="00051385"/>
    <w:rsid w:val="00093C26"/>
    <w:rsid w:val="00094B91"/>
    <w:rsid w:val="000B06D8"/>
    <w:rsid w:val="000E5855"/>
    <w:rsid w:val="000E672D"/>
    <w:rsid w:val="001418A5"/>
    <w:rsid w:val="00146593"/>
    <w:rsid w:val="00147D40"/>
    <w:rsid w:val="00156EF2"/>
    <w:rsid w:val="001D6DB7"/>
    <w:rsid w:val="001D7B97"/>
    <w:rsid w:val="00210E20"/>
    <w:rsid w:val="00223F38"/>
    <w:rsid w:val="00233613"/>
    <w:rsid w:val="00254DBE"/>
    <w:rsid w:val="00275CAB"/>
    <w:rsid w:val="0028709C"/>
    <w:rsid w:val="00292E9E"/>
    <w:rsid w:val="0029328F"/>
    <w:rsid w:val="002B2731"/>
    <w:rsid w:val="00355E66"/>
    <w:rsid w:val="00382867"/>
    <w:rsid w:val="003973EB"/>
    <w:rsid w:val="003A4973"/>
    <w:rsid w:val="003C017E"/>
    <w:rsid w:val="003C1C96"/>
    <w:rsid w:val="003C69F8"/>
    <w:rsid w:val="003E40BA"/>
    <w:rsid w:val="003E7165"/>
    <w:rsid w:val="0041579D"/>
    <w:rsid w:val="00427074"/>
    <w:rsid w:val="00434D04"/>
    <w:rsid w:val="004C4D73"/>
    <w:rsid w:val="004D7D0E"/>
    <w:rsid w:val="00516DED"/>
    <w:rsid w:val="005234F5"/>
    <w:rsid w:val="00531745"/>
    <w:rsid w:val="00574196"/>
    <w:rsid w:val="00590E46"/>
    <w:rsid w:val="005B4F38"/>
    <w:rsid w:val="006123AD"/>
    <w:rsid w:val="00645B83"/>
    <w:rsid w:val="0066173C"/>
    <w:rsid w:val="006D677A"/>
    <w:rsid w:val="00724DD1"/>
    <w:rsid w:val="007640BB"/>
    <w:rsid w:val="00771953"/>
    <w:rsid w:val="00776E0B"/>
    <w:rsid w:val="007A0641"/>
    <w:rsid w:val="007C52E7"/>
    <w:rsid w:val="007C54EA"/>
    <w:rsid w:val="007C776D"/>
    <w:rsid w:val="007D7CE3"/>
    <w:rsid w:val="007E298E"/>
    <w:rsid w:val="007E2F6C"/>
    <w:rsid w:val="00817C69"/>
    <w:rsid w:val="00823A94"/>
    <w:rsid w:val="00824151"/>
    <w:rsid w:val="00830182"/>
    <w:rsid w:val="008315A9"/>
    <w:rsid w:val="00834354"/>
    <w:rsid w:val="00895510"/>
    <w:rsid w:val="008F1B95"/>
    <w:rsid w:val="008F4AE2"/>
    <w:rsid w:val="008F6882"/>
    <w:rsid w:val="00930353"/>
    <w:rsid w:val="00934C72"/>
    <w:rsid w:val="00946CCF"/>
    <w:rsid w:val="0097721B"/>
    <w:rsid w:val="009831F8"/>
    <w:rsid w:val="009B3E00"/>
    <w:rsid w:val="009D1667"/>
    <w:rsid w:val="009F1C6B"/>
    <w:rsid w:val="00A07CCE"/>
    <w:rsid w:val="00A27624"/>
    <w:rsid w:val="00A358E6"/>
    <w:rsid w:val="00A62F9C"/>
    <w:rsid w:val="00AA78EE"/>
    <w:rsid w:val="00AB4D09"/>
    <w:rsid w:val="00AB53E1"/>
    <w:rsid w:val="00AC252D"/>
    <w:rsid w:val="00AE1134"/>
    <w:rsid w:val="00AE5F66"/>
    <w:rsid w:val="00B07A0B"/>
    <w:rsid w:val="00B22F28"/>
    <w:rsid w:val="00B37453"/>
    <w:rsid w:val="00B45479"/>
    <w:rsid w:val="00B60171"/>
    <w:rsid w:val="00B837AC"/>
    <w:rsid w:val="00B85A73"/>
    <w:rsid w:val="00BA31A8"/>
    <w:rsid w:val="00BB4FB8"/>
    <w:rsid w:val="00BD315D"/>
    <w:rsid w:val="00BD5CFD"/>
    <w:rsid w:val="00BF1416"/>
    <w:rsid w:val="00C318E9"/>
    <w:rsid w:val="00C3279E"/>
    <w:rsid w:val="00C34857"/>
    <w:rsid w:val="00C867A1"/>
    <w:rsid w:val="00CA2E26"/>
    <w:rsid w:val="00CB169B"/>
    <w:rsid w:val="00CD70AD"/>
    <w:rsid w:val="00D00918"/>
    <w:rsid w:val="00D025DB"/>
    <w:rsid w:val="00D140CA"/>
    <w:rsid w:val="00D14326"/>
    <w:rsid w:val="00D332E9"/>
    <w:rsid w:val="00D772CC"/>
    <w:rsid w:val="00D84F30"/>
    <w:rsid w:val="00D878A6"/>
    <w:rsid w:val="00DB264E"/>
    <w:rsid w:val="00DB3039"/>
    <w:rsid w:val="00DD1D49"/>
    <w:rsid w:val="00DE74BD"/>
    <w:rsid w:val="00DE7D07"/>
    <w:rsid w:val="00E3671E"/>
    <w:rsid w:val="00E847DD"/>
    <w:rsid w:val="00EB4BC0"/>
    <w:rsid w:val="00EB7822"/>
    <w:rsid w:val="00EC50A9"/>
    <w:rsid w:val="00ED04DB"/>
    <w:rsid w:val="00F03040"/>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F62756"/>
    <w:rsid w:val="3EED185E"/>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6A1E4A"/>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 w:val="DF57C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1755.93</c:v>
                </c:pt>
                <c:pt idx="1">
                  <c:v>3.03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7.66</c:v>
                </c:pt>
                <c:pt idx="4">
                  <c:v>73.83</c:v>
                </c:pt>
                <c:pt idx="5">
                  <c:v>0</c:v>
                </c:pt>
                <c:pt idx="6">
                  <c:v>0</c:v>
                </c:pt>
                <c:pt idx="7">
                  <c:v>105.18</c:v>
                </c:pt>
                <c:pt idx="8">
                  <c:v>0</c:v>
                </c:pt>
                <c:pt idx="9">
                  <c:v>0</c:v>
                </c:pt>
                <c:pt idx="10">
                  <c:v>0</c:v>
                </c:pt>
                <c:pt idx="11">
                  <c:v>27.34</c:v>
                </c:pt>
              </c:numCache>
            </c:numRef>
          </c:val>
        </c:ser>
        <c:dLbls>
          <c:showLegendKey val="0"/>
          <c:showVal val="0"/>
          <c:showCatName val="0"/>
          <c:showSerName val="0"/>
          <c:showPercent val="0"/>
          <c:showBubbleSize val="0"/>
        </c:dLbls>
        <c:gapWidth val="219"/>
        <c:overlap val="-27"/>
        <c:axId val="251689216"/>
        <c:axId val="253231104"/>
      </c:barChart>
      <c:catAx>
        <c:axId val="251689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231104"/>
        <c:crosses val="autoZero"/>
        <c:auto val="1"/>
        <c:lblAlgn val="ctr"/>
        <c:lblOffset val="100"/>
        <c:noMultiLvlLbl val="0"/>
      </c:catAx>
      <c:valAx>
        <c:axId val="253231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689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253284352"/>
        <c:axId val="253285888"/>
      </c:barChart>
      <c:catAx>
        <c:axId val="2532843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285888"/>
        <c:crosses val="autoZero"/>
        <c:auto val="1"/>
        <c:lblAlgn val="ctr"/>
        <c:lblOffset val="100"/>
        <c:noMultiLvlLbl val="0"/>
      </c:catAx>
      <c:valAx>
        <c:axId val="253285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284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1.79</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253347328"/>
        <c:axId val="253348864"/>
      </c:barChart>
      <c:catAx>
        <c:axId val="2533473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348864"/>
        <c:crosses val="autoZero"/>
        <c:auto val="1"/>
        <c:lblAlgn val="ctr"/>
        <c:lblOffset val="100"/>
        <c:noMultiLvlLbl val="0"/>
      </c:catAx>
      <c:valAx>
        <c:axId val="2533488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347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253410304"/>
        <c:axId val="253534976"/>
      </c:barChart>
      <c:catAx>
        <c:axId val="253410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534976"/>
        <c:crosses val="autoZero"/>
        <c:auto val="1"/>
        <c:lblAlgn val="ctr"/>
        <c:lblOffset val="100"/>
        <c:noMultiLvlLbl val="0"/>
      </c:catAx>
      <c:valAx>
        <c:axId val="253534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3410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2125.75</c:v>
                </c:pt>
                <c:pt idx="2">
                  <c:v>159.73</c:v>
                </c:pt>
                <c:pt idx="3">
                  <c:v>75.19</c:v>
                </c:pt>
                <c:pt idx="4">
                  <c:v>527.86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21.27</c:v>
                </c:pt>
                <c:pt idx="1">
                  <c:v>1270.97</c:v>
                </c:pt>
                <c:pt idx="2">
                  <c:v>123.19</c:v>
                </c:pt>
                <c:pt idx="3">
                  <c:v>96.78</c:v>
                </c:pt>
                <c:pt idx="4">
                  <c:v>246.74</c:v>
                </c:pt>
              </c:numCache>
            </c:numRef>
          </c:val>
        </c:ser>
        <c:dLbls>
          <c:showLegendKey val="0"/>
          <c:showVal val="0"/>
          <c:showCatName val="0"/>
          <c:showSerName val="0"/>
          <c:showPercent val="0"/>
          <c:showBubbleSize val="0"/>
        </c:dLbls>
        <c:gapWidth val="219"/>
        <c:overlap val="-27"/>
        <c:axId val="421339136"/>
        <c:axId val="421341824"/>
      </c:barChart>
      <c:catAx>
        <c:axId val="4213391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341824"/>
        <c:crosses val="autoZero"/>
        <c:auto val="1"/>
        <c:lblAlgn val="ctr"/>
        <c:lblOffset val="100"/>
        <c:noMultiLvlLbl val="0"/>
      </c:catAx>
      <c:valAx>
        <c:axId val="421341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33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21.27</c:v>
                </c:pt>
                <c:pt idx="1">
                  <c:v>21.27</c:v>
                </c:pt>
              </c:numCache>
            </c:numRef>
          </c:val>
        </c:ser>
        <c:dLbls>
          <c:showLegendKey val="0"/>
          <c:showVal val="0"/>
          <c:showCatName val="0"/>
          <c:showSerName val="0"/>
          <c:showPercent val="0"/>
          <c:showBubbleSize val="0"/>
        </c:dLbls>
        <c:gapWidth val="219"/>
        <c:overlap val="-27"/>
        <c:axId val="421968128"/>
        <c:axId val="421981568"/>
      </c:barChart>
      <c:catAx>
        <c:axId val="421968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981568"/>
        <c:crosses val="autoZero"/>
        <c:auto val="1"/>
        <c:lblAlgn val="ctr"/>
        <c:lblOffset val="100"/>
        <c:noMultiLvlLbl val="0"/>
      </c:catAx>
      <c:valAx>
        <c:axId val="4219815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968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1248.56</c:v>
                </c:pt>
                <c:pt idx="1">
                  <c:v>21.96</c:v>
                </c:pt>
                <c:pt idx="2">
                  <c:v>0.45</c:v>
                </c:pt>
                <c:pt idx="3">
                  <c:v>1270.97</c:v>
                </c:pt>
              </c:numCache>
            </c:numRef>
          </c:val>
        </c:ser>
        <c:dLbls>
          <c:showLegendKey val="0"/>
          <c:showVal val="0"/>
          <c:showCatName val="0"/>
          <c:showSerName val="0"/>
          <c:showPercent val="0"/>
          <c:showBubbleSize val="0"/>
        </c:dLbls>
        <c:gapWidth val="219"/>
        <c:overlap val="-27"/>
        <c:axId val="422072704"/>
        <c:axId val="422118144"/>
      </c:barChart>
      <c:catAx>
        <c:axId val="422072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118144"/>
        <c:crosses val="autoZero"/>
        <c:auto val="1"/>
        <c:lblAlgn val="ctr"/>
        <c:lblOffset val="100"/>
        <c:noMultiLvlLbl val="0"/>
      </c:catAx>
      <c:valAx>
        <c:axId val="422118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072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123.19</c:v>
                </c:pt>
                <c:pt idx="1">
                  <c:v>123.19</c:v>
                </c:pt>
              </c:numCache>
            </c:numRef>
          </c:val>
        </c:ser>
        <c:dLbls>
          <c:showLegendKey val="0"/>
          <c:showVal val="0"/>
          <c:showCatName val="0"/>
          <c:showSerName val="0"/>
          <c:showPercent val="0"/>
          <c:showBubbleSize val="0"/>
        </c:dLbls>
        <c:gapWidth val="219"/>
        <c:overlap val="-27"/>
        <c:axId val="423698432"/>
        <c:axId val="423700736"/>
      </c:barChart>
      <c:catAx>
        <c:axId val="42369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00736"/>
        <c:crosses val="autoZero"/>
        <c:auto val="1"/>
        <c:lblAlgn val="ctr"/>
        <c:lblOffset val="100"/>
        <c:noMultiLvlLbl val="0"/>
      </c:catAx>
      <c:valAx>
        <c:axId val="423700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69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96.78</c:v>
                </c:pt>
                <c:pt idx="1">
                  <c:v>96.78</c:v>
                </c:pt>
              </c:numCache>
            </c:numRef>
          </c:val>
        </c:ser>
        <c:dLbls>
          <c:showLegendKey val="0"/>
          <c:showVal val="0"/>
          <c:showCatName val="0"/>
          <c:showSerName val="0"/>
          <c:showPercent val="0"/>
          <c:showBubbleSize val="0"/>
        </c:dLbls>
        <c:gapWidth val="219"/>
        <c:overlap val="-27"/>
        <c:axId val="424504704"/>
        <c:axId val="249377920"/>
      </c:barChart>
      <c:catAx>
        <c:axId val="424504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377920"/>
        <c:crosses val="autoZero"/>
        <c:auto val="1"/>
        <c:lblAlgn val="ctr"/>
        <c:lblOffset val="100"/>
        <c:noMultiLvlLbl val="0"/>
      </c:catAx>
      <c:valAx>
        <c:axId val="249377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50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243.72</c:v>
                </c:pt>
                <c:pt idx="1">
                  <c:v>243.72</c:v>
                </c:pt>
              </c:numCache>
            </c:numRef>
          </c:val>
        </c:ser>
        <c:dLbls>
          <c:showLegendKey val="0"/>
          <c:showVal val="0"/>
          <c:showCatName val="0"/>
          <c:showSerName val="0"/>
          <c:showPercent val="0"/>
          <c:showBubbleSize val="0"/>
        </c:dLbls>
        <c:gapWidth val="219"/>
        <c:overlap val="-27"/>
        <c:axId val="249398400"/>
        <c:axId val="249399936"/>
      </c:barChart>
      <c:catAx>
        <c:axId val="249398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399936"/>
        <c:crosses val="autoZero"/>
        <c:auto val="1"/>
        <c:lblAlgn val="ctr"/>
        <c:lblOffset val="100"/>
        <c:noMultiLvlLbl val="0"/>
      </c:catAx>
      <c:valAx>
        <c:axId val="249399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398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505.53</c:v>
                </c:pt>
                <c:pt idx="1">
                  <c:v>104.31</c:v>
                </c:pt>
                <c:pt idx="2">
                  <c:v>60.13</c:v>
                </c:pt>
                <c:pt idx="3">
                  <c:v>0</c:v>
                </c:pt>
                <c:pt idx="4">
                  <c:v>204.99</c:v>
                </c:pt>
                <c:pt idx="5">
                  <c:v>123.19</c:v>
                </c:pt>
                <c:pt idx="6">
                  <c:v>0</c:v>
                </c:pt>
                <c:pt idx="7">
                  <c:v>58.35</c:v>
                </c:pt>
                <c:pt idx="8">
                  <c:v>0</c:v>
                </c:pt>
                <c:pt idx="9">
                  <c:v>6.25</c:v>
                </c:pt>
                <c:pt idx="10">
                  <c:v>96.78</c:v>
                </c:pt>
                <c:pt idx="11">
                  <c:v>0</c:v>
                </c:pt>
                <c:pt idx="12">
                  <c:v>8.79</c:v>
                </c:pt>
              </c:numCache>
            </c:numRef>
          </c:val>
        </c:ser>
        <c:dLbls>
          <c:showLegendKey val="0"/>
          <c:showVal val="0"/>
          <c:showCatName val="0"/>
          <c:showSerName val="0"/>
          <c:showPercent val="0"/>
          <c:showBubbleSize val="0"/>
        </c:dLbls>
        <c:gapWidth val="219"/>
        <c:overlap val="-27"/>
        <c:axId val="249424512"/>
        <c:axId val="250126720"/>
      </c:barChart>
      <c:catAx>
        <c:axId val="249424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126720"/>
        <c:crosses val="autoZero"/>
        <c:auto val="1"/>
        <c:lblAlgn val="ctr"/>
        <c:lblOffset val="100"/>
        <c:noMultiLvlLbl val="0"/>
      </c:catAx>
      <c:valAx>
        <c:axId val="2501267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9424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21.55</c:v>
                </c:pt>
                <c:pt idx="1">
                  <c:v>0</c:v>
                </c:pt>
                <c:pt idx="2">
                  <c:v>0</c:v>
                </c:pt>
                <c:pt idx="3">
                  <c:v>0</c:v>
                </c:pt>
                <c:pt idx="4">
                  <c:v>0</c:v>
                </c:pt>
                <c:pt idx="5">
                  <c:v>6.13</c:v>
                </c:pt>
                <c:pt idx="6">
                  <c:v>4.64</c:v>
                </c:pt>
                <c:pt idx="7">
                  <c:v>0</c:v>
                </c:pt>
                <c:pt idx="8">
                  <c:v>0.48</c:v>
                </c:pt>
                <c:pt idx="9">
                  <c:v>7.21</c:v>
                </c:pt>
                <c:pt idx="10">
                  <c:v>0</c:v>
                </c:pt>
                <c:pt idx="11">
                  <c:v>1.01</c:v>
                </c:pt>
                <c:pt idx="12">
                  <c:v>0</c:v>
                </c:pt>
                <c:pt idx="13">
                  <c:v>0</c:v>
                </c:pt>
                <c:pt idx="14">
                  <c:v>0</c:v>
                </c:pt>
                <c:pt idx="15">
                  <c:v>0</c:v>
                </c:pt>
                <c:pt idx="16">
                  <c:v>0.4</c:v>
                </c:pt>
                <c:pt idx="17">
                  <c:v>0</c:v>
                </c:pt>
                <c:pt idx="18">
                  <c:v>0</c:v>
                </c:pt>
                <c:pt idx="19">
                  <c:v>0</c:v>
                </c:pt>
                <c:pt idx="20">
                  <c:v>0</c:v>
                </c:pt>
                <c:pt idx="21">
                  <c:v>21.27</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250209024"/>
        <c:axId val="250210560"/>
      </c:barChart>
      <c:catAx>
        <c:axId val="250209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210560"/>
        <c:crosses val="autoZero"/>
        <c:auto val="1"/>
        <c:lblAlgn val="ctr"/>
        <c:lblOffset val="100"/>
        <c:noMultiLvlLbl val="0"/>
      </c:catAx>
      <c:valAx>
        <c:axId val="250210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20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PC</Company>
  <Pages>35</Pages>
  <Words>7908</Words>
  <Characters>10677</Characters>
  <Lines>1525</Lines>
  <Paragraphs>1858</Paragraphs>
  <TotalTime>0</TotalTime>
  <ScaleCrop>false</ScaleCrop>
  <LinksUpToDate>false</LinksUpToDate>
  <CharactersWithSpaces>16727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2023-11-29T02:38:24Z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