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环江毛南族自治县东兴镇中心幼儿园2022年度部门决算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ind w:firstLine="2640" w:firstLineChars="600"/>
        <w:jc w:val="left"/>
        <w:rPr>
          <w:rFonts w:hint="default" w:ascii="黑体" w:hAnsi="黑体" w:eastAsia="黑体" w:cs="黑体"/>
          <w:sz w:val="44"/>
          <w:szCs w:val="44"/>
          <w:highlight w:val="none"/>
          <w:lang w:val="en-US" w:eastAsia="zh-CN"/>
        </w:rPr>
      </w:pPr>
      <w:r>
        <w:rPr>
          <w:rFonts w:hint="eastAsia" w:ascii="黑体" w:hAnsi="黑体" w:eastAsia="黑体" w:cs="黑体"/>
          <w:sz w:val="44"/>
          <w:szCs w:val="44"/>
          <w:highlight w:val="none"/>
          <w:lang w:val="en-US" w:eastAsia="zh-CN"/>
        </w:rPr>
        <w:t>单位负责人：欧杏兹</w:t>
      </w:r>
    </w:p>
    <w:p>
      <w:pPr>
        <w:jc w:val="center"/>
        <w:rPr>
          <w:rFonts w:hint="default"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jc w:val="center"/>
        <w:rPr>
          <w:rFonts w:ascii="黑体" w:hAnsi="黑体" w:eastAsia="黑体" w:cs="黑体"/>
          <w:b/>
          <w:bCs/>
          <w:sz w:val="36"/>
          <w:szCs w:val="36"/>
          <w:highlight w:val="none"/>
        </w:rPr>
      </w:pP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环江毛南族自治县东兴镇中心幼儿园</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环江毛南族自治县东兴镇中心幼儿园</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环江毛南族自治县东兴镇中心幼儿园</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环江毛南族自治县东兴镇中心幼儿园</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一、主要职能</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（一）贯彻执行党和国家的教育方针、政策和法律法规；拟订全园教育改革与发展规划并组织实施。</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（二）编制本园教育事业发展规划并检查实施情况，向自治县人民政府和上级教育部门作出报告。</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（三）督促检查全园贯彻执行教育方针、政策、法令、法规和上级的各项规定；评估指导全园教育教学工作。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（四）负责推进幼儿教育均衡发展和促进教育公平。</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（五）负责全园人才队伍和教师队伍建设，包括园长岗位培训、后备干部队伍建设、教师学历教育、继续教育等。</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（六）负责组织全园做好学籍管理工作。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（七）按照中央关于全面推进素质教育要求，负责教育教学管理、教育教学改革及教育教学科学研究工作，检查指导全园实施素质教育工作，并组织推广先进的教育教学经验。</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（八）检查指导学校教育教学设备的装备、管理和使用工作。</w:t>
      </w:r>
    </w:p>
    <w:p>
      <w:pPr>
        <w:spacing w:line="560" w:lineRule="exact"/>
        <w:ind w:firstLine="646"/>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（九）检查指导全园开展电化教育和信息化教学工作。</w:t>
      </w:r>
    </w:p>
    <w:p>
      <w:pPr>
        <w:spacing w:line="560" w:lineRule="exact"/>
        <w:ind w:firstLine="646"/>
        <w:rPr>
          <w:rFonts w:hint="eastAsia" w:ascii="仿宋" w:hAnsi="仿宋" w:eastAsia="仿宋" w:cs="仿宋"/>
          <w:color w:val="FF0000"/>
          <w:sz w:val="32"/>
          <w:szCs w:val="32"/>
          <w:lang w:val="en-US" w:eastAsia="zh-CN"/>
        </w:rPr>
      </w:pPr>
      <w:r>
        <w:rPr>
          <w:rFonts w:hint="eastAsia" w:ascii="Times New Roman" w:hAnsi="Times New Roman" w:eastAsia="仿宋_GB2312" w:cs="Times New Roman"/>
          <w:sz w:val="32"/>
          <w:szCs w:val="32"/>
        </w:rPr>
        <w:t>（十）负责全园教师初级专业技术职务资格的评审，中、高级专业技术职务资格的申报工作。按照管理权限对教师进行考核、聘任、奖惩、晋升等工作。</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我部门没有下属单位，按照部门决算编报要求，单独编制本部门决算。</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600" w:firstLineChars="5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环江毛南族自治县东兴镇中心幼儿园</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环江毛南族自治县东兴镇中心幼儿园</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184.48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166.04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184.48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184.48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184.48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184.48</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环江毛南族自治县东兴镇中心幼儿园</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184.48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184.48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166.04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166.04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学前教育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162.61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162.61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环江毛南族自治县东兴镇中心幼儿园</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184.48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54.27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130.21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0.61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0.61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0.61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43.71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122.33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166.04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43.71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122.33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学前教育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162.61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43.71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118.91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5.86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5.86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5.86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4.09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环江毛南族自治县东兴镇中心幼儿园</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184.48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0.61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166.04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166.04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5.86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4.09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7.88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184.48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184.48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184.48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184.48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184.48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184.48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环江毛南族自治县东兴镇中心幼儿园</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184.48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54.27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130.21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166.04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43.71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122.33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166.04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43.71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122.33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学前教育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162.61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43.71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118.91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7.88</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环江毛南族自治县东兴镇中心幼儿园</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23.70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4.54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8.94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5.86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0.61</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环江毛南族自治县东兴镇中心幼儿园</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r>
              <w:rPr>
                <w:rFonts w:hint="eastAsia" w:ascii="Times New Roman" w:hAnsi="Times New Roman" w:eastAsia="宋体" w:cs="Times New Roman"/>
                <w:color w:val="auto"/>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环江毛南族自治县东兴镇中心幼儿园</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环江毛南族自治县东兴镇中心幼儿园</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环江毛南族自治县东兴镇中心幼儿园</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184.48</w:t>
      </w:r>
      <w:r>
        <w:rPr>
          <w:rFonts w:hint="eastAsia" w:ascii="仿宋" w:hAnsi="仿宋" w:eastAsia="仿宋" w:cs="仿宋"/>
          <w:sz w:val="32"/>
          <w:szCs w:val="32"/>
          <w:highlight w:val="none"/>
        </w:rPr>
        <w:t>万元，较2021年度决算数</w:t>
      </w:r>
      <w:r>
        <w:rPr>
          <w:rFonts w:ascii="仿宋" w:hAnsi="仿宋" w:eastAsia="仿宋" w:cs="仿宋"/>
          <w:sz w:val="32"/>
          <w:u w:color="auto"/>
        </w:rPr>
        <w:t>增加35.03</w:t>
      </w:r>
      <w:r>
        <w:rPr>
          <w:rFonts w:hint="eastAsia" w:ascii="仿宋" w:hAnsi="仿宋" w:eastAsia="仿宋" w:cs="仿宋"/>
          <w:sz w:val="32"/>
          <w:szCs w:val="32"/>
          <w:highlight w:val="none"/>
        </w:rPr>
        <w:t>万元，</w:t>
      </w:r>
      <w:r>
        <w:rPr>
          <w:rFonts w:ascii="仿宋" w:hAnsi="仿宋" w:eastAsia="仿宋" w:cs="仿宋"/>
          <w:sz w:val="32"/>
          <w:u w:color="auto"/>
        </w:rPr>
        <w:t>增长23.44%</w:t>
      </w:r>
      <w:r>
        <w:rPr>
          <w:rFonts w:hint="eastAsia" w:ascii="仿宋" w:hAnsi="仿宋" w:eastAsia="仿宋" w:cs="仿宋"/>
          <w:sz w:val="32"/>
          <w:szCs w:val="32"/>
          <w:highlight w:val="none"/>
        </w:rPr>
        <w:t>，其中本年收入</w:t>
      </w:r>
      <w:r>
        <w:rPr>
          <w:rFonts w:ascii="仿宋" w:hAnsi="仿宋" w:eastAsia="仿宋" w:cs="仿宋"/>
          <w:sz w:val="32"/>
          <w:u w:color="auto"/>
        </w:rPr>
        <w:t>184.48</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184.48</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增加38.81</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增长26.64%</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主要原因：本部门2022年度新增6名公招教师控制数，2022年度调整工资标准。</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4.上级补助收入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万元，为上级部门当年拨付的资金。较2021年度决算数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5.事业收入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万元，为事业单位开展业务活动取得的收入。较2021年度决算数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6.</w:t>
      </w:r>
      <w:r>
        <w:rPr>
          <w:rFonts w:hint="eastAsia" w:ascii="仿宋" w:hAnsi="仿宋" w:eastAsia="仿宋" w:cs="仿宋"/>
          <w:color w:val="auto"/>
          <w:kern w:val="2"/>
          <w:sz w:val="36"/>
          <w:szCs w:val="36"/>
          <w:highlight w:val="none"/>
          <w:lang w:val="en-US" w:eastAsia="zh-CN" w:bidi="ar"/>
        </w:rPr>
        <w:t>经营收入</w:t>
      </w:r>
      <w:r>
        <w:rPr>
          <w:rFonts w:hint="eastAsia" w:ascii="仿宋" w:hAnsi="仿宋" w:eastAsia="仿宋" w:cs="仿宋"/>
          <w:color w:val="auto"/>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8.其他收入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9.使用非财政拨款结余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u w:color="auto"/>
        </w:rPr>
        <w:t>减少3.78</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下降100.00%</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both"/>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drawing>
          <wp:inline distT="0" distB="0" distL="114300" distR="114300">
            <wp:extent cx="5080000" cy="2420620"/>
            <wp:effectExtent l="4445" t="4445" r="20955" b="1333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color w:val="auto"/>
          <w:sz w:val="32"/>
          <w:szCs w:val="32"/>
          <w:highlight w:val="none"/>
        </w:rPr>
        <w:t>（二）本部门2022年度总支出</w:t>
      </w:r>
      <w:r>
        <w:rPr>
          <w:rFonts w:ascii="仿宋" w:hAnsi="仿宋" w:eastAsia="仿宋" w:cs="仿宋"/>
          <w:color w:val="auto"/>
          <w:sz w:val="32"/>
          <w:u w:color="auto"/>
        </w:rPr>
        <w:t>184.48</w:t>
      </w:r>
      <w:r>
        <w:rPr>
          <w:rFonts w:hint="eastAsia" w:ascii="仿宋" w:hAnsi="仿宋" w:eastAsia="仿宋" w:cs="仿宋"/>
          <w:color w:val="auto"/>
          <w:sz w:val="32"/>
          <w:szCs w:val="32"/>
          <w:highlight w:val="none"/>
        </w:rPr>
        <w:t>万元，其中本年</w:t>
      </w:r>
      <w:r>
        <w:rPr>
          <w:rFonts w:hint="eastAsia" w:ascii="仿宋" w:hAnsi="仿宋" w:eastAsia="仿宋" w:cs="仿宋"/>
          <w:sz w:val="32"/>
          <w:szCs w:val="32"/>
          <w:highlight w:val="none"/>
        </w:rPr>
        <w:t>支出</w:t>
      </w:r>
      <w:r>
        <w:rPr>
          <w:rFonts w:ascii="仿宋" w:hAnsi="仿宋" w:eastAsia="仿宋" w:cs="仿宋"/>
          <w:sz w:val="32"/>
          <w:u w:color="auto"/>
        </w:rPr>
        <w:t>184.48</w:t>
      </w:r>
      <w:r>
        <w:rPr>
          <w:rFonts w:hint="eastAsia" w:ascii="仿宋" w:hAnsi="仿宋" w:eastAsia="仿宋" w:cs="仿宋"/>
          <w:sz w:val="32"/>
          <w:szCs w:val="32"/>
          <w:highlight w:val="none"/>
        </w:rPr>
        <w:t>万元，较2021年度决算数</w:t>
      </w:r>
      <w:r>
        <w:rPr>
          <w:rFonts w:ascii="仿宋" w:hAnsi="仿宋" w:eastAsia="仿宋" w:cs="仿宋"/>
          <w:sz w:val="32"/>
          <w:u w:color="auto"/>
        </w:rPr>
        <w:t>增加35.03</w:t>
      </w:r>
      <w:r>
        <w:rPr>
          <w:rFonts w:hint="eastAsia" w:ascii="仿宋" w:hAnsi="仿宋" w:eastAsia="仿宋" w:cs="仿宋"/>
          <w:sz w:val="32"/>
          <w:szCs w:val="32"/>
          <w:highlight w:val="none"/>
        </w:rPr>
        <w:t>万元，</w:t>
      </w:r>
      <w:r>
        <w:rPr>
          <w:rFonts w:ascii="仿宋" w:hAnsi="仿宋" w:eastAsia="仿宋" w:cs="仿宋"/>
          <w:sz w:val="32"/>
          <w:u w:color="auto"/>
        </w:rPr>
        <w:t>增长23.44%</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0.61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kern w:val="0"/>
          <w:sz w:val="32"/>
          <w:szCs w:val="32"/>
        </w:rPr>
        <w:t>主要用于</w:t>
      </w:r>
      <w:r>
        <w:rPr>
          <w:rFonts w:hint="eastAsia" w:ascii="Times New Roman" w:hAnsi="Times New Roman" w:eastAsia="仿宋_GB2312" w:cs="Times New Roman"/>
          <w:kern w:val="0"/>
          <w:sz w:val="32"/>
          <w:szCs w:val="32"/>
          <w:lang w:val="en-US" w:eastAsia="zh-CN"/>
        </w:rPr>
        <w:t>群众团体事务</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增加0.61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主要原因是：本部门2022年度新增6名公招教师控制数</w:t>
      </w:r>
      <w:r>
        <w:rPr>
          <w:rFonts w:hint="eastAsia" w:ascii="仿宋" w:hAnsi="仿宋" w:eastAsia="仿宋" w:cs="仿宋"/>
          <w:color w:val="FF0000"/>
          <w:kern w:val="2"/>
          <w:sz w:val="32"/>
          <w:szCs w:val="32"/>
          <w:highlight w:val="none"/>
          <w:lang w:val="en-US" w:eastAsia="zh-CN" w:bidi="ar"/>
        </w:rPr>
        <w:t>。</w:t>
      </w:r>
    </w:p>
    <w:p>
      <w:pPr>
        <w:autoSpaceDE w:val="0"/>
        <w:autoSpaceDN w:val="0"/>
        <w:adjustRightInd w:val="0"/>
        <w:spacing w:line="560" w:lineRule="exact"/>
        <w:ind w:firstLine="640" w:firstLineChars="200"/>
        <w:rPr>
          <w:rFonts w:hint="eastAsia" w:ascii="Times New Roman" w:hAnsi="Times New Roman" w:eastAsia="仿宋_GB2312" w:cs="Times New Roman"/>
          <w:kern w:val="0"/>
          <w:sz w:val="32"/>
          <w:szCs w:val="32"/>
          <w:lang w:eastAsia="zh-CN"/>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166.04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ascii="Times New Roman" w:hAnsi="Times New Roman" w:eastAsia="仿宋_GB2312" w:cs="Times New Roman"/>
          <w:kern w:val="0"/>
          <w:sz w:val="32"/>
          <w:szCs w:val="32"/>
        </w:rPr>
        <w:t>主要用于</w:t>
      </w:r>
      <w:r>
        <w:rPr>
          <w:rFonts w:hint="eastAsia" w:ascii="Times New Roman" w:hAnsi="Times New Roman" w:eastAsia="仿宋_GB2312" w:cs="Times New Roman"/>
          <w:kern w:val="0"/>
          <w:sz w:val="32"/>
          <w:szCs w:val="32"/>
        </w:rPr>
        <w:t>人员基本工资，商品服务支出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增加27.75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增长20.07%</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主要原因是：本部门2022年度新增6名公招教师控制数；2022年度调整工资标准</w:t>
      </w:r>
      <w:r>
        <w:rPr>
          <w:rFonts w:hint="eastAsia" w:ascii="Times New Roman" w:hAnsi="Times New Roman" w:eastAsia="仿宋_GB2312" w:cs="Times New Roman"/>
          <w:kern w:val="0"/>
          <w:sz w:val="32"/>
          <w:szCs w:val="32"/>
          <w:lang w:eastAsia="zh-CN"/>
        </w:rPr>
        <w:t>。</w:t>
      </w:r>
    </w:p>
    <w:p>
      <w:pPr>
        <w:autoSpaceDE w:val="0"/>
        <w:autoSpaceDN w:val="0"/>
        <w:adjustRightInd w:val="0"/>
        <w:spacing w:line="560" w:lineRule="exact"/>
        <w:ind w:firstLine="640" w:firstLineChars="200"/>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5.86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kern w:val="0"/>
          <w:sz w:val="32"/>
          <w:szCs w:val="32"/>
        </w:rPr>
        <w:t>主要用于住房公积金缴费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增加0.87</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增长17.43%</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主要原因是：本部门2022年度新增6名公招教师控制数；2022年度调整缴费基数</w:t>
      </w:r>
      <w:r>
        <w:rPr>
          <w:rFonts w:hint="eastAsia" w:ascii="仿宋" w:hAnsi="仿宋" w:eastAsia="仿宋" w:cs="仿宋"/>
          <w:color w:val="FF0000"/>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4.09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kern w:val="0"/>
          <w:sz w:val="32"/>
          <w:szCs w:val="32"/>
        </w:rPr>
        <w:t>主要用于住房公积金缴费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增加1.81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增长79.39%</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主要原因是：本部门2022年度新增6名公招教师控制数；2022年度调整缴费基数</w:t>
      </w:r>
      <w:r>
        <w:rPr>
          <w:rFonts w:hint="eastAsia" w:ascii="仿宋" w:hAnsi="仿宋" w:eastAsia="仿宋" w:cs="仿宋"/>
          <w:color w:val="FF0000"/>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7.88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Times New Roman" w:hAnsi="Times New Roman" w:eastAsia="仿宋_GB2312" w:cs="Times New Roman"/>
          <w:kern w:val="0"/>
          <w:sz w:val="32"/>
          <w:szCs w:val="32"/>
        </w:rPr>
        <w:t>人员工资福利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增加4.00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增长103.09%</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年公招新进</w:t>
      </w:r>
      <w:r>
        <w:rPr>
          <w:rFonts w:hint="eastAsia" w:ascii="Times New Roman" w:hAnsi="Times New Roman" w:eastAsia="仿宋_GB2312" w:cs="Times New Roman"/>
          <w:kern w:val="0"/>
          <w:sz w:val="32"/>
          <w:szCs w:val="32"/>
          <w:lang w:val="en-US" w:eastAsia="zh-CN"/>
        </w:rPr>
        <w:t>8</w:t>
      </w:r>
      <w:r>
        <w:rPr>
          <w:rFonts w:hint="eastAsia" w:ascii="Times New Roman" w:hAnsi="Times New Roman" w:eastAsia="仿宋_GB2312" w:cs="Times New Roman"/>
          <w:kern w:val="0"/>
          <w:sz w:val="32"/>
          <w:szCs w:val="32"/>
        </w:rPr>
        <w:t>人</w:t>
      </w:r>
      <w:r>
        <w:rPr>
          <w:rFonts w:hint="eastAsia" w:ascii="仿宋" w:hAnsi="仿宋" w:eastAsia="仿宋" w:cs="仿宋"/>
          <w:color w:val="FF0000"/>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eastAsia" w:ascii="仿宋" w:hAnsi="仿宋" w:eastAsia="仿宋" w:cs="仿宋"/>
          <w:color w:val="FF0000"/>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color w:val="FF0000"/>
          <w:kern w:val="2"/>
          <w:sz w:val="32"/>
          <w:szCs w:val="32"/>
          <w:highlight w:val="none"/>
          <w:lang w:val="en-US" w:eastAsia="zh-CN" w:bidi="ar"/>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环江毛南族自治县东兴镇中心幼儿园</w:t>
      </w:r>
      <w:r>
        <w:rPr>
          <w:rFonts w:hint="eastAsia" w:ascii="仿宋" w:hAnsi="仿宋" w:eastAsia="仿宋" w:cs="仿宋"/>
          <w:sz w:val="32"/>
          <w:szCs w:val="32"/>
          <w:highlight w:val="none"/>
        </w:rPr>
        <w:t>2022年度一般公共预算财政拨款支出</w:t>
      </w:r>
      <w:r>
        <w:rPr>
          <w:rFonts w:ascii="仿宋" w:hAnsi="仿宋" w:eastAsia="仿宋" w:cs="仿宋"/>
          <w:sz w:val="32"/>
          <w:u w:color="auto"/>
        </w:rPr>
        <w:t>184.48</w:t>
      </w:r>
      <w:r>
        <w:rPr>
          <w:rFonts w:hint="eastAsia" w:ascii="仿宋" w:hAnsi="仿宋" w:eastAsia="仿宋" w:cs="仿宋"/>
          <w:sz w:val="32"/>
          <w:szCs w:val="32"/>
          <w:highlight w:val="none"/>
        </w:rPr>
        <w:t>万元，较2021年度决算数</w:t>
      </w:r>
      <w:r>
        <w:rPr>
          <w:rFonts w:ascii="仿宋" w:hAnsi="仿宋" w:eastAsia="仿宋" w:cs="仿宋"/>
          <w:sz w:val="32"/>
          <w:u w:color="auto"/>
        </w:rPr>
        <w:t>增加35.03</w:t>
      </w:r>
      <w:r>
        <w:rPr>
          <w:rFonts w:hint="eastAsia" w:ascii="仿宋" w:hAnsi="仿宋" w:eastAsia="仿宋" w:cs="仿宋"/>
          <w:sz w:val="32"/>
          <w:szCs w:val="32"/>
          <w:highlight w:val="none"/>
        </w:rPr>
        <w:t>万元，</w:t>
      </w:r>
      <w:r>
        <w:rPr>
          <w:rFonts w:ascii="仿宋" w:hAnsi="仿宋" w:eastAsia="仿宋" w:cs="仿宋"/>
          <w:sz w:val="32"/>
          <w:u w:color="auto"/>
        </w:rPr>
        <w:t>增长23.44%</w:t>
      </w:r>
      <w:r>
        <w:rPr>
          <w:rFonts w:hint="eastAsia" w:ascii="仿宋" w:hAnsi="仿宋" w:eastAsia="仿宋" w:cs="仿宋"/>
          <w:sz w:val="32"/>
          <w:szCs w:val="32"/>
          <w:highlight w:val="none"/>
        </w:rPr>
        <w:t>。其中：基本支出</w:t>
      </w:r>
      <w:r>
        <w:rPr>
          <w:rFonts w:ascii="仿宋" w:hAnsi="仿宋" w:eastAsia="仿宋" w:cs="仿宋"/>
          <w:sz w:val="32"/>
          <w:u w:color="auto"/>
        </w:rPr>
        <w:t>54.27</w:t>
      </w:r>
      <w:r>
        <w:rPr>
          <w:rFonts w:hint="eastAsia" w:ascii="仿宋" w:hAnsi="仿宋" w:eastAsia="仿宋" w:cs="仿宋"/>
          <w:sz w:val="32"/>
          <w:szCs w:val="32"/>
          <w:highlight w:val="none"/>
        </w:rPr>
        <w:t>万元，项目支出</w:t>
      </w:r>
      <w:r>
        <w:rPr>
          <w:rFonts w:ascii="仿宋" w:hAnsi="仿宋" w:eastAsia="仿宋" w:cs="仿宋"/>
          <w:sz w:val="32"/>
          <w:u w:color="auto"/>
        </w:rPr>
        <w:t>130.21</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环江毛南族自治县东兴镇中心幼儿园</w:t>
      </w:r>
      <w:r>
        <w:rPr>
          <w:rFonts w:hint="eastAsia" w:ascii="仿宋" w:hAnsi="仿宋" w:eastAsia="仿宋" w:cs="仿宋"/>
          <w:sz w:val="32"/>
          <w:szCs w:val="32"/>
          <w:highlight w:val="none"/>
        </w:rPr>
        <w:t>2022 年度一般公共预算财政拨款支出年初预算为</w:t>
      </w:r>
      <w:r>
        <w:rPr>
          <w:rFonts w:ascii="仿宋" w:hAnsi="仿宋" w:eastAsia="仿宋" w:cs="仿宋"/>
          <w:sz w:val="32"/>
          <w:u w:color="auto"/>
        </w:rPr>
        <w:t>190.97</w:t>
      </w:r>
      <w:r>
        <w:rPr>
          <w:rFonts w:hint="eastAsia" w:ascii="仿宋" w:hAnsi="仿宋" w:eastAsia="仿宋" w:cs="仿宋"/>
          <w:sz w:val="32"/>
          <w:szCs w:val="32"/>
          <w:highlight w:val="none"/>
        </w:rPr>
        <w:t>万元，支出决算为</w:t>
      </w:r>
      <w:r>
        <w:rPr>
          <w:rFonts w:ascii="仿宋" w:hAnsi="仿宋" w:eastAsia="仿宋" w:cs="仿宋"/>
          <w:sz w:val="32"/>
          <w:u w:color="auto"/>
        </w:rPr>
        <w:t>184.48</w:t>
      </w:r>
      <w:r>
        <w:rPr>
          <w:rFonts w:hint="eastAsia" w:ascii="仿宋" w:hAnsi="仿宋" w:eastAsia="仿宋" w:cs="仿宋"/>
          <w:sz w:val="32"/>
          <w:szCs w:val="32"/>
          <w:highlight w:val="none"/>
        </w:rPr>
        <w:t>万元，完成年初预算的</w:t>
      </w:r>
      <w:r>
        <w:rPr>
          <w:rFonts w:ascii="仿宋" w:hAnsi="仿宋" w:eastAsia="仿宋" w:cs="仿宋"/>
          <w:sz w:val="32"/>
          <w:u w:color="auto"/>
        </w:rPr>
        <w:t>96.60%</w:t>
      </w:r>
      <w:r>
        <w:rPr>
          <w:rFonts w:hint="eastAsia" w:ascii="仿宋" w:hAnsi="仿宋" w:eastAsia="仿宋" w:cs="仿宋"/>
          <w:sz w:val="32"/>
          <w:szCs w:val="32"/>
          <w:highlight w:val="none"/>
        </w:rPr>
        <w:t>。</w:t>
      </w:r>
    </w:p>
    <w:p>
      <w:pPr>
        <w:jc w:val="left"/>
        <w:rPr>
          <w:rFonts w:ascii="仿宋" w:hAnsi="仿宋" w:eastAsia="仿宋"/>
          <w:sz w:val="32"/>
          <w:szCs w:val="32"/>
          <w:highlight w:val="none"/>
        </w:rPr>
      </w:pPr>
      <w:bookmarkStart w:id="3" w:name="OLE_LINK2"/>
      <w:bookmarkEnd w:id="3"/>
      <w:r>
        <w:rPr>
          <w:rFonts w:hint="eastAsia" w:ascii="仿宋" w:hAnsi="仿宋" w:eastAsia="仿宋"/>
          <w:sz w:val="32"/>
          <w:szCs w:val="32"/>
          <w:highlight w:val="none"/>
        </w:rPr>
        <w:t xml:space="preserve"> </w:t>
      </w:r>
    </w:p>
    <w:p>
      <w:pPr>
        <w:keepNext w:val="0"/>
        <w:keepLines w:val="0"/>
        <w:widowControl w:val="0"/>
        <w:numPr>
          <w:ilvl w:val="0"/>
          <w:numId w:val="1"/>
        </w:numPr>
        <w:suppressLineNumbers w:val="0"/>
        <w:spacing w:before="0" w:beforeAutospacing="0" w:after="0" w:afterAutospacing="0"/>
        <w:ind w:left="21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0.61</w:t>
      </w:r>
      <w:r>
        <w:rPr>
          <w:rFonts w:hint="eastAsia" w:ascii="仿宋" w:hAnsi="仿宋" w:eastAsia="仿宋"/>
          <w:sz w:val="32"/>
          <w:szCs w:val="32"/>
          <w:highlight w:val="none"/>
        </w:rPr>
        <w:t>万元，支出决算为</w:t>
      </w:r>
      <w:r>
        <w:rPr>
          <w:rFonts w:ascii="仿宋" w:hAnsi="仿宋" w:eastAsia="仿宋"/>
          <w:sz w:val="32"/>
          <w:szCs w:val="32"/>
          <w:highlight w:val="none"/>
        </w:rPr>
        <w:t>0.61</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工会经费</w:t>
      </w:r>
      <w:r>
        <w:rPr>
          <w:rFonts w:hint="eastAsia" w:ascii="仿宋" w:hAnsi="仿宋" w:eastAsia="仿宋" w:cs="仿宋"/>
          <w:color w:val="FF0000"/>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0.61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0.61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0.61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0.61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工会经费支出</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21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181.82</w:t>
      </w:r>
      <w:r>
        <w:rPr>
          <w:rFonts w:hint="eastAsia" w:ascii="仿宋" w:hAnsi="仿宋" w:eastAsia="仿宋"/>
          <w:sz w:val="32"/>
          <w:szCs w:val="32"/>
          <w:highlight w:val="none"/>
        </w:rPr>
        <w:t>万元，支出决算为</w:t>
      </w:r>
      <w:r>
        <w:rPr>
          <w:rFonts w:ascii="仿宋" w:hAnsi="仿宋" w:eastAsia="仿宋"/>
          <w:sz w:val="32"/>
          <w:szCs w:val="32"/>
          <w:highlight w:val="none"/>
        </w:rPr>
        <w:t>166.04</w:t>
      </w:r>
      <w:r>
        <w:rPr>
          <w:rFonts w:hint="eastAsia" w:ascii="仿宋" w:hAnsi="仿宋" w:eastAsia="仿宋"/>
          <w:sz w:val="32"/>
          <w:szCs w:val="32"/>
          <w:highlight w:val="none"/>
        </w:rPr>
        <w:t>万元，完成年初预算的</w:t>
      </w:r>
      <w:r>
        <w:rPr>
          <w:rFonts w:ascii="仿宋" w:hAnsi="仿宋" w:eastAsia="仿宋"/>
          <w:sz w:val="32"/>
          <w:szCs w:val="32"/>
          <w:highlight w:val="none"/>
        </w:rPr>
        <w:t>91.32%</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Times New Roman" w:hAnsi="Times New Roman" w:eastAsia="仿宋_GB2312" w:cs="Times New Roman"/>
          <w:bCs/>
          <w:kern w:val="0"/>
          <w:sz w:val="32"/>
          <w:szCs w:val="32"/>
          <w:lang w:val="en-US" w:eastAsia="zh-CN"/>
        </w:rPr>
        <w:t>人员增加，调整工资标准</w:t>
      </w:r>
      <w:r>
        <w:rPr>
          <w:rFonts w:hint="eastAsia" w:ascii="仿宋" w:hAnsi="仿宋" w:eastAsia="仿宋" w:cs="仿宋"/>
          <w:color w:val="FF0000"/>
          <w:kern w:val="2"/>
          <w:sz w:val="32"/>
          <w:szCs w:val="32"/>
          <w:highlight w:val="none"/>
          <w:lang w:val="en-US" w:eastAsia="zh-CN" w:bidi="ar"/>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学前教育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181.82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162.61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89.43%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Times New Roman" w:hAnsi="Times New Roman" w:eastAsia="仿宋_GB2312" w:cs="Times New Roman"/>
                <w:bCs/>
                <w:kern w:val="0"/>
                <w:sz w:val="18"/>
                <w:szCs w:val="18"/>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3.43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Times New Roman" w:hAnsi="Times New Roman" w:eastAsia="仿宋_GB2312" w:cs="Times New Roman"/>
                <w:bCs/>
                <w:kern w:val="0"/>
                <w:sz w:val="18"/>
                <w:szCs w:val="18"/>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181.82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166.04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Times New Roman" w:hAnsi="Times New Roman" w:eastAsia="仿宋_GB2312" w:cs="Times New Roman"/>
                <w:bCs/>
                <w:kern w:val="0"/>
                <w:sz w:val="18"/>
                <w:szCs w:val="18"/>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autoSpaceDE w:val="0"/>
        <w:autoSpaceDN w:val="0"/>
        <w:adjustRightInd w:val="0"/>
        <w:spacing w:line="560" w:lineRule="exact"/>
        <w:ind w:firstLine="640" w:firstLineChars="200"/>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lang w:eastAsia="zh-CN"/>
        </w:rPr>
        <w:t>）</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4.88</w:t>
      </w:r>
      <w:r>
        <w:rPr>
          <w:rFonts w:hint="eastAsia" w:ascii="仿宋" w:hAnsi="仿宋" w:eastAsia="仿宋"/>
          <w:sz w:val="32"/>
          <w:szCs w:val="32"/>
          <w:highlight w:val="none"/>
        </w:rPr>
        <w:t>万元，支出决算为</w:t>
      </w:r>
      <w:r>
        <w:rPr>
          <w:rFonts w:ascii="仿宋" w:hAnsi="仿宋" w:eastAsia="仿宋"/>
          <w:sz w:val="32"/>
          <w:szCs w:val="32"/>
          <w:highlight w:val="none"/>
        </w:rPr>
        <w:t>5.86</w:t>
      </w:r>
      <w:r>
        <w:rPr>
          <w:rFonts w:hint="eastAsia" w:ascii="仿宋" w:hAnsi="仿宋" w:eastAsia="仿宋"/>
          <w:sz w:val="32"/>
          <w:szCs w:val="32"/>
          <w:highlight w:val="none"/>
        </w:rPr>
        <w:t>万元，完成年初预算的</w:t>
      </w:r>
      <w:r>
        <w:rPr>
          <w:rFonts w:ascii="仿宋" w:hAnsi="仿宋" w:eastAsia="仿宋"/>
          <w:sz w:val="32"/>
          <w:szCs w:val="32"/>
          <w:highlight w:val="none"/>
        </w:rPr>
        <w:t>120.08%</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Times New Roman" w:hAnsi="Times New Roman" w:eastAsia="仿宋_GB2312" w:cs="Times New Roman"/>
          <w:bCs/>
          <w:kern w:val="0"/>
          <w:sz w:val="32"/>
          <w:szCs w:val="32"/>
        </w:rPr>
        <w:t>202</w:t>
      </w:r>
      <w:r>
        <w:rPr>
          <w:rFonts w:hint="eastAsia" w:ascii="Times New Roman" w:hAnsi="Times New Roman" w:eastAsia="仿宋_GB2312" w:cs="Times New Roman"/>
          <w:bCs/>
          <w:kern w:val="0"/>
          <w:sz w:val="32"/>
          <w:szCs w:val="32"/>
          <w:lang w:val="en-US" w:eastAsia="zh-CN"/>
        </w:rPr>
        <w:t>2</w:t>
      </w:r>
      <w:r>
        <w:rPr>
          <w:rFonts w:hint="eastAsia" w:ascii="Times New Roman" w:hAnsi="Times New Roman" w:eastAsia="仿宋_GB2312" w:cs="Times New Roman"/>
          <w:bCs/>
          <w:kern w:val="0"/>
          <w:sz w:val="32"/>
          <w:szCs w:val="32"/>
        </w:rPr>
        <w:t>年公招新进</w:t>
      </w:r>
      <w:r>
        <w:rPr>
          <w:rFonts w:hint="eastAsia" w:ascii="Times New Roman" w:hAnsi="Times New Roman" w:eastAsia="仿宋_GB2312" w:cs="Times New Roman"/>
          <w:bCs/>
          <w:kern w:val="0"/>
          <w:sz w:val="32"/>
          <w:szCs w:val="32"/>
          <w:lang w:val="en-US" w:eastAsia="zh-CN"/>
        </w:rPr>
        <w:t>8</w:t>
      </w:r>
      <w:r>
        <w:rPr>
          <w:rFonts w:hint="eastAsia" w:ascii="Times New Roman" w:hAnsi="Times New Roman" w:eastAsia="仿宋_GB2312" w:cs="Times New Roman"/>
          <w:bCs/>
          <w:kern w:val="0"/>
          <w:sz w:val="32"/>
          <w:szCs w:val="32"/>
        </w:rPr>
        <w:t>人</w:t>
      </w:r>
      <w:r>
        <w:rPr>
          <w:rFonts w:hint="eastAsia" w:ascii="Times New Roman" w:hAnsi="Times New Roman" w:eastAsia="仿宋_GB2312" w:cs="Times New Roman"/>
          <w:bCs/>
          <w:kern w:val="0"/>
          <w:sz w:val="32"/>
          <w:szCs w:val="32"/>
          <w:lang w:eastAsia="zh-CN"/>
        </w:rPr>
        <w:t>，</w:t>
      </w:r>
      <w:r>
        <w:rPr>
          <w:rFonts w:hint="eastAsia" w:ascii="Times New Roman" w:hAnsi="Times New Roman" w:eastAsia="仿宋_GB2312" w:cs="Times New Roman"/>
          <w:bCs/>
          <w:kern w:val="0"/>
          <w:sz w:val="32"/>
          <w:szCs w:val="32"/>
        </w:rPr>
        <w:t>主要用于单位基本养老缴费。</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4.88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5.86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120.08%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按规定的比例计缴的养老保险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4.88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5.86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按规定的比例计缴的养老保险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3.66</w:t>
      </w:r>
      <w:r>
        <w:rPr>
          <w:rFonts w:hint="eastAsia" w:ascii="仿宋" w:hAnsi="仿宋" w:eastAsia="仿宋"/>
          <w:sz w:val="32"/>
          <w:szCs w:val="32"/>
          <w:highlight w:val="none"/>
        </w:rPr>
        <w:t>万元，支出决算为</w:t>
      </w:r>
      <w:r>
        <w:rPr>
          <w:rFonts w:ascii="仿宋" w:hAnsi="仿宋" w:eastAsia="仿宋"/>
          <w:sz w:val="32"/>
          <w:szCs w:val="32"/>
          <w:highlight w:val="none"/>
        </w:rPr>
        <w:t>4.09</w:t>
      </w:r>
      <w:r>
        <w:rPr>
          <w:rFonts w:hint="eastAsia" w:ascii="仿宋" w:hAnsi="仿宋" w:eastAsia="仿宋"/>
          <w:sz w:val="32"/>
          <w:szCs w:val="32"/>
          <w:highlight w:val="none"/>
        </w:rPr>
        <w:t>万元，完成年初预算的</w:t>
      </w:r>
      <w:r>
        <w:rPr>
          <w:rFonts w:ascii="仿宋" w:hAnsi="仿宋" w:eastAsia="仿宋"/>
          <w:sz w:val="32"/>
          <w:szCs w:val="32"/>
          <w:highlight w:val="none"/>
        </w:rPr>
        <w:t>111.75%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Times New Roman" w:hAnsi="Times New Roman" w:eastAsia="仿宋_GB2312" w:cs="Times New Roman"/>
          <w:bCs/>
          <w:kern w:val="0"/>
          <w:sz w:val="32"/>
          <w:szCs w:val="32"/>
        </w:rPr>
        <w:t>202</w:t>
      </w:r>
      <w:r>
        <w:rPr>
          <w:rFonts w:hint="eastAsia" w:ascii="Times New Roman" w:hAnsi="Times New Roman" w:eastAsia="仿宋_GB2312" w:cs="Times New Roman"/>
          <w:bCs/>
          <w:kern w:val="0"/>
          <w:sz w:val="32"/>
          <w:szCs w:val="32"/>
          <w:lang w:val="en-US" w:eastAsia="zh-CN"/>
        </w:rPr>
        <w:t>2</w:t>
      </w:r>
      <w:r>
        <w:rPr>
          <w:rFonts w:hint="eastAsia" w:ascii="Times New Roman" w:hAnsi="Times New Roman" w:eastAsia="仿宋_GB2312" w:cs="Times New Roman"/>
          <w:bCs/>
          <w:kern w:val="0"/>
          <w:sz w:val="32"/>
          <w:szCs w:val="32"/>
        </w:rPr>
        <w:t>年公招新进</w:t>
      </w:r>
      <w:r>
        <w:rPr>
          <w:rFonts w:hint="eastAsia" w:ascii="Times New Roman" w:hAnsi="Times New Roman" w:eastAsia="仿宋_GB2312" w:cs="Times New Roman"/>
          <w:bCs/>
          <w:kern w:val="0"/>
          <w:sz w:val="32"/>
          <w:szCs w:val="32"/>
          <w:lang w:val="en-US" w:eastAsia="zh-CN"/>
        </w:rPr>
        <w:t>8</w:t>
      </w:r>
      <w:r>
        <w:rPr>
          <w:rFonts w:hint="eastAsia" w:ascii="Times New Roman" w:hAnsi="Times New Roman" w:eastAsia="仿宋_GB2312" w:cs="Times New Roman"/>
          <w:bCs/>
          <w:kern w:val="0"/>
          <w:sz w:val="32"/>
          <w:szCs w:val="32"/>
        </w:rPr>
        <w:t>人</w:t>
      </w:r>
      <w:r>
        <w:rPr>
          <w:rFonts w:hint="eastAsia" w:ascii="Times New Roman" w:hAnsi="Times New Roman" w:eastAsia="仿宋_GB2312" w:cs="Times New Roman"/>
          <w:bCs/>
          <w:kern w:val="0"/>
          <w:sz w:val="32"/>
          <w:szCs w:val="32"/>
          <w:lang w:eastAsia="zh-CN"/>
        </w:rPr>
        <w:t>，</w:t>
      </w:r>
      <w:r>
        <w:rPr>
          <w:rFonts w:hint="eastAsia" w:ascii="Times New Roman" w:hAnsi="Times New Roman" w:eastAsia="仿宋_GB2312" w:cs="Times New Roman"/>
          <w:bCs/>
          <w:kern w:val="0"/>
          <w:sz w:val="32"/>
          <w:szCs w:val="32"/>
        </w:rPr>
        <w:t>主要用于单位基本养老缴费。</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4.09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111.75%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按规定的比例计缴的住房公积金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3.66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4.09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按规定的比例计缴的住房公积金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511425"/>
            <wp:effectExtent l="4445" t="4445" r="16510" b="17780"/>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numId w:val="0"/>
        </w:numPr>
        <w:suppressLineNumbers w:val="0"/>
        <w:spacing w:before="0" w:beforeAutospacing="0" w:after="0" w:afterAutospacing="0"/>
        <w:ind w:right="0" w:rightChars="0"/>
        <w:jc w:val="left"/>
        <w:rPr>
          <w:rFonts w:hint="eastAsia" w:eastAsia="仿宋"/>
          <w:color w:val="FF0000"/>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五</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7.88</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Times New Roman" w:hAnsi="Times New Roman" w:eastAsia="仿宋_GB2312" w:cs="Times New Roman"/>
          <w:bCs/>
          <w:kern w:val="0"/>
          <w:sz w:val="32"/>
          <w:szCs w:val="32"/>
        </w:rPr>
        <w:t>202</w:t>
      </w:r>
      <w:r>
        <w:rPr>
          <w:rFonts w:hint="eastAsia" w:ascii="Times New Roman" w:hAnsi="Times New Roman" w:eastAsia="仿宋_GB2312" w:cs="Times New Roman"/>
          <w:bCs/>
          <w:kern w:val="0"/>
          <w:sz w:val="32"/>
          <w:szCs w:val="32"/>
          <w:lang w:val="en-US" w:eastAsia="zh-CN"/>
        </w:rPr>
        <w:t>2</w:t>
      </w:r>
      <w:r>
        <w:rPr>
          <w:rFonts w:hint="eastAsia" w:ascii="Times New Roman" w:hAnsi="Times New Roman" w:eastAsia="仿宋_GB2312" w:cs="Times New Roman"/>
          <w:bCs/>
          <w:kern w:val="0"/>
          <w:sz w:val="32"/>
          <w:szCs w:val="32"/>
        </w:rPr>
        <w:t>年公招新进</w:t>
      </w:r>
      <w:r>
        <w:rPr>
          <w:rFonts w:hint="eastAsia" w:ascii="Times New Roman" w:hAnsi="Times New Roman" w:eastAsia="仿宋_GB2312" w:cs="Times New Roman"/>
          <w:bCs/>
          <w:kern w:val="0"/>
          <w:sz w:val="32"/>
          <w:szCs w:val="32"/>
          <w:lang w:val="en-US" w:eastAsia="zh-CN"/>
        </w:rPr>
        <w:t>8</w:t>
      </w:r>
      <w:r>
        <w:rPr>
          <w:rFonts w:hint="eastAsia" w:ascii="Times New Roman" w:hAnsi="Times New Roman" w:eastAsia="仿宋_GB2312" w:cs="Times New Roman"/>
          <w:bCs/>
          <w:kern w:val="0"/>
          <w:sz w:val="32"/>
          <w:szCs w:val="32"/>
        </w:rPr>
        <w:t>人，主要用于人员工资福利。</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用于人员工资福利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imes New Roman" w:hAnsi="Times New Roman" w:eastAsia="仿宋_GB2312" w:cs="Times New Roman"/>
                <w:bCs/>
                <w:kern w:val="0"/>
                <w:sz w:val="18"/>
                <w:szCs w:val="18"/>
              </w:rPr>
              <w:t>用于人员工资福利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人员变动</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825115"/>
            <wp:effectExtent l="4445" t="4445" r="16510" b="8890"/>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环江毛南族自治县东兴镇中心幼儿园2022年度一般公共预算财政拨款基本支出</w:t>
      </w:r>
      <w:r>
        <w:rPr>
          <w:rFonts w:ascii="仿宋" w:hAnsi="仿宋" w:eastAsia="仿宋" w:cs="仿宋"/>
          <w:sz w:val="32"/>
          <w:u w:color="auto"/>
        </w:rPr>
        <w:t>54.27</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53.66</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0.61</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53.66万元，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132.95%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Times New Roman" w:hAnsi="Times New Roman" w:eastAsia="仿宋_GB2312" w:cs="Times New Roman"/>
          <w:bCs/>
          <w:kern w:val="0"/>
          <w:sz w:val="32"/>
          <w:szCs w:val="32"/>
        </w:rPr>
        <w:t>202</w:t>
      </w:r>
      <w:r>
        <w:rPr>
          <w:rFonts w:hint="eastAsia" w:ascii="Times New Roman" w:hAnsi="Times New Roman" w:eastAsia="仿宋_GB2312" w:cs="Times New Roman"/>
          <w:bCs/>
          <w:kern w:val="0"/>
          <w:sz w:val="32"/>
          <w:szCs w:val="32"/>
          <w:lang w:val="en-US" w:eastAsia="zh-CN"/>
        </w:rPr>
        <w:t>2</w:t>
      </w:r>
      <w:r>
        <w:rPr>
          <w:rFonts w:hint="eastAsia" w:ascii="Times New Roman" w:hAnsi="Times New Roman" w:eastAsia="仿宋_GB2312" w:cs="Times New Roman"/>
          <w:bCs/>
          <w:kern w:val="0"/>
          <w:sz w:val="32"/>
          <w:szCs w:val="32"/>
        </w:rPr>
        <w:t>年公招新进</w:t>
      </w:r>
      <w:r>
        <w:rPr>
          <w:rFonts w:hint="eastAsia" w:ascii="Times New Roman" w:hAnsi="Times New Roman" w:eastAsia="仿宋_GB2312" w:cs="Times New Roman"/>
          <w:bCs/>
          <w:kern w:val="0"/>
          <w:sz w:val="32"/>
          <w:szCs w:val="32"/>
          <w:lang w:val="en-US" w:eastAsia="zh-CN"/>
        </w:rPr>
        <w:t>8</w:t>
      </w:r>
      <w:r>
        <w:rPr>
          <w:rFonts w:hint="eastAsia" w:ascii="Times New Roman" w:hAnsi="Times New Roman" w:eastAsia="仿宋_GB2312" w:cs="Times New Roman"/>
          <w:bCs/>
          <w:kern w:val="0"/>
          <w:sz w:val="32"/>
          <w:szCs w:val="32"/>
        </w:rPr>
        <w:t>人</w:t>
      </w:r>
      <w:r>
        <w:rPr>
          <w:rFonts w:hint="eastAsia" w:ascii="Times New Roman" w:hAnsi="Times New Roman" w:eastAsia="仿宋_GB2312" w:cs="Times New Roman"/>
          <w:bCs/>
          <w:kern w:val="0"/>
          <w:sz w:val="32"/>
          <w:szCs w:val="32"/>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23.70万元，30102津贴补贴4.54万元，30103奖金3.40万元，30107绩效工资8.94万元，30108机关事业单位基本养老保险缴费5.86万元，30110职工基本医疗保险缴费2.82万元，30112其他社会保障缴费0.29万元，30113住房公积金4.09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0.61万元，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Times New Roman" w:hAnsi="Times New Roman" w:eastAsia="仿宋_GB2312" w:cs="Times New Roman"/>
          <w:bCs/>
          <w:kern w:val="0"/>
          <w:sz w:val="32"/>
          <w:szCs w:val="32"/>
        </w:rPr>
        <w:t>202</w:t>
      </w:r>
      <w:r>
        <w:rPr>
          <w:rFonts w:hint="eastAsia" w:ascii="Times New Roman" w:hAnsi="Times New Roman" w:eastAsia="仿宋_GB2312" w:cs="Times New Roman"/>
          <w:bCs/>
          <w:kern w:val="0"/>
          <w:sz w:val="32"/>
          <w:szCs w:val="32"/>
          <w:lang w:val="en-US" w:eastAsia="zh-CN"/>
        </w:rPr>
        <w:t>2</w:t>
      </w:r>
      <w:r>
        <w:rPr>
          <w:rFonts w:hint="eastAsia" w:ascii="Times New Roman" w:hAnsi="Times New Roman" w:eastAsia="仿宋_GB2312" w:cs="Times New Roman"/>
          <w:bCs/>
          <w:kern w:val="0"/>
          <w:sz w:val="32"/>
          <w:szCs w:val="32"/>
        </w:rPr>
        <w:t>年公招新进</w:t>
      </w:r>
      <w:r>
        <w:rPr>
          <w:rFonts w:hint="eastAsia" w:ascii="Times New Roman" w:hAnsi="Times New Roman" w:eastAsia="仿宋_GB2312" w:cs="Times New Roman"/>
          <w:bCs/>
          <w:kern w:val="0"/>
          <w:sz w:val="32"/>
          <w:szCs w:val="32"/>
          <w:lang w:val="en-US" w:eastAsia="zh-CN"/>
        </w:rPr>
        <w:t>7</w:t>
      </w:r>
      <w:r>
        <w:rPr>
          <w:rFonts w:hint="eastAsia" w:ascii="Times New Roman" w:hAnsi="Times New Roman" w:eastAsia="仿宋_GB2312" w:cs="Times New Roman"/>
          <w:bCs/>
          <w:kern w:val="0"/>
          <w:sz w:val="32"/>
          <w:szCs w:val="32"/>
        </w:rPr>
        <w:t>人</w:t>
      </w:r>
      <w:r>
        <w:rPr>
          <w:rFonts w:hint="eastAsia" w:ascii="Times New Roman" w:hAnsi="Times New Roman" w:eastAsia="仿宋_GB2312" w:cs="Times New Roman"/>
          <w:bCs/>
          <w:kern w:val="0"/>
          <w:sz w:val="32"/>
          <w:szCs w:val="32"/>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30228工会经费0.61万元。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16225"/>
            <wp:effectExtent l="4445" t="4445" r="16510" b="1778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主要原因：无。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环江毛南族自治县东兴镇中心幼儿园2022年度政府性基金支出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环江毛南族自治县东兴镇中心幼儿园2022年度政府性基金支出年初预算为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环江毛南族自治县东兴镇中心幼儿园</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环江毛南族自治县东兴镇中心幼儿园2022年度国有资本经营预算支出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环江毛南族自治县东兴镇中心幼儿园2022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环江毛南族自治县东兴镇中心幼儿园</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autoSpaceDE w:val="0"/>
        <w:autoSpaceDN w:val="0"/>
        <w:adjustRightInd w:val="0"/>
        <w:spacing w:line="560" w:lineRule="exact"/>
        <w:ind w:firstLine="640" w:firstLineChars="200"/>
        <w:jc w:val="left"/>
        <w:rPr>
          <w:rFonts w:hint="eastAsia" w:ascii="Times New Roman" w:hAnsi="Times New Roman" w:eastAsia="仿宋_GB2312" w:cs="Times New Roman"/>
          <w:kern w:val="0"/>
          <w:sz w:val="32"/>
          <w:szCs w:val="32"/>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ascii="Times New Roman" w:hAnsi="Times New Roman" w:eastAsia="仿宋_GB2312" w:cs="Times New Roman"/>
          <w:kern w:val="0"/>
          <w:sz w:val="32"/>
          <w:szCs w:val="32"/>
        </w:rPr>
        <w:t>是</w:t>
      </w:r>
      <w:r>
        <w:rPr>
          <w:rFonts w:hint="eastAsia" w:ascii="Times New Roman" w:hAnsi="Times New Roman" w:eastAsia="仿宋_GB2312" w:cs="Times New Roman"/>
          <w:kern w:val="0"/>
          <w:sz w:val="32"/>
          <w:szCs w:val="32"/>
        </w:rPr>
        <w:t>本部门202</w:t>
      </w: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年度没有“三公”经费资金收入，也没有“三公”经费资金安排的支出。</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w:t>
      </w:r>
      <w:r>
        <w:rPr>
          <w:rFonts w:hint="eastAsia" w:ascii="仿宋" w:hAnsi="仿宋" w:eastAsia="仿宋" w:cs="仿宋"/>
          <w:sz w:val="32"/>
          <w:szCs w:val="32"/>
          <w:highlight w:val="none"/>
        </w:rPr>
        <w:t>因公出国（境）费支出</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（局、办、镇）机关、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w:t>
      </w:r>
      <w:r>
        <w:rPr>
          <w:rFonts w:hint="eastAsia" w:ascii="仿宋" w:hAnsi="仿宋" w:eastAsia="仿宋" w:cs="仿宋"/>
          <w:sz w:val="32"/>
          <w:szCs w:val="32"/>
          <w:highlight w:val="none"/>
        </w:rPr>
        <w:t>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w:t>
      </w:r>
      <w:r>
        <w:rPr>
          <w:rFonts w:hint="eastAsia" w:ascii="仿宋" w:hAnsi="仿宋" w:eastAsia="仿宋" w:cs="仿宋"/>
          <w:color w:val="auto"/>
          <w:sz w:val="32"/>
          <w:szCs w:val="32"/>
          <w:highlight w:val="none"/>
        </w:rPr>
        <w:t>元。</w:t>
      </w:r>
      <w:bookmarkStart w:id="5" w:name="PO_part3A6B2IncReason1"/>
      <w:r>
        <w:rPr>
          <w:rFonts w:hint="eastAsia" w:ascii="仿宋" w:hAnsi="仿宋" w:eastAsia="仿宋" w:cs="仿宋"/>
          <w:color w:val="auto"/>
          <w:sz w:val="32"/>
          <w:szCs w:val="32"/>
        </w:rPr>
        <w:t>无公务用车购置</w:t>
      </w:r>
      <w:bookmarkEnd w:id="5"/>
      <w:r>
        <w:rPr>
          <w:rFonts w:hint="eastAsia" w:ascii="仿宋" w:hAnsi="仿宋" w:eastAsia="仿宋" w:cs="仿宋"/>
          <w:color w:val="auto"/>
          <w:sz w:val="32"/>
          <w:szCs w:val="32"/>
          <w:lang w:eastAsia="zh-CN"/>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auto"/>
          <w:sz w:val="32"/>
          <w:szCs w:val="32"/>
        </w:rPr>
        <w:t>无</w:t>
      </w:r>
      <w:r>
        <w:rPr>
          <w:rFonts w:hint="eastAsia" w:ascii="仿宋" w:hAnsi="仿宋" w:eastAsia="仿宋" w:cs="仿宋"/>
          <w:sz w:val="32"/>
          <w:szCs w:val="32"/>
          <w:highlight w:val="none"/>
        </w:rPr>
        <w:t>公务用车运行维</w:t>
      </w:r>
      <w:r>
        <w:rPr>
          <w:rFonts w:hint="eastAsia" w:ascii="仿宋" w:hAnsi="仿宋" w:eastAsia="仿宋" w:cs="仿宋"/>
          <w:color w:val="auto"/>
          <w:sz w:val="32"/>
          <w:szCs w:val="32"/>
          <w:highlight w:val="none"/>
        </w:rPr>
        <w:t>护支出</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2022年，</w:t>
      </w:r>
      <w:r>
        <w:rPr>
          <w:rFonts w:hint="eastAsia" w:ascii="仿宋" w:hAnsi="仿宋" w:eastAsia="仿宋" w:cs="仿宋"/>
          <w:color w:val="auto"/>
          <w:sz w:val="32"/>
          <w:u w:color="auto"/>
          <w:lang w:val="en-US" w:eastAsia="zh-CN"/>
        </w:rPr>
        <w:t>本</w:t>
      </w:r>
      <w:r>
        <w:rPr>
          <w:rFonts w:hint="eastAsia" w:ascii="仿宋" w:hAnsi="仿宋" w:eastAsia="仿宋" w:cs="仿宋"/>
          <w:color w:val="auto"/>
          <w:sz w:val="32"/>
          <w:szCs w:val="32"/>
          <w:highlight w:val="none"/>
        </w:rPr>
        <w:t>单位开支财政拨款的公务用车保有量为</w:t>
      </w:r>
      <w:r>
        <w:rPr>
          <w:rFonts w:ascii="仿宋" w:hAnsi="仿宋" w:eastAsia="仿宋" w:cs="仿宋"/>
          <w:color w:val="auto"/>
          <w:sz w:val="32"/>
          <w:u w:color="auto"/>
        </w:rPr>
        <w:t>0</w:t>
      </w:r>
      <w:r>
        <w:rPr>
          <w:rFonts w:hint="eastAsia" w:ascii="仿宋" w:hAnsi="仿宋" w:eastAsia="仿宋" w:cs="仿宋"/>
          <w:color w:val="auto"/>
          <w:sz w:val="32"/>
          <w:szCs w:val="32"/>
          <w:highlight w:val="none"/>
        </w:rPr>
        <w:t>辆，全年运行费支出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numPr>
          <w:ilvl w:val="0"/>
          <w:numId w:val="3"/>
        </w:numPr>
        <w:jc w:val="left"/>
        <w:rPr>
          <w:rFonts w:hint="eastAsia" w:ascii="Times New Roman" w:hAnsi="Times New Roman" w:eastAsia="仿宋_GB2312" w:cs="Times New Roman"/>
          <w:kern w:val="0"/>
          <w:sz w:val="32"/>
          <w:szCs w:val="32"/>
        </w:rPr>
      </w:pPr>
      <w:r>
        <w:rPr>
          <w:rFonts w:hint="eastAsia" w:ascii="仿宋" w:hAnsi="仿宋" w:eastAsia="仿宋" w:cs="仿宋"/>
          <w:sz w:val="32"/>
          <w:szCs w:val="32"/>
          <w:highlight w:val="none"/>
        </w:rPr>
        <w:t>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w:t>
      </w:r>
      <w:r>
        <w:rPr>
          <w:rFonts w:hint="eastAsia" w:ascii="仿宋" w:hAnsi="仿宋" w:eastAsia="仿宋" w:cs="仿宋"/>
          <w:color w:val="auto"/>
          <w:sz w:val="32"/>
          <w:szCs w:val="32"/>
          <w:highlight w:val="none"/>
        </w:rPr>
        <w:t>元，</w:t>
      </w:r>
      <w:r>
        <w:rPr>
          <w:rFonts w:hint="eastAsia" w:ascii="仿宋" w:hAnsi="仿宋" w:eastAsia="仿宋" w:cs="仿宋"/>
          <w:color w:val="auto"/>
          <w:kern w:val="2"/>
          <w:sz w:val="32"/>
          <w:szCs w:val="32"/>
          <w:highlight w:val="none"/>
          <w:lang w:val="en-US" w:eastAsia="zh-CN" w:bidi="ar"/>
        </w:rPr>
        <w:t>主要原因是：无</w:t>
      </w:r>
      <w:r>
        <w:rPr>
          <w:rFonts w:hint="eastAsia" w:ascii="仿宋" w:hAnsi="仿宋" w:eastAsia="仿宋" w:cs="仿宋"/>
          <w:color w:val="auto"/>
          <w:sz w:val="32"/>
          <w:szCs w:val="32"/>
          <w:highlight w:val="none"/>
        </w:rPr>
        <w:t>公务接待费支出</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ind w:firstLine="640" w:firstLineChars="200"/>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ascii="黑体" w:hAnsi="黑体" w:eastAsia="黑体" w:cs="黑体"/>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。本部门</w:t>
      </w:r>
      <w:r>
        <w:rPr>
          <w:rFonts w:hint="eastAsia" w:ascii="仿宋" w:hAnsi="仿宋" w:eastAsia="仿宋" w:cs="仿宋"/>
          <w:sz w:val="32"/>
          <w:szCs w:val="32"/>
          <w:highlight w:val="none"/>
          <w:lang w:eastAsia="zh-CN"/>
        </w:rPr>
        <w:t>无</w:t>
      </w:r>
      <w:r>
        <w:rPr>
          <w:rFonts w:hint="eastAsia" w:ascii="仿宋" w:hAnsi="仿宋" w:eastAsia="仿宋" w:cs="仿宋"/>
          <w:sz w:val="32"/>
          <w:szCs w:val="32"/>
          <w:highlight w:val="none"/>
        </w:rPr>
        <w:t>机关运行经费</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（二）政府采购支出情况说明</w:t>
      </w: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rPr>
        <w:t>本部门已于 2023年4月份完成 2022年部门项目支出绩效自评工作，整体综合评价结果良好</w:t>
      </w:r>
      <w:r>
        <w:rPr>
          <w:rFonts w:hint="eastAsia" w:ascii="Times New Roman" w:hAnsi="Times New Roman" w:eastAsia="仿宋_GB2312" w:cs="Times New Roman"/>
          <w:kern w:val="0"/>
          <w:sz w:val="32"/>
          <w:szCs w:val="32"/>
          <w:lang w:eastAsia="zh-CN"/>
        </w:rPr>
        <w:t>。</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widowControl/>
        <w:spacing w:line="560" w:lineRule="exact"/>
        <w:ind w:firstLine="640"/>
        <w:rPr>
          <w:rFonts w:ascii="Times New Roman" w:hAnsi="Times New Roman" w:eastAsia="仿宋_GB2312" w:cs="Times New Roman"/>
          <w:kern w:val="0"/>
          <w:sz w:val="32"/>
          <w:szCs w:val="32"/>
        </w:rPr>
      </w:pPr>
      <w:r>
        <w:rPr>
          <w:rFonts w:hint="eastAsia" w:ascii="仿宋" w:hAnsi="仿宋" w:eastAsia="仿宋" w:cs="仿宋"/>
          <w:color w:val="000000" w:themeColor="text1"/>
          <w:sz w:val="32"/>
          <w:szCs w:val="32"/>
          <w14:textFill>
            <w14:solidFill>
              <w14:schemeClr w14:val="tx1"/>
            </w14:solidFill>
          </w14:textFill>
        </w:rPr>
        <w:t>部门决算中项目绩效自评</w:t>
      </w:r>
      <w:r>
        <w:rPr>
          <w:rFonts w:hint="eastAsia" w:ascii="仿宋" w:hAnsi="仿宋" w:eastAsia="仿宋" w:cs="仿宋"/>
          <w:color w:val="000000" w:themeColor="text1"/>
          <w:sz w:val="32"/>
          <w:szCs w:val="32"/>
          <w:lang w:val="en-US" w:eastAsia="zh-CN"/>
          <w14:textFill>
            <w14:solidFill>
              <w14:schemeClr w14:val="tx1"/>
            </w14:solidFill>
          </w14:textFill>
        </w:rPr>
        <w:t>良好，</w:t>
      </w:r>
      <w:r>
        <w:rPr>
          <w:rFonts w:hint="eastAsia" w:ascii="Times New Roman" w:hAnsi="Times New Roman" w:eastAsia="仿宋_GB2312" w:cs="Times New Roman"/>
          <w:kern w:val="0"/>
          <w:sz w:val="32"/>
          <w:szCs w:val="32"/>
        </w:rPr>
        <w:t>达到预期绩效目标。</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p>
    <w:p>
      <w:pPr>
        <w:ind w:firstLine="640" w:firstLineChars="200"/>
        <w:jc w:val="right"/>
        <w:rPr>
          <w:rFonts w:hint="default" w:ascii="仿宋" w:hAnsi="仿宋" w:eastAsia="仿宋" w:cs="仿宋"/>
          <w:sz w:val="32"/>
          <w:szCs w:val="32"/>
          <w:highlight w:val="none"/>
          <w:lang w:val="en-US" w:eastAsia="zh-CN"/>
        </w:rPr>
      </w:pPr>
      <w:bookmarkStart w:id="6" w:name="_GoBack"/>
      <w:bookmarkEnd w:id="6"/>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210" w:firstLine="420"/>
      </w:pPr>
      <w:rPr>
        <w:rFonts w:hint="eastAsia"/>
        <w:color w:val="auto"/>
        <w:sz w:val="32"/>
        <w:szCs w:val="32"/>
      </w:rPr>
    </w:lvl>
  </w:abstractNum>
  <w:abstractNum w:abstractNumId="1">
    <w:nsid w:val="C9DFEF34"/>
    <w:multiLevelType w:val="singleLevel"/>
    <w:tmpl w:val="C9DFEF34"/>
    <w:lvl w:ilvl="0" w:tentative="0">
      <w:start w:val="3"/>
      <w:numFmt w:val="chineseCounting"/>
      <w:suff w:val="nothing"/>
      <w:lvlText w:val="（%1）"/>
      <w:lvlJc w:val="left"/>
      <w:rPr>
        <w:rFonts w:hint="eastAsia"/>
      </w:rPr>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kN2U2ZWE2NTE3ZTk2MGQ2ODQ4M2JjYzJkZjlhMmY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42143F"/>
    <w:rsid w:val="0D100297"/>
    <w:rsid w:val="0D202B45"/>
    <w:rsid w:val="0F8D4C87"/>
    <w:rsid w:val="10505FAA"/>
    <w:rsid w:val="105F7E7E"/>
    <w:rsid w:val="11E56B5B"/>
    <w:rsid w:val="125C77AB"/>
    <w:rsid w:val="14CB726E"/>
    <w:rsid w:val="17E92249"/>
    <w:rsid w:val="18D304F1"/>
    <w:rsid w:val="19F32577"/>
    <w:rsid w:val="19F45B80"/>
    <w:rsid w:val="1B0C078D"/>
    <w:rsid w:val="1B2B31E2"/>
    <w:rsid w:val="1B4C295A"/>
    <w:rsid w:val="1B973C63"/>
    <w:rsid w:val="1BA1001E"/>
    <w:rsid w:val="1D317259"/>
    <w:rsid w:val="1E1F3000"/>
    <w:rsid w:val="1E664F5B"/>
    <w:rsid w:val="1EB34BE1"/>
    <w:rsid w:val="215E639F"/>
    <w:rsid w:val="21EC3183"/>
    <w:rsid w:val="225E72CD"/>
    <w:rsid w:val="246E2F77"/>
    <w:rsid w:val="254B4E2B"/>
    <w:rsid w:val="26AD0D18"/>
    <w:rsid w:val="283D7C94"/>
    <w:rsid w:val="29480E03"/>
    <w:rsid w:val="295B37F7"/>
    <w:rsid w:val="2983634D"/>
    <w:rsid w:val="2BB02055"/>
    <w:rsid w:val="2C575A56"/>
    <w:rsid w:val="2F257714"/>
    <w:rsid w:val="2F3275E5"/>
    <w:rsid w:val="30AA08EF"/>
    <w:rsid w:val="30D23D1C"/>
    <w:rsid w:val="31221CF5"/>
    <w:rsid w:val="31400178"/>
    <w:rsid w:val="321E3342"/>
    <w:rsid w:val="327759C8"/>
    <w:rsid w:val="33185FE3"/>
    <w:rsid w:val="34EE2E36"/>
    <w:rsid w:val="36777241"/>
    <w:rsid w:val="371E78D5"/>
    <w:rsid w:val="38A951DB"/>
    <w:rsid w:val="38B31605"/>
    <w:rsid w:val="38F93663"/>
    <w:rsid w:val="39003F4F"/>
    <w:rsid w:val="3C07002B"/>
    <w:rsid w:val="3D0D152A"/>
    <w:rsid w:val="3DF62756"/>
    <w:rsid w:val="3F1B7587"/>
    <w:rsid w:val="41E57B4F"/>
    <w:rsid w:val="432F26F6"/>
    <w:rsid w:val="43554139"/>
    <w:rsid w:val="43880F63"/>
    <w:rsid w:val="441C5A6F"/>
    <w:rsid w:val="44C44FCC"/>
    <w:rsid w:val="44CC7369"/>
    <w:rsid w:val="457F5108"/>
    <w:rsid w:val="46951B6B"/>
    <w:rsid w:val="49A34401"/>
    <w:rsid w:val="4A3E30AB"/>
    <w:rsid w:val="4AC14DAC"/>
    <w:rsid w:val="4D154C85"/>
    <w:rsid w:val="4EB35ECE"/>
    <w:rsid w:val="508F4E24"/>
    <w:rsid w:val="51461E90"/>
    <w:rsid w:val="51463753"/>
    <w:rsid w:val="52553A93"/>
    <w:rsid w:val="53521F8B"/>
    <w:rsid w:val="53E22F47"/>
    <w:rsid w:val="54522FF8"/>
    <w:rsid w:val="55450629"/>
    <w:rsid w:val="56692963"/>
    <w:rsid w:val="568B0F48"/>
    <w:rsid w:val="5786217B"/>
    <w:rsid w:val="59337A15"/>
    <w:rsid w:val="59810274"/>
    <w:rsid w:val="5CA96A00"/>
    <w:rsid w:val="5CF730BC"/>
    <w:rsid w:val="5E5F0DCE"/>
    <w:rsid w:val="5FA40A7B"/>
    <w:rsid w:val="5FD56D29"/>
    <w:rsid w:val="5FEC7F3F"/>
    <w:rsid w:val="60F74BC3"/>
    <w:rsid w:val="617D3BF8"/>
    <w:rsid w:val="61841F6A"/>
    <w:rsid w:val="623007A9"/>
    <w:rsid w:val="637D7558"/>
    <w:rsid w:val="644F19AC"/>
    <w:rsid w:val="65AA4920"/>
    <w:rsid w:val="65E31D0B"/>
    <w:rsid w:val="668B452B"/>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4FF0F2F"/>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184.48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138.29</c:v>
                </c:pt>
                <c:pt idx="2">
                  <c:v>4.99</c:v>
                </c:pt>
                <c:pt idx="3">
                  <c:v>2.28</c:v>
                </c:pt>
                <c:pt idx="4">
                  <c:v>3.88</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0.61</c:v>
                </c:pt>
                <c:pt idx="1">
                  <c:v>166.04</c:v>
                </c:pt>
                <c:pt idx="2">
                  <c:v>5.86</c:v>
                </c:pt>
                <c:pt idx="3">
                  <c:v>4.09</c:v>
                </c:pt>
                <c:pt idx="4">
                  <c:v>7.88</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0.61</c:v>
                </c:pt>
                <c:pt idx="1">
                  <c:v>0.61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2050201</c:v>
                </c:pt>
                <c:pt idx="1">
                  <c:v>2050299</c:v>
                </c:pt>
                <c:pt idx="2">
                  <c:v>205x</c:v>
                </c:pt>
              </c:strCache>
            </c:strRef>
          </c:cat>
          <c:val>
            <c:numRef>
              <c:f>Sheet1!$B$2:$B$4</c:f>
              <c:numCache>
                <c:formatCode>General</c:formatCode>
                <c:ptCount val="3"/>
                <c:pt idx="0">
                  <c:v>162.61</c:v>
                </c:pt>
                <c:pt idx="1">
                  <c:v>3.43</c:v>
                </c:pt>
                <c:pt idx="2">
                  <c:v>166.04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5.86</c:v>
                </c:pt>
                <c:pt idx="1">
                  <c:v>5.86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4.09</c:v>
                </c:pt>
                <c:pt idx="1">
                  <c:v>4.09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7.88</c:v>
                </c:pt>
                <c:pt idx="1">
                  <c:v>7.88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23.7</c:v>
                </c:pt>
                <c:pt idx="1">
                  <c:v>4.54</c:v>
                </c:pt>
                <c:pt idx="2">
                  <c:v>3.4</c:v>
                </c:pt>
                <c:pt idx="3">
                  <c:v>0</c:v>
                </c:pt>
                <c:pt idx="4">
                  <c:v>8.94</c:v>
                </c:pt>
                <c:pt idx="5">
                  <c:v>5.86</c:v>
                </c:pt>
                <c:pt idx="6">
                  <c:v>0</c:v>
                </c:pt>
                <c:pt idx="7">
                  <c:v>2.82</c:v>
                </c:pt>
                <c:pt idx="8">
                  <c:v>0</c:v>
                </c:pt>
                <c:pt idx="9">
                  <c:v>0.29</c:v>
                </c:pt>
                <c:pt idx="10">
                  <c:v>4.09</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0.61</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1</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2023-11-29T02:22:38Z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