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环江毛南族自治县长美学校2022年度部门决算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eastAsia="黑体" w:cs="黑体"/>
          <w:kern w:val="0"/>
          <w:sz w:val="44"/>
          <w:szCs w:val="44"/>
        </w:rPr>
      </w:pPr>
    </w:p>
    <w:p>
      <w:pPr>
        <w:jc w:val="center"/>
        <w:rPr>
          <w:rFonts w:hint="eastAsia" w:ascii="华文行楷" w:hAnsi="华文行楷" w:eastAsia="华文行楷" w:cs="华文行楷"/>
          <w:kern w:val="0"/>
          <w:sz w:val="44"/>
          <w:szCs w:val="44"/>
          <w:lang w:val="en-US" w:eastAsia="zh-CN"/>
        </w:rPr>
      </w:pPr>
      <w:r>
        <w:rPr>
          <w:rFonts w:hint="eastAsia" w:ascii="黑体" w:eastAsia="黑体" w:cs="黑体"/>
          <w:kern w:val="0"/>
          <w:sz w:val="44"/>
          <w:szCs w:val="44"/>
        </w:rPr>
        <w:t>单位负责人</w:t>
      </w:r>
      <w:r>
        <w:rPr>
          <w:rFonts w:hint="eastAsia" w:ascii="黑体" w:eastAsia="黑体" w:cs="黑体"/>
          <w:kern w:val="0"/>
          <w:sz w:val="44"/>
          <w:szCs w:val="44"/>
          <w:lang w:eastAsia="zh-CN"/>
        </w:rPr>
        <w:t>（</w:t>
      </w:r>
      <w:r>
        <w:rPr>
          <w:rFonts w:hint="eastAsia" w:ascii="黑体" w:eastAsia="黑体" w:cs="黑体"/>
          <w:kern w:val="0"/>
          <w:sz w:val="44"/>
          <w:szCs w:val="44"/>
          <w:lang w:val="en-US" w:eastAsia="zh-CN"/>
        </w:rPr>
        <w:t>签字</w:t>
      </w:r>
      <w:r>
        <w:rPr>
          <w:rFonts w:hint="eastAsia" w:ascii="黑体" w:eastAsia="黑体" w:cs="黑体"/>
          <w:kern w:val="0"/>
          <w:sz w:val="44"/>
          <w:szCs w:val="44"/>
          <w:lang w:eastAsia="zh-CN"/>
        </w:rPr>
        <w:t>）</w:t>
      </w:r>
      <w:r>
        <w:rPr>
          <w:rFonts w:hint="eastAsia" w:ascii="黑体" w:eastAsia="黑体" w:cs="黑体"/>
          <w:kern w:val="0"/>
          <w:sz w:val="44"/>
          <w:szCs w:val="44"/>
        </w:rPr>
        <w:t>：</w:t>
      </w:r>
      <w:r>
        <w:rPr>
          <w:rFonts w:hint="eastAsia" w:ascii="华文行楷" w:hAnsi="华文行楷" w:eastAsia="华文行楷" w:cs="华文行楷"/>
          <w:kern w:val="0"/>
          <w:sz w:val="44"/>
          <w:szCs w:val="44"/>
          <w:lang w:val="en-US" w:eastAsia="zh-CN"/>
        </w:rPr>
        <w:t>蒙圣</w:t>
      </w:r>
    </w:p>
    <w:p>
      <w:pPr>
        <w:jc w:val="center"/>
        <w:rPr>
          <w:rFonts w:hint="eastAsia" w:ascii="黑体" w:eastAsia="黑体" w:cs="黑体"/>
          <w:kern w:val="0"/>
          <w:sz w:val="44"/>
          <w:szCs w:val="44"/>
        </w:rPr>
      </w:pPr>
      <w:r>
        <w:rPr>
          <w:rFonts w:hint="eastAsia" w:ascii="黑体" w:eastAsia="黑体" w:cs="黑体"/>
          <w:kern w:val="0"/>
          <w:sz w:val="44"/>
          <w:szCs w:val="44"/>
        </w:rPr>
        <w:t>20</w:t>
      </w:r>
      <w:r>
        <w:rPr>
          <w:rFonts w:hint="eastAsia" w:ascii="黑体" w:eastAsia="黑体" w:cs="黑体"/>
          <w:kern w:val="0"/>
          <w:sz w:val="44"/>
          <w:szCs w:val="44"/>
          <w:lang w:val="en-US" w:eastAsia="zh-CN"/>
        </w:rPr>
        <w:t>23</w:t>
      </w:r>
      <w:r>
        <w:rPr>
          <w:rFonts w:hint="eastAsia" w:ascii="黑体" w:eastAsia="黑体" w:cs="黑体"/>
          <w:kern w:val="0"/>
          <w:sz w:val="44"/>
          <w:szCs w:val="44"/>
        </w:rPr>
        <w:t>年</w:t>
      </w:r>
      <w:r>
        <w:rPr>
          <w:rFonts w:hint="eastAsia" w:ascii="黑体" w:eastAsia="黑体" w:cs="黑体"/>
          <w:kern w:val="0"/>
          <w:sz w:val="44"/>
          <w:szCs w:val="44"/>
          <w:lang w:val="en-US" w:eastAsia="zh-CN"/>
        </w:rPr>
        <w:t>10</w:t>
      </w:r>
      <w:r>
        <w:rPr>
          <w:rFonts w:hint="eastAsia" w:ascii="黑体" w:eastAsia="黑体" w:cs="黑体"/>
          <w:kern w:val="0"/>
          <w:sz w:val="44"/>
          <w:szCs w:val="44"/>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环江毛南族自治县长美学校</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环江毛南族自治县长美学校</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环江毛南族自治县长美学校</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环江毛南族自治县长美学校</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（一）贯彻执行党和国家的教育方针、政策和法律法规；拟订全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（二）编制本</w:t>
      </w:r>
      <w:r>
        <w:rPr>
          <w:rFonts w:hint="eastAsia" w:ascii="仿宋_GB2312" w:eastAsia="仿宋_GB2312" w:cs="仿宋_GB2312"/>
          <w:kern w:val="0"/>
          <w:sz w:val="32"/>
          <w:szCs w:val="32"/>
          <w:lang w:val="en-US" w:eastAsia="zh-CN"/>
        </w:rPr>
        <w:t>乡</w:t>
      </w:r>
      <w:r>
        <w:rPr>
          <w:rFonts w:hint="eastAsia" w:ascii="仿宋_GB2312" w:eastAsia="仿宋_GB2312" w:cs="仿宋_GB2312"/>
          <w:kern w:val="0"/>
          <w:sz w:val="32"/>
          <w:szCs w:val="32"/>
        </w:rPr>
        <w:t>教育事业发展规划并检查实施情况，向自治县</w:t>
      </w:r>
      <w:r>
        <w:rPr>
          <w:rFonts w:hint="eastAsia" w:ascii="仿宋_GB2312" w:eastAsia="仿宋_GB2312" w:cs="仿宋_GB2312"/>
          <w:kern w:val="0"/>
          <w:sz w:val="32"/>
          <w:szCs w:val="32"/>
          <w:lang w:val="en-US" w:eastAsia="zh-CN"/>
        </w:rPr>
        <w:t>教育局</w:t>
      </w:r>
      <w:r>
        <w:rPr>
          <w:rFonts w:hint="eastAsia" w:ascii="仿宋_GB2312" w:eastAsia="仿宋_GB2312" w:cs="仿宋_GB2312"/>
          <w:kern w:val="0"/>
          <w:sz w:val="32"/>
          <w:szCs w:val="32"/>
        </w:rPr>
        <w:t>和上级教育部门作出报告。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（三）督促检查全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贯彻执行教育方针、政策、法令、法规和上级的各项规定；评估指导全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（四）负责推进义务教育均衡发展和促进教育公平，负责义务教育的宏观指导与协调。</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（五）负责全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教育系统校长队伍、人才队伍和教师队伍建设，包括校长岗位培训、后备干部队伍建设、教师学历教育、继续教育等。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（六）负责组织全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做好中考、招生录取工作和中小学学籍管理工作。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（七）按照中央关于全面推进素质教育要求，负责教育教学管理、教育教学改革及教育教学科学研究工作，检查指导全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（九）检查指导全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（十）负责全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（十一）负责监督</w:t>
      </w:r>
      <w:r>
        <w:rPr>
          <w:rFonts w:hint="eastAsia" w:ascii="仿宋_GB2312" w:eastAsia="仿宋_GB2312" w:cs="仿宋_GB2312"/>
          <w:kern w:val="0"/>
          <w:sz w:val="32"/>
          <w:szCs w:val="32"/>
          <w:lang w:val="en-US" w:eastAsia="zh-CN"/>
        </w:rPr>
        <w:t>全乡</w:t>
      </w:r>
      <w:r>
        <w:rPr>
          <w:rFonts w:hint="eastAsia" w:ascii="仿宋_GB2312" w:eastAsia="仿宋_GB2312" w:cs="仿宋_GB2312"/>
          <w:kern w:val="0"/>
          <w:sz w:val="32"/>
          <w:szCs w:val="32"/>
        </w:rPr>
        <w:t>教育经费和教育基建经费拨付及教育附加费和教育费附加的征收、管理与使用工作。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（十二）负责全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中小学校教学教育常规管理评估工作，指导全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中小学、中职学校德育、体育、卫生、艺术、安全工作以及团组织和少先队工作。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（十三）指导全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的教育督导工作，组织和指导对</w:t>
      </w:r>
      <w:r>
        <w:rPr>
          <w:rFonts w:hint="eastAsia" w:ascii="仿宋_GB2312" w:eastAsia="仿宋_GB2312" w:cs="仿宋_GB2312"/>
          <w:kern w:val="0"/>
          <w:sz w:val="32"/>
          <w:szCs w:val="32"/>
          <w:lang w:val="en-US" w:eastAsia="zh-CN"/>
        </w:rPr>
        <w:t>基础</w:t>
      </w:r>
      <w:r>
        <w:rPr>
          <w:rFonts w:hint="eastAsia" w:ascii="仿宋_GB2312" w:eastAsia="仿宋_GB2312" w:cs="仿宋_GB2312"/>
          <w:kern w:val="0"/>
          <w:sz w:val="32"/>
          <w:szCs w:val="32"/>
        </w:rPr>
        <w:t>教育，扫除青壮年文盲工作的督导检查和评估工作，指导基础教育发展水平、质量的监测工作。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）负责指导全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学生资助管理工作。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rPr>
        <w:t>）负责语言文字和指导推广普通话工作。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六</w:t>
      </w:r>
      <w:r>
        <w:rPr>
          <w:rFonts w:hint="eastAsia" w:ascii="仿宋_GB2312" w:eastAsia="仿宋_GB2312" w:cs="仿宋_GB2312"/>
          <w:kern w:val="0"/>
          <w:sz w:val="32"/>
          <w:szCs w:val="32"/>
        </w:rPr>
        <w:t>）完成自治县</w:t>
      </w:r>
      <w:r>
        <w:rPr>
          <w:rFonts w:hint="eastAsia" w:ascii="仿宋_GB2312" w:eastAsia="仿宋_GB2312" w:cs="仿宋_GB2312"/>
          <w:kern w:val="0"/>
          <w:sz w:val="32"/>
          <w:szCs w:val="32"/>
          <w:lang w:val="en-US" w:eastAsia="zh-CN"/>
        </w:rPr>
        <w:t>教育局</w:t>
      </w:r>
      <w:r>
        <w:rPr>
          <w:rFonts w:hint="eastAsia" w:ascii="仿宋_GB2312" w:eastAsia="仿宋_GB2312" w:cs="仿宋_GB2312"/>
          <w:kern w:val="0"/>
          <w:sz w:val="32"/>
          <w:szCs w:val="32"/>
        </w:rPr>
        <w:t>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640" w:firstLineChars="200"/>
        <w:jc w:val="left"/>
        <w:textAlignment w:val="auto"/>
        <w:rPr>
          <w:rFonts w:hint="eastAsia" w:ascii="仿宋" w:hAnsi="仿宋" w:eastAsia="仿宋" w:cs="仿宋"/>
          <w:sz w:val="32"/>
          <w:szCs w:val="32"/>
          <w:highlight w:val="none"/>
          <w:lang w:val="en-US" w:eastAsia="zh-CN"/>
        </w:rPr>
      </w:pPr>
      <w:r>
        <w:rPr>
          <w:rFonts w:hint="eastAsia" w:ascii="仿宋_GB2312" w:eastAsia="仿宋_GB2312"/>
          <w:sz w:val="32"/>
          <w:szCs w:val="32"/>
        </w:rPr>
        <w:t>人员编制总数为</w:t>
      </w:r>
      <w:r>
        <w:rPr>
          <w:rFonts w:hint="eastAsia" w:ascii="仿宋_GB2312" w:eastAsia="仿宋_GB2312"/>
          <w:sz w:val="32"/>
          <w:szCs w:val="32"/>
          <w:lang w:val="en-US" w:eastAsia="zh-CN"/>
        </w:rPr>
        <w:t>89</w:t>
      </w:r>
      <w:r>
        <w:rPr>
          <w:rFonts w:hint="eastAsia" w:ascii="仿宋_GB2312" w:eastAsia="仿宋_GB2312"/>
          <w:sz w:val="32"/>
          <w:szCs w:val="32"/>
        </w:rPr>
        <w:t>人，其中行政编制</w:t>
      </w:r>
      <w:r>
        <w:rPr>
          <w:rFonts w:hint="eastAsia" w:ascii="仿宋_GB2312" w:eastAsia="仿宋_GB2312"/>
          <w:sz w:val="32"/>
          <w:szCs w:val="32"/>
          <w:lang w:val="en-US" w:eastAsia="zh-CN"/>
        </w:rPr>
        <w:t>0</w:t>
      </w:r>
      <w:r>
        <w:rPr>
          <w:rFonts w:hint="eastAsia" w:ascii="仿宋_GB2312" w:eastAsia="仿宋_GB2312"/>
          <w:sz w:val="32"/>
          <w:szCs w:val="32"/>
        </w:rPr>
        <w:t>人，事业编制</w:t>
      </w:r>
      <w:r>
        <w:rPr>
          <w:rFonts w:hint="eastAsia" w:ascii="仿宋_GB2312" w:eastAsia="仿宋_GB2312"/>
          <w:sz w:val="32"/>
          <w:szCs w:val="32"/>
          <w:lang w:val="en-US" w:eastAsia="zh-CN"/>
        </w:rPr>
        <w:t>72</w:t>
      </w:r>
      <w:r>
        <w:rPr>
          <w:rFonts w:hint="eastAsia" w:ascii="仿宋_GB2312" w:eastAsia="仿宋_GB2312"/>
          <w:sz w:val="32"/>
          <w:szCs w:val="32"/>
        </w:rPr>
        <w:t>人，聘用</w:t>
      </w:r>
      <w:r>
        <w:rPr>
          <w:rFonts w:hint="eastAsia" w:ascii="仿宋_GB2312" w:eastAsia="仿宋_GB2312"/>
          <w:sz w:val="32"/>
          <w:szCs w:val="32"/>
          <w:lang w:val="en-US" w:eastAsia="zh-CN"/>
        </w:rPr>
        <w:t>教师</w:t>
      </w:r>
      <w:r>
        <w:rPr>
          <w:rFonts w:hint="eastAsia" w:ascii="仿宋_GB2312" w:eastAsia="仿宋_GB2312"/>
          <w:sz w:val="32"/>
          <w:szCs w:val="32"/>
        </w:rPr>
        <w:t>控制数</w:t>
      </w:r>
      <w:r>
        <w:rPr>
          <w:rFonts w:hint="eastAsia" w:ascii="仿宋_GB2312" w:eastAsia="仿宋_GB2312"/>
          <w:sz w:val="32"/>
          <w:szCs w:val="32"/>
          <w:lang w:val="en-US" w:eastAsia="zh-CN"/>
        </w:rPr>
        <w:t>17</w:t>
      </w:r>
      <w:r>
        <w:rPr>
          <w:rFonts w:hint="eastAsia" w:ascii="仿宋_GB2312" w:eastAsia="仿宋_GB2312"/>
          <w:sz w:val="32"/>
          <w:szCs w:val="32"/>
        </w:rPr>
        <w:t>人。实有财政供养人数</w:t>
      </w:r>
      <w:r>
        <w:rPr>
          <w:rFonts w:hint="eastAsia" w:ascii="仿宋_GB2312" w:eastAsia="仿宋_GB2312"/>
          <w:sz w:val="32"/>
          <w:szCs w:val="32"/>
          <w:lang w:val="en-US" w:eastAsia="zh-CN"/>
        </w:rPr>
        <w:t>132</w:t>
      </w:r>
      <w:r>
        <w:rPr>
          <w:rFonts w:hint="eastAsia" w:ascii="仿宋_GB2312" w:eastAsia="仿宋_GB2312"/>
          <w:sz w:val="32"/>
          <w:szCs w:val="32"/>
        </w:rPr>
        <w:t>人，其中行政在职</w:t>
      </w:r>
      <w:r>
        <w:rPr>
          <w:rFonts w:hint="eastAsia" w:ascii="仿宋_GB2312" w:eastAsia="仿宋_GB2312"/>
          <w:sz w:val="32"/>
          <w:szCs w:val="32"/>
          <w:lang w:val="en-US" w:eastAsia="zh-CN"/>
        </w:rPr>
        <w:t>0</w:t>
      </w:r>
      <w:r>
        <w:rPr>
          <w:rFonts w:hint="eastAsia" w:ascii="仿宋_GB2312" w:eastAsia="仿宋_GB2312"/>
          <w:sz w:val="32"/>
          <w:szCs w:val="32"/>
        </w:rPr>
        <w:t>人，事业在职</w:t>
      </w:r>
      <w:r>
        <w:rPr>
          <w:rFonts w:hint="eastAsia" w:ascii="仿宋_GB2312" w:eastAsia="仿宋_GB2312"/>
          <w:sz w:val="32"/>
          <w:szCs w:val="32"/>
          <w:lang w:val="en-US" w:eastAsia="zh-CN"/>
        </w:rPr>
        <w:t>84</w:t>
      </w:r>
      <w:r>
        <w:rPr>
          <w:rFonts w:hint="eastAsia" w:ascii="仿宋_GB2312" w:eastAsia="仿宋_GB2312"/>
          <w:sz w:val="32"/>
          <w:szCs w:val="32"/>
        </w:rPr>
        <w:t>人，离退休人员</w:t>
      </w:r>
      <w:r>
        <w:rPr>
          <w:rFonts w:hint="eastAsia" w:ascii="仿宋_GB2312" w:eastAsia="仿宋_GB2312"/>
          <w:sz w:val="32"/>
          <w:szCs w:val="32"/>
          <w:lang w:val="en-US" w:eastAsia="zh-CN"/>
        </w:rPr>
        <w:t>37</w:t>
      </w:r>
      <w:r>
        <w:rPr>
          <w:rFonts w:hint="eastAsia" w:ascii="仿宋_GB2312" w:eastAsia="仿宋_GB2312"/>
          <w:sz w:val="32"/>
          <w:szCs w:val="32"/>
        </w:rPr>
        <w:t>人（其中离休</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lang w:val="en-US" w:eastAsia="zh-CN"/>
        </w:rPr>
        <w:t>特岗教师</w:t>
      </w:r>
      <w:r>
        <w:rPr>
          <w:rFonts w:hint="eastAsia" w:ascii="仿宋_GB2312" w:eastAsia="仿宋_GB2312"/>
          <w:sz w:val="32"/>
          <w:szCs w:val="32"/>
        </w:rPr>
        <w:t>实有人数</w:t>
      </w:r>
      <w:r>
        <w:rPr>
          <w:rFonts w:hint="eastAsia" w:ascii="仿宋_GB2312" w:eastAsia="仿宋_GB2312"/>
          <w:sz w:val="32"/>
          <w:szCs w:val="32"/>
          <w:lang w:val="en-US" w:eastAsia="zh-CN"/>
        </w:rPr>
        <w:t>11</w:t>
      </w:r>
      <w:r>
        <w:rPr>
          <w:rFonts w:hint="eastAsia" w:ascii="仿宋_GB2312" w:eastAsia="仿宋_GB2312"/>
          <w:sz w:val="32"/>
          <w:szCs w:val="32"/>
        </w:rPr>
        <w:t>人。</w:t>
      </w:r>
      <w:r>
        <w:rPr>
          <w:rFonts w:hint="eastAsia" w:ascii="仿宋_GB2312" w:hAnsi="宋体" w:eastAsia="仿宋_GB2312" w:cs="宋体"/>
          <w:sz w:val="32"/>
          <w:szCs w:val="32"/>
          <w:lang w:eastAsia="zh-CN"/>
        </w:rPr>
        <w:t>学校专职保安人员</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lang w:eastAsia="zh-CN"/>
        </w:rPr>
        <w:t>人，兼职协管人员</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人，食堂钟点工</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lang w:eastAsia="zh-CN"/>
        </w:rPr>
        <w:t>人。</w:t>
      </w:r>
    </w:p>
    <w:p>
      <w:pPr>
        <w:jc w:val="center"/>
        <w:rPr>
          <w:rFonts w:hint="eastAsia" w:ascii="黑体" w:hAnsi="黑体" w:eastAsia="黑体" w:cs="黑体"/>
          <w:sz w:val="32"/>
          <w:szCs w:val="32"/>
          <w:highlight w:val="none"/>
          <w:lang w:val="en-US" w:eastAsia="zh-CN"/>
        </w:rPr>
        <w:sectPr>
          <w:pgSz w:w="16838" w:h="11906" w:orient="landscape"/>
          <w:pgMar w:top="1123" w:right="1157" w:bottom="1123" w:left="1157" w:header="851" w:footer="992" w:gutter="0"/>
          <w:cols w:space="0" w:num="1"/>
          <w:rtlGutter w:val="0"/>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环江毛南族自治县长美学校</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1725.63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1289.57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222.43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1726.29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1726.29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1289.57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1289.57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1287.14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1287.14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1140.89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1140.89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1726.29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1579.94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146.35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1289.57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1229.79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1287.14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1229.79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57.35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1140.89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1094.93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135.86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86.57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135.86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135.86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4966" w:type="pct"/>
        <w:tblInd w:w="0" w:type="dxa"/>
        <w:tblLayout w:type="fixed"/>
        <w:tblCellMar>
          <w:top w:w="0" w:type="dxa"/>
          <w:left w:w="108" w:type="dxa"/>
          <w:bottom w:w="0" w:type="dxa"/>
          <w:right w:w="108" w:type="dxa"/>
        </w:tblCellMar>
      </w:tblPr>
      <w:tblGrid>
        <w:gridCol w:w="2303"/>
        <w:gridCol w:w="816"/>
        <w:gridCol w:w="1359"/>
        <w:gridCol w:w="2454"/>
        <w:gridCol w:w="887"/>
        <w:gridCol w:w="1132"/>
        <w:gridCol w:w="1844"/>
        <w:gridCol w:w="1875"/>
        <w:gridCol w:w="1970"/>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1725.63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1289.57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1289.57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222.43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221.76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1725.63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1726.29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1725.63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0.66</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1725.63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1579.94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145.69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1289.57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1229.79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1287.14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1229.79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57.35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1140.89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85.91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85.91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85.91</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1206.01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84.28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485.70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175.99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20.24</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199.93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17.38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11.46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269.41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189.14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1475.42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104.52</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0.66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0.66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环江毛南族自治县长美学校</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jc w:val="left"/>
        <w:rPr>
          <w:rFonts w:ascii="仿宋" w:hAnsi="仿宋" w:eastAsia="仿宋" w:cs="仿宋"/>
          <w:sz w:val="24"/>
          <w:highlight w:val="none"/>
        </w:rPr>
        <w:sectPr>
          <w:pgSz w:w="16838" w:h="11906" w:orient="landscape"/>
          <w:pgMar w:top="1123" w:right="1157" w:bottom="1123" w:left="1157" w:header="851" w:footer="992" w:gutter="0"/>
          <w:cols w:space="0" w:num="1"/>
          <w:rtlGutter w:val="0"/>
          <w:docGrid w:type="lines" w:linePitch="312" w:charSpace="0"/>
        </w:sect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环江毛南族自治县长美学校</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1726.29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增加553.13</w:t>
      </w:r>
      <w:r>
        <w:rPr>
          <w:rFonts w:hint="eastAsia" w:ascii="仿宋" w:hAnsi="仿宋" w:eastAsia="仿宋" w:cs="仿宋"/>
          <w:sz w:val="32"/>
          <w:szCs w:val="32"/>
          <w:highlight w:val="none"/>
        </w:rPr>
        <w:t>万元，</w:t>
      </w:r>
      <w:r>
        <w:rPr>
          <w:rFonts w:ascii="仿宋" w:hAnsi="仿宋" w:eastAsia="仿宋" w:cs="仿宋"/>
          <w:sz w:val="32"/>
          <w:u w:color="auto"/>
        </w:rPr>
        <w:t>增长47.15%</w:t>
      </w:r>
      <w:r>
        <w:rPr>
          <w:rFonts w:hint="eastAsia" w:ascii="仿宋" w:hAnsi="仿宋" w:eastAsia="仿宋" w:cs="仿宋"/>
          <w:sz w:val="32"/>
          <w:szCs w:val="32"/>
          <w:highlight w:val="none"/>
        </w:rPr>
        <w:t>，其中本年收入</w:t>
      </w:r>
      <w:r>
        <w:rPr>
          <w:rFonts w:ascii="仿宋" w:hAnsi="仿宋" w:eastAsia="仿宋" w:cs="仿宋"/>
          <w:sz w:val="32"/>
          <w:u w:color="auto"/>
        </w:rPr>
        <w:t>1726.29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kern w:val="0"/>
          <w:sz w:val="32"/>
          <w:szCs w:val="32"/>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1725.63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增加552.47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增长47.09%</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华文仿宋" w:hAnsi="华文仿宋" w:eastAsia="华文仿宋" w:cs="华文仿宋"/>
          <w:kern w:val="0"/>
          <w:sz w:val="32"/>
          <w:szCs w:val="32"/>
        </w:rPr>
        <w:t>（1）</w:t>
      </w:r>
      <w:r>
        <w:rPr>
          <w:rFonts w:hint="eastAsia" w:ascii="华文仿宋" w:hAnsi="华文仿宋" w:eastAsia="华文仿宋" w:cs="华文仿宋"/>
          <w:kern w:val="0"/>
          <w:sz w:val="32"/>
          <w:szCs w:val="32"/>
          <w:lang w:val="en-US" w:eastAsia="zh-CN"/>
        </w:rPr>
        <w:t>新增人员增加；（2）上级专款收入增加。</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kern w:val="0"/>
          <w:sz w:val="32"/>
          <w:szCs w:val="32"/>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0.66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增加0.66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华文仿宋" w:hAnsi="华文仿宋" w:eastAsia="华文仿宋" w:cs="华文仿宋"/>
          <w:kern w:val="0"/>
          <w:sz w:val="32"/>
          <w:szCs w:val="32"/>
          <w:lang w:val="en-US" w:eastAsia="zh-CN"/>
        </w:rPr>
        <w:t>上级专款收入增加。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1726.29</w:t>
      </w:r>
      <w:r>
        <w:rPr>
          <w:rFonts w:hint="eastAsia" w:ascii="仿宋" w:hAnsi="仿宋" w:eastAsia="仿宋" w:cs="仿宋"/>
          <w:sz w:val="32"/>
          <w:szCs w:val="32"/>
          <w:highlight w:val="none"/>
        </w:rPr>
        <w:t>万元，其中本年支出</w:t>
      </w:r>
      <w:r>
        <w:rPr>
          <w:rFonts w:ascii="仿宋" w:hAnsi="仿宋" w:eastAsia="仿宋" w:cs="仿宋"/>
          <w:sz w:val="32"/>
          <w:u w:color="auto"/>
        </w:rPr>
        <w:t>1726.29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增加553.13</w:t>
      </w:r>
      <w:r>
        <w:rPr>
          <w:rFonts w:hint="eastAsia" w:ascii="仿宋" w:hAnsi="仿宋" w:eastAsia="仿宋" w:cs="仿宋"/>
          <w:sz w:val="32"/>
          <w:szCs w:val="32"/>
          <w:highlight w:val="none"/>
        </w:rPr>
        <w:t>万元，</w:t>
      </w:r>
      <w:r>
        <w:rPr>
          <w:rFonts w:ascii="仿宋" w:hAnsi="仿宋" w:eastAsia="仿宋" w:cs="仿宋"/>
          <w:sz w:val="32"/>
          <w:u w:color="auto"/>
        </w:rPr>
        <w:t>增长47.15%</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17.04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工会活动及慰问支出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增加17.04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kern w:val="0"/>
          <w:sz w:val="32"/>
          <w:szCs w:val="32"/>
          <w:lang w:val="en-US" w:eastAsia="zh-CN"/>
        </w:rPr>
        <w:t>上级专款收入增加。</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color w:val="auto"/>
          <w:kern w:val="0"/>
          <w:sz w:val="32"/>
          <w:szCs w:val="32"/>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1289.57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eastAsia="zh-CN"/>
        </w:rPr>
        <w:t>乡</w:t>
      </w:r>
      <w:r>
        <w:rPr>
          <w:rFonts w:hint="eastAsia" w:ascii="华文仿宋" w:hAnsi="华文仿宋" w:eastAsia="华文仿宋" w:cs="华文仿宋"/>
          <w:kern w:val="0"/>
          <w:sz w:val="32"/>
          <w:szCs w:val="32"/>
        </w:rPr>
        <w:t>县教育系统人员工资及为开展教育教学活动的支出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增加609.97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增长89.75%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color w:val="auto"/>
          <w:kern w:val="0"/>
          <w:sz w:val="32"/>
          <w:szCs w:val="32"/>
          <w:lang w:val="en-US" w:eastAsia="zh-CN"/>
        </w:rPr>
        <w:t>主要是教育各项收支比上年度均有所</w:t>
      </w:r>
      <w:r>
        <w:rPr>
          <w:rFonts w:hint="eastAsia" w:ascii="华文仿宋" w:hAnsi="华文仿宋" w:eastAsia="华文仿宋" w:cs="华文仿宋"/>
          <w:color w:val="auto"/>
          <w:kern w:val="0"/>
          <w:sz w:val="32"/>
          <w:szCs w:val="32"/>
          <w:highlight w:val="none"/>
          <w:lang w:val="en-US" w:eastAsia="zh-CN"/>
        </w:rPr>
        <w:t>增加</w:t>
      </w:r>
      <w:r>
        <w:rPr>
          <w:rFonts w:hint="eastAsia" w:ascii="华文仿宋" w:hAnsi="华文仿宋" w:eastAsia="华文仿宋" w:cs="华文仿宋"/>
          <w:color w:val="auto"/>
          <w:kern w:val="0"/>
          <w:sz w:val="32"/>
          <w:szCs w:val="32"/>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kern w:val="0"/>
          <w:sz w:val="32"/>
          <w:szCs w:val="32"/>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107.08</w:t>
      </w:r>
      <w:r>
        <w:rPr>
          <w:rFonts w:hint="eastAsia" w:ascii="仿宋" w:hAnsi="仿宋" w:eastAsia="仿宋" w:cs="仿宋"/>
          <w:sz w:val="32"/>
          <w:szCs w:val="32"/>
          <w:highlight w:val="none"/>
        </w:rPr>
        <w:t>万元：</w:t>
      </w:r>
      <w:r>
        <w:rPr>
          <w:rFonts w:hint="eastAsia" w:ascii="华文仿宋" w:hAnsi="华文仿宋" w:eastAsia="华文仿宋" w:cs="华文仿宋"/>
          <w:kern w:val="0"/>
          <w:sz w:val="32"/>
          <w:szCs w:val="32"/>
        </w:rPr>
        <w:t>主要用于缴纳教职工“五险”</w:t>
      </w:r>
      <w:r>
        <w:rPr>
          <w:rFonts w:hint="eastAsia" w:ascii="华文仿宋" w:hAnsi="华文仿宋" w:eastAsia="华文仿宋" w:cs="华文仿宋"/>
          <w:kern w:val="0"/>
          <w:sz w:val="32"/>
          <w:szCs w:val="32"/>
          <w:lang w:val="en-US" w:eastAsia="zh-CN"/>
        </w:rPr>
        <w:t>费用</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减少13.75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下降11.38%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kern w:val="0"/>
          <w:sz w:val="32"/>
          <w:szCs w:val="32"/>
        </w:rPr>
        <w:t>（1）</w:t>
      </w:r>
      <w:r>
        <w:rPr>
          <w:rFonts w:hint="eastAsia" w:ascii="华文仿宋" w:hAnsi="华文仿宋" w:eastAsia="华文仿宋" w:cs="华文仿宋"/>
          <w:kern w:val="0"/>
          <w:sz w:val="32"/>
          <w:szCs w:val="32"/>
          <w:lang w:val="en-US" w:eastAsia="zh-CN"/>
        </w:rPr>
        <w:t>年内退休人员增多；（2）年内调出人员增多。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90.17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缴纳教职工住房公积金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增加10.80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增长13.61%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缴纳公积金基数有所提高。</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kern w:val="0"/>
          <w:sz w:val="32"/>
          <w:szCs w:val="32"/>
          <w:lang w:val="en-US" w:eastAsia="zh-CN"/>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222.43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发放教职工奖金及伙食补助等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减少70.94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下降24.18%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kern w:val="0"/>
          <w:sz w:val="32"/>
          <w:szCs w:val="32"/>
        </w:rPr>
        <w:t>（1）</w:t>
      </w:r>
      <w:r>
        <w:rPr>
          <w:rFonts w:hint="eastAsia" w:ascii="华文仿宋" w:hAnsi="华文仿宋" w:eastAsia="华文仿宋" w:cs="华文仿宋"/>
          <w:kern w:val="0"/>
          <w:sz w:val="32"/>
          <w:szCs w:val="32"/>
          <w:lang w:val="en-US" w:eastAsia="zh-CN"/>
        </w:rPr>
        <w:t>年内退休人员增多；（2）年内调出人员增多。</w:t>
      </w:r>
    </w:p>
    <w:p>
      <w:pPr>
        <w:keepNext w:val="0"/>
        <w:keepLines w:val="0"/>
        <w:widowControl w:val="0"/>
        <w:suppressLineNumbers w:val="0"/>
        <w:spacing w:before="0" w:beforeAutospacing="0" w:after="0" w:afterAutospacing="0"/>
        <w:ind w:right="0" w:firstLine="620" w:firstLineChars="200"/>
        <w:jc w:val="left"/>
        <w:rPr>
          <w:rFonts w:hint="eastAsia" w:ascii="仿宋" w:hAnsi="仿宋" w:eastAsia="仿宋" w:cs="仿宋"/>
          <w:color w:val="FF0000"/>
          <w:kern w:val="2"/>
          <w:sz w:val="32"/>
          <w:szCs w:val="32"/>
          <w:highlight w:val="none"/>
          <w:lang w:val="en-US" w:eastAsia="zh-CN" w:bidi="ar"/>
        </w:rPr>
      </w:pP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6.</w:t>
      </w: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color w:val="FF0000"/>
          <w:kern w:val="2"/>
          <w:sz w:val="32"/>
          <w:szCs w:val="32"/>
          <w:highlight w:val="none"/>
          <w:lang w:val="en-US" w:eastAsia="zh-CN" w:bidi="ar"/>
        </w:rPr>
        <w:t>。</w:t>
      </w:r>
    </w:p>
    <w:p>
      <w:pPr>
        <w:keepNext w:val="0"/>
        <w:keepLines w:val="0"/>
        <w:widowControl w:val="0"/>
        <w:suppressLineNumbers w:val="0"/>
        <w:spacing w:before="0" w:beforeAutospacing="0" w:after="0" w:afterAutospacing="0"/>
        <w:ind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632710"/>
            <wp:effectExtent l="4445" t="4445" r="20955"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环江毛南族自治县长美学校2022年度一般公共预算财政拨款支出</w:t>
      </w:r>
      <w:r>
        <w:rPr>
          <w:rFonts w:ascii="仿宋" w:hAnsi="仿宋" w:eastAsia="仿宋" w:cs="仿宋"/>
          <w:sz w:val="32"/>
          <w:u w:color="auto"/>
        </w:rPr>
        <w:t>1725.63</w:t>
      </w:r>
      <w:r>
        <w:rPr>
          <w:rFonts w:hint="eastAsia" w:ascii="仿宋" w:hAnsi="仿宋" w:eastAsia="仿宋" w:cs="仿宋"/>
          <w:sz w:val="32"/>
          <w:szCs w:val="32"/>
          <w:highlight w:val="none"/>
        </w:rPr>
        <w:t>万元，较2021年度决算数</w:t>
      </w:r>
      <w:r>
        <w:rPr>
          <w:rFonts w:ascii="仿宋" w:hAnsi="仿宋" w:eastAsia="仿宋" w:cs="仿宋"/>
          <w:sz w:val="32"/>
          <w:u w:color="auto"/>
        </w:rPr>
        <w:t>增加552.47</w:t>
      </w:r>
      <w:r>
        <w:rPr>
          <w:rFonts w:hint="eastAsia" w:ascii="仿宋" w:hAnsi="仿宋" w:eastAsia="仿宋" w:cs="仿宋"/>
          <w:sz w:val="32"/>
          <w:szCs w:val="32"/>
          <w:highlight w:val="none"/>
        </w:rPr>
        <w:t>万元，</w:t>
      </w:r>
      <w:r>
        <w:rPr>
          <w:rFonts w:ascii="仿宋" w:hAnsi="仿宋" w:eastAsia="仿宋" w:cs="仿宋"/>
          <w:sz w:val="32"/>
          <w:u w:color="auto"/>
        </w:rPr>
        <w:t>增长47.09%</w:t>
      </w:r>
      <w:r>
        <w:rPr>
          <w:rFonts w:hint="eastAsia" w:ascii="仿宋" w:hAnsi="仿宋" w:eastAsia="仿宋" w:cs="仿宋"/>
          <w:sz w:val="32"/>
          <w:szCs w:val="32"/>
          <w:highlight w:val="none"/>
        </w:rPr>
        <w:t>。其中：基本支出</w:t>
      </w:r>
      <w:r>
        <w:rPr>
          <w:rFonts w:ascii="仿宋" w:hAnsi="仿宋" w:eastAsia="仿宋" w:cs="仿宋"/>
          <w:sz w:val="32"/>
          <w:u w:color="auto"/>
        </w:rPr>
        <w:t>1579.94</w:t>
      </w:r>
      <w:r>
        <w:rPr>
          <w:rFonts w:hint="eastAsia" w:ascii="仿宋" w:hAnsi="仿宋" w:eastAsia="仿宋" w:cs="仿宋"/>
          <w:sz w:val="32"/>
          <w:szCs w:val="32"/>
          <w:highlight w:val="none"/>
        </w:rPr>
        <w:t>万元，项目支出</w:t>
      </w:r>
      <w:r>
        <w:rPr>
          <w:rFonts w:ascii="仿宋" w:hAnsi="仿宋" w:eastAsia="仿宋" w:cs="仿宋"/>
          <w:sz w:val="32"/>
          <w:u w:color="auto"/>
        </w:rPr>
        <w:t>145.69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环江毛南族自治县长美学校2022 年度一般公共预算财政拨款支出年初预算为</w:t>
      </w:r>
      <w:r>
        <w:rPr>
          <w:rFonts w:ascii="仿宋" w:hAnsi="仿宋" w:eastAsia="仿宋" w:cs="仿宋"/>
          <w:sz w:val="32"/>
          <w:u w:color="auto"/>
        </w:rPr>
        <w:t>1125.44</w:t>
      </w:r>
      <w:r>
        <w:rPr>
          <w:rFonts w:hint="eastAsia" w:ascii="仿宋" w:hAnsi="仿宋" w:eastAsia="仿宋" w:cs="仿宋"/>
          <w:sz w:val="32"/>
          <w:szCs w:val="32"/>
          <w:highlight w:val="none"/>
        </w:rPr>
        <w:t>万元，支出决算为</w:t>
      </w:r>
      <w:r>
        <w:rPr>
          <w:rFonts w:ascii="仿宋" w:hAnsi="仿宋" w:eastAsia="仿宋" w:cs="仿宋"/>
          <w:sz w:val="32"/>
          <w:u w:color="auto"/>
        </w:rPr>
        <w:t>1725.63</w:t>
      </w:r>
      <w:r>
        <w:rPr>
          <w:rFonts w:hint="eastAsia" w:ascii="仿宋" w:hAnsi="仿宋" w:eastAsia="仿宋" w:cs="仿宋"/>
          <w:sz w:val="32"/>
          <w:szCs w:val="32"/>
          <w:highlight w:val="none"/>
        </w:rPr>
        <w:t>万元，完成年初预算的</w:t>
      </w:r>
      <w:r>
        <w:rPr>
          <w:rFonts w:ascii="仿宋" w:hAnsi="仿宋" w:eastAsia="仿宋" w:cs="仿宋"/>
          <w:sz w:val="32"/>
          <w:u w:color="auto"/>
        </w:rPr>
        <w:t>153.33%</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17.04</w:t>
      </w:r>
      <w:r>
        <w:rPr>
          <w:rFonts w:hint="eastAsia" w:ascii="仿宋" w:hAnsi="仿宋" w:eastAsia="仿宋"/>
          <w:sz w:val="32"/>
          <w:szCs w:val="32"/>
          <w:highlight w:val="none"/>
        </w:rPr>
        <w:t>万元，支出决算为</w:t>
      </w:r>
      <w:r>
        <w:rPr>
          <w:rFonts w:ascii="仿宋" w:hAnsi="仿宋" w:eastAsia="仿宋"/>
          <w:sz w:val="32"/>
          <w:szCs w:val="32"/>
          <w:highlight w:val="none"/>
        </w:rPr>
        <w:t>17.04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工会活动及慰问支出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工会活动及慰问支出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965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869.86</w:t>
      </w:r>
      <w:r>
        <w:rPr>
          <w:rFonts w:hint="eastAsia" w:ascii="仿宋" w:hAnsi="仿宋" w:eastAsia="仿宋"/>
          <w:sz w:val="32"/>
          <w:szCs w:val="32"/>
          <w:highlight w:val="none"/>
        </w:rPr>
        <w:t>万元，支出决算为</w:t>
      </w:r>
      <w:r>
        <w:rPr>
          <w:rFonts w:ascii="仿宋" w:hAnsi="仿宋" w:eastAsia="仿宋"/>
          <w:sz w:val="32"/>
          <w:szCs w:val="32"/>
          <w:highlight w:val="none"/>
        </w:rPr>
        <w:t>1289.57</w:t>
      </w:r>
      <w:r>
        <w:rPr>
          <w:rFonts w:hint="eastAsia" w:ascii="仿宋" w:hAnsi="仿宋" w:eastAsia="仿宋"/>
          <w:sz w:val="32"/>
          <w:szCs w:val="32"/>
          <w:highlight w:val="none"/>
        </w:rPr>
        <w:t>万元，完成年初预算的</w:t>
      </w:r>
      <w:r>
        <w:rPr>
          <w:rFonts w:ascii="仿宋" w:hAnsi="仿宋" w:eastAsia="仿宋"/>
          <w:sz w:val="32"/>
          <w:szCs w:val="32"/>
          <w:highlight w:val="none"/>
        </w:rPr>
        <w:t>148.25%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eastAsia="zh-CN"/>
        </w:rPr>
        <w:t>乡</w:t>
      </w:r>
      <w:r>
        <w:rPr>
          <w:rFonts w:hint="eastAsia" w:ascii="华文仿宋" w:hAnsi="华文仿宋" w:eastAsia="华文仿宋" w:cs="华文仿宋"/>
          <w:kern w:val="0"/>
          <w:sz w:val="32"/>
          <w:szCs w:val="32"/>
        </w:rPr>
        <w:t>县教育系统人员工资及为开展教育教学活动的支出</w:t>
      </w:r>
      <w:r>
        <w:rPr>
          <w:rFonts w:hint="eastAsia" w:ascii="华文仿宋" w:hAnsi="华文仿宋" w:eastAsia="华文仿宋" w:cs="华文仿宋"/>
          <w:kern w:val="0"/>
          <w:sz w:val="32"/>
          <w:szCs w:val="32"/>
          <w:lang w:val="en-US" w:eastAsia="zh-CN"/>
        </w:rPr>
        <w:t>有所增加</w:t>
      </w:r>
      <w:r>
        <w:rPr>
          <w:rFonts w:hint="eastAsia" w:ascii="华文仿宋" w:hAnsi="华文仿宋" w:eastAsia="华文仿宋" w:cs="华文仿宋"/>
          <w:kern w:val="0"/>
          <w:sz w:val="32"/>
          <w:szCs w:val="32"/>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030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61"/>
        <w:gridCol w:w="942"/>
        <w:gridCol w:w="2744"/>
        <w:gridCol w:w="2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74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6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869.86</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1140.89</w:t>
            </w:r>
          </w:p>
        </w:tc>
        <w:tc>
          <w:tcPr>
            <w:tcW w:w="9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131.16%</w:t>
            </w:r>
          </w:p>
        </w:tc>
        <w:tc>
          <w:tcPr>
            <w:tcW w:w="274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职工工资发放及开展教学活动等支出</w:t>
            </w:r>
          </w:p>
        </w:tc>
        <w:tc>
          <w:tcPr>
            <w:tcW w:w="26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各种经费有所增加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140.65</w:t>
            </w:r>
          </w:p>
        </w:tc>
        <w:tc>
          <w:tcPr>
            <w:tcW w:w="9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274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职工工资发放及开展教学活动等支出</w:t>
            </w:r>
          </w:p>
        </w:tc>
        <w:tc>
          <w:tcPr>
            <w:tcW w:w="26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5.60</w:t>
            </w:r>
          </w:p>
        </w:tc>
        <w:tc>
          <w:tcPr>
            <w:tcW w:w="9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274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发放教职工津贴补贴</w:t>
            </w:r>
          </w:p>
        </w:tc>
        <w:tc>
          <w:tcPr>
            <w:tcW w:w="26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2.43</w:t>
            </w:r>
          </w:p>
        </w:tc>
        <w:tc>
          <w:tcPr>
            <w:tcW w:w="9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274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办公费及劳务费</w:t>
            </w:r>
          </w:p>
        </w:tc>
        <w:tc>
          <w:tcPr>
            <w:tcW w:w="26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869.86</w:t>
            </w:r>
          </w:p>
        </w:tc>
        <w:tc>
          <w:tcPr>
            <w:tcW w:w="9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1289.57</w:t>
            </w:r>
          </w:p>
        </w:tc>
        <w:tc>
          <w:tcPr>
            <w:tcW w:w="94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274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职工工资、津贴、办公费及劳务费等支出</w:t>
            </w:r>
          </w:p>
        </w:tc>
        <w:tc>
          <w:tcPr>
            <w:tcW w:w="26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各种经费有所增加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136.31</w:t>
      </w:r>
      <w:r>
        <w:rPr>
          <w:rFonts w:hint="eastAsia" w:ascii="仿宋" w:hAnsi="仿宋" w:eastAsia="仿宋"/>
          <w:sz w:val="32"/>
          <w:szCs w:val="32"/>
          <w:highlight w:val="none"/>
        </w:rPr>
        <w:t>万元，支出决算为</w:t>
      </w:r>
      <w:r>
        <w:rPr>
          <w:rFonts w:ascii="仿宋" w:hAnsi="仿宋" w:eastAsia="仿宋"/>
          <w:sz w:val="32"/>
          <w:szCs w:val="32"/>
          <w:highlight w:val="none"/>
        </w:rPr>
        <w:t>107.08</w:t>
      </w:r>
      <w:r>
        <w:rPr>
          <w:rFonts w:hint="eastAsia" w:ascii="仿宋" w:hAnsi="仿宋" w:eastAsia="仿宋"/>
          <w:sz w:val="32"/>
          <w:szCs w:val="32"/>
          <w:highlight w:val="none"/>
        </w:rPr>
        <w:t>万元，完成年初预算的</w:t>
      </w:r>
      <w:r>
        <w:rPr>
          <w:rFonts w:ascii="仿宋" w:hAnsi="仿宋" w:eastAsia="仿宋"/>
          <w:sz w:val="32"/>
          <w:szCs w:val="32"/>
          <w:highlight w:val="none"/>
        </w:rPr>
        <w:t>78.56%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华文仿宋" w:hAnsi="华文仿宋" w:eastAsia="华文仿宋" w:cs="华文仿宋"/>
          <w:kern w:val="0"/>
          <w:sz w:val="32"/>
          <w:szCs w:val="32"/>
          <w:lang w:val="en-US" w:eastAsia="zh-CN"/>
        </w:rPr>
        <w:t>年内退休人员及调出人员增多，</w:t>
      </w:r>
      <w:r>
        <w:rPr>
          <w:rFonts w:hint="eastAsia" w:ascii="华文仿宋" w:hAnsi="华文仿宋" w:eastAsia="华文仿宋" w:cs="华文仿宋"/>
          <w:kern w:val="0"/>
          <w:sz w:val="32"/>
          <w:szCs w:val="32"/>
        </w:rPr>
        <w:t>缴纳教职工“五险”</w:t>
      </w:r>
      <w:r>
        <w:rPr>
          <w:rFonts w:hint="eastAsia" w:ascii="华文仿宋" w:hAnsi="华文仿宋" w:eastAsia="华文仿宋" w:cs="华文仿宋"/>
          <w:kern w:val="0"/>
          <w:sz w:val="32"/>
          <w:szCs w:val="32"/>
          <w:lang w:val="en-US" w:eastAsia="zh-CN"/>
        </w:rPr>
        <w:t>经费有所减少。</w:t>
      </w:r>
    </w:p>
    <w:p>
      <w:pPr>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02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3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35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136.31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78.56%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缴纳教职工养老保险经费</w:t>
            </w:r>
          </w:p>
        </w:tc>
        <w:tc>
          <w:tcPr>
            <w:tcW w:w="35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年内退休人员及调出人员增多，缴纳教职工“五险”经费有所减少。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136.31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缴纳教职工养老保险经费</w:t>
            </w:r>
          </w:p>
        </w:tc>
        <w:tc>
          <w:tcPr>
            <w:tcW w:w="35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年内退休人员及调出人员增多，缴纳教职工“五险”经费有所减少。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102.23</w:t>
      </w:r>
      <w:r>
        <w:rPr>
          <w:rFonts w:hint="eastAsia" w:ascii="仿宋" w:hAnsi="仿宋" w:eastAsia="仿宋"/>
          <w:sz w:val="32"/>
          <w:szCs w:val="32"/>
          <w:highlight w:val="none"/>
        </w:rPr>
        <w:t>万元，支出决算为</w:t>
      </w:r>
      <w:r>
        <w:rPr>
          <w:rFonts w:ascii="仿宋" w:hAnsi="仿宋" w:eastAsia="仿宋"/>
          <w:sz w:val="32"/>
          <w:szCs w:val="32"/>
          <w:highlight w:val="none"/>
        </w:rPr>
        <w:t>90.17</w:t>
      </w:r>
      <w:r>
        <w:rPr>
          <w:rFonts w:hint="eastAsia" w:ascii="仿宋" w:hAnsi="仿宋" w:eastAsia="仿宋"/>
          <w:sz w:val="32"/>
          <w:szCs w:val="32"/>
          <w:highlight w:val="none"/>
        </w:rPr>
        <w:t>万元，完成年初预算的</w:t>
      </w:r>
      <w:r>
        <w:rPr>
          <w:rFonts w:ascii="仿宋" w:hAnsi="仿宋" w:eastAsia="仿宋"/>
          <w:sz w:val="32"/>
          <w:szCs w:val="32"/>
          <w:highlight w:val="none"/>
        </w:rPr>
        <w:t>88.20%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华文仿宋" w:hAnsi="华文仿宋" w:eastAsia="华文仿宋" w:cs="华文仿宋"/>
          <w:kern w:val="0"/>
          <w:sz w:val="32"/>
          <w:szCs w:val="32"/>
          <w:lang w:val="en-US" w:eastAsia="zh-CN"/>
        </w:rPr>
        <w:t>年内退休人员及调出人员增多，</w:t>
      </w:r>
      <w:r>
        <w:rPr>
          <w:rFonts w:hint="eastAsia" w:ascii="华文仿宋" w:hAnsi="华文仿宋" w:eastAsia="华文仿宋" w:cs="华文仿宋"/>
          <w:kern w:val="0"/>
          <w:sz w:val="32"/>
          <w:szCs w:val="32"/>
        </w:rPr>
        <w:t>缴纳教职工</w:t>
      </w:r>
      <w:r>
        <w:rPr>
          <w:rFonts w:hint="eastAsia" w:ascii="华文仿宋" w:hAnsi="华文仿宋" w:eastAsia="华文仿宋" w:cs="华文仿宋"/>
          <w:kern w:val="0"/>
          <w:sz w:val="32"/>
          <w:szCs w:val="32"/>
          <w:lang w:val="en-US" w:eastAsia="zh-CN"/>
        </w:rPr>
        <w:t>住房公积金有所减少。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13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4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46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88.20%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缴纳教职工住房公积金</w:t>
            </w:r>
          </w:p>
        </w:tc>
        <w:tc>
          <w:tcPr>
            <w:tcW w:w="46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（三）年内退休人员及调出人员增多，缴纳教职工住房公积金有所减少。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缴纳教职工住房公积金</w:t>
            </w:r>
          </w:p>
        </w:tc>
        <w:tc>
          <w:tcPr>
            <w:tcW w:w="46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（三）年内退休人员及调出人员增多，缴纳教职工住房公积金有所减少。</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06700"/>
            <wp:effectExtent l="4445" t="4445" r="16510" b="825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eastAsia="仿宋"/>
          <w:color w:val="auto"/>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222.43</w:t>
      </w:r>
      <w:r>
        <w:rPr>
          <w:rFonts w:hint="eastAsia" w:ascii="仿宋" w:hAnsi="仿宋" w:eastAsia="仿宋"/>
          <w:sz w:val="32"/>
          <w:szCs w:val="32"/>
          <w:highlight w:val="none"/>
        </w:rPr>
        <w:t>万元，支出决算为</w:t>
      </w:r>
      <w:r>
        <w:rPr>
          <w:rFonts w:ascii="仿宋" w:hAnsi="仿宋" w:eastAsia="仿宋"/>
          <w:sz w:val="32"/>
          <w:szCs w:val="32"/>
          <w:highlight w:val="none"/>
        </w:rPr>
        <w:t>221.76</w:t>
      </w:r>
      <w:r>
        <w:rPr>
          <w:rFonts w:hint="eastAsia" w:ascii="仿宋" w:hAnsi="仿宋" w:eastAsia="仿宋"/>
          <w:sz w:val="32"/>
          <w:szCs w:val="32"/>
          <w:highlight w:val="none"/>
        </w:rPr>
        <w:t>万元，完成年初预算的</w:t>
      </w:r>
      <w:r>
        <w:rPr>
          <w:rFonts w:ascii="仿宋" w:hAnsi="仿宋" w:eastAsia="仿宋"/>
          <w:sz w:val="32"/>
          <w:szCs w:val="32"/>
          <w:highlight w:val="none"/>
        </w:rPr>
        <w:t>99.70%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基本持平。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98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2508"/>
        <w:gridCol w:w="2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5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221.76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25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职工奖金及伙食补助发放</w:t>
            </w:r>
          </w:p>
        </w:tc>
        <w:tc>
          <w:tcPr>
            <w:tcW w:w="2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221.76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25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职工奖金及伙食补助发放</w:t>
            </w:r>
          </w:p>
        </w:tc>
        <w:tc>
          <w:tcPr>
            <w:tcW w:w="24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900680"/>
            <wp:effectExtent l="4445" t="4445" r="16510" b="952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环江毛南族自治县长美学校2022年度一般公共预算财政拨款基本支出</w:t>
      </w:r>
      <w:r>
        <w:rPr>
          <w:rFonts w:ascii="仿宋" w:hAnsi="仿宋" w:eastAsia="仿宋" w:cs="仿宋"/>
          <w:sz w:val="32"/>
          <w:u w:color="auto"/>
        </w:rPr>
        <w:t>1579.94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1475.42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104.52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21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1206.01万元，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112.59%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教育各项收支比上年度均有所增加。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485.70万元，30102津贴补贴90.32万元，30103奖金175.99万元，30107绩效工资199.93万元，30108机关事业单位基本养老保险缴费107.08万元，30110职工基本医疗保险缴费50.93万元，30112其他社会保障缴费5.88万元，30113住房公积金90.17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21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84.28万元，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494.6%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日常办公费、邮电费、差旅费及维修费等均增加。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30201办公费26.77万元，30205水费0.90万元，30206电费1.99万元，30207邮电费11.46万元，30209物业管理费1.90万元，30211差旅费8.89万元，30213维修（护）费11.36万元，30226劳务费3.98万元，30228工会经费17.04万元。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21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269.41万元，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761.91%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年内发放学生助学金数额较大以及遗属补助有所提高。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30305生活补助37.24万元，30308助学金189.14万元，30399其他对个人和家庭的补助43.03万元。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21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20.24万元，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31002办公设备购置17.38万元，31099其他资本性支出2.86万元。</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环江毛南族自治县长美学校2022年度政府性基金支出</w:t>
      </w:r>
      <w:r>
        <w:rPr>
          <w:rFonts w:ascii="仿宋" w:hAnsi="仿宋" w:eastAsia="仿宋" w:cs="仿宋"/>
          <w:sz w:val="32"/>
          <w:szCs w:val="32"/>
          <w:highlight w:val="none"/>
        </w:rPr>
        <w:t>0.66</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增加0.66</w:t>
      </w:r>
      <w:r>
        <w:rPr>
          <w:rFonts w:hint="eastAsia" w:ascii="仿宋" w:hAnsi="仿宋" w:eastAsia="仿宋" w:cs="仿宋"/>
          <w:sz w:val="32"/>
          <w:szCs w:val="32"/>
          <w:highlight w:val="none"/>
        </w:rPr>
        <w:t>万元，</w:t>
      </w:r>
      <w:r>
        <w:rPr>
          <w:rFonts w:ascii="仿宋" w:hAnsi="仿宋" w:eastAsia="仿宋" w:cs="仿宋"/>
          <w:sz w:val="32"/>
          <w:szCs w:val="32"/>
          <w:highlight w:val="none"/>
        </w:rPr>
        <w:t>增长100%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0.66</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环江毛南族自治县长美学校2022年度政府性基金支出年初预算为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0.66</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0.66</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_GB2312" w:cs="仿宋"/>
          <w:color w:val="auto"/>
          <w:sz w:val="32"/>
          <w:szCs w:val="32"/>
          <w:highlight w:val="none"/>
          <w:lang w:eastAsia="zh-CN"/>
        </w:rPr>
      </w:pPr>
      <w:bookmarkStart w:id="4" w:name="PO_part3A5B1C1DiffReason1"/>
      <w:r>
        <w:rPr>
          <w:rFonts w:hint="eastAsia" w:ascii="仿宋_GB2312" w:hAnsi="Times New Roman" w:eastAsia="仿宋_GB2312" w:cs="Times New Roman"/>
          <w:color w:val="auto"/>
          <w:sz w:val="32"/>
          <w:szCs w:val="32"/>
        </w:rPr>
        <w:t>环江毛南族自治县长美学校</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p>
    <w:p>
      <w:pPr>
        <w:numPr>
          <w:ilvl w:val="0"/>
          <w:numId w:val="3"/>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5" w:name="PO_part3A6B2IncReason1"/>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4"/>
        </w:num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bookmarkStart w:id="6" w:name="_GoBack"/>
      <w:bookmarkEnd w:id="6"/>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Times New Roman" w:hAnsi="Times New Roman" w:eastAsia="仿宋_GB2312" w:cs="Times New Roman"/>
          <w:b w:val="0"/>
          <w:bCs w:val="0"/>
          <w:kern w:val="0"/>
          <w:sz w:val="32"/>
          <w:szCs w:val="32"/>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减少17.04</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w:t>
      </w:r>
      <w:r>
        <w:rPr>
          <w:rFonts w:hint="default" w:ascii="Times New Roman" w:hAnsi="Times New Roman" w:eastAsia="仿宋_GB2312" w:cs="Times New Roman"/>
          <w:b w:val="0"/>
          <w:bCs w:val="0"/>
          <w:kern w:val="0"/>
          <w:sz w:val="32"/>
          <w:szCs w:val="32"/>
        </w:rPr>
        <w:t>主要原因是：办公设施设备购置经费、资产运行维护支出、信息系统运行维护支出</w:t>
      </w:r>
      <w:r>
        <w:rPr>
          <w:rFonts w:hint="eastAsia" w:ascii="Times New Roman" w:hAnsi="Times New Roman" w:eastAsia="仿宋_GB2312" w:cs="Times New Roman"/>
          <w:b w:val="0"/>
          <w:bCs w:val="0"/>
          <w:kern w:val="0"/>
          <w:sz w:val="32"/>
          <w:szCs w:val="32"/>
          <w:lang w:val="en-US" w:eastAsia="zh-CN"/>
        </w:rPr>
        <w:t>均减少等等。</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二等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Helvetica" w:hAnsi="Helvetica" w:eastAsia="宋体" w:cs="Helvetica"/>
          <w:i w:val="0"/>
          <w:iCs w:val="0"/>
          <w:caps w:val="0"/>
          <w:color w:val="5C6166"/>
          <w:spacing w:val="0"/>
          <w:sz w:val="30"/>
          <w:szCs w:val="30"/>
          <w:shd w:val="clear" w:fill="FCFCFD"/>
          <w:lang w:val="en-US" w:eastAsia="zh-CN"/>
        </w:rPr>
        <w:t>520.65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30.17</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二等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1.25</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_GB2312" w:hAnsi="仿宋_GB2312" w:eastAsia="仿宋_GB2312" w:cs="仿宋_GB2312"/>
          <w:sz w:val="32"/>
          <w:szCs w:val="32"/>
          <w:lang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部门开展整体支出绩效评价试点，涉及一般公共预算支出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520.65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1.25</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sz w:val="32"/>
          <w:szCs w:val="32"/>
        </w:rPr>
        <w:t>通过本次绩效自评，我们认为该项目目标明确，组织管理到位，执行项目有力，资金管理规范</w:t>
      </w:r>
      <w:r>
        <w:rPr>
          <w:rFonts w:hint="eastAsia" w:ascii="仿宋_GB2312" w:hAnsi="仿宋_GB2312" w:eastAsia="仿宋_GB2312" w:cs="仿宋_GB2312"/>
          <w:sz w:val="32"/>
          <w:szCs w:val="32"/>
          <w:lang w:eastAsia="zh-CN"/>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FF"/>
          <w:sz w:val="32"/>
          <w:szCs w:val="32"/>
        </w:rPr>
        <w:t>。</w:t>
      </w:r>
    </w:p>
    <w:p>
      <w:pPr>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校</w:t>
      </w:r>
      <w:r>
        <w:rPr>
          <w:rFonts w:hint="eastAsia" w:ascii="仿宋_GB2312" w:hAnsi="仿宋_GB2312" w:eastAsia="仿宋_GB2312" w:cs="仿宋_GB2312"/>
          <w:color w:val="000000" w:themeColor="text1"/>
          <w:sz w:val="32"/>
          <w:szCs w:val="32"/>
          <w14:textFill>
            <w14:solidFill>
              <w14:schemeClr w14:val="tx1"/>
            </w14:solidFill>
          </w14:textFill>
        </w:rPr>
        <w:t>根据年初设定的绩效目标，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对19个项目进行</w:t>
      </w:r>
      <w:r>
        <w:rPr>
          <w:rFonts w:hint="eastAsia" w:ascii="仿宋_GB2312" w:hAnsi="仿宋_GB2312" w:eastAsia="仿宋_GB2312" w:cs="仿宋_GB2312"/>
          <w:b w:val="0"/>
          <w:bCs/>
          <w:sz w:val="32"/>
          <w:szCs w:val="32"/>
        </w:rPr>
        <w:t>自评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绩效</w:t>
      </w:r>
      <w:r>
        <w:rPr>
          <w:rFonts w:hint="eastAsia" w:ascii="仿宋_GB2312" w:hAnsi="仿宋_GB2312" w:eastAsia="仿宋_GB2312" w:cs="仿宋_GB2312"/>
          <w:color w:val="000000" w:themeColor="text1"/>
          <w:sz w:val="32"/>
          <w:szCs w:val="32"/>
          <w14:textFill>
            <w14:solidFill>
              <w14:schemeClr w14:val="tx1"/>
            </w14:solidFill>
          </w14:textFill>
        </w:rPr>
        <w:t>自评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结果为：一等项目16个，二等项目3个;自评</w:t>
      </w:r>
      <w:r>
        <w:rPr>
          <w:rFonts w:hint="eastAsia" w:ascii="仿宋_GB2312" w:hAnsi="仿宋_GB2312" w:eastAsia="仿宋_GB2312" w:cs="仿宋_GB2312"/>
          <w:color w:val="000000" w:themeColor="text1"/>
          <w:sz w:val="32"/>
          <w:szCs w:val="32"/>
          <w14:textFill>
            <w14:solidFill>
              <w14:schemeClr w14:val="tx1"/>
            </w14:solidFill>
          </w14:textFill>
        </w:rPr>
        <w:t>得分为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的有8个项目，90分以上100分以下有8个，80分至86分有3个。</w:t>
      </w:r>
      <w:r>
        <w:rPr>
          <w:rFonts w:hint="eastAsia" w:ascii="仿宋_GB2312" w:hAnsi="仿宋_GB2312" w:eastAsia="仿宋_GB2312" w:cs="仿宋_GB2312"/>
          <w:color w:val="000000" w:themeColor="text1"/>
          <w:sz w:val="32"/>
          <w:szCs w:val="32"/>
          <w14:textFill>
            <w14:solidFill>
              <w14:schemeClr w14:val="tx1"/>
            </w14:solidFill>
          </w14:textFill>
        </w:rPr>
        <w:t>发现的主要问题及原因：一是</w:t>
      </w:r>
      <w:r>
        <w:rPr>
          <w:rFonts w:hint="eastAsia" w:ascii="仿宋_GB2312" w:hAnsi="仿宋_GB2312" w:eastAsia="仿宋_GB2312" w:cs="仿宋_GB2312"/>
          <w:sz w:val="32"/>
          <w:szCs w:val="32"/>
        </w:rPr>
        <w:t>我单位未能制定相关管理制度，在项目实施方面还有待完善</w:t>
      </w:r>
      <w:r>
        <w:rPr>
          <w:rFonts w:hint="eastAsia"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hAnsi="仿宋_GB2312" w:eastAsia="仿宋_GB2312" w:cs="仿宋_GB2312"/>
          <w:sz w:val="32"/>
          <w:szCs w:val="32"/>
        </w:rPr>
        <w:t>学校报账材料整理比较</w:t>
      </w:r>
      <w:r>
        <w:rPr>
          <w:rFonts w:hint="eastAsia" w:ascii="仿宋_GB2312" w:hAnsi="仿宋_GB2312" w:eastAsia="仿宋_GB2312" w:cs="仿宋_GB2312"/>
          <w:sz w:val="32"/>
          <w:szCs w:val="32"/>
          <w:lang w:val="en-US" w:eastAsia="zh-CN"/>
        </w:rPr>
        <w:t>缓慢</w:t>
      </w:r>
      <w:r>
        <w:rPr>
          <w:rFonts w:hint="eastAsia" w:ascii="仿宋_GB2312" w:hAnsi="仿宋_GB2312" w:eastAsia="仿宋_GB2312" w:cs="仿宋_GB2312"/>
          <w:sz w:val="32"/>
          <w:szCs w:val="32"/>
        </w:rPr>
        <w:t>，不能及时支付</w:t>
      </w:r>
      <w:r>
        <w:rPr>
          <w:rFonts w:hint="eastAsia" w:ascii="仿宋_GB2312" w:hAnsi="仿宋_GB2312" w:eastAsia="仿宋_GB2312" w:cs="仿宋_GB2312"/>
          <w:sz w:val="32"/>
          <w:szCs w:val="32"/>
          <w:lang w:val="en-US" w:eastAsia="zh-CN"/>
        </w:rPr>
        <w:t>各项开支</w:t>
      </w:r>
      <w:r>
        <w:rPr>
          <w:rFonts w:hint="eastAsia" w:ascii="仿宋_GB2312" w:hAnsi="仿宋_GB2312" w:eastAsia="仿宋_GB2312" w:cs="仿宋_GB2312"/>
          <w:color w:val="000000" w:themeColor="text1"/>
          <w:sz w:val="32"/>
          <w:szCs w:val="32"/>
          <w14:textFill>
            <w14:solidFill>
              <w14:schemeClr w14:val="tx1"/>
            </w14:solidFill>
          </w14:textFill>
        </w:rPr>
        <w:t>。下一步改进措施：一是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组织制定完善相关</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完善项目实施</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项目完成后，及时收集</w:t>
      </w:r>
      <w:r>
        <w:rPr>
          <w:rFonts w:hint="eastAsia" w:ascii="仿宋_GB2312" w:hAnsi="仿宋_GB2312" w:eastAsia="仿宋_GB2312" w:cs="仿宋_GB2312"/>
          <w:sz w:val="32"/>
          <w:szCs w:val="32"/>
        </w:rPr>
        <w:t>报账材料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及时支付</w:t>
      </w:r>
      <w:r>
        <w:rPr>
          <w:rFonts w:hint="eastAsia" w:ascii="仿宋_GB2312" w:hAnsi="仿宋_GB2312" w:eastAsia="仿宋_GB2312" w:cs="仿宋_GB2312"/>
          <w:color w:val="000000" w:themeColor="text1"/>
          <w:sz w:val="32"/>
          <w:szCs w:val="32"/>
          <w14:textFill>
            <w14:solidFill>
              <w14:schemeClr w14:val="tx1"/>
            </w14:solidFill>
          </w14:textFill>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6838" w:h="11906" w:orient="landscape"/>
      <w:pgMar w:top="1803" w:right="1440" w:bottom="1406" w:left="144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9DFEF34"/>
    <w:multiLevelType w:val="singleLevel"/>
    <w:tmpl w:val="C9DFEF34"/>
    <w:lvl w:ilvl="0" w:tentative="0">
      <w:start w:val="3"/>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210" w:firstLine="420"/>
      </w:pPr>
      <w:rPr>
        <w:rFonts w:hint="eastAsia"/>
        <w:color w:val="auto"/>
      </w:rPr>
    </w:lvl>
  </w:abstractNum>
  <w:abstractNum w:abstractNumId="3">
    <w:nsid w:val="1AC8C785"/>
    <w:multiLevelType w:val="singleLevel"/>
    <w:tmpl w:val="1AC8C785"/>
    <w:lvl w:ilvl="0" w:tentative="0">
      <w:start w:val="6"/>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iNWQ1YjI5MTMxMTFkNWYxMTJmYzc0NzMyMDkxZj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657C13"/>
    <w:rsid w:val="020C171D"/>
    <w:rsid w:val="0216715F"/>
    <w:rsid w:val="027B3F11"/>
    <w:rsid w:val="02AC1975"/>
    <w:rsid w:val="02E0291A"/>
    <w:rsid w:val="037979A5"/>
    <w:rsid w:val="043739A4"/>
    <w:rsid w:val="044B5C73"/>
    <w:rsid w:val="045E5916"/>
    <w:rsid w:val="049D3C60"/>
    <w:rsid w:val="04E54546"/>
    <w:rsid w:val="04E92909"/>
    <w:rsid w:val="04FA4B16"/>
    <w:rsid w:val="04FC088E"/>
    <w:rsid w:val="05096B07"/>
    <w:rsid w:val="05992762"/>
    <w:rsid w:val="05B13426"/>
    <w:rsid w:val="05EA06E6"/>
    <w:rsid w:val="061340E1"/>
    <w:rsid w:val="06450013"/>
    <w:rsid w:val="06E96BF0"/>
    <w:rsid w:val="07504EC1"/>
    <w:rsid w:val="07B0770E"/>
    <w:rsid w:val="07E72C91"/>
    <w:rsid w:val="086E1AA3"/>
    <w:rsid w:val="087F4D74"/>
    <w:rsid w:val="0927525D"/>
    <w:rsid w:val="0942143F"/>
    <w:rsid w:val="09750C0F"/>
    <w:rsid w:val="098470A4"/>
    <w:rsid w:val="09F47D86"/>
    <w:rsid w:val="0B41524D"/>
    <w:rsid w:val="0BED0F30"/>
    <w:rsid w:val="0C1939C9"/>
    <w:rsid w:val="0C992E66"/>
    <w:rsid w:val="0CF54541"/>
    <w:rsid w:val="0D100297"/>
    <w:rsid w:val="0D1644B7"/>
    <w:rsid w:val="0D202B45"/>
    <w:rsid w:val="0DBC505E"/>
    <w:rsid w:val="0ED73668"/>
    <w:rsid w:val="0EEA55A1"/>
    <w:rsid w:val="0F8D4C87"/>
    <w:rsid w:val="10505FAA"/>
    <w:rsid w:val="105F7E7E"/>
    <w:rsid w:val="10A122E9"/>
    <w:rsid w:val="11974DD0"/>
    <w:rsid w:val="11E56B5B"/>
    <w:rsid w:val="12296A3A"/>
    <w:rsid w:val="125C77AB"/>
    <w:rsid w:val="13B660AC"/>
    <w:rsid w:val="14405D02"/>
    <w:rsid w:val="147A17CF"/>
    <w:rsid w:val="14AF3ABC"/>
    <w:rsid w:val="14CB726E"/>
    <w:rsid w:val="14D42C8D"/>
    <w:rsid w:val="1534372C"/>
    <w:rsid w:val="15B42ABF"/>
    <w:rsid w:val="16085872"/>
    <w:rsid w:val="165F6ECF"/>
    <w:rsid w:val="17622036"/>
    <w:rsid w:val="17E92249"/>
    <w:rsid w:val="17F673BF"/>
    <w:rsid w:val="189342A4"/>
    <w:rsid w:val="18D304F1"/>
    <w:rsid w:val="19F32577"/>
    <w:rsid w:val="19F45B80"/>
    <w:rsid w:val="19F5075E"/>
    <w:rsid w:val="1B0C078D"/>
    <w:rsid w:val="1B2B31E2"/>
    <w:rsid w:val="1B414DF5"/>
    <w:rsid w:val="1B4C295A"/>
    <w:rsid w:val="1B901690"/>
    <w:rsid w:val="1B973C63"/>
    <w:rsid w:val="1BA1001E"/>
    <w:rsid w:val="1BD01CD5"/>
    <w:rsid w:val="1BEA548C"/>
    <w:rsid w:val="1CCE090A"/>
    <w:rsid w:val="1CFC6E53"/>
    <w:rsid w:val="1D317259"/>
    <w:rsid w:val="1DAB47A7"/>
    <w:rsid w:val="1DAD126E"/>
    <w:rsid w:val="1DE005DE"/>
    <w:rsid w:val="1E664F5B"/>
    <w:rsid w:val="1E875215"/>
    <w:rsid w:val="1EB34BE1"/>
    <w:rsid w:val="1F833C2E"/>
    <w:rsid w:val="215E639F"/>
    <w:rsid w:val="21DE339D"/>
    <w:rsid w:val="21EC3183"/>
    <w:rsid w:val="225E72CD"/>
    <w:rsid w:val="22E06CA1"/>
    <w:rsid w:val="231057D9"/>
    <w:rsid w:val="23367CC4"/>
    <w:rsid w:val="23386ADD"/>
    <w:rsid w:val="23E1610F"/>
    <w:rsid w:val="243E38B6"/>
    <w:rsid w:val="246E2F77"/>
    <w:rsid w:val="248B0E8F"/>
    <w:rsid w:val="24FF4E0B"/>
    <w:rsid w:val="254B4E2B"/>
    <w:rsid w:val="255D6CCF"/>
    <w:rsid w:val="257007B0"/>
    <w:rsid w:val="26426630"/>
    <w:rsid w:val="26492DAF"/>
    <w:rsid w:val="273B4DEE"/>
    <w:rsid w:val="27BB727D"/>
    <w:rsid w:val="27CC1EEA"/>
    <w:rsid w:val="27D70CD3"/>
    <w:rsid w:val="28397580"/>
    <w:rsid w:val="283D7C94"/>
    <w:rsid w:val="286914E7"/>
    <w:rsid w:val="291C47AB"/>
    <w:rsid w:val="29411B62"/>
    <w:rsid w:val="29480E03"/>
    <w:rsid w:val="2983634D"/>
    <w:rsid w:val="29B175E9"/>
    <w:rsid w:val="29D137E8"/>
    <w:rsid w:val="2BB02055"/>
    <w:rsid w:val="2BBF7820"/>
    <w:rsid w:val="2C0954BB"/>
    <w:rsid w:val="2C575A56"/>
    <w:rsid w:val="2CD05FD9"/>
    <w:rsid w:val="2CE10D2D"/>
    <w:rsid w:val="2D087520"/>
    <w:rsid w:val="2DAE631A"/>
    <w:rsid w:val="2DF6556F"/>
    <w:rsid w:val="2E976DAE"/>
    <w:rsid w:val="2E9848D4"/>
    <w:rsid w:val="2F257714"/>
    <w:rsid w:val="2F2F5238"/>
    <w:rsid w:val="2F3275E5"/>
    <w:rsid w:val="2F505B14"/>
    <w:rsid w:val="2FFD70E5"/>
    <w:rsid w:val="30AA08EF"/>
    <w:rsid w:val="30D23D1C"/>
    <w:rsid w:val="31093867"/>
    <w:rsid w:val="31140D25"/>
    <w:rsid w:val="311A3CC6"/>
    <w:rsid w:val="31221CF5"/>
    <w:rsid w:val="31400178"/>
    <w:rsid w:val="31B71515"/>
    <w:rsid w:val="31C75BFC"/>
    <w:rsid w:val="32146967"/>
    <w:rsid w:val="321E3342"/>
    <w:rsid w:val="327759C8"/>
    <w:rsid w:val="32E14A9C"/>
    <w:rsid w:val="33185FE3"/>
    <w:rsid w:val="33953AD8"/>
    <w:rsid w:val="34446324"/>
    <w:rsid w:val="347A1238"/>
    <w:rsid w:val="34A00986"/>
    <w:rsid w:val="34D348B8"/>
    <w:rsid w:val="34EE2E36"/>
    <w:rsid w:val="35B342D3"/>
    <w:rsid w:val="35BE7316"/>
    <w:rsid w:val="35FF348B"/>
    <w:rsid w:val="36777241"/>
    <w:rsid w:val="36B3674F"/>
    <w:rsid w:val="371E78D5"/>
    <w:rsid w:val="37DB08E1"/>
    <w:rsid w:val="383425AF"/>
    <w:rsid w:val="38A951DB"/>
    <w:rsid w:val="38B31605"/>
    <w:rsid w:val="38BB18EB"/>
    <w:rsid w:val="39003F4F"/>
    <w:rsid w:val="39541053"/>
    <w:rsid w:val="398B779E"/>
    <w:rsid w:val="3A3A0F35"/>
    <w:rsid w:val="3A4B3142"/>
    <w:rsid w:val="3A52627F"/>
    <w:rsid w:val="3A6C3008"/>
    <w:rsid w:val="3AAC0D36"/>
    <w:rsid w:val="3AC30F2B"/>
    <w:rsid w:val="3B027CA5"/>
    <w:rsid w:val="3C07002B"/>
    <w:rsid w:val="3C3E2F5F"/>
    <w:rsid w:val="3CBB635D"/>
    <w:rsid w:val="3D0D152A"/>
    <w:rsid w:val="3D7824A0"/>
    <w:rsid w:val="3D7D1865"/>
    <w:rsid w:val="3DA94408"/>
    <w:rsid w:val="3DF62756"/>
    <w:rsid w:val="3E0E69B8"/>
    <w:rsid w:val="3E1201FF"/>
    <w:rsid w:val="3EB70DA6"/>
    <w:rsid w:val="3F1B7587"/>
    <w:rsid w:val="3F2327BB"/>
    <w:rsid w:val="3F261A88"/>
    <w:rsid w:val="3F32667F"/>
    <w:rsid w:val="3F7D5B4C"/>
    <w:rsid w:val="3FA70E1B"/>
    <w:rsid w:val="3FC1012F"/>
    <w:rsid w:val="3FED1344"/>
    <w:rsid w:val="40311450"/>
    <w:rsid w:val="40E65973"/>
    <w:rsid w:val="4191768D"/>
    <w:rsid w:val="41E57B4F"/>
    <w:rsid w:val="424C7A58"/>
    <w:rsid w:val="42A94EAA"/>
    <w:rsid w:val="42F44377"/>
    <w:rsid w:val="42FF2D1C"/>
    <w:rsid w:val="4307442B"/>
    <w:rsid w:val="432F26F6"/>
    <w:rsid w:val="43880F63"/>
    <w:rsid w:val="43D85A47"/>
    <w:rsid w:val="441C5A6F"/>
    <w:rsid w:val="441F5424"/>
    <w:rsid w:val="445362C3"/>
    <w:rsid w:val="44C44FCC"/>
    <w:rsid w:val="44CC7369"/>
    <w:rsid w:val="453D7BC2"/>
    <w:rsid w:val="454D5FC1"/>
    <w:rsid w:val="457F5108"/>
    <w:rsid w:val="459B6277"/>
    <w:rsid w:val="459E4A6E"/>
    <w:rsid w:val="463B22BD"/>
    <w:rsid w:val="46951B6B"/>
    <w:rsid w:val="46B017C3"/>
    <w:rsid w:val="47354F5E"/>
    <w:rsid w:val="475C073D"/>
    <w:rsid w:val="4763532E"/>
    <w:rsid w:val="47EF7803"/>
    <w:rsid w:val="48211C89"/>
    <w:rsid w:val="48565A26"/>
    <w:rsid w:val="48621D83"/>
    <w:rsid w:val="48CC36A0"/>
    <w:rsid w:val="490A76A8"/>
    <w:rsid w:val="49864801"/>
    <w:rsid w:val="49A34401"/>
    <w:rsid w:val="4A1D136F"/>
    <w:rsid w:val="4A3E30AB"/>
    <w:rsid w:val="4A5751EC"/>
    <w:rsid w:val="4A67190C"/>
    <w:rsid w:val="4AC14DAC"/>
    <w:rsid w:val="4AE9550D"/>
    <w:rsid w:val="4AF84C20"/>
    <w:rsid w:val="4BA96EC8"/>
    <w:rsid w:val="4BBB1920"/>
    <w:rsid w:val="4BC15012"/>
    <w:rsid w:val="4BD25472"/>
    <w:rsid w:val="4C0A4C0B"/>
    <w:rsid w:val="4C123AC0"/>
    <w:rsid w:val="4C516396"/>
    <w:rsid w:val="4D0A56C2"/>
    <w:rsid w:val="4D0C050F"/>
    <w:rsid w:val="4D154C85"/>
    <w:rsid w:val="4D537EEC"/>
    <w:rsid w:val="4EB12599"/>
    <w:rsid w:val="4EB35ECE"/>
    <w:rsid w:val="4EEF633A"/>
    <w:rsid w:val="4F0C47F7"/>
    <w:rsid w:val="4F306126"/>
    <w:rsid w:val="4FCE7CFE"/>
    <w:rsid w:val="4FEB6B02"/>
    <w:rsid w:val="4FFF25AD"/>
    <w:rsid w:val="50025BF9"/>
    <w:rsid w:val="50055E16"/>
    <w:rsid w:val="5052092F"/>
    <w:rsid w:val="505D6948"/>
    <w:rsid w:val="507765E7"/>
    <w:rsid w:val="508F4E24"/>
    <w:rsid w:val="50A76ECD"/>
    <w:rsid w:val="50B96C00"/>
    <w:rsid w:val="510078F8"/>
    <w:rsid w:val="51461E90"/>
    <w:rsid w:val="51463753"/>
    <w:rsid w:val="52320A18"/>
    <w:rsid w:val="524B1ADA"/>
    <w:rsid w:val="52553A93"/>
    <w:rsid w:val="52AE4A26"/>
    <w:rsid w:val="5333606C"/>
    <w:rsid w:val="53521F8B"/>
    <w:rsid w:val="53A56FC8"/>
    <w:rsid w:val="53CC09F8"/>
    <w:rsid w:val="53DB6E8D"/>
    <w:rsid w:val="53E22F47"/>
    <w:rsid w:val="54522FF8"/>
    <w:rsid w:val="55450629"/>
    <w:rsid w:val="55B856D8"/>
    <w:rsid w:val="56261760"/>
    <w:rsid w:val="56692963"/>
    <w:rsid w:val="568B0F48"/>
    <w:rsid w:val="57482A8C"/>
    <w:rsid w:val="575766D8"/>
    <w:rsid w:val="576109DB"/>
    <w:rsid w:val="5786217B"/>
    <w:rsid w:val="581B3CFC"/>
    <w:rsid w:val="59337A15"/>
    <w:rsid w:val="59810274"/>
    <w:rsid w:val="5A6000EC"/>
    <w:rsid w:val="5B37709F"/>
    <w:rsid w:val="5BC07095"/>
    <w:rsid w:val="5BD82630"/>
    <w:rsid w:val="5BF16DC6"/>
    <w:rsid w:val="5C1967A5"/>
    <w:rsid w:val="5C4557EC"/>
    <w:rsid w:val="5C930305"/>
    <w:rsid w:val="5CA96A00"/>
    <w:rsid w:val="5CF730BC"/>
    <w:rsid w:val="5E131EC4"/>
    <w:rsid w:val="5E3561D1"/>
    <w:rsid w:val="5E5F0DCE"/>
    <w:rsid w:val="5FA40A7B"/>
    <w:rsid w:val="5FB0504C"/>
    <w:rsid w:val="5FD56D29"/>
    <w:rsid w:val="5FEC7F3F"/>
    <w:rsid w:val="60F74BC3"/>
    <w:rsid w:val="614E0C9F"/>
    <w:rsid w:val="61720E31"/>
    <w:rsid w:val="617D3BF8"/>
    <w:rsid w:val="61841F6A"/>
    <w:rsid w:val="61A13D7C"/>
    <w:rsid w:val="61CB2CF5"/>
    <w:rsid w:val="61CE7DA8"/>
    <w:rsid w:val="61D03DA9"/>
    <w:rsid w:val="623007A9"/>
    <w:rsid w:val="62CB03F8"/>
    <w:rsid w:val="637D7558"/>
    <w:rsid w:val="63BD1004"/>
    <w:rsid w:val="644F19AC"/>
    <w:rsid w:val="64A26657"/>
    <w:rsid w:val="64FF0C2E"/>
    <w:rsid w:val="6502071E"/>
    <w:rsid w:val="65AA4920"/>
    <w:rsid w:val="65E31D0B"/>
    <w:rsid w:val="666D423B"/>
    <w:rsid w:val="66DB1226"/>
    <w:rsid w:val="66E3632D"/>
    <w:rsid w:val="67694F1E"/>
    <w:rsid w:val="67B657F0"/>
    <w:rsid w:val="68C006D4"/>
    <w:rsid w:val="68F22857"/>
    <w:rsid w:val="69597934"/>
    <w:rsid w:val="69766FE4"/>
    <w:rsid w:val="69AF0748"/>
    <w:rsid w:val="69C02956"/>
    <w:rsid w:val="6ACD532A"/>
    <w:rsid w:val="6AEF34F2"/>
    <w:rsid w:val="6B964DDC"/>
    <w:rsid w:val="6C783074"/>
    <w:rsid w:val="6D9E65C6"/>
    <w:rsid w:val="6DA81947"/>
    <w:rsid w:val="6E337B9A"/>
    <w:rsid w:val="6E34121C"/>
    <w:rsid w:val="6E4753F3"/>
    <w:rsid w:val="6E647D53"/>
    <w:rsid w:val="6EB66DE2"/>
    <w:rsid w:val="6EBF142E"/>
    <w:rsid w:val="6ED3075F"/>
    <w:rsid w:val="6F2A2D4B"/>
    <w:rsid w:val="6F63000B"/>
    <w:rsid w:val="6F775864"/>
    <w:rsid w:val="6F8A0C1E"/>
    <w:rsid w:val="6FC0720B"/>
    <w:rsid w:val="70311EB7"/>
    <w:rsid w:val="703F45D4"/>
    <w:rsid w:val="70467D61"/>
    <w:rsid w:val="70D721ED"/>
    <w:rsid w:val="710475CC"/>
    <w:rsid w:val="714E0847"/>
    <w:rsid w:val="715D6546"/>
    <w:rsid w:val="71BE069E"/>
    <w:rsid w:val="71C147B5"/>
    <w:rsid w:val="72A42E14"/>
    <w:rsid w:val="72BD3ED6"/>
    <w:rsid w:val="737547B1"/>
    <w:rsid w:val="73953409"/>
    <w:rsid w:val="73D9089C"/>
    <w:rsid w:val="73E069A3"/>
    <w:rsid w:val="74820F33"/>
    <w:rsid w:val="755F1275"/>
    <w:rsid w:val="76007DF5"/>
    <w:rsid w:val="760360A4"/>
    <w:rsid w:val="763933D7"/>
    <w:rsid w:val="76544B51"/>
    <w:rsid w:val="76C92E49"/>
    <w:rsid w:val="779531A8"/>
    <w:rsid w:val="77A54661"/>
    <w:rsid w:val="77DADB3B"/>
    <w:rsid w:val="78104AA8"/>
    <w:rsid w:val="78E257C5"/>
    <w:rsid w:val="79017475"/>
    <w:rsid w:val="790E2D96"/>
    <w:rsid w:val="794B35BE"/>
    <w:rsid w:val="79CC221C"/>
    <w:rsid w:val="7A652E89"/>
    <w:rsid w:val="7A8C48BA"/>
    <w:rsid w:val="7A9D6AC7"/>
    <w:rsid w:val="7AAD2A82"/>
    <w:rsid w:val="7AF81F4F"/>
    <w:rsid w:val="7B0A3A31"/>
    <w:rsid w:val="7B3360ED"/>
    <w:rsid w:val="7B8437E3"/>
    <w:rsid w:val="7BB10350"/>
    <w:rsid w:val="7BCE2CB0"/>
    <w:rsid w:val="7BDF037E"/>
    <w:rsid w:val="7BF50948"/>
    <w:rsid w:val="7C6723F9"/>
    <w:rsid w:val="7CC876FF"/>
    <w:rsid w:val="7CCB71F0"/>
    <w:rsid w:val="7CE23AF4"/>
    <w:rsid w:val="7CE66A78"/>
    <w:rsid w:val="7CE82114"/>
    <w:rsid w:val="7D23564C"/>
    <w:rsid w:val="7D5E062D"/>
    <w:rsid w:val="7DF76CD8"/>
    <w:rsid w:val="7E9417F3"/>
    <w:rsid w:val="7ED148FF"/>
    <w:rsid w:val="7F695C26"/>
    <w:rsid w:val="7F8A5140"/>
    <w:rsid w:val="7FCF62D3"/>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font11"/>
    <w:basedOn w:val="7"/>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1725.63</c:v>
                </c:pt>
                <c:pt idx="1">
                  <c:v>0.66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37.24</c:v>
                </c:pt>
                <c:pt idx="5">
                  <c:v>0</c:v>
                </c:pt>
                <c:pt idx="6">
                  <c:v>0</c:v>
                </c:pt>
                <c:pt idx="7">
                  <c:v>189.14</c:v>
                </c:pt>
                <c:pt idx="8">
                  <c:v>0</c:v>
                </c:pt>
                <c:pt idx="9">
                  <c:v>0</c:v>
                </c:pt>
                <c:pt idx="10">
                  <c:v>0</c:v>
                </c:pt>
                <c:pt idx="11">
                  <c:v>43.03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17.38</c:v>
                </c:pt>
                <c:pt idx="2">
                  <c:v>0</c:v>
                </c:pt>
                <c:pt idx="3">
                  <c:v>0</c:v>
                </c:pt>
                <c:pt idx="4">
                  <c:v>0</c:v>
                </c:pt>
                <c:pt idx="5">
                  <c:v>0</c:v>
                </c:pt>
                <c:pt idx="6">
                  <c:v>0</c:v>
                </c:pt>
                <c:pt idx="7">
                  <c:v>0</c:v>
                </c:pt>
                <c:pt idx="8">
                  <c:v>0</c:v>
                </c:pt>
                <c:pt idx="9">
                  <c:v>0</c:v>
                </c:pt>
                <c:pt idx="10">
                  <c:v>0</c:v>
                </c:pt>
                <c:pt idx="11">
                  <c:v>0</c:v>
                </c:pt>
                <c:pt idx="12">
                  <c:v>0</c:v>
                </c:pt>
                <c:pt idx="13">
                  <c:v>0</c:v>
                </c:pt>
                <c:pt idx="14">
                  <c:v>0</c:v>
                </c:pt>
                <c:pt idx="15">
                  <c:v>2.86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679.6</c:v>
                </c:pt>
                <c:pt idx="2">
                  <c:v>120.83</c:v>
                </c:pt>
                <c:pt idx="3">
                  <c:v>79.37</c:v>
                </c:pt>
                <c:pt idx="4">
                  <c:v>293.37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17.04</c:v>
                </c:pt>
                <c:pt idx="1">
                  <c:v>1289.57</c:v>
                </c:pt>
                <c:pt idx="2">
                  <c:v>107.08</c:v>
                </c:pt>
                <c:pt idx="3">
                  <c:v>90.17</c:v>
                </c:pt>
                <c:pt idx="4">
                  <c:v>222.43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17.04</c:v>
                </c:pt>
                <c:pt idx="1">
                  <c:v>17.04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2050202</c:v>
                </c:pt>
                <c:pt idx="1">
                  <c:v>2050203</c:v>
                </c:pt>
                <c:pt idx="2">
                  <c:v>2050299</c:v>
                </c:pt>
                <c:pt idx="3">
                  <c:v>2050999</c:v>
                </c:pt>
                <c:pt idx="4">
                  <c:v>205x</c:v>
                </c:pt>
              </c:strCache>
            </c:strRef>
          </c:cat>
          <c:val>
            <c:numRef>
              <c:f>Sheet1!$B$2:$B$6</c:f>
              <c:numCache>
                <c:formatCode>General</c:formatCode>
                <c:ptCount val="5"/>
                <c:pt idx="0">
                  <c:v>1140.89</c:v>
                </c:pt>
                <c:pt idx="1">
                  <c:v>140.65</c:v>
                </c:pt>
                <c:pt idx="2">
                  <c:v>5.6</c:v>
                </c:pt>
                <c:pt idx="3">
                  <c:v>2.43</c:v>
                </c:pt>
                <c:pt idx="4">
                  <c:v>1289.57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107.08</c:v>
                </c:pt>
                <c:pt idx="1">
                  <c:v>107.08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90.17</c:v>
                </c:pt>
                <c:pt idx="1">
                  <c:v>90.17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221.76</c:v>
                </c:pt>
                <c:pt idx="1">
                  <c:v>221.76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485.7</c:v>
                </c:pt>
                <c:pt idx="1">
                  <c:v>90.32</c:v>
                </c:pt>
                <c:pt idx="2">
                  <c:v>175.99</c:v>
                </c:pt>
                <c:pt idx="3">
                  <c:v>0</c:v>
                </c:pt>
                <c:pt idx="4">
                  <c:v>199.93</c:v>
                </c:pt>
                <c:pt idx="5">
                  <c:v>107.08</c:v>
                </c:pt>
                <c:pt idx="6">
                  <c:v>0</c:v>
                </c:pt>
                <c:pt idx="7">
                  <c:v>50.93</c:v>
                </c:pt>
                <c:pt idx="8">
                  <c:v>0</c:v>
                </c:pt>
                <c:pt idx="9">
                  <c:v>5.88</c:v>
                </c:pt>
                <c:pt idx="10">
                  <c:v>90.17</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26.77</c:v>
                </c:pt>
                <c:pt idx="1">
                  <c:v>0</c:v>
                </c:pt>
                <c:pt idx="2">
                  <c:v>0</c:v>
                </c:pt>
                <c:pt idx="3">
                  <c:v>0</c:v>
                </c:pt>
                <c:pt idx="4">
                  <c:v>0.9</c:v>
                </c:pt>
                <c:pt idx="5">
                  <c:v>1.99</c:v>
                </c:pt>
                <c:pt idx="6">
                  <c:v>11.46</c:v>
                </c:pt>
                <c:pt idx="7">
                  <c:v>0</c:v>
                </c:pt>
                <c:pt idx="8">
                  <c:v>1.9</c:v>
                </c:pt>
                <c:pt idx="9">
                  <c:v>8.89</c:v>
                </c:pt>
                <c:pt idx="10">
                  <c:v>0</c:v>
                </c:pt>
                <c:pt idx="11">
                  <c:v>11.36</c:v>
                </c:pt>
                <c:pt idx="12">
                  <c:v>0</c:v>
                </c:pt>
                <c:pt idx="13">
                  <c:v>0</c:v>
                </c:pt>
                <c:pt idx="14">
                  <c:v>0</c:v>
                </c:pt>
                <c:pt idx="15">
                  <c:v>0</c:v>
                </c:pt>
                <c:pt idx="16">
                  <c:v>0</c:v>
                </c:pt>
                <c:pt idx="17">
                  <c:v>0</c:v>
                </c:pt>
                <c:pt idx="18">
                  <c:v>0</c:v>
                </c:pt>
                <c:pt idx="19">
                  <c:v>3.98</c:v>
                </c:pt>
                <c:pt idx="20">
                  <c:v>0</c:v>
                </c:pt>
                <c:pt idx="21">
                  <c:v>17.04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2023-11-29T01:35:12Z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