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环江毛南族自治县大安乡中心幼儿园2022年度部门决算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both"/>
        <w:rPr>
          <w:rFonts w:ascii="仿宋" w:hAnsi="仿宋" w:eastAsia="仿宋" w:cs="仿宋"/>
          <w:sz w:val="32"/>
          <w:szCs w:val="32"/>
          <w:highlight w:val="none"/>
        </w:rPr>
      </w:pPr>
    </w:p>
    <w:p>
      <w:pPr>
        <w:jc w:val="center"/>
        <w:rPr>
          <w:rFonts w:hint="default"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单位负责人：蒙甲秀</w:t>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环江毛南族自治县大安乡中心幼儿园</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环江毛南族自治县大安乡中心幼儿园</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环江毛南族自治县大安乡中心幼儿园</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环江毛南族自治县大安乡中心幼儿园</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（一）贯彻执行党和国家的教育方针、政策和法律法规；拟订全园教育改革与发展规划并组织实施。</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（二）编制本园教育事业发展规划并检查实施情况，向自治县人民政府和上级教育部门作出报告。</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（三）督促检查全园贯彻执行教育方针、政策、法令、法规和上级的各项规定；评估指导全园教育教学工作。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（四）负责推进幼儿教育均衡发展和促进教育公平。</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（五）负责全园人才队伍和教师队伍建设，包括园长岗位培训、后备干部队伍建设、教师学历教育、继续教育等。</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（六）负责组织全园做好学籍管理工作。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（七）按照中央关于全面推进素质教育要求，负责教育教学管理、教育教学改革及教育教学科学研究工作，检查指导全园实施素质教育工作，并组织推广先进的教育教学经验。</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（八）检查指导学校教育教学设备的装备、管理和使用工作。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（九）检查指导全园开展电化教育和信息化教学工作。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（十）负责全园教师初级专业技术职务资格的评审，中、高级专业技术职务资格的申报工作。按照管理权限对教师进行考核、聘任、奖惩、晋升等工作。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（十一）负责监督审计全园教育经费和教育基建经费拨付及教育附加费和教育费附加的征收、管理与使用工作。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（十二）负责指导全园学生资助管理工作。</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（十三）负责语言文字和指导推广普通话工作。</w:t>
      </w:r>
    </w:p>
    <w:p>
      <w:pPr>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（十四）完成上级部门交办的其他工作。</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我部门没有下属单位，按照部门决算编报要求，单独编制本部门决算。</w:t>
      </w:r>
    </w:p>
    <w:p>
      <w:pPr>
        <w:ind w:firstLine="640" w:firstLineChars="200"/>
        <w:jc w:val="left"/>
        <w:rPr>
          <w:rFonts w:hint="eastAsia" w:ascii="仿宋" w:hAnsi="仿宋" w:eastAsia="仿宋" w:cs="仿宋"/>
          <w:sz w:val="32"/>
          <w:szCs w:val="32"/>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环江毛南族自治县大安乡中心幼儿园</w:t>
      </w:r>
      <w:r>
        <w:rPr>
          <w:rFonts w:hint="eastAsia" w:ascii="黑体" w:hAnsi="黑体" w:eastAsia="黑体" w:cs="黑体"/>
          <w:sz w:val="32"/>
          <w:szCs w:val="32"/>
          <w:highlight w:val="none"/>
        </w:rPr>
        <w:t xml:space="preserve"> 2022年度部门决算报表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1549"/>
        <w:gridCol w:w="3351"/>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4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35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6485"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3351"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648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74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160.87</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146.51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7.01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160.87</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160.87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160.87</w:t>
            </w:r>
          </w:p>
        </w:tc>
        <w:tc>
          <w:tcPr>
            <w:tcW w:w="33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160.87</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160.87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160.87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146.51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146.51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普通教育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146.51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146.51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学前教育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139.91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139.91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6.59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6.59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7.01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7.01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7.01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7.01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7.01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7.01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160.87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41.26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119.62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146.51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29.59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116.92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普通教育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146.51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29.59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116.92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学前教育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139.91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29.59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110.33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6.59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6.59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4.09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4.09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4.09</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7.01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4.31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7.01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4.31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7.01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4.31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160.87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146.51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146.51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4.09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7.01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7.01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160.87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160.87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160.87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160.87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160.87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160.87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160.87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41.26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119.62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146.51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29.59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116.92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普通教育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146.51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29.59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116.92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学前教育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139.91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29.59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110.33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其他普通教育支出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6.59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6.59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4.09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4.09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4.09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4.09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4.09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4.09</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7.01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4.31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7.01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4.31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7.01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4.31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40.79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16.37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6.20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6.42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4.09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1.91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0.22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40.79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0.47</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说明“本部门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说明“本部门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环江毛南族自治县大安乡中心幼儿园</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说明“本部门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年度没有财政拨款“三公”经费收入，也没有财政拨款“三公”经费安排的支出，故本表无数据”。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环江毛南族自治县大安乡中心幼儿园</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ascii="仿宋" w:hAnsi="仿宋" w:eastAsia="仿宋" w:cs="仿宋"/>
          <w:sz w:val="32"/>
          <w:u w:color="auto"/>
        </w:rPr>
        <w:t>160.87</w:t>
      </w:r>
      <w:r>
        <w:rPr>
          <w:rFonts w:hint="eastAsia" w:ascii="仿宋" w:hAnsi="仿宋" w:eastAsia="仿宋" w:cs="仿宋"/>
          <w:sz w:val="32"/>
          <w:szCs w:val="32"/>
          <w:highlight w:val="none"/>
        </w:rPr>
        <w:t>万元，较2021年度决算数</w:t>
      </w:r>
      <w:r>
        <w:rPr>
          <w:rFonts w:ascii="仿宋" w:hAnsi="仿宋" w:eastAsia="仿宋" w:cs="仿宋"/>
          <w:sz w:val="32"/>
          <w:u w:color="auto"/>
        </w:rPr>
        <w:t>增加19.74</w:t>
      </w:r>
      <w:r>
        <w:rPr>
          <w:rFonts w:hint="eastAsia" w:ascii="仿宋" w:hAnsi="仿宋" w:eastAsia="仿宋" w:cs="仿宋"/>
          <w:sz w:val="32"/>
          <w:szCs w:val="32"/>
          <w:highlight w:val="none"/>
        </w:rPr>
        <w:t>万元，</w:t>
      </w:r>
      <w:r>
        <w:rPr>
          <w:rFonts w:ascii="仿宋" w:hAnsi="仿宋" w:eastAsia="仿宋" w:cs="仿宋"/>
          <w:sz w:val="32"/>
          <w:u w:color="auto"/>
        </w:rPr>
        <w:t>增长13.99%</w:t>
      </w:r>
      <w:r>
        <w:rPr>
          <w:rFonts w:hint="eastAsia" w:ascii="仿宋" w:hAnsi="仿宋" w:eastAsia="仿宋" w:cs="仿宋"/>
          <w:sz w:val="32"/>
          <w:szCs w:val="32"/>
          <w:highlight w:val="none"/>
        </w:rPr>
        <w:t>，其中本年收入</w:t>
      </w:r>
      <w:r>
        <w:rPr>
          <w:rFonts w:ascii="仿宋" w:hAnsi="仿宋" w:eastAsia="仿宋" w:cs="仿宋"/>
          <w:sz w:val="32"/>
          <w:u w:color="auto"/>
        </w:rPr>
        <w:t>160.87</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ascii="仿宋" w:hAnsi="仿宋" w:eastAsia="仿宋" w:cs="仿宋"/>
          <w:sz w:val="32"/>
          <w:u w:color="auto"/>
        </w:rPr>
        <w:t>160.87</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增加32.08</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增长24.91%</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人员变动工资福利增加。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val="en-US"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w:t>
      </w:r>
      <w:r>
        <w:rPr>
          <w:rFonts w:ascii="仿宋" w:hAnsi="仿宋" w:eastAsia="仿宋" w:cs="仿宋"/>
          <w:color w:val="auto"/>
          <w:sz w:val="32"/>
          <w:u w:color="auto"/>
        </w:rPr>
        <w:t>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color w:val="auto"/>
          <w:kern w:val="2"/>
          <w:sz w:val="32"/>
          <w:szCs w:val="32"/>
          <w:highlight w:val="none"/>
          <w:lang w:val="en-US" w:eastAsia="zh-CN" w:bidi="ar"/>
        </w:rPr>
        <w:t>4.上级补助收入</w:t>
      </w:r>
      <w:r>
        <w:rPr>
          <w:rFonts w:ascii="仿宋" w:hAnsi="仿宋" w:eastAsia="仿宋" w:cs="仿宋"/>
          <w:color w:val="auto"/>
          <w:sz w:val="32"/>
          <w:u w:color="auto"/>
        </w:rPr>
        <w:t>0.00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sz w:val="32"/>
          <w:u w:color="auto"/>
        </w:rPr>
        <w:t>减少12.34</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下降100.00</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2990850"/>
            <wp:effectExtent l="4445" t="4445" r="20955"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ascii="仿宋" w:hAnsi="仿宋" w:eastAsia="仿宋" w:cs="仿宋"/>
          <w:sz w:val="32"/>
          <w:u w:color="auto"/>
        </w:rPr>
        <w:t>160.87</w:t>
      </w:r>
      <w:r>
        <w:rPr>
          <w:rFonts w:hint="eastAsia" w:ascii="仿宋" w:hAnsi="仿宋" w:eastAsia="仿宋" w:cs="仿宋"/>
          <w:sz w:val="32"/>
          <w:szCs w:val="32"/>
          <w:highlight w:val="none"/>
        </w:rPr>
        <w:t>万元，其中本年支出</w:t>
      </w:r>
      <w:r>
        <w:rPr>
          <w:rFonts w:ascii="仿宋" w:hAnsi="仿宋" w:eastAsia="仿宋" w:cs="仿宋"/>
          <w:sz w:val="32"/>
          <w:u w:color="auto"/>
        </w:rPr>
        <w:t>160.87</w:t>
      </w:r>
      <w:r>
        <w:rPr>
          <w:rFonts w:hint="eastAsia" w:ascii="仿宋" w:hAnsi="仿宋" w:eastAsia="仿宋" w:cs="仿宋"/>
          <w:sz w:val="32"/>
          <w:szCs w:val="32"/>
          <w:highlight w:val="none"/>
        </w:rPr>
        <w:t>万元，较2021年度决算数</w:t>
      </w:r>
      <w:r>
        <w:rPr>
          <w:rFonts w:ascii="仿宋" w:hAnsi="仿宋" w:eastAsia="仿宋" w:cs="仿宋"/>
          <w:sz w:val="32"/>
          <w:u w:color="auto"/>
        </w:rPr>
        <w:t>增加19.74</w:t>
      </w:r>
      <w:r>
        <w:rPr>
          <w:rFonts w:hint="eastAsia" w:ascii="仿宋" w:hAnsi="仿宋" w:eastAsia="仿宋" w:cs="仿宋"/>
          <w:sz w:val="32"/>
          <w:szCs w:val="32"/>
          <w:highlight w:val="none"/>
        </w:rPr>
        <w:t>万元，</w:t>
      </w:r>
      <w:r>
        <w:rPr>
          <w:rFonts w:ascii="仿宋" w:hAnsi="仿宋" w:eastAsia="仿宋" w:cs="仿宋"/>
          <w:sz w:val="32"/>
          <w:u w:color="auto"/>
        </w:rPr>
        <w:t>增长13.99%</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0.47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color w:val="auto"/>
          <w:sz w:val="32"/>
          <w:szCs w:val="32"/>
          <w:highlight w:val="none"/>
          <w:lang w:val="en-US" w:eastAsia="zh-CN"/>
        </w:rPr>
        <w:t>主要用于群众团体事务。</w:t>
      </w:r>
      <w:r>
        <w:rPr>
          <w:rFonts w:hint="eastAsia" w:ascii="仿宋" w:hAnsi="仿宋" w:eastAsia="仿宋" w:cs="仿宋"/>
          <w:color w:val="auto"/>
          <w:sz w:val="32"/>
          <w:szCs w:val="32"/>
          <w:highlight w:val="none"/>
        </w:rPr>
        <w:t>较2021年度决算数</w:t>
      </w:r>
      <w:r>
        <w:rPr>
          <w:rFonts w:hint="eastAsia" w:ascii="仿宋" w:hAnsi="仿宋" w:eastAsia="仿宋" w:cs="仿宋"/>
          <w:color w:val="auto"/>
          <w:sz w:val="32"/>
          <w:szCs w:val="32"/>
          <w:highlight w:val="none"/>
          <w:lang w:bidi="ar"/>
        </w:rPr>
        <w:t>增加0.47</w:t>
      </w:r>
      <w:r>
        <w:rPr>
          <w:rFonts w:hint="eastAsia" w:ascii="仿宋" w:hAnsi="仿宋" w:eastAsia="仿宋" w:cs="仿宋"/>
          <w:color w:val="auto"/>
          <w:sz w:val="32"/>
          <w:szCs w:val="32"/>
          <w:highlight w:val="none"/>
        </w:rPr>
        <w:t>万</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bidi="ar"/>
        </w:rPr>
        <w:t>增长100%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人员变动。</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146.51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主要用于人员基本工资，商品服务支出。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增加13.35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增长10.03%</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是2022年公招新进5人。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4.09</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主要用于住房公积金缴费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增加0.59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增长16.86%</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 xml:space="preserve">主要用于单位基本养老缴费。  </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2.80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主要用于住房公积金缴费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增加1.27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增长83.01%</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2022年公招新进5人。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7.01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：人员工资福利。</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增加4.07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增长138.44%</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2022年公招新进5人。</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val="en-US"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color w:val="000000"/>
          <w:sz w:val="31"/>
          <w:szCs w:val="31"/>
          <w:highlight w:val="none"/>
          <w:shd w:val="clear" w:color="auto" w:fill="FFFFFF"/>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。较2021年度决算数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u w:color="auto"/>
          <w:lang w:eastAsia="zh-CN"/>
        </w:rPr>
        <w:t>。</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环江毛南族自治县大安乡中心幼儿园2022年度一般公共预算财政拨款支出</w:t>
      </w:r>
      <w:r>
        <w:rPr>
          <w:rFonts w:ascii="仿宋" w:hAnsi="仿宋" w:eastAsia="仿宋" w:cs="仿宋"/>
          <w:sz w:val="32"/>
          <w:u w:color="auto"/>
        </w:rPr>
        <w:t>160.87</w:t>
      </w:r>
      <w:r>
        <w:rPr>
          <w:rFonts w:hint="eastAsia" w:ascii="仿宋" w:hAnsi="仿宋" w:eastAsia="仿宋" w:cs="仿宋"/>
          <w:sz w:val="32"/>
          <w:szCs w:val="32"/>
          <w:highlight w:val="none"/>
        </w:rPr>
        <w:t>万元，较2021年度决算数</w:t>
      </w:r>
      <w:r>
        <w:rPr>
          <w:rFonts w:ascii="仿宋" w:hAnsi="仿宋" w:eastAsia="仿宋" w:cs="仿宋"/>
          <w:sz w:val="32"/>
          <w:u w:color="auto"/>
        </w:rPr>
        <w:t>增加19.74</w:t>
      </w:r>
      <w:r>
        <w:rPr>
          <w:rFonts w:hint="eastAsia" w:ascii="仿宋" w:hAnsi="仿宋" w:eastAsia="仿宋" w:cs="仿宋"/>
          <w:sz w:val="32"/>
          <w:szCs w:val="32"/>
          <w:highlight w:val="none"/>
        </w:rPr>
        <w:t>万元，</w:t>
      </w:r>
      <w:r>
        <w:rPr>
          <w:rFonts w:ascii="仿宋" w:hAnsi="仿宋" w:eastAsia="仿宋" w:cs="仿宋"/>
          <w:sz w:val="32"/>
          <w:u w:color="auto"/>
        </w:rPr>
        <w:t>增长13.99%</w:t>
      </w:r>
      <w:r>
        <w:rPr>
          <w:rFonts w:hint="eastAsia" w:ascii="仿宋" w:hAnsi="仿宋" w:eastAsia="仿宋" w:cs="仿宋"/>
          <w:sz w:val="32"/>
          <w:szCs w:val="32"/>
          <w:highlight w:val="none"/>
        </w:rPr>
        <w:t>。其中：基本支出</w:t>
      </w:r>
      <w:r>
        <w:rPr>
          <w:rFonts w:ascii="仿宋" w:hAnsi="仿宋" w:eastAsia="仿宋" w:cs="仿宋"/>
          <w:sz w:val="32"/>
          <w:u w:color="auto"/>
        </w:rPr>
        <w:t>41.26</w:t>
      </w:r>
      <w:r>
        <w:rPr>
          <w:rFonts w:hint="eastAsia" w:ascii="仿宋" w:hAnsi="仿宋" w:eastAsia="仿宋" w:cs="仿宋"/>
          <w:sz w:val="32"/>
          <w:szCs w:val="32"/>
          <w:highlight w:val="none"/>
        </w:rPr>
        <w:t>万元，项目支出</w:t>
      </w:r>
      <w:r>
        <w:rPr>
          <w:rFonts w:ascii="仿宋" w:hAnsi="仿宋" w:eastAsia="仿宋" w:cs="仿宋"/>
          <w:sz w:val="32"/>
          <w:u w:color="auto"/>
        </w:rPr>
        <w:t>119.62</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环江毛南族自治县大安乡中心幼儿园2022 年度一般公共预算财政拨款支出年初预算为</w:t>
      </w:r>
      <w:r>
        <w:rPr>
          <w:rFonts w:ascii="仿宋" w:hAnsi="仿宋" w:eastAsia="仿宋" w:cs="仿宋"/>
          <w:sz w:val="32"/>
          <w:u w:color="auto"/>
        </w:rPr>
        <w:t>120.68</w:t>
      </w:r>
      <w:r>
        <w:rPr>
          <w:rFonts w:hint="eastAsia" w:ascii="仿宋" w:hAnsi="仿宋" w:eastAsia="仿宋" w:cs="仿宋"/>
          <w:sz w:val="32"/>
          <w:szCs w:val="32"/>
          <w:highlight w:val="none"/>
        </w:rPr>
        <w:t>万元，支出决算为</w:t>
      </w:r>
      <w:r>
        <w:rPr>
          <w:rFonts w:ascii="仿宋" w:hAnsi="仿宋" w:eastAsia="仿宋" w:cs="仿宋"/>
          <w:sz w:val="32"/>
          <w:u w:color="auto"/>
        </w:rPr>
        <w:t>160.87</w:t>
      </w:r>
      <w:r>
        <w:rPr>
          <w:rFonts w:hint="eastAsia" w:ascii="仿宋" w:hAnsi="仿宋" w:eastAsia="仿宋" w:cs="仿宋"/>
          <w:sz w:val="32"/>
          <w:szCs w:val="32"/>
          <w:highlight w:val="none"/>
        </w:rPr>
        <w:t>万元，完成年初预算的</w:t>
      </w:r>
      <w:r>
        <w:rPr>
          <w:rFonts w:ascii="仿宋" w:hAnsi="仿宋" w:eastAsia="仿宋" w:cs="仿宋"/>
          <w:sz w:val="32"/>
          <w:u w:color="auto"/>
        </w:rPr>
        <w:t>133.30%</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ascii="仿宋" w:hAnsi="仿宋" w:eastAsia="仿宋"/>
          <w:sz w:val="32"/>
          <w:szCs w:val="32"/>
          <w:highlight w:val="none"/>
        </w:rPr>
        <w:t>0.47</w:t>
      </w:r>
      <w:r>
        <w:rPr>
          <w:rFonts w:hint="eastAsia" w:ascii="仿宋" w:hAnsi="仿宋" w:eastAsia="仿宋"/>
          <w:sz w:val="32"/>
          <w:szCs w:val="32"/>
          <w:highlight w:val="none"/>
        </w:rPr>
        <w:t>万元，支出决算为</w:t>
      </w:r>
      <w:r>
        <w:rPr>
          <w:rFonts w:ascii="仿宋" w:hAnsi="仿宋" w:eastAsia="仿宋"/>
          <w:sz w:val="32"/>
          <w:szCs w:val="32"/>
          <w:highlight w:val="none"/>
        </w:rPr>
        <w:t>0.47</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工会经费。</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0.47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0.47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工会经费支出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0.47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0.47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工会经费支出</w:t>
            </w:r>
          </w:p>
        </w:tc>
      </w:tr>
    </w:tbl>
    <w:p>
      <w:pPr>
        <w:jc w:val="both"/>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ascii="仿宋" w:hAnsi="仿宋" w:eastAsia="仿宋"/>
          <w:sz w:val="32"/>
          <w:szCs w:val="32"/>
          <w:highlight w:val="none"/>
        </w:rPr>
        <w:t>113.67</w:t>
      </w:r>
      <w:r>
        <w:rPr>
          <w:rFonts w:hint="eastAsia" w:ascii="仿宋" w:hAnsi="仿宋" w:eastAsia="仿宋"/>
          <w:sz w:val="32"/>
          <w:szCs w:val="32"/>
          <w:highlight w:val="none"/>
        </w:rPr>
        <w:t>万元，支出决算为</w:t>
      </w:r>
      <w:r>
        <w:rPr>
          <w:rFonts w:ascii="仿宋" w:hAnsi="仿宋" w:eastAsia="仿宋"/>
          <w:sz w:val="32"/>
          <w:szCs w:val="32"/>
          <w:highlight w:val="none"/>
        </w:rPr>
        <w:t>146.51</w:t>
      </w:r>
      <w:r>
        <w:rPr>
          <w:rFonts w:hint="eastAsia" w:ascii="仿宋" w:hAnsi="仿宋" w:eastAsia="仿宋"/>
          <w:sz w:val="32"/>
          <w:szCs w:val="32"/>
          <w:highlight w:val="none"/>
        </w:rPr>
        <w:t>万元，完成年初预算的</w:t>
      </w:r>
      <w:r>
        <w:rPr>
          <w:rFonts w:ascii="仿宋" w:hAnsi="仿宋" w:eastAsia="仿宋"/>
          <w:sz w:val="32"/>
          <w:szCs w:val="32"/>
          <w:highlight w:val="none"/>
        </w:rPr>
        <w:t>128.89%</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olor w:val="auto"/>
          <w:sz w:val="32"/>
          <w:szCs w:val="32"/>
          <w:highlight w:val="none"/>
          <w:lang w:val="en-US" w:eastAsia="zh-CN"/>
        </w:rPr>
        <w:t>：</w:t>
      </w:r>
      <w:r>
        <w:rPr>
          <w:rFonts w:hint="eastAsia" w:ascii="仿宋" w:hAnsi="仿宋" w:eastAsia="仿宋" w:cs="仿宋"/>
          <w:color w:val="auto"/>
          <w:kern w:val="2"/>
          <w:sz w:val="32"/>
          <w:szCs w:val="32"/>
          <w:highlight w:val="none"/>
          <w:lang w:val="en-US" w:eastAsia="zh-CN" w:bidi="ar"/>
        </w:rPr>
        <w:t>主要用于人员基本工资，商品服务支出。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113.67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139.91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123.08%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rPr>
              <w:t>人员基本工资，商品服务支出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rPr>
              <w:t>人员基本工资，商品服务支出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6.59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rPr>
              <w:t>人员基本工资，商品服务支出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rPr>
              <w:t>人员基本工资，商品服务支出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113.67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146.51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rPr>
              <w:t>人员基本工资，商品服务支出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rPr>
              <w:t>人员基本工资，商品服务支出</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ascii="仿宋" w:hAnsi="仿宋" w:eastAsia="仿宋"/>
          <w:sz w:val="32"/>
          <w:szCs w:val="32"/>
          <w:highlight w:val="none"/>
        </w:rPr>
        <w:t>3.74</w:t>
      </w:r>
      <w:r>
        <w:rPr>
          <w:rFonts w:hint="eastAsia" w:ascii="仿宋" w:hAnsi="仿宋" w:eastAsia="仿宋"/>
          <w:sz w:val="32"/>
          <w:szCs w:val="32"/>
          <w:highlight w:val="none"/>
        </w:rPr>
        <w:t>万元，支出决算为</w:t>
      </w:r>
      <w:r>
        <w:rPr>
          <w:rFonts w:ascii="仿宋" w:hAnsi="仿宋" w:eastAsia="仿宋"/>
          <w:sz w:val="32"/>
          <w:szCs w:val="32"/>
          <w:highlight w:val="none"/>
        </w:rPr>
        <w:t>4.09</w:t>
      </w:r>
      <w:r>
        <w:rPr>
          <w:rFonts w:hint="eastAsia" w:ascii="仿宋" w:hAnsi="仿宋" w:eastAsia="仿宋"/>
          <w:sz w:val="32"/>
          <w:szCs w:val="32"/>
          <w:highlight w:val="none"/>
        </w:rPr>
        <w:t>万元，完成年初预算的</w:t>
      </w:r>
      <w:r>
        <w:rPr>
          <w:rFonts w:ascii="仿宋" w:hAnsi="仿宋" w:eastAsia="仿宋"/>
          <w:sz w:val="32"/>
          <w:szCs w:val="32"/>
          <w:highlight w:val="none"/>
        </w:rPr>
        <w:t>109.36%</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2022年公招新进5人，主要用于单位基本养老缴费。</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4.09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109.36%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按规定的比例计缴的养老保险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sz w:val="18"/>
                <w:szCs w:val="18"/>
              </w:rPr>
              <w:t>人员变动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4.09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sz w:val="18"/>
                <w:szCs w:val="18"/>
              </w:rPr>
              <w:t>按规定的比例计缴的养老保险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sz w:val="18"/>
                <w:szCs w:val="18"/>
              </w:rPr>
              <w:t>人员变动</w:t>
            </w:r>
            <w:r>
              <w:rPr>
                <w:rFonts w:hint="eastAsia"/>
                <w:sz w:val="18"/>
                <w:szCs w:val="18"/>
              </w:rPr>
              <w:tab/>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ascii="仿宋" w:hAnsi="仿宋" w:eastAsia="仿宋"/>
          <w:sz w:val="32"/>
          <w:szCs w:val="32"/>
          <w:highlight w:val="none"/>
        </w:rPr>
        <w:t>2.80</w:t>
      </w:r>
      <w:r>
        <w:rPr>
          <w:rFonts w:hint="eastAsia" w:ascii="仿宋" w:hAnsi="仿宋" w:eastAsia="仿宋"/>
          <w:sz w:val="32"/>
          <w:szCs w:val="32"/>
          <w:highlight w:val="none"/>
        </w:rPr>
        <w:t>万元，支出决算为</w:t>
      </w:r>
      <w:r>
        <w:rPr>
          <w:rFonts w:ascii="仿宋" w:hAnsi="仿宋" w:eastAsia="仿宋"/>
          <w:sz w:val="32"/>
          <w:szCs w:val="32"/>
          <w:highlight w:val="none"/>
        </w:rPr>
        <w:t>2.80</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2022年公招新进5人，主要用于单位基本养老缴费。</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2.80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按规定的比例计缴的住房公积金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人员变动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2.80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按规定的比例计缴的住房公积金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人员变动</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330450"/>
            <wp:effectExtent l="4445" t="4445" r="16510" b="825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ascii="仿宋" w:hAnsi="仿宋" w:eastAsia="仿宋"/>
          <w:sz w:val="32"/>
          <w:szCs w:val="32"/>
          <w:highlight w:val="none"/>
        </w:rPr>
        <w:t>7.01</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2022年公招新进5人，主要用于人员工资福利。</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7.01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rPr>
              <w:t>用于人员工资福利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rPr>
              <w:tab/>
            </w:r>
            <w:r>
              <w:rPr>
                <w:rFonts w:hint="eastAsia"/>
              </w:rPr>
              <w:t>人员变动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7.01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rPr>
              <w:t>用于人员工资福利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rPr>
              <w:tab/>
            </w:r>
            <w:r>
              <w:rPr>
                <w:rFonts w:hint="eastAsia"/>
              </w:rPr>
              <w:t>人员变动</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环江毛南族自治县大安乡中心幼儿园2022年度一般公共预算财政拨款基本支出</w:t>
      </w:r>
      <w:r>
        <w:rPr>
          <w:rFonts w:ascii="仿宋" w:hAnsi="仿宋" w:eastAsia="仿宋" w:cs="仿宋"/>
          <w:sz w:val="32"/>
          <w:u w:color="auto"/>
        </w:rPr>
        <w:t>41.26</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40.79</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rPr>
        <w:t>0.47</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工资福利支出</w:t>
      </w:r>
      <w:r>
        <w:rPr>
          <w:rFonts w:ascii="仿宋" w:hAnsi="仿宋" w:eastAsia="仿宋" w:cs="仿宋"/>
          <w:sz w:val="32"/>
          <w:u w:color="auto"/>
        </w:rPr>
        <w:t>40.79万元，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135.02%</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：2022年公招新进5人。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16.37万元，30102津贴补贴2.78万元，30103奖金6.20万元，30107绩效工资6.42万元，30108机关事业单位基本养老保险缴费4.09万元，30110职工基本医疗保险缴费1.91万元，30112其他社会保障缴费0.22万元，30113住房公积金2.80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商品和服务支出</w:t>
      </w:r>
      <w:r>
        <w:rPr>
          <w:rFonts w:ascii="仿宋" w:hAnsi="仿宋" w:eastAsia="仿宋" w:cs="仿宋"/>
          <w:sz w:val="32"/>
          <w:u w:color="auto"/>
        </w:rPr>
        <w:t>0.47万元，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2022年公招新进5人。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30228工会经费0.47万元。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sz w:val="32"/>
          <w:szCs w:val="32"/>
          <w:highlight w:val="none"/>
          <w:lang w:val="en-US" w:eastAsia="zh-CN"/>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1013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sz w:val="32"/>
          <w:szCs w:val="32"/>
          <w:highlight w:val="none"/>
          <w:lang w:val="en-US" w:eastAsia="zh-CN"/>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35250"/>
            <wp:effectExtent l="4445" t="4445" r="16510" b="825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r>
        <w:rPr>
          <w:rFonts w:hint="eastAsia" w:ascii="仿宋" w:hAnsi="仿宋" w:eastAsia="仿宋" w:cs="仿宋"/>
          <w:sz w:val="32"/>
          <w:szCs w:val="32"/>
          <w:highlight w:val="none"/>
          <w:lang w:val="en-US" w:eastAsia="zh-CN"/>
        </w:rPr>
        <w:t>主要原因：无。</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8727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环江毛南族自治县大安乡中心幼儿园2022年度政府性基金支出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环江毛南族自治县大安乡中心幼儿园2022年度政府性基金支出年初预算为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rPr>
        <w:t>环江毛南族自治县大安乡中心幼儿园</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环江毛南族自治县大安乡中心幼儿园2022年度国有资本经营预算支出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环江毛南族自治县大安乡中心幼儿园2022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4" w:name="PO_part3A5B1C1DiffReason1"/>
      <w:r>
        <w:rPr>
          <w:rFonts w:hint="eastAsia" w:ascii="仿宋_GB2312" w:hAnsi="Times New Roman" w:eastAsia="仿宋_GB2312" w:cs="Times New Roman"/>
          <w:color w:val="auto"/>
          <w:sz w:val="32"/>
          <w:szCs w:val="32"/>
        </w:rPr>
        <w:t>环江毛南族自治县大安乡中心幼儿园</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2022年预算财政拨款安排的“三公”经费支出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本部门2022年度没有“三公”经费资金收入，也没有“三公”经费资金安排的支出。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本单位无</w:t>
      </w:r>
      <w:r>
        <w:rPr>
          <w:rFonts w:hint="eastAsia" w:ascii="仿宋" w:hAnsi="仿宋" w:eastAsia="仿宋" w:cs="仿宋"/>
          <w:sz w:val="32"/>
          <w:szCs w:val="32"/>
          <w:highlight w:val="none"/>
        </w:rPr>
        <w:t>因公出国（境）费支出</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，全年因</w:t>
      </w:r>
      <w:r>
        <w:rPr>
          <w:rFonts w:hint="eastAsia" w:ascii="仿宋" w:hAnsi="仿宋" w:eastAsia="仿宋" w:cs="仿宋"/>
          <w:sz w:val="32"/>
          <w:szCs w:val="32"/>
          <w:highlight w:val="none"/>
        </w:rPr>
        <w:t>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w:t>
      </w:r>
      <w:r>
        <w:rPr>
          <w:rFonts w:hint="eastAsia" w:ascii="仿宋" w:hAnsi="仿宋" w:eastAsia="仿宋" w:cs="仿宋"/>
          <w:color w:val="auto"/>
          <w:sz w:val="32"/>
          <w:szCs w:val="32"/>
          <w:highlight w:val="none"/>
        </w:rPr>
        <w:t>元。</w:t>
      </w:r>
      <w:bookmarkStart w:id="5" w:name="PO_part3A6B2IncReason1"/>
      <w:r>
        <w:rPr>
          <w:rFonts w:hint="eastAsia" w:ascii="仿宋" w:hAnsi="仿宋" w:eastAsia="仿宋" w:cs="仿宋"/>
          <w:color w:val="auto"/>
          <w:sz w:val="32"/>
          <w:szCs w:val="32"/>
        </w:rPr>
        <w:t>无公务用车购置</w:t>
      </w:r>
      <w:bookmarkEnd w:id="5"/>
      <w:r>
        <w:rPr>
          <w:rFonts w:hint="eastAsia" w:ascii="仿宋" w:hAnsi="仿宋" w:eastAsia="仿宋" w:cs="仿宋"/>
          <w:color w:val="auto"/>
          <w:sz w:val="32"/>
          <w:szCs w:val="32"/>
          <w:lang w:eastAsia="zh-CN"/>
        </w:rPr>
        <w:t>。</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rPr>
        <w:t>无</w:t>
      </w:r>
      <w:r>
        <w:rPr>
          <w:rFonts w:hint="eastAsia" w:ascii="仿宋" w:hAnsi="仿宋" w:eastAsia="仿宋" w:cs="仿宋"/>
          <w:sz w:val="32"/>
          <w:szCs w:val="32"/>
          <w:highlight w:val="none"/>
        </w:rPr>
        <w:t>公务用车运行维</w:t>
      </w:r>
      <w:r>
        <w:rPr>
          <w:rFonts w:hint="eastAsia" w:ascii="仿宋" w:hAnsi="仿宋" w:eastAsia="仿宋" w:cs="仿宋"/>
          <w:color w:val="auto"/>
          <w:sz w:val="32"/>
          <w:szCs w:val="32"/>
          <w:highlight w:val="none"/>
        </w:rPr>
        <w:t>护支出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2022年，</w:t>
      </w:r>
      <w:r>
        <w:rPr>
          <w:rFonts w:hint="eastAsia" w:ascii="仿宋" w:hAnsi="仿宋" w:eastAsia="仿宋" w:cs="仿宋"/>
          <w:color w:val="auto"/>
          <w:sz w:val="32"/>
          <w:u w:color="auto"/>
          <w:lang w:val="en-US" w:eastAsia="zh-CN"/>
        </w:rPr>
        <w:t>本</w:t>
      </w:r>
      <w:r>
        <w:rPr>
          <w:rFonts w:hint="eastAsia" w:ascii="仿宋" w:hAnsi="仿宋" w:eastAsia="仿宋" w:cs="仿宋"/>
          <w:color w:val="auto"/>
          <w:sz w:val="32"/>
          <w:szCs w:val="32"/>
          <w:highlight w:val="none"/>
        </w:rPr>
        <w:t>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pPr>
        <w:numPr>
          <w:ilvl w:val="0"/>
          <w:numId w:val="3"/>
        </w:numPr>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w:t>
      </w:r>
      <w:r>
        <w:rPr>
          <w:rFonts w:hint="eastAsia" w:ascii="仿宋" w:hAnsi="仿宋" w:eastAsia="仿宋" w:cs="仿宋"/>
          <w:color w:val="auto"/>
          <w:sz w:val="32"/>
          <w:szCs w:val="32"/>
          <w:highlight w:val="none"/>
        </w:rPr>
        <w:t>元，</w:t>
      </w:r>
      <w:r>
        <w:rPr>
          <w:rFonts w:hint="eastAsia" w:ascii="仿宋" w:hAnsi="仿宋" w:eastAsia="仿宋" w:cs="仿宋"/>
          <w:color w:val="auto"/>
          <w:kern w:val="2"/>
          <w:sz w:val="32"/>
          <w:szCs w:val="32"/>
          <w:highlight w:val="none"/>
          <w:lang w:val="en-US" w:eastAsia="zh-CN" w:bidi="ar"/>
        </w:rPr>
        <w:t>主要原因是：无</w:t>
      </w:r>
      <w:r>
        <w:rPr>
          <w:rFonts w:hint="eastAsia" w:ascii="仿宋" w:hAnsi="仿宋" w:eastAsia="仿宋" w:cs="仿宋"/>
          <w:color w:val="auto"/>
          <w:sz w:val="32"/>
          <w:szCs w:val="32"/>
          <w:highlight w:val="none"/>
        </w:rPr>
        <w:t>公务接待费支出</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本部门无机关运行经费支出。</w:t>
      </w:r>
    </w:p>
    <w:p>
      <w:pPr>
        <w:numPr>
          <w:ilvl w:val="0"/>
          <w:numId w:val="4"/>
        </w:num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政府采购支出情况说明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本部门无政府采购支出。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本部门已于 2023年4月份完成 2022年部门项目支出绩效自评工作，整体综合评价结果良好。</w:t>
      </w:r>
    </w:p>
    <w:p>
      <w:pPr>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14:textFill>
            <w14:solidFill>
              <w14:schemeClr w14:val="tx1"/>
            </w14:solidFill>
          </w14:textFill>
        </w:rPr>
        <w:t>部门决算中项目绩效自评良好，达到预期绩效目标。</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仿宋" w:hAnsi="仿宋" w:eastAsia="仿宋" w:cs="仿宋"/>
          <w:sz w:val="32"/>
          <w:szCs w:val="32"/>
          <w:highlight w:val="none"/>
        </w:rPr>
      </w:pPr>
      <w:bookmarkStart w:id="6" w:name="_GoBack"/>
      <w:bookmarkEnd w:id="6"/>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jc w:val="left"/>
        <w:rPr>
          <w:rFonts w:hint="eastAsia" w:ascii="仿宋" w:hAnsi="仿宋" w:eastAsia="仿宋" w:cs="仿宋"/>
          <w:sz w:val="32"/>
          <w:szCs w:val="32"/>
          <w:highlight w:val="none"/>
        </w:rPr>
      </w:pPr>
    </w:p>
    <w:p>
      <w:pPr>
        <w:jc w:val="right"/>
        <w:rPr>
          <w:rFonts w:hint="eastAsia" w:ascii="仿宋" w:hAnsi="仿宋" w:eastAsia="仿宋" w:cs="仿宋"/>
          <w:sz w:val="32"/>
          <w:szCs w:val="32"/>
          <w:highlight w:val="none"/>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63A95"/>
    <w:multiLevelType w:val="singleLevel"/>
    <w:tmpl w:val="90763A95"/>
    <w:lvl w:ilvl="0" w:tentative="0">
      <w:start w:val="2"/>
      <w:numFmt w:val="chineseCounting"/>
      <w:suff w:val="nothing"/>
      <w:lvlText w:val="（%1）"/>
      <w:lvlJc w:val="left"/>
      <w:rPr>
        <w:rFonts w:hint="eastAsia"/>
      </w:rPr>
    </w:lvl>
  </w:abstractNum>
  <w:abstractNum w:abstractNumId="1">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2">
    <w:nsid w:val="C9DFEF34"/>
    <w:multiLevelType w:val="singleLevel"/>
    <w:tmpl w:val="C9DFEF34"/>
    <w:lvl w:ilvl="0" w:tentative="0">
      <w:start w:val="3"/>
      <w:numFmt w:val="chineseCounting"/>
      <w:suff w:val="nothing"/>
      <w:lvlText w:val="（%1）"/>
      <w:lvlJc w:val="left"/>
      <w:rPr>
        <w:rFonts w:hint="eastAsia"/>
      </w:rPr>
    </w:lvl>
  </w:abstractNum>
  <w:abstractNum w:abstractNumId="3">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MmQ2YmNkY2RiNjUyNWZiZGVkZjI3NTk0Mjc4Mj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992762"/>
    <w:rsid w:val="07B0770E"/>
    <w:rsid w:val="0942143F"/>
    <w:rsid w:val="0D100297"/>
    <w:rsid w:val="0D202B45"/>
    <w:rsid w:val="0D251C76"/>
    <w:rsid w:val="0E8E3161"/>
    <w:rsid w:val="0F8D4C87"/>
    <w:rsid w:val="10505FAA"/>
    <w:rsid w:val="105F7E7E"/>
    <w:rsid w:val="11DF2C63"/>
    <w:rsid w:val="11E56B5B"/>
    <w:rsid w:val="125C77AB"/>
    <w:rsid w:val="14CB726E"/>
    <w:rsid w:val="17E92249"/>
    <w:rsid w:val="18D304F1"/>
    <w:rsid w:val="19F32577"/>
    <w:rsid w:val="19F45B80"/>
    <w:rsid w:val="1B0C078D"/>
    <w:rsid w:val="1B2B31E2"/>
    <w:rsid w:val="1B4C295A"/>
    <w:rsid w:val="1B973C63"/>
    <w:rsid w:val="1BA1001E"/>
    <w:rsid w:val="1D317259"/>
    <w:rsid w:val="1E664F5B"/>
    <w:rsid w:val="1E90177B"/>
    <w:rsid w:val="1EB34BE1"/>
    <w:rsid w:val="215E639F"/>
    <w:rsid w:val="21EC3183"/>
    <w:rsid w:val="225E72CD"/>
    <w:rsid w:val="246E2F77"/>
    <w:rsid w:val="254B4E2B"/>
    <w:rsid w:val="283D7C94"/>
    <w:rsid w:val="29480E03"/>
    <w:rsid w:val="2983634D"/>
    <w:rsid w:val="2BB02055"/>
    <w:rsid w:val="2C575A56"/>
    <w:rsid w:val="2CC537BA"/>
    <w:rsid w:val="2F257714"/>
    <w:rsid w:val="2F3275E5"/>
    <w:rsid w:val="30AA08EF"/>
    <w:rsid w:val="30D23D1C"/>
    <w:rsid w:val="31221CF5"/>
    <w:rsid w:val="31400178"/>
    <w:rsid w:val="321E3342"/>
    <w:rsid w:val="327759C8"/>
    <w:rsid w:val="33185FE3"/>
    <w:rsid w:val="34EE2E36"/>
    <w:rsid w:val="36777241"/>
    <w:rsid w:val="371E78D5"/>
    <w:rsid w:val="38A951DB"/>
    <w:rsid w:val="38B31605"/>
    <w:rsid w:val="39003F4F"/>
    <w:rsid w:val="3C07002B"/>
    <w:rsid w:val="3D0D152A"/>
    <w:rsid w:val="3DF62756"/>
    <w:rsid w:val="3F1B7587"/>
    <w:rsid w:val="41E57B4F"/>
    <w:rsid w:val="42822499"/>
    <w:rsid w:val="432F26F6"/>
    <w:rsid w:val="43880F63"/>
    <w:rsid w:val="441C5A6F"/>
    <w:rsid w:val="44C44FCC"/>
    <w:rsid w:val="44CC7369"/>
    <w:rsid w:val="457F5108"/>
    <w:rsid w:val="46951B6B"/>
    <w:rsid w:val="49A34401"/>
    <w:rsid w:val="4A3E30AB"/>
    <w:rsid w:val="4AC14DAC"/>
    <w:rsid w:val="4D154C85"/>
    <w:rsid w:val="4EB35ECE"/>
    <w:rsid w:val="508F4E24"/>
    <w:rsid w:val="50A9726C"/>
    <w:rsid w:val="51461E90"/>
    <w:rsid w:val="51463753"/>
    <w:rsid w:val="52553A93"/>
    <w:rsid w:val="53521F8B"/>
    <w:rsid w:val="53E22F47"/>
    <w:rsid w:val="54522FF8"/>
    <w:rsid w:val="55450629"/>
    <w:rsid w:val="56692963"/>
    <w:rsid w:val="568B0F48"/>
    <w:rsid w:val="5786217B"/>
    <w:rsid w:val="59337A15"/>
    <w:rsid w:val="59810274"/>
    <w:rsid w:val="5CA96A00"/>
    <w:rsid w:val="5CF730BC"/>
    <w:rsid w:val="5DC16718"/>
    <w:rsid w:val="5E5F0DCE"/>
    <w:rsid w:val="5EA032F5"/>
    <w:rsid w:val="5FA40A7B"/>
    <w:rsid w:val="5FD56D29"/>
    <w:rsid w:val="5FEC7F3F"/>
    <w:rsid w:val="60F74BC3"/>
    <w:rsid w:val="617D3BF8"/>
    <w:rsid w:val="61841F6A"/>
    <w:rsid w:val="623007A9"/>
    <w:rsid w:val="637D7558"/>
    <w:rsid w:val="644F19AC"/>
    <w:rsid w:val="65AA4920"/>
    <w:rsid w:val="65E31D0B"/>
    <w:rsid w:val="67694F1E"/>
    <w:rsid w:val="69597934"/>
    <w:rsid w:val="6B964DDC"/>
    <w:rsid w:val="6C783074"/>
    <w:rsid w:val="6D9E65C6"/>
    <w:rsid w:val="6DA81947"/>
    <w:rsid w:val="6EB66DE2"/>
    <w:rsid w:val="6ED3075F"/>
    <w:rsid w:val="6F2A2D4B"/>
    <w:rsid w:val="6F8A0C1E"/>
    <w:rsid w:val="700806D3"/>
    <w:rsid w:val="703F45D4"/>
    <w:rsid w:val="715D6546"/>
    <w:rsid w:val="71BE069E"/>
    <w:rsid w:val="73953409"/>
    <w:rsid w:val="73E069A3"/>
    <w:rsid w:val="78104AA8"/>
    <w:rsid w:val="78E257C5"/>
    <w:rsid w:val="794B35BE"/>
    <w:rsid w:val="7B0A3A31"/>
    <w:rsid w:val="7B3360ED"/>
    <w:rsid w:val="7BDF037E"/>
    <w:rsid w:val="7BF50948"/>
    <w:rsid w:val="7CE66A78"/>
    <w:rsid w:val="7D23564C"/>
    <w:rsid w:val="7D5E062D"/>
    <w:rsid w:val="7DF76CD8"/>
    <w:rsid w:val="7E516920"/>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8.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160.87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Sheet1!$A$2:$A$13</c:f>
              <c:strCach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strCache>
            </c:str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0</c:v>
                </c:pt>
                <c:pt idx="1">
                  <c:v>133.16</c:v>
                </c:pt>
                <c:pt idx="2">
                  <c:v>3.5</c:v>
                </c:pt>
                <c:pt idx="3">
                  <c:v>1.53</c:v>
                </c:pt>
                <c:pt idx="4">
                  <c:v>2.94</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0.47</c:v>
                </c:pt>
                <c:pt idx="1">
                  <c:v>146.51</c:v>
                </c:pt>
                <c:pt idx="2">
                  <c:v>4.09</c:v>
                </c:pt>
                <c:pt idx="3">
                  <c:v>2.8</c:v>
                </c:pt>
                <c:pt idx="4">
                  <c:v>7.01</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0.47</c:v>
                </c:pt>
                <c:pt idx="1">
                  <c:v>0.47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2050201</c:v>
                </c:pt>
                <c:pt idx="1">
                  <c:v>2050299</c:v>
                </c:pt>
                <c:pt idx="2">
                  <c:v>205x</c:v>
                </c:pt>
              </c:strCache>
            </c:strRef>
          </c:cat>
          <c:val>
            <c:numRef>
              <c:f>Sheet1!$B$2:$B$4</c:f>
              <c:numCache>
                <c:formatCode>General</c:formatCode>
                <c:ptCount val="3"/>
                <c:pt idx="0">
                  <c:v>139.91</c:v>
                </c:pt>
                <c:pt idx="1">
                  <c:v>6.59</c:v>
                </c:pt>
                <c:pt idx="2">
                  <c:v>146.51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4.09</c:v>
                </c:pt>
                <c:pt idx="1">
                  <c:v>4.09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2.8</c:v>
                </c:pt>
                <c:pt idx="1">
                  <c:v>2.8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7.01</c:v>
                </c:pt>
                <c:pt idx="1">
                  <c:v>7.01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Sheet1!$A$2:$A$14</c:f>
              <c:strCach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strCache>
            </c:strRef>
          </c:cat>
          <c:val>
            <c:numRef>
              <c:f>Sheet1!$B$2:$B$14</c:f>
              <c:numCache>
                <c:formatCode>General</c:formatCode>
                <c:ptCount val="13"/>
                <c:pt idx="0">
                  <c:v>16.37</c:v>
                </c:pt>
                <c:pt idx="1">
                  <c:v>2.78</c:v>
                </c:pt>
                <c:pt idx="2">
                  <c:v>6.2</c:v>
                </c:pt>
                <c:pt idx="3">
                  <c:v>0</c:v>
                </c:pt>
                <c:pt idx="4">
                  <c:v>6.42</c:v>
                </c:pt>
                <c:pt idx="5">
                  <c:v>4.09</c:v>
                </c:pt>
                <c:pt idx="6">
                  <c:v>0</c:v>
                </c:pt>
                <c:pt idx="7">
                  <c:v>1.91</c:v>
                </c:pt>
                <c:pt idx="8">
                  <c:v>0</c:v>
                </c:pt>
                <c:pt idx="9">
                  <c:v>0.22</c:v>
                </c:pt>
                <c:pt idx="10">
                  <c:v>2.8</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Sheet1!$A$2:$A$28</c:f>
              <c:strCach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strCache>
            </c:str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0.47</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40</Pages>
  <Words>9310</Words>
  <Characters>12823</Characters>
  <Lines>90</Lines>
  <Paragraphs>25</Paragraphs>
  <TotalTime>1</TotalTime>
  <ScaleCrop>false</ScaleCrop>
  <LinksUpToDate>false</LinksUpToDate>
  <CharactersWithSpaces>13070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cp:lastPrinted>2023-11-20T07:38:00Z</cp:lastPrinted>
  <dcterms:modified xsi:type="dcterms:W3CDTF">2023-11-29T01:31:41Z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4DD3CD6170144E579E25290C73AB4579_13</vt:lpwstr>
  </property>
</Properties>
</file>