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center"/>
        <w:rPr>
          <w:rFonts w:ascii="黑体" w:hAnsi="黑体" w:eastAsia="黑体" w:cs="黑体"/>
          <w:b/>
          <w:bCs/>
          <w:color w:val="auto"/>
          <w:sz w:val="52"/>
          <w:szCs w:val="52"/>
          <w:highlight w:val="none"/>
        </w:rPr>
      </w:pPr>
      <w:r>
        <w:rPr>
          <w:rFonts w:hint="eastAsia" w:ascii="黑体" w:hAnsi="黑体" w:eastAsia="黑体" w:cs="黑体"/>
          <w:b/>
          <w:bCs/>
          <w:color w:val="auto"/>
          <w:sz w:val="52"/>
          <w:szCs w:val="52"/>
          <w:highlight w:val="none"/>
        </w:rPr>
        <w:t>环江毛南族自治县大安乡中心小学2022年度部门决算</w:t>
      </w:r>
    </w:p>
    <w:p>
      <w:pPr>
        <w:jc w:val="center"/>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center"/>
        <w:rPr>
          <w:rFonts w:hint="eastAsia" w:ascii="黑体" w:hAnsi="黑体" w:eastAsia="黑体" w:cs="黑体"/>
          <w:b/>
          <w:bCs/>
          <w:color w:val="auto"/>
          <w:sz w:val="36"/>
          <w:szCs w:val="36"/>
          <w:highlight w:val="none"/>
          <w:lang w:val="en-US" w:eastAsia="zh-CN"/>
        </w:rPr>
      </w:pPr>
      <w:r>
        <w:rPr>
          <w:rFonts w:hint="eastAsia" w:ascii="黑体" w:hAnsi="黑体" w:eastAsia="黑体" w:cs="黑体"/>
          <w:b/>
          <w:bCs/>
          <w:color w:val="auto"/>
          <w:sz w:val="36"/>
          <w:szCs w:val="36"/>
          <w:highlight w:val="none"/>
        </w:rPr>
        <w:t>2023年</w:t>
      </w:r>
      <w:r>
        <w:rPr>
          <w:rFonts w:hint="eastAsia" w:ascii="黑体" w:hAnsi="黑体" w:eastAsia="黑体" w:cs="黑体"/>
          <w:b/>
          <w:bCs/>
          <w:color w:val="auto"/>
          <w:sz w:val="36"/>
          <w:szCs w:val="36"/>
          <w:highlight w:val="none"/>
          <w:lang w:val="en-US" w:eastAsia="zh-CN"/>
        </w:rPr>
        <w:t>10</w:t>
      </w:r>
      <w:r>
        <w:rPr>
          <w:rFonts w:hint="eastAsia" w:ascii="黑体" w:hAnsi="黑体" w:eastAsia="黑体" w:cs="黑体"/>
          <w:b/>
          <w:bCs/>
          <w:color w:val="auto"/>
          <w:sz w:val="36"/>
          <w:szCs w:val="36"/>
          <w:highlight w:val="none"/>
        </w:rPr>
        <w:t>月</w:t>
      </w:r>
    </w:p>
    <w:p>
      <w:pPr>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pPr>
        <w:jc w:val="center"/>
        <w:rPr>
          <w:rFonts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目</w:t>
      </w:r>
      <w:r>
        <w:rPr>
          <w:rFonts w:hint="eastAsia" w:ascii="黑体" w:hAnsi="黑体" w:eastAsia="黑体" w:cs="黑体"/>
          <w:b/>
          <w:bCs/>
          <w:color w:val="auto"/>
          <w:sz w:val="36"/>
          <w:szCs w:val="36"/>
          <w:highlight w:val="none"/>
          <w:lang w:val="en-US" w:eastAsia="zh-CN"/>
        </w:rPr>
        <w:t xml:space="preserve">  </w:t>
      </w:r>
      <w:r>
        <w:rPr>
          <w:rFonts w:hint="eastAsia" w:ascii="黑体" w:hAnsi="黑体" w:eastAsia="黑体" w:cs="黑体"/>
          <w:b/>
          <w:bCs/>
          <w:color w:val="auto"/>
          <w:sz w:val="36"/>
          <w:szCs w:val="36"/>
          <w:highlight w:val="none"/>
        </w:rPr>
        <w:t xml:space="preserve"> 录</w:t>
      </w:r>
    </w:p>
    <w:p>
      <w:pPr>
        <w:jc w:val="left"/>
        <w:rPr>
          <w:rFonts w:ascii="黑体" w:hAnsi="黑体" w:eastAsia="黑体" w:cs="黑体"/>
          <w:b/>
          <w:bCs/>
          <w:color w:val="auto"/>
          <w:sz w:val="36"/>
          <w:szCs w:val="36"/>
          <w:highlight w:val="none"/>
        </w:rPr>
      </w:pP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第一部分：</w:t>
      </w:r>
      <w:r>
        <w:rPr>
          <w:rFonts w:ascii="黑体" w:hAnsi="黑体" w:eastAsia="黑体" w:cs="黑体"/>
          <w:color w:val="auto"/>
          <w:sz w:val="32"/>
          <w:u w:color="auto"/>
        </w:rPr>
        <w:t>环江毛南族自治县大安乡中心小学</w:t>
      </w:r>
      <w:r>
        <w:rPr>
          <w:rFonts w:hint="eastAsia" w:ascii="黑体" w:hAnsi="黑体" w:eastAsia="黑体" w:cs="黑体"/>
          <w:color w:val="auto"/>
          <w:sz w:val="32"/>
          <w:szCs w:val="32"/>
          <w:highlight w:val="none"/>
        </w:rPr>
        <w:t>概况</w:t>
      </w:r>
    </w:p>
    <w:p>
      <w:pPr>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一、主要职能</w:t>
      </w:r>
    </w:p>
    <w:p>
      <w:pPr>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二、部门决算单位构成</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w:t>
      </w:r>
      <w:r>
        <w:rPr>
          <w:rFonts w:ascii="黑体" w:hAnsi="黑体" w:eastAsia="黑体" w:cs="黑体"/>
          <w:color w:val="auto"/>
          <w:sz w:val="32"/>
          <w:u w:color="auto"/>
        </w:rPr>
        <w:t>环江毛南族自治县大安乡中心小学</w:t>
      </w:r>
      <w:r>
        <w:rPr>
          <w:rFonts w:hint="eastAsia" w:ascii="黑体" w:hAnsi="黑体" w:eastAsia="黑体" w:cs="黑体"/>
          <w:color w:val="auto"/>
          <w:sz w:val="32"/>
          <w:szCs w:val="32"/>
          <w:highlight w:val="none"/>
        </w:rPr>
        <w:t>2022年度部门决算报表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表一：收入支出决算总表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表二：收入决算表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表三：支出决算表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表四：财政拨款收入支出决算总表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表五：一般公共预算财政拨款支出决算表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表六：一般公共预算财政拨款基本支出决算明细表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表七：政府性基金</w:t>
      </w:r>
      <w:r>
        <w:rPr>
          <w:rFonts w:hint="eastAsia" w:ascii="仿宋_GB2312" w:hAnsi="黑体" w:eastAsia="仿宋_GB2312"/>
          <w:color w:val="auto"/>
          <w:sz w:val="32"/>
          <w:szCs w:val="32"/>
          <w:highlight w:val="none"/>
        </w:rPr>
        <w:t>预算财政拨款</w:t>
      </w:r>
      <w:r>
        <w:rPr>
          <w:rFonts w:hint="eastAsia" w:ascii="仿宋_GB2312" w:eastAsia="仿宋_GB2312"/>
          <w:color w:val="auto"/>
          <w:sz w:val="32"/>
          <w:szCs w:val="32"/>
          <w:highlight w:val="none"/>
        </w:rPr>
        <w:t>收入支出决算表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表八：国有资本经营预算</w:t>
      </w:r>
      <w:r>
        <w:rPr>
          <w:rFonts w:hint="eastAsia" w:ascii="仿宋_GB2312" w:hAnsi="黑体" w:eastAsia="仿宋_GB2312"/>
          <w:color w:val="auto"/>
          <w:sz w:val="32"/>
          <w:szCs w:val="32"/>
          <w:highlight w:val="none"/>
        </w:rPr>
        <w:t>财政拨款</w:t>
      </w:r>
      <w:r>
        <w:rPr>
          <w:rFonts w:hint="eastAsia" w:ascii="仿宋_GB2312" w:eastAsia="仿宋_GB2312"/>
          <w:color w:val="auto"/>
          <w:sz w:val="32"/>
          <w:szCs w:val="32"/>
          <w:highlight w:val="none"/>
        </w:rPr>
        <w:t>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表九：财政拨款“三公”经费支出决算表</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第三部分：</w:t>
      </w:r>
      <w:r>
        <w:rPr>
          <w:rFonts w:ascii="黑体" w:hAnsi="黑体" w:eastAsia="黑体" w:cs="黑体"/>
          <w:color w:val="auto"/>
          <w:sz w:val="32"/>
          <w:u w:color="auto"/>
        </w:rPr>
        <w:t>环江毛南族自治县大安乡中心小学</w:t>
      </w:r>
      <w:r>
        <w:rPr>
          <w:rFonts w:hint="eastAsia" w:ascii="黑体" w:hAnsi="黑体" w:eastAsia="黑体" w:cs="黑体"/>
          <w:color w:val="auto"/>
          <w:sz w:val="32"/>
          <w:szCs w:val="32"/>
          <w:highlight w:val="none"/>
        </w:rPr>
        <w:t>2022年度部门决算情况说明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w:t>
      </w:r>
      <w:r>
        <w:rPr>
          <w:rFonts w:hint="eastAsia" w:ascii="仿宋_GB2312" w:eastAsia="仿宋_GB2312"/>
          <w:color w:val="auto"/>
          <w:kern w:val="0"/>
          <w:sz w:val="32"/>
          <w:szCs w:val="32"/>
          <w:highlight w:val="none"/>
        </w:rPr>
        <w:t>202</w:t>
      </w:r>
      <w:r>
        <w:rPr>
          <w:rFonts w:hint="eastAsia" w:ascii="仿宋_GB2312" w:eastAsia="仿宋_GB2312"/>
          <w:color w:val="auto"/>
          <w:kern w:val="0"/>
          <w:sz w:val="32"/>
          <w:szCs w:val="32"/>
          <w:highlight w:val="none"/>
          <w:lang w:val="en-US" w:eastAsia="zh-CN"/>
        </w:rPr>
        <w:t>2</w:t>
      </w:r>
      <w:r>
        <w:rPr>
          <w:rFonts w:hint="eastAsia" w:ascii="仿宋_GB2312" w:eastAsia="仿宋_GB2312" w:cs="仿宋_GB2312"/>
          <w:color w:val="auto"/>
          <w:kern w:val="0"/>
          <w:sz w:val="32"/>
          <w:szCs w:val="32"/>
          <w:highlight w:val="none"/>
        </w:rPr>
        <w:t>年度收入支出决算总体情况。</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w:t>
      </w:r>
      <w:r>
        <w:rPr>
          <w:rFonts w:hint="eastAsia" w:ascii="仿宋_GB2312" w:eastAsia="仿宋_GB2312"/>
          <w:color w:val="auto"/>
          <w:kern w:val="0"/>
          <w:sz w:val="32"/>
          <w:szCs w:val="32"/>
          <w:highlight w:val="none"/>
        </w:rPr>
        <w:t>20</w:t>
      </w:r>
      <w:r>
        <w:rPr>
          <w:rFonts w:hint="eastAsia" w:ascii="仿宋_GB2312" w:eastAsia="仿宋_GB2312"/>
          <w:color w:val="auto"/>
          <w:kern w:val="0"/>
          <w:sz w:val="32"/>
          <w:szCs w:val="32"/>
          <w:highlight w:val="none"/>
          <w:lang w:val="en-US" w:eastAsia="zh-CN"/>
        </w:rPr>
        <w:t>22</w:t>
      </w:r>
      <w:r>
        <w:rPr>
          <w:rFonts w:hint="eastAsia" w:ascii="仿宋_GB2312" w:eastAsia="仿宋_GB2312" w:cs="仿宋_GB2312"/>
          <w:color w:val="auto"/>
          <w:kern w:val="0"/>
          <w:sz w:val="32"/>
          <w:szCs w:val="32"/>
          <w:highlight w:val="none"/>
        </w:rPr>
        <w:t>年度</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三、20</w:t>
      </w:r>
      <w:r>
        <w:rPr>
          <w:rFonts w:hint="eastAsia" w:ascii="仿宋_GB2312" w:eastAsia="仿宋_GB2312" w:cs="仿宋_GB2312"/>
          <w:color w:val="auto"/>
          <w:kern w:val="0"/>
          <w:sz w:val="32"/>
          <w:szCs w:val="32"/>
          <w:highlight w:val="none"/>
          <w:lang w:val="en-US" w:eastAsia="zh-CN"/>
        </w:rPr>
        <w:t>22</w:t>
      </w:r>
      <w:r>
        <w:rPr>
          <w:rFonts w:hint="eastAsia" w:ascii="仿宋_GB2312" w:eastAsia="仿宋_GB2312" w:cs="仿宋_GB2312"/>
          <w:color w:val="auto"/>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四、</w:t>
      </w:r>
      <w:r>
        <w:rPr>
          <w:rFonts w:hint="eastAsia" w:ascii="仿宋_GB2312" w:eastAsia="仿宋_GB2312"/>
          <w:color w:val="auto"/>
          <w:kern w:val="0"/>
          <w:sz w:val="32"/>
          <w:szCs w:val="32"/>
          <w:highlight w:val="none"/>
        </w:rPr>
        <w:t>20</w:t>
      </w:r>
      <w:r>
        <w:rPr>
          <w:rFonts w:hint="eastAsia" w:ascii="仿宋_GB2312" w:eastAsia="仿宋_GB2312"/>
          <w:color w:val="auto"/>
          <w:kern w:val="0"/>
          <w:sz w:val="32"/>
          <w:szCs w:val="32"/>
          <w:highlight w:val="none"/>
          <w:lang w:val="en-US" w:eastAsia="zh-CN"/>
        </w:rPr>
        <w:t>22</w:t>
      </w:r>
      <w:r>
        <w:rPr>
          <w:rFonts w:hint="eastAsia" w:ascii="仿宋_GB2312" w:eastAsia="仿宋_GB2312" w:cs="仿宋_GB2312"/>
          <w:color w:val="auto"/>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color w:val="auto"/>
          <w:kern w:val="0"/>
          <w:sz w:val="32"/>
          <w:szCs w:val="32"/>
          <w:highlight w:val="none"/>
          <w:lang w:eastAsia="zh-CN"/>
        </w:rPr>
      </w:pPr>
      <w:r>
        <w:rPr>
          <w:rFonts w:hint="eastAsia" w:ascii="仿宋_GB2312" w:eastAsia="仿宋_GB2312" w:cs="仿宋_GB2312"/>
          <w:color w:val="auto"/>
          <w:kern w:val="0"/>
          <w:sz w:val="32"/>
          <w:szCs w:val="32"/>
          <w:highlight w:val="none"/>
        </w:rPr>
        <w:t>五、20</w:t>
      </w:r>
      <w:r>
        <w:rPr>
          <w:rFonts w:hint="eastAsia" w:ascii="仿宋_GB2312" w:eastAsia="仿宋_GB2312" w:cs="仿宋_GB2312"/>
          <w:color w:val="auto"/>
          <w:kern w:val="0"/>
          <w:sz w:val="32"/>
          <w:szCs w:val="32"/>
          <w:highlight w:val="none"/>
          <w:lang w:val="en-US" w:eastAsia="zh-CN"/>
        </w:rPr>
        <w:t>22</w:t>
      </w:r>
      <w:r>
        <w:rPr>
          <w:rFonts w:hint="eastAsia" w:ascii="仿宋_GB2312" w:eastAsia="仿宋_GB2312" w:cs="仿宋_GB2312"/>
          <w:color w:val="auto"/>
          <w:kern w:val="0"/>
          <w:sz w:val="32"/>
          <w:szCs w:val="32"/>
          <w:highlight w:val="none"/>
        </w:rPr>
        <w:t>年度国有资本经营预算支出决算情况</w:t>
      </w:r>
      <w:r>
        <w:rPr>
          <w:rFonts w:hint="eastAsia" w:ascii="仿宋_GB2312" w:eastAsia="仿宋_GB2312" w:cs="仿宋_GB2312"/>
          <w:color w:val="auto"/>
          <w:kern w:val="0"/>
          <w:sz w:val="32"/>
          <w:szCs w:val="32"/>
          <w:highlight w:val="none"/>
          <w:lang w:eastAsia="zh-CN"/>
        </w:rPr>
        <w:t>。</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七、其他重要事项情况说明。</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第四部分：名词解释</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jc w:val="center"/>
        <w:rPr>
          <w:rFonts w:ascii="仿宋" w:hAnsi="仿宋" w:eastAsia="仿宋" w:cs="仿宋"/>
          <w:color w:val="auto"/>
          <w:sz w:val="32"/>
          <w:szCs w:val="32"/>
          <w:highlight w:val="none"/>
        </w:rPr>
      </w:pPr>
      <w:r>
        <w:rPr>
          <w:rFonts w:hint="eastAsia" w:ascii="黑体" w:hAnsi="黑体" w:eastAsia="黑体" w:cs="黑体"/>
          <w:b/>
          <w:bCs/>
          <w:color w:val="auto"/>
          <w:sz w:val="32"/>
          <w:szCs w:val="32"/>
          <w:highlight w:val="none"/>
        </w:rPr>
        <w:t>第一部分：</w:t>
      </w:r>
      <w:r>
        <w:rPr>
          <w:rFonts w:ascii="黑体" w:hAnsi="黑体" w:eastAsia="黑体" w:cs="黑体"/>
          <w:b/>
          <w:color w:val="auto"/>
          <w:sz w:val="32"/>
          <w:u w:color="auto"/>
        </w:rPr>
        <w:t>环江毛南族自治县大安乡中心小学</w:t>
      </w:r>
      <w:r>
        <w:rPr>
          <w:rFonts w:hint="eastAsia" w:ascii="黑体" w:hAnsi="黑体" w:eastAsia="黑体" w:cs="黑体"/>
          <w:b/>
          <w:bCs/>
          <w:color w:val="auto"/>
          <w:sz w:val="32"/>
          <w:szCs w:val="32"/>
          <w:highlight w:val="none"/>
        </w:rPr>
        <w:t>概况</w:t>
      </w:r>
    </w:p>
    <w:p>
      <w:pPr>
        <w:numPr>
          <w:ilvl w:val="0"/>
          <w:numId w:val="1"/>
        </w:num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主要职能</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贯彻实施国家教育工作方针、政策和法律法规。制订学校教育改革与发展战略和教育事业发展规划及年度计划；贯彻执行上级教育体制改革的政策，拟定学校教育发展的重点、结构、速度和步骤，并负责进行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仿宋_GB2312" w:cs="黑体"/>
          <w:color w:val="auto"/>
          <w:sz w:val="32"/>
          <w:szCs w:val="32"/>
          <w:highlight w:val="none"/>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pacing w:val="-20"/>
          <w:sz w:val="32"/>
          <w:szCs w:val="32"/>
        </w:rPr>
        <w:t>实施小学义务教育，促进基础教育发展</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20"/>
          <w:sz w:val="32"/>
          <w:szCs w:val="32"/>
        </w:rPr>
        <w:t>小学学历教育</w:t>
      </w:r>
      <w:r>
        <w:rPr>
          <w:rFonts w:hint="eastAsia" w:ascii="仿宋_GB2312" w:hAnsi="仿宋_GB2312" w:eastAsia="仿宋_GB2312" w:cs="仿宋_GB2312"/>
          <w:color w:val="auto"/>
          <w:spacing w:val="-20"/>
          <w:sz w:val="32"/>
          <w:szCs w:val="32"/>
          <w:lang w:eastAsia="zh-CN"/>
        </w:rPr>
        <w:t>。</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二、部门决算单位构成</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我部门没有下属单位，按照部门决算编报要求，单独编制本部门决算。</w:t>
      </w:r>
    </w:p>
    <w:p>
      <w:pPr>
        <w:jc w:val="center"/>
        <w:rPr>
          <w:rFonts w:hint="eastAsia" w:ascii="仿宋" w:hAnsi="仿宋" w:eastAsia="仿宋" w:cs="仿宋"/>
          <w:color w:val="auto"/>
          <w:sz w:val="32"/>
          <w:szCs w:val="32"/>
          <w:highlight w:val="none"/>
          <w:lang w:val="en-US" w:eastAsia="zh-CN"/>
        </w:rPr>
      </w:pPr>
    </w:p>
    <w:p>
      <w:pPr>
        <w:jc w:val="center"/>
        <w:rPr>
          <w:rFonts w:hint="eastAsia" w:ascii="黑体" w:hAnsi="黑体" w:eastAsia="黑体" w:cs="黑体"/>
          <w:color w:val="auto"/>
          <w:sz w:val="32"/>
          <w:szCs w:val="32"/>
          <w:highlight w:val="none"/>
          <w:lang w:val="en-US" w:eastAsia="zh-CN"/>
        </w:rPr>
      </w:pPr>
    </w:p>
    <w:p>
      <w:pPr>
        <w:jc w:val="center"/>
        <w:rPr>
          <w:rFonts w:hint="eastAsia" w:ascii="黑体" w:hAnsi="黑体" w:eastAsia="黑体" w:cs="黑体"/>
          <w:color w:val="auto"/>
          <w:sz w:val="32"/>
          <w:szCs w:val="32"/>
          <w:highlight w:val="none"/>
          <w:lang w:val="en-US" w:eastAsia="zh-CN"/>
        </w:rPr>
      </w:pPr>
    </w:p>
    <w:p>
      <w:pPr>
        <w:jc w:val="center"/>
        <w:rPr>
          <w:rFonts w:hint="eastAsia" w:ascii="黑体" w:hAnsi="黑体" w:eastAsia="黑体" w:cs="黑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ind w:firstLine="1280" w:firstLineChars="400"/>
        <w:jc w:val="both"/>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w:t>
      </w:r>
      <w:r>
        <w:rPr>
          <w:rFonts w:ascii="黑体" w:hAnsi="黑体" w:eastAsia="黑体" w:cs="黑体"/>
          <w:color w:val="auto"/>
          <w:sz w:val="32"/>
          <w:u w:color="auto"/>
        </w:rPr>
        <w:t>环江毛南族自治县大安乡中心小学</w:t>
      </w:r>
      <w:r>
        <w:rPr>
          <w:rFonts w:hint="eastAsia" w:ascii="黑体" w:hAnsi="黑体" w:eastAsia="黑体" w:cs="黑体"/>
          <w:color w:val="auto"/>
          <w:sz w:val="32"/>
          <w:szCs w:val="32"/>
          <w:highlight w:val="none"/>
        </w:rPr>
        <w:t>2022年度部门决算报表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环江毛南族自治县大安乡中心小学</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1585.48</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17.13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1.27</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1161.74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118.83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89.81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199.24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1586.75</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1586.75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1586.75</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1586.75</w:t>
            </w:r>
          </w:p>
        </w:tc>
      </w:tr>
    </w:tbl>
    <w:p>
      <w:pPr>
        <w:rPr>
          <w:rFonts w:ascii="宋体" w:hAnsi="宋体" w:eastAsia="宋体" w:cs="宋体"/>
          <w:color w:val="auto"/>
          <w:kern w:val="0"/>
          <w:sz w:val="30"/>
          <w:szCs w:val="30"/>
          <w:highlight w:val="none"/>
          <w:lang w:bidi="ar"/>
        </w:rPr>
      </w:pPr>
      <w:r>
        <w:rPr>
          <w:rFonts w:hint="eastAsia" w:ascii="宋体" w:hAnsi="宋体" w:eastAsia="宋体" w:cs="宋体"/>
          <w:color w:val="auto"/>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环江毛南族自治县大安乡中心小学</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1586.75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1586.75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一般公共服务支出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17.13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17.13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20129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群众团体事务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17.13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17.13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17.13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17.13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1161.74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1161.74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普通教育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1161.56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1161.56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2050202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小学教育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1155.50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1155.50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2050299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其他普通教育支出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6.06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6.06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教育费附加安排的支出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0.18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0.18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其他教育费附加安排的支出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0.18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0.18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118.83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118.83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118.83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118.83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118.83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118.83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89.81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89.81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89.81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89.81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89.81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89.81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199.24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199.24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22960</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彩票公益金安排的支出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1.27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1.27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2296004</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用于教育事业的彩票公益金支出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1.27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1.27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197.97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197.97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197.97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197.97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注：本表反映部门本年度取得的各项收入情况。</w:t>
            </w:r>
          </w:p>
        </w:tc>
      </w:tr>
    </w:tbl>
    <w:p>
      <w:pPr>
        <w:jc w:val="center"/>
        <w:rPr>
          <w:rFonts w:ascii="仿宋" w:hAnsi="仿宋" w:eastAsia="仿宋" w:cs="仿宋"/>
          <w:color w:val="auto"/>
          <w:sz w:val="24"/>
          <w:highlight w:val="none"/>
        </w:rPr>
      </w:pP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center"/>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表三：支出决算表</w:t>
      </w:r>
    </w:p>
    <w:p>
      <w:pPr>
        <w:jc w:val="left"/>
        <w:rPr>
          <w:rFonts w:hint="eastAsia" w:ascii="仿宋" w:hAnsi="仿宋" w:eastAsia="仿宋" w:cs="仿宋"/>
          <w:color w:val="auto"/>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环江毛南族自治县大安乡中心小学</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default" w:ascii="宋体" w:hAnsi="宋体" w:eastAsia="宋体" w:cs="宋体"/>
                <w:b/>
                <w:bCs/>
                <w:color w:val="auto"/>
                <w:sz w:val="22"/>
                <w:szCs w:val="22"/>
                <w:highlight w:val="none"/>
              </w:rPr>
              <w:t>1586.75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default" w:ascii="宋体" w:hAnsi="宋体" w:eastAsia="宋体" w:cs="宋体"/>
                <w:b/>
                <w:bCs/>
                <w:color w:val="auto"/>
                <w:sz w:val="22"/>
                <w:szCs w:val="22"/>
                <w:highlight w:val="none"/>
              </w:rPr>
              <w:t>1278.06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308.68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default" w:ascii="宋体" w:hAnsi="宋体" w:eastAsia="宋体" w:cs="宋体"/>
                <w:b/>
                <w:bCs/>
                <w:color w:val="auto"/>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一般公共服务支出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17.13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17.13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20129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群众团体事务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17.13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17.13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17.13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17.13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1161.74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914.63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247.11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普通教育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1161.56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914.63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246.93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2050202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小学教育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1155.50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914.63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240.87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2050299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其他普通教育支出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6.06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6.06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教育费附加安排的支出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0.18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0.18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其他教育费附加安排的支出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0.18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0.18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118.83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118.83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118.83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118.83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118.83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118.83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89.81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89.81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89.81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89.81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89.81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89.81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199.24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137.66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61.58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22960</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彩票公益金安排的支出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1.27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1.27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2296004</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用于教育事业的彩票公益金支出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1.27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1.27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197.97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136.39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61.58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197.97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136.39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61.58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注：本表反映部门本年度各项支出情况。</w:t>
            </w:r>
          </w:p>
        </w:tc>
      </w:tr>
    </w:tbl>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center"/>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表四：财政拨款收入支出决算总表</w:t>
      </w:r>
    </w:p>
    <w:p>
      <w:pPr>
        <w:jc w:val="left"/>
        <w:rPr>
          <w:rFonts w:hint="eastAsia" w:ascii="仿宋" w:hAnsi="仿宋" w:eastAsia="仿宋" w:cs="仿宋"/>
          <w:color w:val="auto"/>
          <w:sz w:val="24"/>
          <w:highlight w:val="none"/>
        </w:rPr>
      </w:pPr>
    </w:p>
    <w:tbl>
      <w:tblPr>
        <w:tblStyle w:val="6"/>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环江毛南族自治县大安乡中心小学</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1585.48</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17.13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17.13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1.27</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1161.74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1161.74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118.83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118.83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89.81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89.81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199.24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197.97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1.27</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1586.75</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1586.75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1585.48</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1.27</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1586.75</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1586.75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1585.48</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1.27</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0"/>
                <w:szCs w:val="20"/>
                <w:highlight w:val="none"/>
              </w:rPr>
            </w:pPr>
          </w:p>
        </w:tc>
      </w:tr>
    </w:tbl>
    <w:p>
      <w:pPr>
        <w:jc w:val="left"/>
        <w:rPr>
          <w:rFonts w:ascii="仿宋" w:hAnsi="仿宋" w:eastAsia="仿宋" w:cs="仿宋"/>
          <w:color w:val="auto"/>
          <w:sz w:val="24"/>
          <w:highlight w:val="none"/>
        </w:rPr>
      </w:pP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表五：一般公共预算财政拨款支出决算表</w:t>
      </w:r>
    </w:p>
    <w:p>
      <w:pPr>
        <w:jc w:val="left"/>
        <w:rPr>
          <w:rFonts w:hint="eastAsia" w:ascii="仿宋" w:hAnsi="仿宋" w:eastAsia="仿宋" w:cs="仿宋"/>
          <w:color w:val="auto"/>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环江毛南族自治县大安乡中心小学</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default" w:ascii="宋体" w:hAnsi="宋体" w:eastAsia="宋体" w:cs="宋体"/>
                <w:b/>
                <w:bCs/>
                <w:color w:val="auto"/>
                <w:sz w:val="22"/>
                <w:szCs w:val="22"/>
                <w:highlight w:val="none"/>
              </w:rPr>
              <w:t>1585.48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1276.80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308.68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一般公共服务支出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17.13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17.13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20129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群众团体事务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17.13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17.13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17.13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17.13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1161.74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914.63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247.11</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20502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普通教育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1161.56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914.63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246.93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2050202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 xml:space="preserve">  小学教育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1155.50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914.63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240.87</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2050299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 xml:space="preserve">  其他普通教育支出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6.06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6.06</w:t>
            </w:r>
          </w:p>
        </w:tc>
      </w:tr>
      <w:tr>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20509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教育费附加安排的支出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0.18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0.18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2050999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 xml:space="preserve">  其他教育费附加安排的支出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0.18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0.18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118.83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118.83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118.83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118.83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118.83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118.83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89.81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89.81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89.81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89.81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89.81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89.81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197.97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136.39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61.58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197.97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136.39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61.58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 xml:space="preserve">  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197.97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136.39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61.58</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注：本表反映部门本年度一般公共预算财政拨款支出情况。</w:t>
            </w:r>
          </w:p>
        </w:tc>
      </w:tr>
    </w:tbl>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表六：一般公共预算财政拨款基本支出决算表</w:t>
      </w:r>
    </w:p>
    <w:p>
      <w:pPr>
        <w:jc w:val="left"/>
        <w:rPr>
          <w:rFonts w:hint="eastAsia" w:ascii="仿宋" w:hAnsi="仿宋" w:eastAsia="仿宋" w:cs="仿宋"/>
          <w:color w:val="auto"/>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环江毛南族自治县大安乡中心小学</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工资福利支出</w:t>
            </w:r>
            <w:bookmarkStart w:id="0" w:name="OLE_LINK4"/>
            <w:bookmarkStart w:id="1" w:name="OLE_LINK3"/>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889.13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33.91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261.88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4.17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73.88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94.85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2.50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186.11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2.50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118.83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0.30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57.83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5.93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8.76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89.81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3.55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351.26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14.12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337.13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17.13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1240.39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36.40</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注：本表反映部门本年度一般公共预算财政拨款基本支出明细情况。</w:t>
            </w:r>
          </w:p>
        </w:tc>
      </w:tr>
    </w:tbl>
    <w:p>
      <w:pPr>
        <w:jc w:val="left"/>
        <w:rPr>
          <w:rFonts w:ascii="仿宋" w:hAnsi="仿宋" w:eastAsia="仿宋" w:cs="仿宋"/>
          <w:color w:val="auto"/>
          <w:sz w:val="24"/>
          <w:highlight w:val="none"/>
        </w:rPr>
      </w:pP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：政府性基金预算财政拨款收入支出决算表</w:t>
      </w:r>
    </w:p>
    <w:p>
      <w:pPr>
        <w:jc w:val="left"/>
        <w:rPr>
          <w:rFonts w:hint="eastAsia" w:ascii="仿宋" w:hAnsi="仿宋" w:eastAsia="仿宋" w:cs="仿宋"/>
          <w:color w:val="auto"/>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7</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环江毛南族自治县大安乡中心小学</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1.27</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229</w:t>
            </w: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其他支出</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1.27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1.27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1.27</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22960</w:t>
            </w: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彩票公益金安排的支出</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1.27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1.27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1.27</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2296004</w:t>
            </w: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用于教育事业的彩票公益金支出</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1.27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1.27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1.27</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注：本表反映部门本年度政府性基金预算财政拨款收入、支出及结转和结余情况。</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bl>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：国有资本经营预算财政拨款支出决算表</w:t>
      </w:r>
    </w:p>
    <w:p>
      <w:pPr>
        <w:jc w:val="left"/>
        <w:rPr>
          <w:rFonts w:hint="eastAsia" w:ascii="仿宋" w:hAnsi="仿宋" w:eastAsia="仿宋" w:cs="仿宋"/>
          <w:color w:val="auto"/>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8</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环江毛南族自治县大安乡中心小学</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说明“本部门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lang w:val="en-US" w:eastAsia="zh-CN"/>
              </w:rPr>
              <w:t>表九：</w:t>
            </w:r>
            <w:r>
              <w:rPr>
                <w:rFonts w:hint="eastAsia" w:ascii="仿宋" w:hAnsi="仿宋" w:eastAsia="仿宋" w:cs="仿宋"/>
                <w:color w:val="auto"/>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auto"/>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9</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环江毛南族自治县大安乡中心小学</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color w:val="auto"/>
                <w:highlight w:val="none"/>
              </w:rPr>
            </w:pPr>
            <w:r>
              <w:rPr>
                <w:rFonts w:hint="default"/>
                <w:color w:val="auto"/>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color w:val="auto"/>
                <w:highlight w:val="none"/>
              </w:rPr>
            </w:pPr>
            <w:r>
              <w:rPr>
                <w:rFonts w:hint="eastAsia"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说明“本部门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年度没有财政拨款“三公”经费收入，也没有财政拨款“三公”经费安排的支出，故本表无数据”。</w:t>
            </w:r>
          </w:p>
        </w:tc>
      </w:tr>
    </w:tbl>
    <w:p>
      <w:pPr>
        <w:ind w:firstLine="420" w:firstLineChars="0"/>
        <w:jc w:val="left"/>
        <w:rPr>
          <w:rFonts w:ascii="仿宋" w:hAnsi="仿宋" w:eastAsia="仿宋" w:cs="仿宋"/>
          <w:color w:val="auto"/>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color w:val="auto"/>
          <w:sz w:val="24"/>
          <w:highlight w:val="none"/>
        </w:rPr>
      </w:pPr>
    </w:p>
    <w:p>
      <w:pPr>
        <w:jc w:val="center"/>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第三部分：</w:t>
      </w:r>
      <w:r>
        <w:rPr>
          <w:rFonts w:ascii="黑体" w:hAnsi="黑体" w:eastAsia="黑体" w:cs="黑体"/>
          <w:color w:val="auto"/>
          <w:sz w:val="32"/>
          <w:u w:color="auto"/>
        </w:rPr>
        <w:t>环江毛南族自治县大安乡中心小学</w:t>
      </w:r>
      <w:r>
        <w:rPr>
          <w:rFonts w:hint="eastAsia" w:ascii="黑体" w:hAnsi="黑体" w:eastAsia="黑体" w:cs="黑体"/>
          <w:color w:val="auto"/>
          <w:sz w:val="32"/>
          <w:szCs w:val="32"/>
          <w:highlight w:val="none"/>
        </w:rPr>
        <w:t>2022年度部门决算情况说明</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一、2022年度收入支出决算总体情况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（一）本部门2022年度总收入</w:t>
      </w:r>
      <w:r>
        <w:rPr>
          <w:rFonts w:ascii="仿宋" w:hAnsi="仿宋" w:eastAsia="仿宋" w:cs="仿宋"/>
          <w:color w:val="auto"/>
          <w:sz w:val="32"/>
          <w:u w:color="auto"/>
        </w:rPr>
        <w:t>1586.75</w:t>
      </w:r>
      <w:r>
        <w:rPr>
          <w:rFonts w:hint="eastAsia" w:ascii="仿宋" w:hAnsi="仿宋" w:eastAsia="仿宋" w:cs="仿宋"/>
          <w:color w:val="auto"/>
          <w:sz w:val="32"/>
          <w:szCs w:val="32"/>
          <w:highlight w:val="none"/>
        </w:rPr>
        <w:t>万元，较2021年度决算数</w:t>
      </w:r>
      <w:r>
        <w:rPr>
          <w:rFonts w:ascii="仿宋" w:hAnsi="仿宋" w:eastAsia="仿宋" w:cs="仿宋"/>
          <w:color w:val="auto"/>
          <w:sz w:val="32"/>
          <w:u w:color="auto"/>
        </w:rPr>
        <w:t>减少564.66</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下降26.25%</w:t>
      </w:r>
      <w:r>
        <w:rPr>
          <w:rFonts w:hint="eastAsia" w:ascii="仿宋" w:hAnsi="仿宋" w:eastAsia="仿宋" w:cs="仿宋"/>
          <w:color w:val="auto"/>
          <w:sz w:val="32"/>
          <w:szCs w:val="32"/>
          <w:highlight w:val="none"/>
        </w:rPr>
        <w:t>，其中本年收入</w:t>
      </w:r>
      <w:r>
        <w:rPr>
          <w:rFonts w:ascii="仿宋" w:hAnsi="仿宋" w:eastAsia="仿宋" w:cs="仿宋"/>
          <w:color w:val="auto"/>
          <w:sz w:val="32"/>
          <w:u w:color="auto"/>
        </w:rPr>
        <w:t>1586.75</w:t>
      </w:r>
      <w:r>
        <w:rPr>
          <w:rFonts w:hint="eastAsia" w:ascii="仿宋" w:hAnsi="仿宋" w:eastAsia="仿宋" w:cs="仿宋"/>
          <w:color w:val="auto"/>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1.一般公共预算财政拨款收入</w:t>
      </w:r>
      <w:r>
        <w:rPr>
          <w:rFonts w:ascii="仿宋" w:hAnsi="仿宋" w:eastAsia="仿宋" w:cs="仿宋"/>
          <w:color w:val="auto"/>
          <w:sz w:val="32"/>
          <w:u w:color="auto"/>
        </w:rPr>
        <w:t>1585.48</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环江毛南族自治县</w:t>
      </w:r>
      <w:r>
        <w:rPr>
          <w:rFonts w:hint="eastAsia" w:ascii="仿宋" w:hAnsi="仿宋" w:eastAsia="仿宋" w:cs="仿宋"/>
          <w:color w:val="auto"/>
          <w:kern w:val="2"/>
          <w:sz w:val="32"/>
          <w:szCs w:val="32"/>
          <w:highlight w:val="none"/>
          <w:lang w:val="en-US" w:eastAsia="zh-CN" w:bidi="ar"/>
        </w:rPr>
        <w:t>本级财政当年拨付的资金。较2021年度决算数</w:t>
      </w:r>
      <w:r>
        <w:rPr>
          <w:rFonts w:ascii="仿宋" w:hAnsi="仿宋" w:eastAsia="仿宋" w:cs="仿宋"/>
          <w:color w:val="auto"/>
          <w:sz w:val="32"/>
          <w:u w:color="auto"/>
        </w:rPr>
        <w:t>减少208.56</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下降11.63%</w:t>
      </w:r>
      <w:r>
        <w:rPr>
          <w:rFonts w:hint="eastAsia" w:ascii="仿宋" w:hAnsi="仿宋" w:eastAsia="仿宋" w:cs="仿宋"/>
          <w:color w:val="auto"/>
          <w:kern w:val="2"/>
          <w:sz w:val="32"/>
          <w:szCs w:val="32"/>
          <w:highlight w:val="none"/>
          <w:lang w:val="en-US" w:eastAsia="zh-CN" w:bidi="ar"/>
        </w:rPr>
        <w:t>，主要原因：学生人数减少，教师人数减少。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2.政府性基金预算财政拨款收入</w:t>
      </w:r>
      <w:r>
        <w:rPr>
          <w:rFonts w:ascii="仿宋" w:hAnsi="仿宋" w:eastAsia="仿宋" w:cs="仿宋"/>
          <w:color w:val="auto"/>
          <w:sz w:val="32"/>
          <w:u w:color="auto"/>
        </w:rPr>
        <w:t>1.27</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环江毛南族自治县</w:t>
      </w:r>
      <w:r>
        <w:rPr>
          <w:rFonts w:hint="eastAsia" w:ascii="仿宋" w:hAnsi="仿宋" w:eastAsia="仿宋" w:cs="仿宋"/>
          <w:color w:val="auto"/>
          <w:kern w:val="2"/>
          <w:sz w:val="32"/>
          <w:szCs w:val="32"/>
          <w:highlight w:val="none"/>
          <w:lang w:val="en-US" w:eastAsia="zh-CN" w:bidi="ar"/>
        </w:rPr>
        <w:t>本级财政当年拨付的资金。较2021年度决算数</w:t>
      </w:r>
      <w:r>
        <w:rPr>
          <w:rFonts w:ascii="仿宋" w:hAnsi="仿宋" w:eastAsia="仿宋" w:cs="仿宋"/>
          <w:color w:val="auto"/>
          <w:sz w:val="32"/>
          <w:u w:color="auto"/>
        </w:rPr>
        <w:t>增加1.27</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增长100%</w:t>
      </w:r>
      <w:r>
        <w:rPr>
          <w:rFonts w:hint="eastAsia" w:ascii="仿宋" w:hAnsi="仿宋" w:eastAsia="仿宋" w:cs="仿宋"/>
          <w:color w:val="auto"/>
          <w:kern w:val="2"/>
          <w:sz w:val="32"/>
          <w:szCs w:val="32"/>
          <w:highlight w:val="none"/>
          <w:lang w:val="en-US" w:eastAsia="zh-CN" w:bidi="ar"/>
        </w:rPr>
        <w:t>，主要原因：彩票公益金安排增加1.27万元。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环江毛南族自治县</w:t>
      </w:r>
      <w:r>
        <w:rPr>
          <w:rFonts w:hint="eastAsia" w:ascii="仿宋" w:hAnsi="仿宋" w:eastAsia="仿宋" w:cs="仿宋"/>
          <w:color w:val="auto"/>
          <w:kern w:val="2"/>
          <w:sz w:val="32"/>
          <w:szCs w:val="32"/>
          <w:highlight w:val="none"/>
          <w:lang w:val="en-US" w:eastAsia="zh-CN" w:bidi="ar"/>
        </w:rPr>
        <w:t>本级财政当年拨付的资金。较2021年度决算数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，主要原因是：本单位没有国有资本经营预算财政拨款收入。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4.上级补助收入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万元，为上级部门当年拨付的资金。较2021年度决算数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5.事业收入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万元，为事业单位开展业务活动取得的收入。较2021年度决算数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6.</w:t>
      </w:r>
      <w:r>
        <w:rPr>
          <w:rFonts w:hint="eastAsia" w:ascii="仿宋" w:hAnsi="仿宋" w:eastAsia="仿宋" w:cs="仿宋"/>
          <w:color w:val="auto"/>
          <w:kern w:val="2"/>
          <w:sz w:val="36"/>
          <w:szCs w:val="36"/>
          <w:highlight w:val="none"/>
          <w:lang w:val="en-US" w:eastAsia="zh-CN" w:bidi="ar"/>
        </w:rPr>
        <w:t>经营收入</w:t>
      </w:r>
      <w:r>
        <w:rPr>
          <w:rFonts w:hint="eastAsia" w:ascii="仿宋" w:hAnsi="仿宋" w:eastAsia="仿宋" w:cs="仿宋"/>
          <w:color w:val="auto"/>
          <w:kern w:val="2"/>
          <w:sz w:val="32"/>
          <w:szCs w:val="32"/>
          <w:highlight w:val="none"/>
          <w:lang w:val="en-US" w:eastAsia="zh-CN" w:bidi="ar"/>
        </w:rPr>
        <w:t>0.00万,为事业单位在业务活动之外开展非独立核算经营活动取得的收入。较2021年度决算数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8.其他收入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万元,为预算单位在“财政拨款收入”“事业收入”“经营收入”之外取得的收入。较2021年度决算数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9.使用非财政拨款结余</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10.上年结转和结余</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万元，为以前年度支出预算因客观条件变化未执行完毕、结转到本年度按有关规定继续使用的资金。较2021年度决算数</w:t>
      </w:r>
      <w:r>
        <w:rPr>
          <w:rFonts w:ascii="仿宋" w:hAnsi="仿宋" w:eastAsia="仿宋" w:cs="仿宋"/>
          <w:color w:val="auto"/>
          <w:sz w:val="32"/>
          <w:u w:color="auto"/>
        </w:rPr>
        <w:t>减少357.38</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下降100.00%</w:t>
      </w:r>
      <w:r>
        <w:rPr>
          <w:rFonts w:hint="eastAsia" w:ascii="仿宋" w:hAnsi="仿宋" w:eastAsia="仿宋" w:cs="仿宋"/>
          <w:color w:val="auto"/>
          <w:kern w:val="2"/>
          <w:sz w:val="32"/>
          <w:szCs w:val="32"/>
          <w:highlight w:val="none"/>
          <w:lang w:val="en-US" w:eastAsia="zh-CN" w:bidi="ar"/>
        </w:rPr>
        <w:t>，主要原因：部分项目已在本年执行完毕，不需要结转至下年继续执行。</w:t>
      </w:r>
    </w:p>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（二）本部门2022年度总支出</w:t>
      </w:r>
      <w:r>
        <w:rPr>
          <w:rFonts w:ascii="仿宋" w:hAnsi="仿宋" w:eastAsia="仿宋" w:cs="仿宋"/>
          <w:color w:val="auto"/>
          <w:sz w:val="32"/>
          <w:u w:color="auto"/>
        </w:rPr>
        <w:t>1586.75</w:t>
      </w:r>
      <w:r>
        <w:rPr>
          <w:rFonts w:hint="eastAsia" w:ascii="仿宋" w:hAnsi="仿宋" w:eastAsia="仿宋" w:cs="仿宋"/>
          <w:color w:val="auto"/>
          <w:sz w:val="32"/>
          <w:szCs w:val="32"/>
          <w:highlight w:val="none"/>
        </w:rPr>
        <w:t>万元，其中本年支出</w:t>
      </w:r>
      <w:r>
        <w:rPr>
          <w:rFonts w:ascii="仿宋" w:hAnsi="仿宋" w:eastAsia="仿宋" w:cs="仿宋"/>
          <w:color w:val="auto"/>
          <w:sz w:val="32"/>
          <w:u w:color="auto"/>
        </w:rPr>
        <w:t>1586.75</w:t>
      </w:r>
      <w:r>
        <w:rPr>
          <w:rFonts w:hint="eastAsia" w:ascii="仿宋" w:hAnsi="仿宋" w:eastAsia="仿宋" w:cs="仿宋"/>
          <w:color w:val="auto"/>
          <w:sz w:val="32"/>
          <w:szCs w:val="32"/>
          <w:highlight w:val="none"/>
        </w:rPr>
        <w:t>万元，较2021年度决算数</w:t>
      </w:r>
      <w:r>
        <w:rPr>
          <w:rFonts w:ascii="仿宋" w:hAnsi="仿宋" w:eastAsia="仿宋" w:cs="仿宋"/>
          <w:color w:val="auto"/>
          <w:sz w:val="32"/>
          <w:u w:color="auto"/>
        </w:rPr>
        <w:t>减少564.66</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下降26.25%</w:t>
      </w:r>
      <w:r>
        <w:rPr>
          <w:rFonts w:hint="eastAsia" w:ascii="仿宋" w:hAnsi="仿宋" w:eastAsia="仿宋" w:cs="仿宋"/>
          <w:color w:val="auto"/>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1</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一般公共服务支出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201</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bidi="ar"/>
        </w:rPr>
        <w:t>17.13</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主要用于</w:t>
      </w:r>
      <w:r>
        <w:rPr>
          <w:rFonts w:hint="eastAsia" w:ascii="仿宋" w:hAnsi="仿宋" w:eastAsia="仿宋" w:cs="仿宋"/>
          <w:color w:val="auto"/>
          <w:sz w:val="32"/>
          <w:szCs w:val="32"/>
          <w:highlight w:val="none"/>
          <w:lang w:val="en-US" w:eastAsia="zh-CN"/>
        </w:rPr>
        <w:t>工会活动及慰问支出</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bidi="ar"/>
        </w:rPr>
        <w:t>增加17.13</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增长100%</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w:t>
      </w:r>
      <w:r>
        <w:rPr>
          <w:rFonts w:hint="eastAsia" w:ascii="华文仿宋" w:hAnsi="华文仿宋" w:eastAsia="华文仿宋" w:cs="华文仿宋"/>
          <w:color w:val="auto"/>
          <w:kern w:val="0"/>
          <w:sz w:val="32"/>
          <w:szCs w:val="32"/>
          <w:lang w:val="en-US" w:eastAsia="zh-CN"/>
        </w:rPr>
        <w:t>上级专款收入增加</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2</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教育支出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205</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bidi="ar"/>
        </w:rPr>
        <w:t>1161.74</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主要用于</w:t>
      </w:r>
      <w:r>
        <w:rPr>
          <w:rFonts w:hint="eastAsia" w:ascii="仿宋" w:hAnsi="仿宋" w:eastAsia="仿宋" w:cs="仿宋"/>
          <w:color w:val="auto"/>
          <w:sz w:val="32"/>
          <w:szCs w:val="32"/>
          <w:highlight w:val="none"/>
          <w:lang w:val="en-US" w:eastAsia="zh-CN"/>
        </w:rPr>
        <w:t>支付基本工资、津贴补贴、奖金、绩效工资、医疗保险、其他社会保障、办公费、水电费、邮电费、物业管理费、差旅费、劳务费、退休费、生活补助费、助学金、其他对个人和家庭的补助、劳务费等</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bidi="ar"/>
        </w:rPr>
        <w:t>减少327.91</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下降22.01%</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w:t>
      </w:r>
      <w:r>
        <w:rPr>
          <w:rFonts w:hint="eastAsia" w:ascii="Times New Roman" w:hAnsi="Times New Roman" w:eastAsia="仿宋_GB2312" w:cs="Times New Roman"/>
          <w:color w:val="auto"/>
          <w:kern w:val="0"/>
          <w:sz w:val="32"/>
          <w:szCs w:val="32"/>
        </w:rPr>
        <w:t>学生人数减少，相应的各项拨款也减少</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3</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社会保障和就业支出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208</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bidi="ar"/>
        </w:rPr>
        <w:t>118.83</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主要用于</w:t>
      </w:r>
      <w:r>
        <w:rPr>
          <w:rFonts w:hint="eastAsia" w:ascii="仿宋" w:hAnsi="仿宋" w:eastAsia="仿宋" w:cs="仿宋"/>
          <w:color w:val="auto"/>
          <w:sz w:val="32"/>
          <w:szCs w:val="32"/>
          <w:highlight w:val="none"/>
          <w:lang w:val="en-US" w:eastAsia="zh-CN"/>
        </w:rPr>
        <w:t>支付在职教职工机关老养老保险费</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bidi="ar"/>
        </w:rPr>
        <w:t>减少140.26</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下降54.14%</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主要原因是：年初预算基数高，而实际缴纳基数沿用2021年基数。</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4</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住房保障支出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221</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bidi="ar"/>
        </w:rPr>
        <w:t>89.81</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主要用于</w:t>
      </w:r>
      <w:r>
        <w:rPr>
          <w:rFonts w:hint="eastAsia" w:ascii="仿宋" w:hAnsi="仿宋" w:eastAsia="仿宋" w:cs="仿宋"/>
          <w:color w:val="auto"/>
          <w:sz w:val="32"/>
          <w:szCs w:val="32"/>
          <w:highlight w:val="none"/>
          <w:lang w:val="en-US" w:eastAsia="zh-CN"/>
        </w:rPr>
        <w:t>支付在职教职工住房公积金</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bidi="ar"/>
        </w:rPr>
        <w:t>增加24.52</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增长37.56%</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主要原因是：教师工资基数待遇的提高。</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5</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其他支出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229</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bidi="ar"/>
        </w:rPr>
        <w:t>199.24</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主要用于</w:t>
      </w:r>
      <w:r>
        <w:rPr>
          <w:rFonts w:hint="eastAsia" w:ascii="仿宋" w:hAnsi="仿宋" w:eastAsia="仿宋" w:cs="仿宋"/>
          <w:color w:val="auto"/>
          <w:sz w:val="32"/>
          <w:szCs w:val="32"/>
          <w:highlight w:val="none"/>
          <w:lang w:val="en-US" w:eastAsia="zh-CN"/>
        </w:rPr>
        <w:t>支付奖金、生活补助、其他对个人和家庭的补助等</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bidi="ar"/>
        </w:rPr>
        <w:t>减少138.15</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下降40.95%</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主要原因是：途中退休教师、调出本校教师多。</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color w:val="auto"/>
          <w:sz w:val="32"/>
          <w:szCs w:val="32"/>
          <w:highlight w:val="none"/>
          <w:lang w:eastAsia="zh-CN" w:bidi="ar"/>
        </w:rPr>
      </w:pPr>
      <w:r>
        <w:rPr>
          <w:rFonts w:hint="default" w:ascii="仿宋_GB2312" w:hAnsi="微软雅黑" w:eastAsia="仿宋_GB2312" w:cs="仿宋_GB2312"/>
          <w:i w:val="0"/>
          <w:iCs w:val="0"/>
          <w:caps w:val="0"/>
          <w:color w:val="auto"/>
          <w:spacing w:val="0"/>
          <w:sz w:val="31"/>
          <w:szCs w:val="31"/>
          <w:highlight w:val="none"/>
          <w:shd w:val="clear" w:color="auto" w:fill="FFFFFF"/>
        </w:rPr>
        <w:t>结余分配</w:t>
      </w:r>
      <w:r>
        <w:rPr>
          <w:rFonts w:hint="eastAsia" w:ascii="仿宋_GB2312" w:hAnsi="微软雅黑" w:eastAsia="仿宋_GB2312" w:cs="仿宋_GB2312"/>
          <w:color w:val="auto"/>
          <w:sz w:val="31"/>
          <w:szCs w:val="31"/>
          <w:highlight w:val="none"/>
          <w:shd w:val="clear" w:color="auto" w:fill="FFFFFF"/>
        </w:rPr>
        <w:t>0.00</w:t>
      </w:r>
      <w:r>
        <w:rPr>
          <w:rFonts w:hint="default" w:ascii="仿宋_GB2312" w:hAnsi="微软雅黑" w:eastAsia="仿宋_GB2312" w:cs="仿宋_GB2312"/>
          <w:i w:val="0"/>
          <w:iCs w:val="0"/>
          <w:caps w:val="0"/>
          <w:color w:val="auto"/>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auto"/>
          <w:spacing w:val="0"/>
          <w:sz w:val="31"/>
          <w:szCs w:val="31"/>
          <w:highlight w:val="none"/>
          <w:shd w:val="clear" w:color="auto" w:fill="FFFFFF"/>
        </w:rPr>
        <w:t>年决算</w:t>
      </w:r>
      <w:r>
        <w:rPr>
          <w:rFonts w:hint="eastAsia" w:ascii="仿宋_GB2312" w:hAnsi="微软雅黑" w:eastAsia="仿宋_GB2312" w:cs="仿宋_GB2312"/>
          <w:color w:val="auto"/>
          <w:sz w:val="31"/>
          <w:szCs w:val="31"/>
          <w:highlight w:val="none"/>
          <w:shd w:val="clear" w:color="auto" w:fill="FFFFFF"/>
        </w:rPr>
        <w:t>0.00</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w:t>
      </w:r>
      <w:r>
        <w:rPr>
          <w:rFonts w:hint="eastAsia" w:ascii="仿宋_GB2312" w:hAnsi="微软雅黑" w:eastAsia="仿宋_GB2312" w:cs="仿宋_GB2312"/>
          <w:color w:val="auto"/>
          <w:sz w:val="31"/>
          <w:szCs w:val="31"/>
          <w:highlight w:val="none"/>
          <w:shd w:val="clear" w:color="auto" w:fill="FFFFFF"/>
        </w:rPr>
        <w:t>增加0.00</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_GB2312" w:hAnsi="微软雅黑" w:eastAsia="仿宋_GB2312" w:cs="仿宋_GB2312"/>
          <w:color w:val="auto"/>
          <w:sz w:val="31"/>
          <w:szCs w:val="31"/>
          <w:highlight w:val="none"/>
          <w:shd w:val="clear" w:color="auto" w:fill="FFFFFF"/>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年末结转和结余</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万元，为本年度或以前年度预算安排、因客观条件发生变化无法按原计划实施，需要延迟到以后年度按有关规定继续使用的资金。较2021年度决算数</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w:t>
      </w:r>
    </w:p>
    <w:p>
      <w:pPr>
        <w:ind w:firstLine="640" w:firstLineChars="20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二、2022 年度</w:t>
      </w:r>
      <w:bookmarkStart w:id="2" w:name="OLE_LINK1"/>
      <w:r>
        <w:rPr>
          <w:rFonts w:hint="eastAsia" w:ascii="黑体" w:hAnsi="黑体" w:eastAsia="黑体" w:cs="黑体"/>
          <w:color w:val="auto"/>
          <w:sz w:val="32"/>
          <w:szCs w:val="32"/>
          <w:highlight w:val="none"/>
        </w:rPr>
        <w:t>一般公共预算财政拨款支出决算情况</w:t>
      </w:r>
      <w:bookmarkEnd w:id="2"/>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环江毛南族自治县大安乡中心小学2022年度一般公共预算财政拨款支出</w:t>
      </w:r>
      <w:r>
        <w:rPr>
          <w:rFonts w:ascii="仿宋" w:hAnsi="仿宋" w:eastAsia="仿宋" w:cs="仿宋"/>
          <w:color w:val="auto"/>
          <w:sz w:val="32"/>
          <w:u w:color="auto"/>
        </w:rPr>
        <w:t>1585.48</w:t>
      </w:r>
      <w:r>
        <w:rPr>
          <w:rFonts w:hint="eastAsia" w:ascii="仿宋" w:hAnsi="仿宋" w:eastAsia="仿宋" w:cs="仿宋"/>
          <w:color w:val="auto"/>
          <w:sz w:val="32"/>
          <w:szCs w:val="32"/>
          <w:highlight w:val="none"/>
        </w:rPr>
        <w:t>万元，较2021年度决算数</w:t>
      </w:r>
      <w:r>
        <w:rPr>
          <w:rFonts w:ascii="仿宋" w:hAnsi="仿宋" w:eastAsia="仿宋" w:cs="仿宋"/>
          <w:color w:val="auto"/>
          <w:sz w:val="32"/>
          <w:u w:color="auto"/>
        </w:rPr>
        <w:t>减少550.93</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下降25.79%</w:t>
      </w:r>
      <w:r>
        <w:rPr>
          <w:rFonts w:hint="eastAsia" w:ascii="仿宋" w:hAnsi="仿宋" w:eastAsia="仿宋" w:cs="仿宋"/>
          <w:color w:val="auto"/>
          <w:sz w:val="32"/>
          <w:szCs w:val="32"/>
          <w:highlight w:val="none"/>
        </w:rPr>
        <w:t>。其中：基本支出</w:t>
      </w:r>
      <w:r>
        <w:rPr>
          <w:rFonts w:ascii="仿宋" w:hAnsi="仿宋" w:eastAsia="仿宋" w:cs="仿宋"/>
          <w:color w:val="auto"/>
          <w:sz w:val="32"/>
          <w:u w:color="auto"/>
        </w:rPr>
        <w:t>1276.80</w:t>
      </w:r>
      <w:r>
        <w:rPr>
          <w:rFonts w:hint="eastAsia" w:ascii="仿宋" w:hAnsi="仿宋" w:eastAsia="仿宋" w:cs="仿宋"/>
          <w:color w:val="auto"/>
          <w:sz w:val="32"/>
          <w:szCs w:val="32"/>
          <w:highlight w:val="none"/>
        </w:rPr>
        <w:t>万元，项目支出</w:t>
      </w:r>
      <w:r>
        <w:rPr>
          <w:rFonts w:ascii="仿宋" w:hAnsi="仿宋" w:eastAsia="仿宋" w:cs="仿宋"/>
          <w:color w:val="auto"/>
          <w:sz w:val="32"/>
          <w:u w:color="auto"/>
        </w:rPr>
        <w:t>308.68</w:t>
      </w:r>
      <w:r>
        <w:rPr>
          <w:rFonts w:hint="eastAsia" w:ascii="仿宋" w:hAnsi="仿宋" w:eastAsia="仿宋" w:cs="仿宋"/>
          <w:color w:val="auto"/>
          <w:sz w:val="32"/>
          <w:szCs w:val="32"/>
          <w:highlight w:val="none"/>
        </w:rPr>
        <w:t>万元。</w:t>
      </w:r>
    </w:p>
    <w:p>
      <w:pPr>
        <w:ind w:firstLine="640" w:firstLineChars="200"/>
        <w:jc w:val="left"/>
        <w:rPr>
          <w:rFonts w:ascii="仿宋" w:hAnsi="仿宋" w:eastAsia="仿宋"/>
          <w:color w:val="auto"/>
          <w:sz w:val="32"/>
          <w:szCs w:val="32"/>
          <w:highlight w:val="none"/>
        </w:rPr>
      </w:pPr>
      <w:r>
        <w:rPr>
          <w:rFonts w:hint="eastAsia" w:ascii="仿宋" w:hAnsi="仿宋" w:eastAsia="仿宋" w:cs="仿宋"/>
          <w:color w:val="auto"/>
          <w:sz w:val="32"/>
          <w:szCs w:val="32"/>
          <w:highlight w:val="none"/>
        </w:rPr>
        <w:t>环江毛南族自治县大安乡中心小学2022 年度一般公共预算财政拨款支出年初预算为</w:t>
      </w:r>
      <w:r>
        <w:rPr>
          <w:rFonts w:ascii="仿宋" w:hAnsi="仿宋" w:eastAsia="仿宋" w:cs="仿宋"/>
          <w:color w:val="auto"/>
          <w:sz w:val="32"/>
          <w:u w:color="auto"/>
        </w:rPr>
        <w:t>1173.92</w:t>
      </w:r>
      <w:r>
        <w:rPr>
          <w:rFonts w:hint="eastAsia" w:ascii="仿宋" w:hAnsi="仿宋" w:eastAsia="仿宋" w:cs="仿宋"/>
          <w:color w:val="auto"/>
          <w:sz w:val="32"/>
          <w:szCs w:val="32"/>
          <w:highlight w:val="none"/>
        </w:rPr>
        <w:t>万元，支出决算为</w:t>
      </w:r>
      <w:r>
        <w:rPr>
          <w:rFonts w:ascii="仿宋" w:hAnsi="仿宋" w:eastAsia="仿宋" w:cs="仿宋"/>
          <w:color w:val="auto"/>
          <w:sz w:val="32"/>
          <w:u w:color="auto"/>
        </w:rPr>
        <w:t>1585.48</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u w:color="auto"/>
        </w:rPr>
        <w:t>135.06%</w:t>
      </w:r>
      <w:r>
        <w:rPr>
          <w:rFonts w:hint="eastAsia" w:ascii="仿宋" w:hAnsi="仿宋" w:eastAsia="仿宋" w:cs="仿宋"/>
          <w:color w:val="auto"/>
          <w:sz w:val="32"/>
          <w:szCs w:val="32"/>
          <w:highlight w:val="none"/>
        </w:rPr>
        <w:t>。</w:t>
      </w:r>
      <w:bookmarkStart w:id="3" w:name="OLE_LINK2"/>
      <w:bookmarkEnd w:id="3"/>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color w:val="auto"/>
          <w:sz w:val="32"/>
          <w:szCs w:val="32"/>
          <w:highlight w:val="none"/>
        </w:rPr>
        <w:t>一般公共服务支出</w:t>
      </w:r>
      <w:r>
        <w:rPr>
          <w:rFonts w:ascii="仿宋" w:hAnsi="仿宋" w:eastAsia="仿宋"/>
          <w:color w:val="auto"/>
          <w:sz w:val="32"/>
          <w:u w:color="auto"/>
        </w:rPr>
        <w:t>（201</w:t>
      </w:r>
      <w:r>
        <w:rPr>
          <w:rFonts w:hint="eastAsia" w:ascii="仿宋" w:hAnsi="仿宋" w:eastAsia="仿宋"/>
          <w:color w:val="auto"/>
          <w:sz w:val="32"/>
          <w:szCs w:val="32"/>
          <w:highlight w:val="none"/>
        </w:rPr>
        <w:t>类）年初预算为</w:t>
      </w:r>
      <w:r>
        <w:rPr>
          <w:rFonts w:ascii="仿宋" w:hAnsi="仿宋" w:eastAsia="仿宋"/>
          <w:color w:val="auto"/>
          <w:sz w:val="32"/>
          <w:szCs w:val="32"/>
          <w:highlight w:val="none"/>
        </w:rPr>
        <w:t>17.13</w:t>
      </w:r>
      <w:r>
        <w:rPr>
          <w:rFonts w:hint="eastAsia" w:ascii="仿宋" w:hAnsi="仿宋" w:eastAsia="仿宋"/>
          <w:color w:val="auto"/>
          <w:sz w:val="32"/>
          <w:szCs w:val="32"/>
          <w:highlight w:val="none"/>
        </w:rPr>
        <w:t>万元，支出决算为</w:t>
      </w:r>
      <w:r>
        <w:rPr>
          <w:rFonts w:ascii="仿宋" w:hAnsi="仿宋" w:eastAsia="仿宋"/>
          <w:color w:val="auto"/>
          <w:sz w:val="32"/>
          <w:szCs w:val="32"/>
          <w:highlight w:val="none"/>
        </w:rPr>
        <w:t>17.13</w:t>
      </w:r>
      <w:r>
        <w:rPr>
          <w:rFonts w:hint="eastAsia" w:ascii="仿宋" w:hAnsi="仿宋" w:eastAsia="仿宋"/>
          <w:color w:val="auto"/>
          <w:sz w:val="32"/>
          <w:szCs w:val="32"/>
          <w:highlight w:val="none"/>
        </w:rPr>
        <w:t>万元，完成年初预算的</w:t>
      </w:r>
      <w:r>
        <w:rPr>
          <w:rFonts w:ascii="仿宋" w:hAnsi="仿宋" w:eastAsia="仿宋"/>
          <w:color w:val="auto"/>
          <w:sz w:val="32"/>
          <w:szCs w:val="32"/>
          <w:highlight w:val="none"/>
        </w:rPr>
        <w:t>100.00%</w:t>
      </w:r>
      <w:r>
        <w:rPr>
          <w:rFonts w:hint="eastAsia" w:ascii="仿宋" w:hAnsi="仿宋" w:eastAsia="仿宋"/>
          <w:color w:val="auto"/>
          <w:sz w:val="32"/>
          <w:szCs w:val="32"/>
          <w:highlight w:val="none"/>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17.13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17.13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其他群众团体事务支出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17.13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17.13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其他群众团体事务支出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w:t>
            </w: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color w:val="auto"/>
          <w:sz w:val="32"/>
          <w:szCs w:val="32"/>
          <w:highlight w:val="none"/>
        </w:rPr>
        <w:t>教育支出</w:t>
      </w:r>
      <w:r>
        <w:rPr>
          <w:rFonts w:ascii="仿宋" w:hAnsi="仿宋" w:eastAsia="仿宋"/>
          <w:color w:val="auto"/>
          <w:sz w:val="32"/>
          <w:u w:color="auto"/>
        </w:rPr>
        <w:t>（205</w:t>
      </w:r>
      <w:r>
        <w:rPr>
          <w:rFonts w:hint="eastAsia" w:ascii="仿宋" w:hAnsi="仿宋" w:eastAsia="仿宋"/>
          <w:color w:val="auto"/>
          <w:sz w:val="32"/>
          <w:szCs w:val="32"/>
          <w:highlight w:val="none"/>
        </w:rPr>
        <w:t>类）年初预算为</w:t>
      </w:r>
      <w:r>
        <w:rPr>
          <w:rFonts w:ascii="仿宋" w:hAnsi="仿宋" w:eastAsia="仿宋"/>
          <w:color w:val="auto"/>
          <w:sz w:val="32"/>
          <w:szCs w:val="32"/>
          <w:highlight w:val="none"/>
        </w:rPr>
        <w:t>916.94</w:t>
      </w:r>
      <w:r>
        <w:rPr>
          <w:rFonts w:hint="eastAsia" w:ascii="仿宋" w:hAnsi="仿宋" w:eastAsia="仿宋"/>
          <w:color w:val="auto"/>
          <w:sz w:val="32"/>
          <w:szCs w:val="32"/>
          <w:highlight w:val="none"/>
        </w:rPr>
        <w:t>万元，支出决算为</w:t>
      </w:r>
      <w:r>
        <w:rPr>
          <w:rFonts w:ascii="仿宋" w:hAnsi="仿宋" w:eastAsia="仿宋"/>
          <w:color w:val="auto"/>
          <w:sz w:val="32"/>
          <w:szCs w:val="32"/>
          <w:highlight w:val="none"/>
        </w:rPr>
        <w:t>1161.74</w:t>
      </w:r>
      <w:r>
        <w:rPr>
          <w:rFonts w:hint="eastAsia" w:ascii="仿宋" w:hAnsi="仿宋" w:eastAsia="仿宋"/>
          <w:color w:val="auto"/>
          <w:sz w:val="32"/>
          <w:szCs w:val="32"/>
          <w:highlight w:val="none"/>
        </w:rPr>
        <w:t>万元，完成年初预算的</w:t>
      </w:r>
      <w:r>
        <w:rPr>
          <w:rFonts w:ascii="仿宋" w:hAnsi="仿宋" w:eastAsia="仿宋"/>
          <w:color w:val="auto"/>
          <w:sz w:val="32"/>
          <w:szCs w:val="32"/>
          <w:highlight w:val="none"/>
        </w:rPr>
        <w:t>126.70%</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原因是：教师工资提高</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2050202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小学教育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916.94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1155.50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126.02%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4"/>
                <w:szCs w:val="24"/>
                <w:highlight w:val="none"/>
                <w:lang w:val="en-US" w:eastAsia="zh-CN"/>
              </w:rPr>
              <w:t>支付基本工资、津贴补贴、奖金、绩效工资、医疗保险、其他社会保障、办公费、水电费、邮电费、物业管理费、差旅费、劳务费、退休费、生活补助费、助学金、其他对个人和家庭的补助等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6.06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4"/>
                <w:szCs w:val="24"/>
                <w:highlight w:val="none"/>
                <w:lang w:val="en-US" w:eastAsia="zh-CN"/>
              </w:rPr>
              <w:t>支付基本工资、津贴补贴、奖金、绩效工资、医疗保险、其他社会保障、办公费、水电费、邮电费、物业管理费、差旅费、劳务费、退休费、生活补助费、助学金、其他对个人和家庭的补助等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2050999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其他教育费附加安排的支出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0.18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4"/>
                <w:szCs w:val="24"/>
                <w:highlight w:val="none"/>
                <w:lang w:val="en-US" w:eastAsia="zh-CN"/>
              </w:rPr>
              <w:t>支付基本工资、津贴补贴、奖金、绩效工资、医疗保险、其他社会保障、办公费、水电费、邮电费、物业管理费、差旅费、劳务费、退休费、生活补助费、助学金、其他对个人和家庭的补助等</w:t>
            </w:r>
            <w:r>
              <w:rPr>
                <w:rFonts w:hint="eastAsia" w:ascii="仿宋" w:hAnsi="仿宋" w:eastAsia="仿宋" w:cs="仿宋"/>
                <w:color w:val="auto"/>
                <w:sz w:val="21"/>
                <w:szCs w:val="21"/>
                <w:highlight w:val="none"/>
                <w:lang w:val="en-US" w:eastAsia="zh-CN"/>
              </w:rPr>
              <w:t>写</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916.94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1161.74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4"/>
                <w:szCs w:val="24"/>
                <w:highlight w:val="none"/>
                <w:lang w:val="en-US" w:eastAsia="zh-CN"/>
              </w:rPr>
              <w:t>支付基本工资、津贴补贴、奖金、绩效工资、医疗保险、其他社会保障、办公费、水电费、邮电费、物业管理费、差旅费、劳务费、退休费、生活补助费、助学金、其他对个人和家庭的补助等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无</w:t>
            </w: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color w:val="auto"/>
          <w:sz w:val="32"/>
          <w:szCs w:val="32"/>
          <w:highlight w:val="none"/>
        </w:rPr>
        <w:t>社会保障和就业支出</w:t>
      </w:r>
      <w:r>
        <w:rPr>
          <w:rFonts w:ascii="仿宋" w:hAnsi="仿宋" w:eastAsia="仿宋"/>
          <w:color w:val="auto"/>
          <w:sz w:val="32"/>
          <w:u w:color="auto"/>
        </w:rPr>
        <w:t>（208</w:t>
      </w:r>
      <w:r>
        <w:rPr>
          <w:rFonts w:hint="eastAsia" w:ascii="仿宋" w:hAnsi="仿宋" w:eastAsia="仿宋"/>
          <w:color w:val="auto"/>
          <w:sz w:val="32"/>
          <w:szCs w:val="32"/>
          <w:highlight w:val="none"/>
        </w:rPr>
        <w:t>类）年初预算为</w:t>
      </w:r>
      <w:r>
        <w:rPr>
          <w:rFonts w:ascii="仿宋" w:hAnsi="仿宋" w:eastAsia="仿宋"/>
          <w:color w:val="auto"/>
          <w:sz w:val="32"/>
          <w:szCs w:val="32"/>
          <w:highlight w:val="none"/>
        </w:rPr>
        <w:t>137.06</w:t>
      </w:r>
      <w:r>
        <w:rPr>
          <w:rFonts w:hint="eastAsia" w:ascii="仿宋" w:hAnsi="仿宋" w:eastAsia="仿宋"/>
          <w:color w:val="auto"/>
          <w:sz w:val="32"/>
          <w:szCs w:val="32"/>
          <w:highlight w:val="none"/>
        </w:rPr>
        <w:t>万元，支出决算为</w:t>
      </w:r>
      <w:r>
        <w:rPr>
          <w:rFonts w:ascii="仿宋" w:hAnsi="仿宋" w:eastAsia="仿宋"/>
          <w:color w:val="auto"/>
          <w:sz w:val="32"/>
          <w:szCs w:val="32"/>
          <w:highlight w:val="none"/>
        </w:rPr>
        <w:t>118.83</w:t>
      </w:r>
      <w:r>
        <w:rPr>
          <w:rFonts w:hint="eastAsia" w:ascii="仿宋" w:hAnsi="仿宋" w:eastAsia="仿宋"/>
          <w:color w:val="auto"/>
          <w:sz w:val="32"/>
          <w:szCs w:val="32"/>
          <w:highlight w:val="none"/>
        </w:rPr>
        <w:t>万元，完成年初预算的</w:t>
      </w:r>
      <w:r>
        <w:rPr>
          <w:rFonts w:ascii="仿宋" w:hAnsi="仿宋" w:eastAsia="仿宋"/>
          <w:color w:val="auto"/>
          <w:sz w:val="32"/>
          <w:szCs w:val="32"/>
          <w:highlight w:val="none"/>
        </w:rPr>
        <w:t>86.70%</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原因是：退休、调出老师较多</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137.06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118.83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86.70%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缴纳教职工养老保险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退休、调出老师较多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137.06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118.83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缴纳教职工养老保险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退休、调出老师较多</w:t>
            </w: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2559050"/>
            <wp:effectExtent l="4445" t="4445" r="16510" b="825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color w:val="auto"/>
          <w:sz w:val="32"/>
          <w:szCs w:val="32"/>
          <w:highlight w:val="none"/>
        </w:rPr>
        <w:t>住房保障支出</w:t>
      </w:r>
      <w:r>
        <w:rPr>
          <w:rFonts w:ascii="仿宋" w:hAnsi="仿宋" w:eastAsia="仿宋"/>
          <w:color w:val="auto"/>
          <w:sz w:val="32"/>
          <w:u w:color="auto"/>
        </w:rPr>
        <w:t>（221</w:t>
      </w:r>
      <w:r>
        <w:rPr>
          <w:rFonts w:hint="eastAsia" w:ascii="仿宋" w:hAnsi="仿宋" w:eastAsia="仿宋"/>
          <w:color w:val="auto"/>
          <w:sz w:val="32"/>
          <w:szCs w:val="32"/>
          <w:highlight w:val="none"/>
        </w:rPr>
        <w:t>类）年初预算为</w:t>
      </w:r>
      <w:r>
        <w:rPr>
          <w:rFonts w:ascii="仿宋" w:hAnsi="仿宋" w:eastAsia="仿宋"/>
          <w:color w:val="auto"/>
          <w:sz w:val="32"/>
          <w:szCs w:val="32"/>
          <w:highlight w:val="none"/>
        </w:rPr>
        <w:t>102.79</w:t>
      </w:r>
      <w:r>
        <w:rPr>
          <w:rFonts w:hint="eastAsia" w:ascii="仿宋" w:hAnsi="仿宋" w:eastAsia="仿宋"/>
          <w:color w:val="auto"/>
          <w:sz w:val="32"/>
          <w:szCs w:val="32"/>
          <w:highlight w:val="none"/>
        </w:rPr>
        <w:t>万元，支出决算为</w:t>
      </w:r>
      <w:r>
        <w:rPr>
          <w:rFonts w:ascii="仿宋" w:hAnsi="仿宋" w:eastAsia="仿宋"/>
          <w:color w:val="auto"/>
          <w:sz w:val="32"/>
          <w:szCs w:val="32"/>
          <w:highlight w:val="none"/>
        </w:rPr>
        <w:t>89.81</w:t>
      </w:r>
      <w:r>
        <w:rPr>
          <w:rFonts w:hint="eastAsia" w:ascii="仿宋" w:hAnsi="仿宋" w:eastAsia="仿宋"/>
          <w:color w:val="auto"/>
          <w:sz w:val="32"/>
          <w:szCs w:val="32"/>
          <w:highlight w:val="none"/>
        </w:rPr>
        <w:t>万元，完成年初预算的</w:t>
      </w:r>
      <w:r>
        <w:rPr>
          <w:rFonts w:ascii="仿宋" w:hAnsi="仿宋" w:eastAsia="仿宋"/>
          <w:color w:val="auto"/>
          <w:sz w:val="32"/>
          <w:szCs w:val="32"/>
          <w:highlight w:val="none"/>
        </w:rPr>
        <w:t>87.37%</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原因是：退休、调出老师较多</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102.79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89.81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87.37%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教师住房保障</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退休、调出老师较多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102.79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89.81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教师住房保障</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退休、调出老师较多</w:t>
            </w: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2586990"/>
            <wp:effectExtent l="4445" t="4445" r="16510" b="184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color w:val="auto"/>
          <w:sz w:val="32"/>
          <w:szCs w:val="32"/>
          <w:highlight w:val="none"/>
        </w:rPr>
        <w:t>其他支出</w:t>
      </w:r>
      <w:r>
        <w:rPr>
          <w:rFonts w:ascii="仿宋" w:hAnsi="仿宋" w:eastAsia="仿宋"/>
          <w:color w:val="auto"/>
          <w:sz w:val="32"/>
          <w:u w:color="auto"/>
        </w:rPr>
        <w:t>（229</w:t>
      </w:r>
      <w:r>
        <w:rPr>
          <w:rFonts w:hint="eastAsia" w:ascii="仿宋" w:hAnsi="仿宋" w:eastAsia="仿宋"/>
          <w:color w:val="auto"/>
          <w:sz w:val="32"/>
          <w:szCs w:val="32"/>
          <w:highlight w:val="none"/>
        </w:rPr>
        <w:t>类）年初预算为</w:t>
      </w:r>
      <w:r>
        <w:rPr>
          <w:rFonts w:ascii="仿宋" w:hAnsi="仿宋" w:eastAsia="仿宋"/>
          <w:color w:val="auto"/>
          <w:sz w:val="32"/>
          <w:szCs w:val="32"/>
          <w:highlight w:val="none"/>
        </w:rPr>
        <w:t>0.00</w:t>
      </w:r>
      <w:r>
        <w:rPr>
          <w:rFonts w:hint="eastAsia" w:ascii="仿宋" w:hAnsi="仿宋" w:eastAsia="仿宋"/>
          <w:color w:val="auto"/>
          <w:sz w:val="32"/>
          <w:szCs w:val="32"/>
          <w:highlight w:val="none"/>
        </w:rPr>
        <w:t>万元，支出决算为</w:t>
      </w:r>
      <w:r>
        <w:rPr>
          <w:rFonts w:ascii="仿宋" w:hAnsi="仿宋" w:eastAsia="仿宋"/>
          <w:color w:val="auto"/>
          <w:sz w:val="32"/>
          <w:szCs w:val="32"/>
          <w:highlight w:val="none"/>
        </w:rPr>
        <w:t>197.97</w:t>
      </w:r>
      <w:r>
        <w:rPr>
          <w:rFonts w:hint="eastAsia" w:ascii="仿宋" w:hAnsi="仿宋" w:eastAsia="仿宋"/>
          <w:color w:val="auto"/>
          <w:sz w:val="32"/>
          <w:szCs w:val="32"/>
          <w:highlight w:val="none"/>
        </w:rPr>
        <w:t>万元，完成年初预算的</w:t>
      </w:r>
      <w:r>
        <w:rPr>
          <w:rFonts w:ascii="仿宋" w:hAnsi="仿宋" w:eastAsia="仿宋"/>
          <w:color w:val="auto"/>
          <w:sz w:val="32"/>
          <w:szCs w:val="32"/>
          <w:highlight w:val="none"/>
        </w:rPr>
        <w:t>100.00%</w:t>
      </w:r>
      <w:r>
        <w:rPr>
          <w:rFonts w:hint="eastAsia" w:ascii="仿宋" w:hAnsi="仿宋" w:eastAsia="仿宋"/>
          <w:color w:val="auto"/>
          <w:sz w:val="32"/>
          <w:szCs w:val="32"/>
          <w:highlight w:val="none"/>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197.97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工会活动及慰问支出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197.97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工会活动及慰问支出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w:t>
            </w:r>
          </w:p>
        </w:tc>
      </w:tr>
    </w:tbl>
    <w:p>
      <w:pPr>
        <w:jc w:val="both"/>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三、2022年度一般公共预算财政拨款基本支出决算情况说明</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环江毛南族自治县大安乡中心小学2022年度一般公共预算财政拨款基本支出</w:t>
      </w:r>
      <w:r>
        <w:rPr>
          <w:rFonts w:ascii="仿宋" w:hAnsi="仿宋" w:eastAsia="仿宋" w:cs="仿宋"/>
          <w:color w:val="auto"/>
          <w:sz w:val="32"/>
          <w:u w:color="auto"/>
        </w:rPr>
        <w:t>1276.80</w:t>
      </w:r>
      <w:r>
        <w:rPr>
          <w:rFonts w:hint="eastAsia" w:ascii="仿宋" w:hAnsi="仿宋" w:eastAsia="仿宋" w:cs="仿宋"/>
          <w:color w:val="auto"/>
          <w:sz w:val="32"/>
          <w:szCs w:val="32"/>
          <w:highlight w:val="none"/>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其中：人员经费支出</w:t>
      </w:r>
      <w:r>
        <w:rPr>
          <w:rFonts w:hint="eastAsia" w:ascii="仿宋" w:hAnsi="仿宋" w:eastAsia="仿宋" w:cs="仿宋"/>
          <w:color w:val="auto"/>
          <w:sz w:val="32"/>
          <w:szCs w:val="32"/>
          <w:highlight w:val="none"/>
        </w:rPr>
        <w:t>1240.39</w:t>
      </w:r>
      <w:r>
        <w:rPr>
          <w:rFonts w:hint="default" w:ascii="仿宋_GB2312" w:hAnsi="微软雅黑" w:eastAsia="仿宋_GB2312" w:cs="仿宋_GB2312"/>
          <w:i w:val="0"/>
          <w:iCs w:val="0"/>
          <w:caps w:val="0"/>
          <w:color w:val="auto"/>
          <w:spacing w:val="0"/>
          <w:sz w:val="31"/>
          <w:szCs w:val="31"/>
          <w:highlight w:val="none"/>
          <w:shd w:val="clear" w:color="auto" w:fill="FFFFFF"/>
        </w:rPr>
        <w:t>万元，公用经费支出</w:t>
      </w:r>
      <w:r>
        <w:rPr>
          <w:rFonts w:hint="eastAsia" w:ascii="仿宋" w:hAnsi="仿宋" w:eastAsia="仿宋" w:cs="仿宋"/>
          <w:color w:val="auto"/>
          <w:sz w:val="32"/>
          <w:szCs w:val="32"/>
          <w:highlight w:val="none"/>
        </w:rPr>
        <w:t>36.40</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 w:hAnsi="仿宋" w:eastAsia="仿宋" w:cs="仿宋"/>
          <w:color w:val="auto"/>
          <w:sz w:val="32"/>
          <w:szCs w:val="32"/>
          <w:highlight w:val="none"/>
        </w:rPr>
        <w:t>支出具体情况如下：</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工资福利支出</w:t>
      </w:r>
      <w:r>
        <w:rPr>
          <w:rFonts w:ascii="仿宋" w:hAnsi="仿宋" w:eastAsia="仿宋" w:cs="仿宋"/>
          <w:color w:val="auto"/>
          <w:sz w:val="32"/>
          <w:u w:color="auto"/>
        </w:rPr>
        <w:t>889.13万元，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80.09%</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sz w:val="32"/>
          <w:szCs w:val="32"/>
          <w:highlight w:val="none"/>
        </w:rPr>
        <w:t>（简要说明预决算差异）</w:t>
      </w:r>
      <w:r>
        <w:rPr>
          <w:rFonts w:hint="eastAsia" w:ascii="仿宋" w:hAnsi="仿宋" w:eastAsia="仿宋" w:cs="仿宋"/>
          <w:color w:val="auto"/>
          <w:kern w:val="2"/>
          <w:sz w:val="32"/>
          <w:szCs w:val="32"/>
          <w:highlight w:val="none"/>
          <w:lang w:val="en-US" w:eastAsia="zh-CN" w:bidi="ar"/>
        </w:rPr>
        <w:t>主要原因是：途中退休教师，调出教师多。</w:t>
      </w:r>
    </w:p>
    <w:p>
      <w:pPr>
        <w:jc w:val="left"/>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30101基本工资261.88万元，30102津贴补贴73.88万元，30103奖金94.85万元，30107绩效工资186.11万元，30108机关事业单位基本养老保险缴费118.83万元，30110职工基本医疗保险缴费57.83万元，30112其他社会保障缴费5.93万元，30113住房公积金89.81万元。</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商品和服务支出</w:t>
      </w:r>
      <w:r>
        <w:rPr>
          <w:rFonts w:ascii="仿宋" w:hAnsi="仿宋" w:eastAsia="仿宋" w:cs="仿宋"/>
          <w:color w:val="auto"/>
          <w:sz w:val="32"/>
          <w:u w:color="auto"/>
        </w:rPr>
        <w:t>33.91万元，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197.96%</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sz w:val="32"/>
          <w:szCs w:val="32"/>
          <w:highlight w:val="none"/>
        </w:rPr>
        <w:t>（简要说明预决算差异）</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
          <w:color w:val="auto"/>
          <w:sz w:val="32"/>
          <w:szCs w:val="32"/>
          <w:lang w:bidi="ar"/>
        </w:rPr>
        <w:t>有的项目年初预算时没计划在此开支</w:t>
      </w:r>
      <w:r>
        <w:rPr>
          <w:rFonts w:hint="eastAsia" w:ascii="仿宋" w:hAnsi="仿宋" w:eastAsia="仿宋" w:cs="仿宋"/>
          <w:color w:val="auto"/>
          <w:sz w:val="32"/>
          <w:szCs w:val="32"/>
          <w:lang w:eastAsia="zh-CN" w:bidi="ar"/>
        </w:rPr>
        <w:t>，</w:t>
      </w:r>
      <w:r>
        <w:rPr>
          <w:rFonts w:hint="eastAsia" w:ascii="仿宋" w:hAnsi="仿宋" w:eastAsia="仿宋" w:cs="仿宋"/>
          <w:color w:val="auto"/>
          <w:sz w:val="32"/>
          <w:szCs w:val="32"/>
          <w:lang w:bidi="ar"/>
        </w:rPr>
        <w:t>年中进行调整在该项目开支</w:t>
      </w:r>
      <w:r>
        <w:rPr>
          <w:rFonts w:hint="eastAsia" w:ascii="仿宋" w:hAnsi="仿宋" w:eastAsia="仿宋" w:cs="仿宋"/>
          <w:color w:val="auto"/>
          <w:kern w:val="2"/>
          <w:sz w:val="32"/>
          <w:szCs w:val="32"/>
          <w:highlight w:val="none"/>
          <w:lang w:val="en-US" w:eastAsia="zh-CN" w:bidi="ar"/>
        </w:rPr>
        <w:t>。</w:t>
      </w:r>
    </w:p>
    <w:p>
      <w:pPr>
        <w:jc w:val="left"/>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30201办公费4.17万元，30206电费0.30万元，30211差旅费8.76万元，30213维修（护）费3.55万元，30228工会经费17.13万元。</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2653665"/>
            <wp:effectExtent l="4445" t="4445" r="16510" b="8890"/>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对个人和家庭的补助</w:t>
      </w:r>
      <w:r>
        <w:rPr>
          <w:rFonts w:ascii="仿宋" w:hAnsi="仿宋" w:eastAsia="仿宋" w:cs="仿宋"/>
          <w:color w:val="auto"/>
          <w:sz w:val="32"/>
          <w:u w:color="auto"/>
        </w:rPr>
        <w:t>351.26万元，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786.17%</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sz w:val="32"/>
          <w:szCs w:val="32"/>
          <w:highlight w:val="none"/>
        </w:rPr>
        <w:t>（简要说明预决算差异）</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
          <w:color w:val="auto"/>
          <w:sz w:val="32"/>
          <w:szCs w:val="32"/>
          <w:lang w:bidi="ar"/>
        </w:rPr>
        <w:t>有的项目年初预算时没计划在此开支</w:t>
      </w:r>
      <w:r>
        <w:rPr>
          <w:rFonts w:hint="eastAsia" w:ascii="仿宋" w:hAnsi="仿宋" w:eastAsia="仿宋" w:cs="仿宋"/>
          <w:color w:val="auto"/>
          <w:sz w:val="32"/>
          <w:szCs w:val="32"/>
          <w:lang w:eastAsia="zh-CN" w:bidi="ar"/>
        </w:rPr>
        <w:t>，</w:t>
      </w:r>
      <w:r>
        <w:rPr>
          <w:rFonts w:hint="eastAsia" w:ascii="仿宋" w:hAnsi="仿宋" w:eastAsia="仿宋" w:cs="仿宋"/>
          <w:color w:val="auto"/>
          <w:sz w:val="32"/>
          <w:szCs w:val="32"/>
          <w:lang w:bidi="ar"/>
        </w:rPr>
        <w:t>年中进行调整在该项目开支</w:t>
      </w:r>
      <w:r>
        <w:rPr>
          <w:rFonts w:hint="eastAsia" w:ascii="仿宋" w:hAnsi="仿宋" w:eastAsia="仿宋" w:cs="仿宋"/>
          <w:color w:val="auto"/>
          <w:sz w:val="32"/>
          <w:szCs w:val="32"/>
          <w:lang w:eastAsia="zh-CN" w:bidi="ar"/>
        </w:rPr>
        <w:t>。</w:t>
      </w:r>
    </w:p>
    <w:p>
      <w:pPr>
        <w:jc w:val="left"/>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30304抚恤金14.12万元，30305生活补助337.13万元，30399其他对个人和家庭的补助0.01万元。</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color w:val="auto"/>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债务利息及费用支出</w:t>
      </w:r>
      <w:r>
        <w:rPr>
          <w:rFonts w:ascii="仿宋" w:hAnsi="仿宋" w:eastAsia="仿宋" w:cs="仿宋"/>
          <w:color w:val="auto"/>
          <w:sz w:val="32"/>
          <w:u w:color="auto"/>
        </w:rPr>
        <w:t>0.00万元，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主要原因：无。</w:t>
      </w:r>
    </w:p>
    <w:p>
      <w:pPr>
        <w:jc w:val="left"/>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资本性支出</w:t>
      </w:r>
      <w:r>
        <w:rPr>
          <w:rFonts w:ascii="仿宋" w:hAnsi="仿宋" w:eastAsia="仿宋" w:cs="仿宋"/>
          <w:color w:val="auto"/>
          <w:sz w:val="32"/>
          <w:u w:color="auto"/>
        </w:rPr>
        <w:t>2.50万元，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100%</w:t>
      </w:r>
      <w:r>
        <w:rPr>
          <w:rFonts w:hint="eastAsia" w:ascii="仿宋" w:hAnsi="仿宋" w:eastAsia="仿宋" w:cs="仿宋"/>
          <w:color w:val="auto"/>
          <w:kern w:val="2"/>
          <w:sz w:val="32"/>
          <w:szCs w:val="32"/>
          <w:highlight w:val="none"/>
          <w:lang w:val="en-US" w:eastAsia="zh-CN" w:bidi="ar"/>
        </w:rPr>
        <w:t>。</w:t>
      </w:r>
    </w:p>
    <w:p>
      <w:pPr>
        <w:jc w:val="left"/>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31002办公设备购置2.50万元。</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其他支出</w:t>
      </w:r>
      <w:r>
        <w:rPr>
          <w:rFonts w:ascii="仿宋" w:hAnsi="仿宋" w:eastAsia="仿宋" w:cs="仿宋"/>
          <w:color w:val="auto"/>
          <w:sz w:val="32"/>
          <w:u w:color="auto"/>
        </w:rPr>
        <w:t>0.00万元，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cs="仿宋"/>
          <w:color w:val="auto"/>
          <w:sz w:val="32"/>
          <w:szCs w:val="32"/>
          <w:highlight w:val="none"/>
          <w:lang w:val="en-US" w:eastAsia="zh-CN"/>
        </w:rPr>
        <w:t>主要原因：无。</w:t>
      </w:r>
    </w:p>
    <w:p>
      <w:pPr>
        <w:jc w:val="left"/>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p>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四、2022年度政府性基金支出决算情况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环江毛南族自治县大安乡中心小学2022年度政府性基金支出</w:t>
      </w:r>
      <w:r>
        <w:rPr>
          <w:rFonts w:ascii="仿宋" w:hAnsi="仿宋" w:eastAsia="仿宋" w:cs="仿宋"/>
          <w:color w:val="auto"/>
          <w:sz w:val="32"/>
          <w:szCs w:val="32"/>
          <w:highlight w:val="none"/>
        </w:rPr>
        <w:t>1.27</w:t>
      </w:r>
      <w:r>
        <w:rPr>
          <w:rFonts w:hint="eastAsia" w:ascii="仿宋" w:hAnsi="仿宋" w:eastAsia="仿宋" w:cs="仿宋"/>
          <w:color w:val="auto"/>
          <w:sz w:val="32"/>
          <w:szCs w:val="32"/>
          <w:highlight w:val="none"/>
        </w:rPr>
        <w:t>万元，较2021年度决算数</w:t>
      </w:r>
      <w:r>
        <w:rPr>
          <w:rFonts w:ascii="仿宋" w:hAnsi="仿宋" w:eastAsia="仿宋" w:cs="仿宋"/>
          <w:color w:val="auto"/>
          <w:sz w:val="32"/>
          <w:szCs w:val="32"/>
          <w:highlight w:val="none"/>
        </w:rPr>
        <w:t>减少13.73</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下降91.53%</w:t>
      </w:r>
      <w:r>
        <w:rPr>
          <w:rFonts w:hint="eastAsia" w:ascii="仿宋" w:hAnsi="仿宋" w:eastAsia="仿宋" w:cs="仿宋"/>
          <w:color w:val="auto"/>
          <w:sz w:val="32"/>
          <w:szCs w:val="32"/>
          <w:highlight w:val="none"/>
        </w:rPr>
        <w:t>其中：基本支出</w:t>
      </w:r>
      <w:r>
        <w:rPr>
          <w:rFonts w:ascii="仿宋" w:hAnsi="仿宋" w:eastAsia="仿宋" w:cs="仿宋"/>
          <w:color w:val="auto"/>
          <w:sz w:val="32"/>
          <w:szCs w:val="32"/>
          <w:highlight w:val="none"/>
        </w:rPr>
        <w:t>1.27</w:t>
      </w:r>
      <w:r>
        <w:rPr>
          <w:rFonts w:hint="eastAsia" w:ascii="仿宋" w:hAnsi="仿宋" w:eastAsia="仿宋" w:cs="仿宋"/>
          <w:color w:val="auto"/>
          <w:sz w:val="32"/>
          <w:szCs w:val="32"/>
          <w:highlight w:val="none"/>
        </w:rPr>
        <w:t>万元，项目支出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环江毛南族自治县大安乡中心小学2022年度政府性基金支出年初预算为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万元，支出决算为</w:t>
      </w:r>
      <w:r>
        <w:rPr>
          <w:rFonts w:ascii="仿宋" w:hAnsi="仿宋" w:eastAsia="仿宋" w:cs="仿宋"/>
          <w:color w:val="auto"/>
          <w:sz w:val="32"/>
          <w:szCs w:val="32"/>
          <w:highlight w:val="none"/>
        </w:rPr>
        <w:t>1.27</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100%</w:t>
      </w:r>
      <w:r>
        <w:rPr>
          <w:rFonts w:hint="eastAsia" w:ascii="仿宋" w:hAnsi="仿宋" w:eastAsia="仿宋" w:cs="仿宋"/>
          <w:color w:val="auto"/>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shd w:val="clear" w:color="auto" w:fill="FFFFFF"/>
        </w:rPr>
        <w:t>(</w:t>
      </w:r>
      <w:r>
        <w:rPr>
          <w:rFonts w:ascii="仿宋" w:hAnsi="仿宋" w:eastAsia="仿宋" w:cs="仿宋"/>
          <w:color w:val="auto"/>
          <w:sz w:val="32"/>
          <w:u w:color="auto"/>
        </w:rPr>
        <w:t>1)其他支出</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229</w:t>
      </w:r>
      <w:r>
        <w:rPr>
          <w:rFonts w:hint="eastAsia" w:ascii="仿宋" w:hAnsi="仿宋" w:eastAsia="仿宋" w:cs="仿宋"/>
          <w:color w:val="auto"/>
          <w:sz w:val="32"/>
          <w:szCs w:val="32"/>
          <w:shd w:val="clear" w:color="auto" w:fill="FFFFFF"/>
        </w:rPr>
        <w:t>类）</w:t>
      </w:r>
      <w:r>
        <w:rPr>
          <w:rFonts w:hint="eastAsia" w:ascii="仿宋" w:hAnsi="仿宋" w:eastAsia="仿宋" w:cs="仿宋"/>
          <w:color w:val="auto"/>
          <w:sz w:val="32"/>
          <w:szCs w:val="32"/>
          <w:shd w:val="clear" w:color="auto" w:fill="FFFFFF"/>
          <w:lang w:val="en-US" w:eastAsia="zh-CN"/>
        </w:rPr>
        <w:t>彩票公益金安排的支出</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22960</w:t>
      </w:r>
      <w:r>
        <w:rPr>
          <w:rFonts w:hint="eastAsia" w:ascii="仿宋" w:hAnsi="仿宋" w:eastAsia="仿宋" w:cs="仿宋"/>
          <w:color w:val="auto"/>
          <w:sz w:val="32"/>
          <w:szCs w:val="32"/>
          <w:shd w:val="clear" w:color="auto" w:fill="FFFFFF"/>
        </w:rPr>
        <w:t>款</w:t>
      </w:r>
      <w:r>
        <w:rPr>
          <w:rFonts w:hint="eastAsia" w:ascii="仿宋_GB2312" w:hAnsi="仿宋_GB2312" w:eastAsia="仿宋_GB2312" w:cs="仿宋_GB2312"/>
          <w:color w:val="auto"/>
          <w:sz w:val="32"/>
          <w:szCs w:val="32"/>
          <w:shd w:val="clear" w:color="auto" w:fill="FFFFFF"/>
          <w:lang w:eastAsia="zh-CN"/>
        </w:rPr>
        <w:t>）</w:t>
      </w:r>
      <w:r>
        <w:rPr>
          <w:rFonts w:hint="eastAsia" w:ascii="仿宋" w:hAnsi="仿宋" w:eastAsia="仿宋" w:cs="仿宋"/>
          <w:color w:val="auto"/>
          <w:sz w:val="32"/>
          <w:szCs w:val="32"/>
          <w:shd w:val="clear" w:color="auto" w:fill="FFFFFF"/>
          <w:lang w:val="en-US" w:eastAsia="zh-CN"/>
        </w:rPr>
        <w:t xml:space="preserve"> 用于教育事业的彩票公益金支出</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2296004</w:t>
      </w:r>
      <w:r>
        <w:rPr>
          <w:rFonts w:hint="eastAsia" w:ascii="仿宋" w:hAnsi="仿宋" w:eastAsia="仿宋" w:cs="仿宋"/>
          <w:color w:val="auto"/>
          <w:sz w:val="32"/>
          <w:szCs w:val="32"/>
          <w:shd w:val="clear" w:color="auto" w:fill="FFFFFF"/>
        </w:rPr>
        <w:t>项）年初预算为</w:t>
      </w:r>
      <w:r>
        <w:rPr>
          <w:rFonts w:ascii="仿宋" w:hAnsi="仿宋" w:eastAsia="仿宋" w:cs="仿宋"/>
          <w:color w:val="auto"/>
          <w:sz w:val="32"/>
          <w:u w:color="auto"/>
        </w:rPr>
        <w:t>0.00</w:t>
      </w:r>
      <w:r>
        <w:rPr>
          <w:rFonts w:hint="eastAsia" w:ascii="仿宋" w:hAnsi="仿宋" w:eastAsia="仿宋" w:cs="仿宋"/>
          <w:color w:val="auto"/>
          <w:sz w:val="32"/>
          <w:szCs w:val="32"/>
          <w:shd w:val="clear" w:color="auto" w:fill="FFFFFF"/>
        </w:rPr>
        <w:t>万元，支出决算为</w:t>
      </w:r>
      <w:r>
        <w:rPr>
          <w:rFonts w:ascii="仿宋" w:hAnsi="仿宋" w:eastAsia="仿宋" w:cs="仿宋"/>
          <w:color w:val="auto"/>
          <w:sz w:val="32"/>
          <w:u w:color="auto"/>
        </w:rPr>
        <w:t>1.27</w:t>
      </w:r>
      <w:r>
        <w:rPr>
          <w:rFonts w:hint="eastAsia" w:ascii="仿宋" w:hAnsi="仿宋" w:eastAsia="仿宋" w:cs="仿宋"/>
          <w:color w:val="auto"/>
          <w:sz w:val="32"/>
          <w:szCs w:val="32"/>
          <w:shd w:val="clear" w:color="auto" w:fill="FFFFFF"/>
        </w:rPr>
        <w:t>万元，完成年初预算的</w:t>
      </w:r>
      <w:r>
        <w:rPr>
          <w:rFonts w:ascii="仿宋" w:hAnsi="仿宋" w:eastAsia="仿宋" w:cs="仿宋"/>
          <w:color w:val="auto"/>
          <w:sz w:val="32"/>
          <w:u w:color="auto"/>
        </w:rPr>
        <w:t>100%</w:t>
      </w:r>
      <w:r>
        <w:rPr>
          <w:rFonts w:hint="eastAsia" w:ascii="仿宋" w:hAnsi="仿宋" w:eastAsia="仿宋" w:cs="仿宋"/>
          <w:color w:val="auto"/>
          <w:sz w:val="32"/>
          <w:szCs w:val="32"/>
          <w:shd w:val="clear" w:color="auto" w:fill="FFFFFF"/>
        </w:rPr>
        <w:t>。</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五、2022年度国有资本经营预算支出决算情况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环江毛南族自治县大安乡中心小学2022年度国有资本经营预算支出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万元。其中：基本支出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万元，项目支出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环江毛南族自治县大安乡中心小学2022 年度国有资本经营预算支出年初预算为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万元，支出决算为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ind w:firstLine="640" w:firstLineChars="200"/>
        <w:jc w:val="left"/>
        <w:rPr>
          <w:rFonts w:hint="eastAsia" w:ascii="仿宋" w:hAnsi="仿宋" w:eastAsia="仿宋" w:cs="仿宋"/>
          <w:color w:val="auto"/>
          <w:sz w:val="32"/>
          <w:szCs w:val="32"/>
          <w:highlight w:val="none"/>
        </w:rPr>
      </w:pPr>
      <w:bookmarkStart w:id="4" w:name="PO_part3A5B1C1DiffReason1"/>
      <w:r>
        <w:rPr>
          <w:rFonts w:hint="eastAsia" w:ascii="仿宋_GB2312" w:hAnsi="Times New Roman" w:eastAsia="仿宋_GB2312" w:cs="Times New Roman"/>
          <w:color w:val="auto"/>
          <w:sz w:val="32"/>
          <w:szCs w:val="32"/>
        </w:rPr>
        <w:t>环江毛南族自治县大安乡中心小学</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rPr>
        <w:t>安排的支出。</w:t>
      </w:r>
      <w:bookmarkEnd w:id="4"/>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2022年预算财政拨款安排的“三公”经费支出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，比上年</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具体情况如下：</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本单位无</w:t>
      </w:r>
      <w:r>
        <w:rPr>
          <w:rFonts w:hint="eastAsia" w:ascii="仿宋" w:hAnsi="仿宋" w:eastAsia="仿宋" w:cs="仿宋"/>
          <w:sz w:val="32"/>
          <w:szCs w:val="32"/>
          <w:highlight w:val="none"/>
        </w:rPr>
        <w:t>因公出国（境）费支出</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全年使用财政拨款安排</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（局、办、镇）机关、</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个所属单位出国团组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rPr>
        <w:t>个，参加其他单位组织的出国团组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rPr>
        <w:t>个</w:t>
      </w:r>
      <w:r>
        <w:rPr>
          <w:rFonts w:hint="eastAsia" w:ascii="仿宋" w:hAnsi="仿宋" w:eastAsia="仿宋" w:cs="仿宋"/>
          <w:color w:val="auto"/>
          <w:sz w:val="32"/>
          <w:szCs w:val="32"/>
          <w:highlight w:val="none"/>
        </w:rPr>
        <w:t>，全年因</w:t>
      </w:r>
      <w:r>
        <w:rPr>
          <w:rFonts w:hint="eastAsia" w:ascii="仿宋" w:hAnsi="仿宋" w:eastAsia="仿宋" w:cs="仿宋"/>
          <w:sz w:val="32"/>
          <w:szCs w:val="32"/>
          <w:highlight w:val="none"/>
        </w:rPr>
        <w:t>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pPr>
        <w:ind w:firstLine="640" w:firstLineChars="200"/>
        <w:jc w:val="left"/>
        <w:rPr>
          <w:rFonts w:hint="eastAsia" w:ascii="仿宋" w:hAnsi="仿宋" w:eastAsia="仿宋" w:cs="仿宋"/>
          <w:color w:val="FF0000"/>
          <w:sz w:val="32"/>
          <w:szCs w:val="32"/>
          <w:lang w:eastAsia="zh-CN"/>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w:t>
      </w:r>
      <w:r>
        <w:rPr>
          <w:rFonts w:hint="eastAsia" w:ascii="仿宋" w:hAnsi="仿宋" w:eastAsia="仿宋" w:cs="仿宋"/>
          <w:color w:val="auto"/>
          <w:sz w:val="32"/>
          <w:szCs w:val="32"/>
          <w:highlight w:val="none"/>
        </w:rPr>
        <w:t>元。</w:t>
      </w:r>
      <w:bookmarkStart w:id="5" w:name="PO_part3A6B2IncReason1"/>
      <w:r>
        <w:rPr>
          <w:rFonts w:hint="eastAsia" w:ascii="仿宋" w:hAnsi="仿宋" w:eastAsia="仿宋" w:cs="仿宋"/>
          <w:color w:val="auto"/>
          <w:sz w:val="32"/>
          <w:szCs w:val="32"/>
        </w:rPr>
        <w:t>无公务用车购置</w:t>
      </w:r>
      <w:bookmarkEnd w:id="5"/>
      <w:r>
        <w:rPr>
          <w:rFonts w:hint="eastAsia" w:ascii="仿宋" w:hAnsi="仿宋" w:eastAsia="仿宋" w:cs="仿宋"/>
          <w:color w:val="auto"/>
          <w:sz w:val="32"/>
          <w:szCs w:val="32"/>
          <w:lang w:eastAsia="zh-CN"/>
        </w:rPr>
        <w:t>。</w:t>
      </w:r>
    </w:p>
    <w:p>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auto"/>
          <w:sz w:val="32"/>
          <w:szCs w:val="32"/>
        </w:rPr>
        <w:t>无</w:t>
      </w:r>
      <w:r>
        <w:rPr>
          <w:rFonts w:hint="eastAsia" w:ascii="仿宋" w:hAnsi="仿宋" w:eastAsia="仿宋" w:cs="仿宋"/>
          <w:sz w:val="32"/>
          <w:szCs w:val="32"/>
          <w:highlight w:val="none"/>
        </w:rPr>
        <w:t>公务用车运行维</w:t>
      </w:r>
      <w:r>
        <w:rPr>
          <w:rFonts w:hint="eastAsia" w:ascii="仿宋" w:hAnsi="仿宋" w:eastAsia="仿宋" w:cs="仿宋"/>
          <w:color w:val="auto"/>
          <w:sz w:val="32"/>
          <w:szCs w:val="32"/>
          <w:highlight w:val="none"/>
        </w:rPr>
        <w:t>护支出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2022年，</w:t>
      </w:r>
      <w:r>
        <w:rPr>
          <w:rFonts w:hint="eastAsia" w:ascii="仿宋" w:hAnsi="仿宋" w:eastAsia="仿宋" w:cs="仿宋"/>
          <w:color w:val="auto"/>
          <w:sz w:val="32"/>
          <w:u w:color="auto"/>
          <w:lang w:val="en-US" w:eastAsia="zh-CN"/>
        </w:rPr>
        <w:t>本</w:t>
      </w:r>
      <w:r>
        <w:rPr>
          <w:rFonts w:hint="eastAsia" w:ascii="仿宋" w:hAnsi="仿宋" w:eastAsia="仿宋" w:cs="仿宋"/>
          <w:color w:val="auto"/>
          <w:sz w:val="32"/>
          <w:szCs w:val="32"/>
          <w:highlight w:val="none"/>
        </w:rPr>
        <w:t>单位开支财政拨款的公务用车保有量为</w:t>
      </w:r>
      <w:r>
        <w:rPr>
          <w:rFonts w:ascii="仿宋" w:hAnsi="仿宋" w:eastAsia="仿宋" w:cs="仿宋"/>
          <w:color w:val="auto"/>
          <w:sz w:val="32"/>
          <w:u w:color="auto"/>
        </w:rPr>
        <w:t>0</w:t>
      </w:r>
      <w:r>
        <w:rPr>
          <w:rFonts w:hint="eastAsia" w:ascii="仿宋" w:hAnsi="仿宋" w:eastAsia="仿宋" w:cs="仿宋"/>
          <w:color w:val="auto"/>
          <w:sz w:val="32"/>
          <w:szCs w:val="32"/>
          <w:highlight w:val="none"/>
        </w:rPr>
        <w:t>辆，全年运行费支出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p>
    <w:p>
      <w:pPr>
        <w:numPr>
          <w:numId w:val="0"/>
        </w:num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w:t>
      </w:r>
      <w:r>
        <w:rPr>
          <w:rFonts w:hint="eastAsia" w:ascii="仿宋" w:hAnsi="仿宋" w:eastAsia="仿宋" w:cs="仿宋"/>
          <w:color w:val="auto"/>
          <w:sz w:val="32"/>
          <w:szCs w:val="32"/>
          <w:highlight w:val="none"/>
        </w:rPr>
        <w:t>元，</w:t>
      </w:r>
      <w:r>
        <w:rPr>
          <w:rFonts w:hint="eastAsia" w:ascii="仿宋" w:hAnsi="仿宋" w:eastAsia="仿宋" w:cs="仿宋"/>
          <w:color w:val="auto"/>
          <w:kern w:val="2"/>
          <w:sz w:val="32"/>
          <w:szCs w:val="32"/>
          <w:highlight w:val="none"/>
          <w:lang w:val="en-US" w:eastAsia="zh-CN" w:bidi="ar"/>
        </w:rPr>
        <w:t>主要原因是：无</w:t>
      </w:r>
      <w:r>
        <w:rPr>
          <w:rFonts w:hint="eastAsia" w:ascii="仿宋" w:hAnsi="仿宋" w:eastAsia="仿宋" w:cs="仿宋"/>
          <w:color w:val="auto"/>
          <w:sz w:val="32"/>
          <w:szCs w:val="32"/>
          <w:highlight w:val="none"/>
        </w:rPr>
        <w:t>公务接待费支出</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七、其他重要事项情况说明</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 机关运行经费支出情况说明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本部门2022年度机关运行经费支出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万元，比年初预算数</w:t>
      </w:r>
      <w:r>
        <w:rPr>
          <w:rFonts w:ascii="仿宋" w:hAnsi="仿宋" w:eastAsia="仿宋" w:cs="仿宋"/>
          <w:color w:val="auto"/>
          <w:sz w:val="32"/>
          <w:szCs w:val="32"/>
          <w:highlight w:val="none"/>
        </w:rPr>
        <w:t>减少</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下降</w:t>
      </w:r>
      <w:r>
        <w:rPr>
          <w:rFonts w:hint="eastAsia" w:ascii="仿宋" w:hAnsi="仿宋" w:eastAsia="仿宋" w:cs="仿宋"/>
          <w:color w:val="auto"/>
          <w:sz w:val="32"/>
          <w:szCs w:val="32"/>
          <w:highlight w:val="none"/>
          <w:lang w:val="en-US" w:eastAsia="zh-CN"/>
        </w:rPr>
        <w:t>0.00</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，比上年决算数</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增长0%</w:t>
      </w:r>
      <w:r>
        <w:rPr>
          <w:rFonts w:hint="eastAsia" w:ascii="仿宋" w:hAnsi="仿宋" w:eastAsia="仿宋" w:cs="仿宋"/>
          <w:color w:val="auto"/>
          <w:sz w:val="32"/>
          <w:szCs w:val="32"/>
          <w:highlight w:val="none"/>
        </w:rPr>
        <w:t>。原因是：主要原因是：本部门</w:t>
      </w:r>
      <w:r>
        <w:rPr>
          <w:rFonts w:hint="eastAsia" w:ascii="仿宋" w:hAnsi="仿宋" w:eastAsia="仿宋" w:cs="仿宋"/>
          <w:color w:val="auto"/>
          <w:sz w:val="32"/>
          <w:szCs w:val="32"/>
          <w:highlight w:val="none"/>
          <w:lang w:val="en-US" w:eastAsia="zh-CN"/>
        </w:rPr>
        <w:t>无</w:t>
      </w:r>
      <w:bookmarkStart w:id="6" w:name="_GoBack"/>
      <w:bookmarkEnd w:id="6"/>
      <w:r>
        <w:rPr>
          <w:rFonts w:hint="eastAsia" w:ascii="仿宋" w:hAnsi="仿宋" w:eastAsia="仿宋" w:cs="仿宋"/>
          <w:color w:val="auto"/>
          <w:sz w:val="32"/>
          <w:szCs w:val="32"/>
          <w:highlight w:val="none"/>
        </w:rPr>
        <w:t>机关运行经费支出。</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（二）政府采购支出情况说明</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本部门2022年度政府采购支出总额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万元，其中：政府采购货物支出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万元、政府采购工程支出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万元、政府采购服务支出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万元。授予中小企业合同金额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万元，占政府采购支出总额的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，其中：授予小微企业合同金额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万元，占授予中小企业合同金额的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（三）国有资产占用情况说明</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截至2022年12月31日，本部门共有车辆</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辆，其中：副部（省）级领导干部用车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辆、机要通信用车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辆、应急保障用车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辆、执法执勤用车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辆、特种专业技术用车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辆、其他用车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辆；单位价值50万元以上通用设备</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台（套）；单位价值</w:t>
      </w:r>
      <w:r>
        <w:rPr>
          <w:rFonts w:hint="eastAsia" w:ascii="仿宋" w:hAnsi="仿宋" w:eastAsia="仿宋" w:cs="仿宋"/>
          <w:color w:val="auto"/>
          <w:sz w:val="32"/>
          <w:szCs w:val="32"/>
          <w:highlight w:val="none"/>
          <w:lang w:val="en-US" w:eastAsia="zh-CN"/>
        </w:rPr>
        <w:t>100万</w:t>
      </w:r>
      <w:r>
        <w:rPr>
          <w:rFonts w:hint="eastAsia" w:ascii="仿宋" w:hAnsi="仿宋" w:eastAsia="仿宋" w:cs="仿宋"/>
          <w:color w:val="auto"/>
          <w:sz w:val="32"/>
          <w:szCs w:val="32"/>
          <w:highlight w:val="none"/>
        </w:rPr>
        <w:t>元以上专用设备台（套）。</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（四）预算绩效管理工作开展情况</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1.绩效管理工作开展情况。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本部门组织对</w:t>
      </w:r>
      <w:r>
        <w:rPr>
          <w:rFonts w:hint="eastAsia" w:ascii="仿宋" w:hAnsi="仿宋" w:eastAsia="仿宋" w:cs="仿宋"/>
          <w:color w:val="auto"/>
          <w:sz w:val="32"/>
          <w:szCs w:val="32"/>
          <w:lang w:eastAsia="zh-CN"/>
        </w:rPr>
        <w:t>2022年</w:t>
      </w:r>
      <w:r>
        <w:rPr>
          <w:rFonts w:hint="eastAsia" w:ascii="仿宋" w:hAnsi="仿宋" w:eastAsia="仿宋" w:cs="仿宋"/>
          <w:color w:val="auto"/>
          <w:sz w:val="32"/>
          <w:szCs w:val="32"/>
        </w:rPr>
        <w:t>度一般公共预算项目支出全面开展绩效自评。其中，一</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个，二</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个，共涉及资金</w:t>
      </w:r>
      <w:r>
        <w:rPr>
          <w:rFonts w:hint="eastAsia" w:ascii="仿宋" w:hAnsi="仿宋" w:eastAsia="仿宋" w:cs="仿宋"/>
          <w:color w:val="auto"/>
          <w:sz w:val="32"/>
          <w:szCs w:val="32"/>
          <w:lang w:val="en-US" w:eastAsia="zh-CN"/>
        </w:rPr>
        <w:t>246.90</w:t>
      </w:r>
      <w:r>
        <w:rPr>
          <w:rFonts w:hint="eastAsia" w:ascii="仿宋" w:hAnsi="仿宋" w:eastAsia="仿宋" w:cs="仿宋"/>
          <w:color w:val="auto"/>
          <w:sz w:val="32"/>
          <w:szCs w:val="32"/>
        </w:rPr>
        <w:t>万元，占一般公共预算项目支出总额的</w:t>
      </w:r>
      <w:r>
        <w:rPr>
          <w:rFonts w:hint="eastAsia" w:ascii="仿宋" w:hAnsi="仿宋" w:eastAsia="仿宋" w:cs="仿宋"/>
          <w:color w:val="auto"/>
          <w:sz w:val="32"/>
          <w:szCs w:val="32"/>
          <w:lang w:val="en-US" w:eastAsia="zh-CN"/>
        </w:rPr>
        <w:t>19.58</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2.部门决算中项目绩效自评结果</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rPr>
        <w:t>根我部门根据年初设定的绩效目标，</w:t>
      </w:r>
      <w:r>
        <w:rPr>
          <w:rFonts w:hint="eastAsia" w:ascii="仿宋" w:hAnsi="仿宋" w:eastAsia="仿宋" w:cs="仿宋"/>
          <w:color w:val="auto"/>
          <w:sz w:val="32"/>
          <w:szCs w:val="32"/>
          <w:lang w:val="en-US" w:eastAsia="zh-CN"/>
        </w:rPr>
        <w:t>我校对13个项目进行</w:t>
      </w:r>
      <w:r>
        <w:rPr>
          <w:rFonts w:hint="eastAsia" w:ascii="仿宋" w:hAnsi="仿宋" w:eastAsia="仿宋" w:cs="仿宋"/>
          <w:b w:val="0"/>
          <w:bCs/>
          <w:color w:val="auto"/>
          <w:sz w:val="32"/>
          <w:szCs w:val="32"/>
        </w:rPr>
        <w:t>自评</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eastAsia="zh-CN"/>
        </w:rPr>
        <w:t>人</w:t>
      </w:r>
      <w:r>
        <w:rPr>
          <w:rFonts w:hint="eastAsia" w:ascii="仿宋" w:hAnsi="仿宋" w:eastAsia="仿宋" w:cs="仿宋"/>
          <w:color w:val="auto"/>
          <w:sz w:val="32"/>
          <w:szCs w:val="32"/>
          <w:lang w:val="en-US" w:eastAsia="zh-CN"/>
        </w:rPr>
        <w:t>8个，90.04分1个，97.36分1个，99.98分1个，85.5分1个，93.28分1个，</w:t>
      </w:r>
      <w:r>
        <w:rPr>
          <w:rFonts w:hint="eastAsia" w:ascii="仿宋" w:hAnsi="仿宋" w:eastAsia="仿宋" w:cs="仿宋"/>
          <w:color w:val="auto"/>
          <w:sz w:val="32"/>
          <w:szCs w:val="32"/>
        </w:rPr>
        <w:t>发现的主要问题及原因一是我单位未能制定相关管理制度，在项目实施方面还有待完善；二是学校报账材料整理比较慢，不能及时支付。下一步改进措施：一是</w:t>
      </w:r>
      <w:r>
        <w:rPr>
          <w:rFonts w:hint="eastAsia" w:ascii="仿宋" w:hAnsi="仿宋" w:eastAsia="仿宋" w:cs="仿宋"/>
          <w:color w:val="auto"/>
          <w:sz w:val="32"/>
          <w:szCs w:val="32"/>
          <w:lang w:val="en-US" w:eastAsia="zh-CN"/>
        </w:rPr>
        <w:t>组织制定完善相关</w:t>
      </w:r>
      <w:r>
        <w:rPr>
          <w:rFonts w:hint="eastAsia" w:ascii="仿宋" w:hAnsi="仿宋" w:eastAsia="仿宋" w:cs="仿宋"/>
          <w:color w:val="auto"/>
          <w:sz w:val="32"/>
          <w:szCs w:val="32"/>
        </w:rPr>
        <w:t>管理制度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完善项目实施</w:t>
      </w:r>
      <w:r>
        <w:rPr>
          <w:rFonts w:hint="eastAsia" w:ascii="仿宋" w:hAnsi="仿宋" w:eastAsia="仿宋" w:cs="仿宋"/>
          <w:color w:val="auto"/>
          <w:sz w:val="32"/>
          <w:szCs w:val="32"/>
          <w:lang w:val="en-US" w:eastAsia="zh-CN"/>
        </w:rPr>
        <w:t>方案</w:t>
      </w:r>
      <w:r>
        <w:rPr>
          <w:rFonts w:hint="eastAsia" w:ascii="仿宋" w:hAnsi="仿宋" w:eastAsia="仿宋" w:cs="仿宋"/>
          <w:color w:val="auto"/>
          <w:sz w:val="32"/>
          <w:szCs w:val="32"/>
        </w:rPr>
        <w:t>；二是</w:t>
      </w:r>
      <w:r>
        <w:rPr>
          <w:rFonts w:hint="eastAsia" w:ascii="仿宋" w:hAnsi="仿宋" w:eastAsia="仿宋" w:cs="仿宋"/>
          <w:color w:val="auto"/>
          <w:sz w:val="32"/>
          <w:szCs w:val="32"/>
          <w:lang w:val="en-US" w:eastAsia="zh-CN"/>
        </w:rPr>
        <w:t>项目完成后，及时收集</w:t>
      </w:r>
      <w:r>
        <w:rPr>
          <w:rFonts w:hint="eastAsia" w:ascii="仿宋" w:hAnsi="仿宋" w:eastAsia="仿宋" w:cs="仿宋"/>
          <w:color w:val="auto"/>
          <w:sz w:val="32"/>
          <w:szCs w:val="32"/>
        </w:rPr>
        <w:t>报账材料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及时支付</w:t>
      </w:r>
      <w:r>
        <w:rPr>
          <w:rFonts w:hint="eastAsia" w:ascii="仿宋" w:hAnsi="仿宋" w:eastAsia="仿宋" w:cs="仿宋"/>
          <w:color w:val="auto"/>
          <w:sz w:val="32"/>
          <w:szCs w:val="32"/>
        </w:rPr>
        <w:t>。</w:t>
      </w:r>
    </w:p>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第四部分  名词解释</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一、财政拨款收入：指</w:t>
      </w:r>
      <w:r>
        <w:rPr>
          <w:rFonts w:ascii="仿宋" w:hAnsi="仿宋" w:eastAsia="仿宋" w:cs="仿宋"/>
          <w:color w:val="auto"/>
          <w:sz w:val="32"/>
          <w:u w:color="auto"/>
        </w:rPr>
        <w:t>环江毛南族自治县财政部门当年拨付的资金。</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二、事业收入：指事业单位开展专业业务活动及辅助活动所取得的收入。</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四、其他收入：指除上述“财政拨款收入”“事业收入”“经营收入”等以外的收入。</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六、年初结转和结余：指以前年度尚未完成、结转到本年 按有关规定继续使用的资金</w:t>
      </w:r>
      <w:r>
        <w:rPr>
          <w:rFonts w:hint="eastAsia" w:ascii="仿宋" w:hAnsi="仿宋" w:eastAsia="仿宋" w:cs="仿宋"/>
          <w:color w:val="auto"/>
          <w:sz w:val="32"/>
          <w:szCs w:val="32"/>
          <w:highlight w:val="none"/>
          <w:lang w:eastAsia="zh-CN"/>
        </w:rPr>
        <w:t>。</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十二、“三公”经费：纳入</w:t>
      </w:r>
      <w:r>
        <w:rPr>
          <w:rFonts w:ascii="仿宋" w:hAnsi="仿宋" w:eastAsia="仿宋" w:cs="仿宋"/>
          <w:color w:val="auto"/>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7E62C863"/>
    <w:multiLevelType w:val="singleLevel"/>
    <w:tmpl w:val="7E62C863"/>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2ODk2MDMzZmI1YjU3MzA1OTA2OTFmMmY2YjQ2ZDU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E54546"/>
    <w:rsid w:val="05992762"/>
    <w:rsid w:val="07B0770E"/>
    <w:rsid w:val="0942143F"/>
    <w:rsid w:val="0BAD52A0"/>
    <w:rsid w:val="0C2D4CDB"/>
    <w:rsid w:val="0C566CDA"/>
    <w:rsid w:val="0D100297"/>
    <w:rsid w:val="0D202B45"/>
    <w:rsid w:val="0F8D4C87"/>
    <w:rsid w:val="10505FAA"/>
    <w:rsid w:val="105F7E7E"/>
    <w:rsid w:val="11E56B5B"/>
    <w:rsid w:val="125C77AB"/>
    <w:rsid w:val="14CB726E"/>
    <w:rsid w:val="17E92249"/>
    <w:rsid w:val="18D304F1"/>
    <w:rsid w:val="19F32577"/>
    <w:rsid w:val="19F45B80"/>
    <w:rsid w:val="1B0C078D"/>
    <w:rsid w:val="1B2B31E2"/>
    <w:rsid w:val="1B4C295A"/>
    <w:rsid w:val="1B973C63"/>
    <w:rsid w:val="1BA1001E"/>
    <w:rsid w:val="1D317259"/>
    <w:rsid w:val="1E664F5B"/>
    <w:rsid w:val="1EB34BE1"/>
    <w:rsid w:val="215E639F"/>
    <w:rsid w:val="21EC3183"/>
    <w:rsid w:val="225E72CD"/>
    <w:rsid w:val="246E2F77"/>
    <w:rsid w:val="254B4E2B"/>
    <w:rsid w:val="25A20D5C"/>
    <w:rsid w:val="283D7C94"/>
    <w:rsid w:val="29480E03"/>
    <w:rsid w:val="2983634D"/>
    <w:rsid w:val="2BB02055"/>
    <w:rsid w:val="2C575A56"/>
    <w:rsid w:val="2F257714"/>
    <w:rsid w:val="2F3275E5"/>
    <w:rsid w:val="30AA08EF"/>
    <w:rsid w:val="30D23D1C"/>
    <w:rsid w:val="31221CF5"/>
    <w:rsid w:val="31400178"/>
    <w:rsid w:val="321E3342"/>
    <w:rsid w:val="327759C8"/>
    <w:rsid w:val="33185FE3"/>
    <w:rsid w:val="33901108"/>
    <w:rsid w:val="34EE2E36"/>
    <w:rsid w:val="36777241"/>
    <w:rsid w:val="371E78D5"/>
    <w:rsid w:val="38A951DB"/>
    <w:rsid w:val="38B31605"/>
    <w:rsid w:val="39003F4F"/>
    <w:rsid w:val="3C07002B"/>
    <w:rsid w:val="3D0D152A"/>
    <w:rsid w:val="3DF62756"/>
    <w:rsid w:val="3F1B7587"/>
    <w:rsid w:val="41E57B4F"/>
    <w:rsid w:val="432F26F6"/>
    <w:rsid w:val="43880F63"/>
    <w:rsid w:val="441C5A6F"/>
    <w:rsid w:val="44C44FCC"/>
    <w:rsid w:val="44CC7369"/>
    <w:rsid w:val="457F5108"/>
    <w:rsid w:val="46951B6B"/>
    <w:rsid w:val="49A34401"/>
    <w:rsid w:val="4A3E30AB"/>
    <w:rsid w:val="4AC14DAC"/>
    <w:rsid w:val="4C5C7A0A"/>
    <w:rsid w:val="4D091D49"/>
    <w:rsid w:val="4D154C85"/>
    <w:rsid w:val="4EB35ECE"/>
    <w:rsid w:val="508F4E24"/>
    <w:rsid w:val="51461E90"/>
    <w:rsid w:val="51463753"/>
    <w:rsid w:val="52553A93"/>
    <w:rsid w:val="53521F8B"/>
    <w:rsid w:val="53E22F47"/>
    <w:rsid w:val="54522FF8"/>
    <w:rsid w:val="55450629"/>
    <w:rsid w:val="56692963"/>
    <w:rsid w:val="568B0F48"/>
    <w:rsid w:val="5786217B"/>
    <w:rsid w:val="59337A15"/>
    <w:rsid w:val="59810274"/>
    <w:rsid w:val="5CA45D13"/>
    <w:rsid w:val="5CA96A00"/>
    <w:rsid w:val="5CF730BC"/>
    <w:rsid w:val="5E5F0DCE"/>
    <w:rsid w:val="5FA40A7B"/>
    <w:rsid w:val="5FD56D29"/>
    <w:rsid w:val="5FEC7F3F"/>
    <w:rsid w:val="60F74BC3"/>
    <w:rsid w:val="617D3BF8"/>
    <w:rsid w:val="61841F6A"/>
    <w:rsid w:val="623007A9"/>
    <w:rsid w:val="637D7558"/>
    <w:rsid w:val="644F19AC"/>
    <w:rsid w:val="65AA4920"/>
    <w:rsid w:val="65E31D0B"/>
    <w:rsid w:val="67694F1E"/>
    <w:rsid w:val="69597934"/>
    <w:rsid w:val="6B964DDC"/>
    <w:rsid w:val="6C783074"/>
    <w:rsid w:val="6D9E65C6"/>
    <w:rsid w:val="6DA81947"/>
    <w:rsid w:val="6EB66DE2"/>
    <w:rsid w:val="6ED3075F"/>
    <w:rsid w:val="6F2A2D4B"/>
    <w:rsid w:val="6F8A0C1E"/>
    <w:rsid w:val="703F45D4"/>
    <w:rsid w:val="715D6546"/>
    <w:rsid w:val="71BE069E"/>
    <w:rsid w:val="73953409"/>
    <w:rsid w:val="73E069A3"/>
    <w:rsid w:val="78104AA8"/>
    <w:rsid w:val="78E257C5"/>
    <w:rsid w:val="794B35BE"/>
    <w:rsid w:val="79FFE8BC"/>
    <w:rsid w:val="7B0A3A31"/>
    <w:rsid w:val="7B3360ED"/>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2.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0.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1585.48</c:v>
                </c:pt>
                <c:pt idx="1">
                  <c:v>1.27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14.12</c:v>
                </c:pt>
                <c:pt idx="4">
                  <c:v>337.13</c:v>
                </c:pt>
                <c:pt idx="5">
                  <c:v>0</c:v>
                </c:pt>
                <c:pt idx="6">
                  <c:v>0</c:v>
                </c:pt>
                <c:pt idx="7">
                  <c:v>0</c:v>
                </c:pt>
                <c:pt idx="8">
                  <c:v>0</c:v>
                </c:pt>
                <c:pt idx="9">
                  <c:v>0</c:v>
                </c:pt>
                <c:pt idx="10">
                  <c:v>0</c:v>
                </c:pt>
                <c:pt idx="11">
                  <c:v>0.01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2.5</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0</c:v>
                </c:pt>
                <c:pt idx="1">
                  <c:v>1489.65</c:v>
                </c:pt>
                <c:pt idx="2">
                  <c:v>259.09</c:v>
                </c:pt>
                <c:pt idx="3">
                  <c:v>65.29</c:v>
                </c:pt>
                <c:pt idx="4">
                  <c:v>337.39</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17.13</c:v>
                </c:pt>
                <c:pt idx="1">
                  <c:v>1161.74</c:v>
                </c:pt>
                <c:pt idx="2">
                  <c:v>118.83</c:v>
                </c:pt>
                <c:pt idx="3">
                  <c:v>89.81</c:v>
                </c:pt>
                <c:pt idx="4">
                  <c:v>199.24</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17.13</c:v>
                </c:pt>
                <c:pt idx="1">
                  <c:v>17.13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2050202</c:v>
                </c:pt>
                <c:pt idx="1">
                  <c:v>2050299</c:v>
                </c:pt>
                <c:pt idx="2">
                  <c:v>2050999</c:v>
                </c:pt>
                <c:pt idx="3">
                  <c:v>205x</c:v>
                </c:pt>
              </c:strCache>
            </c:strRef>
          </c:cat>
          <c:val>
            <c:numRef>
              <c:f>Sheet1!$B$2:$B$5</c:f>
              <c:numCache>
                <c:formatCode>General</c:formatCode>
                <c:ptCount val="4"/>
                <c:pt idx="0">
                  <c:v>1155.5</c:v>
                </c:pt>
                <c:pt idx="1">
                  <c:v>6.06</c:v>
                </c:pt>
                <c:pt idx="2">
                  <c:v>0.18</c:v>
                </c:pt>
                <c:pt idx="3">
                  <c:v>1161.74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118.83</c:v>
                </c:pt>
                <c:pt idx="1">
                  <c:v>118.83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89.81</c:v>
                </c:pt>
                <c:pt idx="1">
                  <c:v>89.81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197.97</c:v>
                </c:pt>
                <c:pt idx="1">
                  <c:v>197.97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261.88</c:v>
                </c:pt>
                <c:pt idx="1">
                  <c:v>73.88</c:v>
                </c:pt>
                <c:pt idx="2">
                  <c:v>94.85</c:v>
                </c:pt>
                <c:pt idx="3">
                  <c:v>0</c:v>
                </c:pt>
                <c:pt idx="4">
                  <c:v>186.11</c:v>
                </c:pt>
                <c:pt idx="5">
                  <c:v>118.83</c:v>
                </c:pt>
                <c:pt idx="6">
                  <c:v>0</c:v>
                </c:pt>
                <c:pt idx="7">
                  <c:v>57.83</c:v>
                </c:pt>
                <c:pt idx="8">
                  <c:v>0</c:v>
                </c:pt>
                <c:pt idx="9">
                  <c:v>5.93</c:v>
                </c:pt>
                <c:pt idx="10">
                  <c:v>89.81</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4.17</c:v>
                </c:pt>
                <c:pt idx="1">
                  <c:v>0</c:v>
                </c:pt>
                <c:pt idx="2">
                  <c:v>0</c:v>
                </c:pt>
                <c:pt idx="3">
                  <c:v>0</c:v>
                </c:pt>
                <c:pt idx="4">
                  <c:v>0</c:v>
                </c:pt>
                <c:pt idx="5">
                  <c:v>0.3</c:v>
                </c:pt>
                <c:pt idx="6">
                  <c:v>0</c:v>
                </c:pt>
                <c:pt idx="7">
                  <c:v>0</c:v>
                </c:pt>
                <c:pt idx="8">
                  <c:v>0</c:v>
                </c:pt>
                <c:pt idx="9">
                  <c:v>8.76</c:v>
                </c:pt>
                <c:pt idx="10">
                  <c:v>0</c:v>
                </c:pt>
                <c:pt idx="11">
                  <c:v>3.55</c:v>
                </c:pt>
                <c:pt idx="12">
                  <c:v>0</c:v>
                </c:pt>
                <c:pt idx="13">
                  <c:v>0</c:v>
                </c:pt>
                <c:pt idx="14">
                  <c:v>0</c:v>
                </c:pt>
                <c:pt idx="15">
                  <c:v>0</c:v>
                </c:pt>
                <c:pt idx="16">
                  <c:v>0</c:v>
                </c:pt>
                <c:pt idx="17">
                  <c:v>0</c:v>
                </c:pt>
                <c:pt idx="18">
                  <c:v>0</c:v>
                </c:pt>
                <c:pt idx="19">
                  <c:v>0</c:v>
                </c:pt>
                <c:pt idx="20">
                  <c:v>0</c:v>
                </c:pt>
                <c:pt idx="21">
                  <c:v>17.13</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6615</Words>
  <Characters>13844</Characters>
  <Lines>90</Lines>
  <Paragraphs>25</Paragraphs>
  <TotalTime>0</TotalTime>
  <ScaleCrop>false</ScaleCrop>
  <LinksUpToDate>false</LinksUpToDate>
  <CharactersWithSpaces>13937</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2023-08-17T10:06:00Z</dcterms:created>
  <dc:creator>C D D</dc:creator>
  <cp:lastModifiedBy>Administrator</cp:lastModifiedBy>
  <dcterms:modified xsi:type="dcterms:W3CDTF">2023-11-29T01:26:48Z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ies>
</file>