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环江毛南族自治县下南乡中心幼儿园2022年度部门决算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ind w:firstLine="1928" w:firstLineChars="400"/>
        <w:jc w:val="left"/>
        <w:rPr>
          <w:rFonts w:hint="eastAsia" w:ascii="黑体" w:hAnsi="黑体" w:eastAsia="黑体" w:cs="黑体"/>
          <w:b/>
          <w:bCs/>
          <w:sz w:val="48"/>
          <w:szCs w:val="48"/>
          <w:highlight w:val="none"/>
          <w:lang w:val="en-US" w:eastAsia="zh-CN"/>
        </w:rPr>
      </w:pPr>
      <w:r>
        <w:rPr>
          <w:rFonts w:hint="eastAsia" w:ascii="黑体" w:hAnsi="黑体" w:eastAsia="黑体" w:cs="黑体"/>
          <w:b/>
          <w:bCs/>
          <w:sz w:val="48"/>
          <w:szCs w:val="48"/>
          <w:highlight w:val="none"/>
          <w:lang w:val="en-US" w:eastAsia="zh-CN"/>
        </w:rPr>
        <w:t>单位负责人：谭壮宇</w:t>
      </w:r>
    </w:p>
    <w:p>
      <w:pPr>
        <w:jc w:val="left"/>
        <w:rPr>
          <w:rFonts w:ascii="仿宋" w:hAnsi="仿宋" w:eastAsia="仿宋" w:cs="仿宋"/>
          <w:sz w:val="32"/>
          <w:szCs w:val="32"/>
          <w:highlight w:val="none"/>
        </w:rPr>
      </w:pPr>
    </w:p>
    <w:p>
      <w:pPr>
        <w:jc w:val="center"/>
        <w:rPr>
          <w:rFonts w:hint="default"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环江毛南族自治县下南乡中心幼儿园</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（一）贯彻执行党和国家的教育方针、政策和法律法规；拟订全县教育改革与发展规划并组织实施。</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（二）编制本园教育事业发展规划并检查实施情况，向上级教育部门作出报告。</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（三）督促检查全乡幼儿园贯彻执行教育方针、政策、法令、法规和上级的各项规定。</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（四）按照中央关于全面推进素质教育要求。</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（五）检查指导学校教育教学设备的装备、管理和使用工作。</w:t>
      </w:r>
    </w:p>
    <w:p>
      <w:pPr>
        <w:snapToGrid/>
        <w:spacing w:before="0" w:beforeAutospacing="0" w:after="0" w:afterAutospacing="0" w:line="520" w:lineRule="exact"/>
        <w:ind w:firstLine="960" w:firstLineChars="3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（九）检查指导全乡</w:t>
      </w:r>
      <w:r>
        <w:rPr>
          <w:rStyle w:val="12"/>
          <w:rFonts w:hint="eastAsia" w:ascii="仿宋_GB2312" w:eastAsia="仿宋_GB2312"/>
          <w:b w:val="0"/>
          <w:i w:val="0"/>
          <w:caps w:val="0"/>
          <w:spacing w:val="0"/>
          <w:w w:val="100"/>
          <w:kern w:val="0"/>
          <w:sz w:val="32"/>
          <w:szCs w:val="32"/>
          <w:lang w:val="en-US" w:eastAsia="zh-CN" w:bidi="ar-SA"/>
        </w:rPr>
        <w:t>幼儿园</w:t>
      </w:r>
      <w:r>
        <w:rPr>
          <w:rStyle w:val="12"/>
          <w:rFonts w:ascii="仿宋_GB2312" w:eastAsia="仿宋_GB2312"/>
          <w:b w:val="0"/>
          <w:i w:val="0"/>
          <w:caps w:val="0"/>
          <w:spacing w:val="0"/>
          <w:w w:val="100"/>
          <w:kern w:val="0"/>
          <w:sz w:val="32"/>
          <w:szCs w:val="32"/>
          <w:lang w:val="en-US" w:eastAsia="zh-CN" w:bidi="ar-SA"/>
        </w:rPr>
        <w:t>开展电化教育和信息化教学工作。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（六）负责全乡教师初级专业技术职务资格的评审，中、高级专业技术职务资格的申报工作。按照管理权限对教师进行考核、聘任、奖惩、晋升等工作。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（七）负责监督审计全乡幼儿园教育经费管理与使用工作。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（八）负责全乡幼儿园教学教育常规管理评估工作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（九）指导全乡幼儿园的教育督导工作，组织和指导对中等及中等以下教育，扫除青壮年文盲工作的督导检查和评估工作，指导基础教育发展水平、质量的监测工作。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（十）负责指导</w:t>
      </w:r>
      <w:r>
        <w:rPr>
          <w:rStyle w:val="12"/>
          <w:rFonts w:hint="eastAsia" w:ascii="仿宋_GB2312" w:eastAsia="仿宋_GB2312"/>
          <w:b w:val="0"/>
          <w:i w:val="0"/>
          <w:caps w:val="0"/>
          <w:spacing w:val="0"/>
          <w:w w:val="100"/>
          <w:kern w:val="0"/>
          <w:sz w:val="32"/>
          <w:szCs w:val="32"/>
          <w:lang w:val="en-US" w:eastAsia="zh-CN" w:bidi="ar-SA"/>
        </w:rPr>
        <w:t>中心园幼儿</w:t>
      </w:r>
      <w:r>
        <w:rPr>
          <w:rStyle w:val="12"/>
          <w:rFonts w:ascii="仿宋_GB2312" w:eastAsia="仿宋_GB2312"/>
          <w:b w:val="0"/>
          <w:i w:val="0"/>
          <w:caps w:val="0"/>
          <w:spacing w:val="0"/>
          <w:w w:val="100"/>
          <w:kern w:val="0"/>
          <w:sz w:val="32"/>
          <w:szCs w:val="32"/>
          <w:lang w:val="en-US" w:eastAsia="zh-CN" w:bidi="ar-SA"/>
        </w:rPr>
        <w:t>资助管理工作。</w:t>
      </w:r>
    </w:p>
    <w:p>
      <w:pPr>
        <w:snapToGrid/>
        <w:spacing w:before="0" w:beforeAutospacing="0" w:after="0" w:afterAutospacing="0" w:line="520" w:lineRule="exact"/>
        <w:ind w:firstLine="640" w:firstLineChars="200"/>
        <w:jc w:val="left"/>
        <w:textAlignment w:val="baseline"/>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（十一）负责语言文字和指导推广普通话工作。</w:t>
      </w:r>
    </w:p>
    <w:p>
      <w:pPr>
        <w:jc w:val="left"/>
        <w:rPr>
          <w:rStyle w:val="12"/>
          <w:rFonts w:ascii="仿宋_GB2312" w:eastAsia="仿宋_GB2312"/>
          <w:b w:val="0"/>
          <w:i w:val="0"/>
          <w:caps w:val="0"/>
          <w:spacing w:val="0"/>
          <w:w w:val="100"/>
          <w:kern w:val="0"/>
          <w:sz w:val="32"/>
          <w:szCs w:val="32"/>
          <w:lang w:val="en-US" w:eastAsia="zh-CN" w:bidi="ar-SA"/>
        </w:rPr>
      </w:pPr>
      <w:r>
        <w:rPr>
          <w:rStyle w:val="12"/>
          <w:rFonts w:ascii="仿宋_GB2312" w:eastAsia="仿宋_GB2312"/>
          <w:b w:val="0"/>
          <w:i w:val="0"/>
          <w:caps w:val="0"/>
          <w:spacing w:val="0"/>
          <w:w w:val="100"/>
          <w:kern w:val="0"/>
          <w:sz w:val="32"/>
          <w:szCs w:val="32"/>
          <w:lang w:val="en-US" w:eastAsia="zh-CN" w:bidi="ar-SA"/>
        </w:rPr>
        <w:t>  （十二）完成自治县教育局交办的其他工作。</w:t>
      </w:r>
    </w:p>
    <w:p>
      <w:pPr>
        <w:ind w:firstLine="640" w:firstLineChars="200"/>
        <w:jc w:val="left"/>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二、部门决算单位构成</w:t>
      </w:r>
    </w:p>
    <w:p>
      <w:pPr>
        <w:snapToGrid/>
        <w:spacing w:before="0" w:beforeAutospacing="0" w:after="0" w:afterAutospacing="0" w:line="460" w:lineRule="exact"/>
        <w:ind w:firstLine="543" w:firstLineChars="193"/>
        <w:jc w:val="both"/>
        <w:textAlignment w:val="baseline"/>
        <w:outlineLvl w:val="2"/>
        <w:rPr>
          <w:rStyle w:val="12"/>
          <w:rFonts w:ascii="宋体" w:hAnsi="宋体" w:cs="宋体"/>
          <w:b/>
          <w:bCs/>
          <w:i w:val="0"/>
          <w:caps w:val="0"/>
          <w:color w:val="333333"/>
          <w:spacing w:val="0"/>
          <w:w w:val="100"/>
          <w:kern w:val="2"/>
          <w:sz w:val="28"/>
          <w:szCs w:val="28"/>
          <w:lang w:val="en-US" w:eastAsia="zh-CN" w:bidi="ar-SA"/>
        </w:rPr>
      </w:pPr>
      <w:r>
        <w:rPr>
          <w:rStyle w:val="12"/>
          <w:rFonts w:ascii="宋体" w:hAnsi="宋体" w:cs="宋体"/>
          <w:b/>
          <w:bCs/>
          <w:i w:val="0"/>
          <w:caps w:val="0"/>
          <w:color w:val="333333"/>
          <w:spacing w:val="0"/>
          <w:w w:val="100"/>
          <w:kern w:val="2"/>
          <w:sz w:val="28"/>
          <w:szCs w:val="28"/>
          <w:lang w:val="en-US" w:eastAsia="zh-CN" w:bidi="ar-SA"/>
        </w:rPr>
        <w:t>（一）内设机构情况</w:t>
      </w:r>
    </w:p>
    <w:p>
      <w:pPr>
        <w:snapToGrid/>
        <w:spacing w:before="0" w:beforeAutospacing="0" w:after="0" w:afterAutospacing="0" w:line="460" w:lineRule="exact"/>
        <w:ind w:firstLine="640" w:firstLineChars="200"/>
        <w:jc w:val="both"/>
        <w:textAlignment w:val="baseline"/>
        <w:rPr>
          <w:rStyle w:val="12"/>
          <w:rFonts w:hint="default" w:ascii="仿宋_GB2312" w:eastAsia="仿宋_GB2312"/>
          <w:b w:val="0"/>
          <w:i w:val="0"/>
          <w:caps w:val="0"/>
          <w:spacing w:val="0"/>
          <w:w w:val="100"/>
          <w:kern w:val="0"/>
          <w:sz w:val="32"/>
          <w:szCs w:val="32"/>
          <w:lang w:val="en-US" w:eastAsia="zh-CN" w:bidi="ar-SA"/>
        </w:rPr>
      </w:pPr>
      <w:r>
        <w:rPr>
          <w:rStyle w:val="12"/>
          <w:rFonts w:hint="eastAsia" w:ascii="仿宋_GB2312" w:eastAsia="仿宋_GB2312"/>
          <w:b w:val="0"/>
          <w:i w:val="0"/>
          <w:caps w:val="0"/>
          <w:spacing w:val="0"/>
          <w:w w:val="100"/>
          <w:kern w:val="0"/>
          <w:sz w:val="32"/>
          <w:szCs w:val="32"/>
          <w:lang w:val="en-US" w:eastAsia="zh-CN" w:bidi="ar-SA"/>
        </w:rPr>
        <w:t>环江毛南族自治县下南乡中心幼儿园有四个内设机构，分别为：行政办公室、保教室、财务室、安全办。</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ind w:firstLine="1600" w:firstLineChars="500"/>
        <w:jc w:val="both"/>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2022年度部门决算报表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175.91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175.91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154.17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154.17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175.91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54.70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121.22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一般公共服务支出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群众团体事务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39.06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121.22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普通教育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39.06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121.22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154.17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39.06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115.12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2050299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3.60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3.60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3.60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6.43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6.43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6.43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0.48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0.48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160.27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160.27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5.12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3.60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6.43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6.43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175.91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175.91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175.91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175.91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54.70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121.22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一般公共服务支出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群众团体事务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160.27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121.22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普通教育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160.27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121.22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学前教育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154.17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39.06</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115.12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53.61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24.49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7.72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5.12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0.60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0.48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54.21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0.48</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2022</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环江毛南族自治县下南乡中心幼儿园</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环江毛南族自治县下南乡中心幼儿园</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ascii="仿宋" w:hAnsi="仿宋" w:eastAsia="仿宋" w:cs="仿宋"/>
          <w:sz w:val="32"/>
          <w:u w:color="auto"/>
        </w:rPr>
        <w:t>175.91</w:t>
      </w:r>
      <w:r>
        <w:rPr>
          <w:rFonts w:hint="eastAsia" w:ascii="仿宋" w:hAnsi="仿宋" w:eastAsia="仿宋" w:cs="仿宋"/>
          <w:sz w:val="32"/>
          <w:szCs w:val="32"/>
          <w:highlight w:val="none"/>
        </w:rPr>
        <w:t>万元，较2021年度决算数</w:t>
      </w:r>
      <w:r>
        <w:rPr>
          <w:rFonts w:ascii="仿宋" w:hAnsi="仿宋" w:eastAsia="仿宋" w:cs="仿宋"/>
          <w:sz w:val="32"/>
          <w:u w:color="auto"/>
        </w:rPr>
        <w:t>增加22.53</w:t>
      </w:r>
      <w:r>
        <w:rPr>
          <w:rFonts w:hint="eastAsia" w:ascii="仿宋" w:hAnsi="仿宋" w:eastAsia="仿宋" w:cs="仿宋"/>
          <w:sz w:val="32"/>
          <w:szCs w:val="32"/>
          <w:highlight w:val="none"/>
        </w:rPr>
        <w:t>万元，</w:t>
      </w:r>
      <w:r>
        <w:rPr>
          <w:rFonts w:ascii="仿宋" w:hAnsi="仿宋" w:eastAsia="仿宋" w:cs="仿宋"/>
          <w:sz w:val="32"/>
          <w:u w:color="auto"/>
        </w:rPr>
        <w:t>增长14.69%</w:t>
      </w:r>
      <w:r>
        <w:rPr>
          <w:rFonts w:hint="eastAsia" w:ascii="仿宋" w:hAnsi="仿宋" w:eastAsia="仿宋" w:cs="仿宋"/>
          <w:sz w:val="32"/>
          <w:szCs w:val="32"/>
          <w:highlight w:val="none"/>
        </w:rPr>
        <w:t>，其中本年收入</w:t>
      </w:r>
      <w:r>
        <w:rPr>
          <w:rFonts w:ascii="仿宋" w:hAnsi="仿宋" w:eastAsia="仿宋" w:cs="仿宋"/>
          <w:sz w:val="32"/>
          <w:u w:color="auto"/>
        </w:rPr>
        <w:t>175.91</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ascii="仿宋" w:hAnsi="仿宋" w:eastAsia="仿宋" w:cs="仿宋"/>
          <w:sz w:val="32"/>
          <w:u w:color="auto"/>
        </w:rPr>
        <w:t>175.91</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增加51.40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增长41.28%</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主要原因：2022年9月新公招新进人员8人。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6.经营收入0.00万,为事业单位在业务活动之外开展非独立核算经营活动取得的收入。较2021年度决算数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ascii="仿宋" w:hAnsi="仿宋" w:eastAsia="仿宋" w:cs="仿宋"/>
          <w:sz w:val="32"/>
          <w:u w:color="auto"/>
        </w:rPr>
        <w:t>减少28.87</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下降100.00%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主要原因：主要原因：部分项目已在本年执行完毕，不需要结转至下年继续执行。</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832985" cy="3267710"/>
            <wp:effectExtent l="4445" t="5080" r="20320" b="2286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（二）本部门2022年度总支出</w:t>
      </w:r>
      <w:r>
        <w:rPr>
          <w:rFonts w:ascii="仿宋" w:hAnsi="仿宋" w:eastAsia="仿宋" w:cs="仿宋"/>
          <w:sz w:val="32"/>
          <w:u w:color="auto"/>
        </w:rPr>
        <w:t>175.91</w:t>
      </w:r>
      <w:r>
        <w:rPr>
          <w:rFonts w:hint="eastAsia" w:ascii="仿宋" w:hAnsi="仿宋" w:eastAsia="仿宋" w:cs="仿宋"/>
          <w:sz w:val="32"/>
          <w:szCs w:val="32"/>
          <w:highlight w:val="none"/>
        </w:rPr>
        <w:t>万元，其中本年支出</w:t>
      </w:r>
      <w:r>
        <w:rPr>
          <w:rFonts w:ascii="仿宋" w:hAnsi="仿宋" w:eastAsia="仿宋" w:cs="仿宋"/>
          <w:sz w:val="32"/>
          <w:u w:color="auto"/>
        </w:rPr>
        <w:t>175.91</w:t>
      </w:r>
      <w:r>
        <w:rPr>
          <w:rFonts w:hint="eastAsia" w:ascii="仿宋" w:hAnsi="仿宋" w:eastAsia="仿宋" w:cs="仿宋"/>
          <w:sz w:val="32"/>
          <w:szCs w:val="32"/>
          <w:highlight w:val="none"/>
        </w:rPr>
        <w:t>万元，较2021年度决算数</w:t>
      </w:r>
      <w:r>
        <w:rPr>
          <w:rFonts w:ascii="仿宋" w:hAnsi="仿宋" w:eastAsia="仿宋" w:cs="仿宋"/>
          <w:sz w:val="32"/>
          <w:u w:color="auto"/>
        </w:rPr>
        <w:t>增加22.53</w:t>
      </w:r>
      <w:r>
        <w:rPr>
          <w:rFonts w:hint="eastAsia" w:ascii="仿宋" w:hAnsi="仿宋" w:eastAsia="仿宋" w:cs="仿宋"/>
          <w:sz w:val="32"/>
          <w:szCs w:val="32"/>
          <w:highlight w:val="none"/>
        </w:rPr>
        <w:t>万元，</w:t>
      </w:r>
      <w:r>
        <w:rPr>
          <w:rFonts w:ascii="仿宋" w:hAnsi="仿宋" w:eastAsia="仿宋" w:cs="仿宋"/>
          <w:sz w:val="32"/>
          <w:u w:color="auto"/>
        </w:rPr>
        <w:t>增长14.69%</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0.48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单位职工工会活动支出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增加0.48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增长100%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主要原因是：2021年度我部门工会刚成立，各项程序未完善。</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160.27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人员工资，商品服务支出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增加13.83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增长9.44%</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主要原因是：幼儿人数增多。</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5.12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单位职工基本养老保险缴费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增加1.41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增长38.01%</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主要原因是：2022年9月新公招新进人员8人及职工基本养老保险基数调整。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3.60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单位职工住房公积金缴费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增加2.04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增长130.77%</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主要原因是：2022年9月新公招新进人员8人及住房公积金基数调整。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6.43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单位职工工资福利</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bidi="ar"/>
        </w:rPr>
        <w:t>增加4.77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增长287.35%</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主要原因是：2022年9月新公招新进人员8人。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kern w:val="2"/>
          <w:sz w:val="32"/>
          <w:szCs w:val="32"/>
          <w:lang w:val="en-US" w:eastAsia="zh-CN" w:bidi="ar"/>
          <w14:textFill>
            <w14:solidFill>
              <w14:schemeClr w14:val="tx1"/>
            </w14:solidFill>
          </w14:textFill>
        </w:rPr>
        <w:t>本部门2022年度没有国结余分配资金。</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。较2021年度决算数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2"/>
          <w:sz w:val="32"/>
          <w:szCs w:val="32"/>
          <w:lang w:val="en-US" w:eastAsia="zh-CN" w:bidi="ar"/>
          <w14:textFill>
            <w14:solidFill>
              <w14:schemeClr w14:val="tx1"/>
            </w14:solidFill>
          </w14:textFill>
        </w:rPr>
        <w:t>本部门2022年度没有年末结转和结余资金。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bidi="ar"/>
        </w:rPr>
      </w:pP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671060" cy="2908300"/>
            <wp:effectExtent l="4445" t="4445" r="1079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环江毛南族自治县下南乡中心幼儿园2022年度一般公共预算财政拨款支出</w:t>
      </w:r>
      <w:r>
        <w:rPr>
          <w:rFonts w:ascii="仿宋" w:hAnsi="仿宋" w:eastAsia="仿宋" w:cs="仿宋"/>
          <w:sz w:val="32"/>
          <w:u w:color="auto"/>
        </w:rPr>
        <w:t>175.91</w:t>
      </w:r>
      <w:r>
        <w:rPr>
          <w:rFonts w:hint="eastAsia" w:ascii="仿宋" w:hAnsi="仿宋" w:eastAsia="仿宋" w:cs="仿宋"/>
          <w:sz w:val="32"/>
          <w:szCs w:val="32"/>
          <w:highlight w:val="none"/>
        </w:rPr>
        <w:t>万元，较2021年度决算数</w:t>
      </w:r>
      <w:r>
        <w:rPr>
          <w:rFonts w:ascii="仿宋" w:hAnsi="仿宋" w:eastAsia="仿宋" w:cs="仿宋"/>
          <w:sz w:val="32"/>
          <w:u w:color="auto"/>
        </w:rPr>
        <w:t>增加22.53</w:t>
      </w:r>
      <w:r>
        <w:rPr>
          <w:rFonts w:hint="eastAsia" w:ascii="仿宋" w:hAnsi="仿宋" w:eastAsia="仿宋" w:cs="仿宋"/>
          <w:sz w:val="32"/>
          <w:szCs w:val="32"/>
          <w:highlight w:val="none"/>
        </w:rPr>
        <w:t>万元，</w:t>
      </w:r>
      <w:r>
        <w:rPr>
          <w:rFonts w:ascii="仿宋" w:hAnsi="仿宋" w:eastAsia="仿宋" w:cs="仿宋"/>
          <w:sz w:val="32"/>
          <w:u w:color="auto"/>
        </w:rPr>
        <w:t>增长14.69%</w:t>
      </w:r>
      <w:r>
        <w:rPr>
          <w:rFonts w:hint="eastAsia" w:ascii="仿宋" w:hAnsi="仿宋" w:eastAsia="仿宋" w:cs="仿宋"/>
          <w:sz w:val="32"/>
          <w:szCs w:val="32"/>
          <w:highlight w:val="none"/>
        </w:rPr>
        <w:t>。其中：基本支出</w:t>
      </w:r>
      <w:r>
        <w:rPr>
          <w:rFonts w:ascii="仿宋" w:hAnsi="仿宋" w:eastAsia="仿宋" w:cs="仿宋"/>
          <w:sz w:val="32"/>
          <w:u w:color="auto"/>
        </w:rPr>
        <w:t>54.70</w:t>
      </w:r>
      <w:r>
        <w:rPr>
          <w:rFonts w:hint="eastAsia" w:ascii="仿宋" w:hAnsi="仿宋" w:eastAsia="仿宋" w:cs="仿宋"/>
          <w:sz w:val="32"/>
          <w:szCs w:val="32"/>
          <w:highlight w:val="none"/>
        </w:rPr>
        <w:t>万元，项目支出</w:t>
      </w:r>
      <w:r>
        <w:rPr>
          <w:rFonts w:ascii="仿宋" w:hAnsi="仿宋" w:eastAsia="仿宋" w:cs="仿宋"/>
          <w:sz w:val="32"/>
          <w:u w:color="auto"/>
        </w:rPr>
        <w:t>121.22</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环江毛南族自治县下南乡中心幼儿园2022 年度一般公共预算财政拨款支出年初预算为</w:t>
      </w:r>
      <w:r>
        <w:rPr>
          <w:rFonts w:ascii="仿宋" w:hAnsi="仿宋" w:eastAsia="仿宋" w:cs="仿宋"/>
          <w:sz w:val="32"/>
          <w:u w:color="auto"/>
        </w:rPr>
        <w:t>131.79</w:t>
      </w:r>
      <w:r>
        <w:rPr>
          <w:rFonts w:hint="eastAsia" w:ascii="仿宋" w:hAnsi="仿宋" w:eastAsia="仿宋" w:cs="仿宋"/>
          <w:sz w:val="32"/>
          <w:szCs w:val="32"/>
          <w:highlight w:val="none"/>
        </w:rPr>
        <w:t>万元，支出决算为</w:t>
      </w:r>
      <w:r>
        <w:rPr>
          <w:rFonts w:ascii="仿宋" w:hAnsi="仿宋" w:eastAsia="仿宋" w:cs="仿宋"/>
          <w:sz w:val="32"/>
          <w:u w:color="auto"/>
        </w:rPr>
        <w:t>175.91</w:t>
      </w:r>
      <w:r>
        <w:rPr>
          <w:rFonts w:hint="eastAsia" w:ascii="仿宋" w:hAnsi="仿宋" w:eastAsia="仿宋" w:cs="仿宋"/>
          <w:sz w:val="32"/>
          <w:szCs w:val="32"/>
          <w:highlight w:val="none"/>
        </w:rPr>
        <w:t>万元，完成年初预算的</w:t>
      </w:r>
      <w:r>
        <w:rPr>
          <w:rFonts w:ascii="仿宋" w:hAnsi="仿宋" w:eastAsia="仿宋" w:cs="仿宋"/>
          <w:sz w:val="32"/>
          <w:u w:color="auto"/>
        </w:rPr>
        <w:t>133.48%</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ascii="仿宋" w:hAnsi="仿宋" w:eastAsia="仿宋"/>
          <w:sz w:val="32"/>
          <w:szCs w:val="32"/>
          <w:highlight w:val="none"/>
        </w:rPr>
        <w:t>0.48</w:t>
      </w:r>
      <w:r>
        <w:rPr>
          <w:rFonts w:hint="eastAsia" w:ascii="仿宋" w:hAnsi="仿宋" w:eastAsia="仿宋"/>
          <w:sz w:val="32"/>
          <w:szCs w:val="32"/>
          <w:highlight w:val="none"/>
        </w:rPr>
        <w:t>万元，支出决算为</w:t>
      </w:r>
      <w:r>
        <w:rPr>
          <w:rFonts w:ascii="仿宋" w:hAnsi="仿宋" w:eastAsia="仿宋"/>
          <w:sz w:val="32"/>
          <w:szCs w:val="32"/>
          <w:highlight w:val="none"/>
        </w:rPr>
        <w:t>0.48</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原因是：无差异。</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0.48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0.48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教职工工会活动支出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无差异</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教育支出</w:t>
      </w:r>
      <w:r>
        <w:rPr>
          <w:rFonts w:ascii="仿宋" w:hAnsi="仿宋" w:eastAsia="仿宋"/>
          <w:sz w:val="32"/>
          <w:u w:color="auto"/>
        </w:rPr>
        <w:t>（205</w:t>
      </w:r>
      <w:r>
        <w:rPr>
          <w:rFonts w:hint="eastAsia" w:ascii="仿宋" w:hAnsi="仿宋" w:eastAsia="仿宋"/>
          <w:sz w:val="32"/>
          <w:szCs w:val="32"/>
          <w:highlight w:val="none"/>
        </w:rPr>
        <w:t>类）年初预算为</w:t>
      </w:r>
      <w:r>
        <w:rPr>
          <w:rFonts w:ascii="仿宋" w:hAnsi="仿宋" w:eastAsia="仿宋"/>
          <w:sz w:val="32"/>
          <w:szCs w:val="32"/>
          <w:highlight w:val="none"/>
        </w:rPr>
        <w:t>124.56</w:t>
      </w:r>
      <w:r>
        <w:rPr>
          <w:rFonts w:hint="eastAsia" w:ascii="仿宋" w:hAnsi="仿宋" w:eastAsia="仿宋"/>
          <w:sz w:val="32"/>
          <w:szCs w:val="32"/>
          <w:highlight w:val="none"/>
        </w:rPr>
        <w:t>万元，支出决算为</w:t>
      </w:r>
      <w:r>
        <w:rPr>
          <w:rFonts w:ascii="仿宋" w:hAnsi="仿宋" w:eastAsia="仿宋"/>
          <w:sz w:val="32"/>
          <w:szCs w:val="32"/>
          <w:highlight w:val="none"/>
        </w:rPr>
        <w:t>160.27</w:t>
      </w:r>
      <w:r>
        <w:rPr>
          <w:rFonts w:hint="eastAsia" w:ascii="仿宋" w:hAnsi="仿宋" w:eastAsia="仿宋"/>
          <w:sz w:val="32"/>
          <w:szCs w:val="32"/>
          <w:highlight w:val="none"/>
        </w:rPr>
        <w:t>万元，完成年初预算的</w:t>
      </w:r>
      <w:r>
        <w:rPr>
          <w:rFonts w:ascii="仿宋" w:hAnsi="仿宋" w:eastAsia="仿宋"/>
          <w:sz w:val="32"/>
          <w:szCs w:val="32"/>
          <w:highlight w:val="none"/>
        </w:rPr>
        <w:t>128.67%</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原因是：2022年9月新公招新进人员8人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154.17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123.77%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人员基本工资支出、商品和服务支出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2022年新公招8人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6.10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人员工资福利支出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2022年新公招8人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124.56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160.27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0" w:type="auto"/>
            <w:shd w:val="clear" w:color="auto" w:fill="auto"/>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0" w:type="auto"/>
            <w:shd w:val="clear" w:color="auto" w:fill="auto"/>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0" w:type="auto"/>
            <w:shd w:val="clear" w:color="auto" w:fill="auto"/>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0" w:type="auto"/>
            <w:shd w:val="clear" w:color="auto" w:fill="auto"/>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0" w:type="auto"/>
            <w:shd w:val="clear" w:color="auto" w:fill="auto"/>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c>
          <w:tcPr>
            <w:tcW w:w="0" w:type="auto"/>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559050"/>
            <wp:effectExtent l="4445" t="4445" r="16510" b="825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ascii="仿宋" w:hAnsi="仿宋" w:eastAsia="仿宋"/>
          <w:sz w:val="32"/>
          <w:szCs w:val="32"/>
          <w:highlight w:val="none"/>
        </w:rPr>
        <w:t>3.86</w:t>
      </w:r>
      <w:r>
        <w:rPr>
          <w:rFonts w:hint="eastAsia" w:ascii="仿宋" w:hAnsi="仿宋" w:eastAsia="仿宋"/>
          <w:sz w:val="32"/>
          <w:szCs w:val="32"/>
          <w:highlight w:val="none"/>
        </w:rPr>
        <w:t>万元，支出决算为</w:t>
      </w:r>
      <w:r>
        <w:rPr>
          <w:rFonts w:ascii="仿宋" w:hAnsi="仿宋" w:eastAsia="仿宋"/>
          <w:sz w:val="32"/>
          <w:szCs w:val="32"/>
          <w:highlight w:val="none"/>
        </w:rPr>
        <w:t>5.12</w:t>
      </w:r>
      <w:r>
        <w:rPr>
          <w:rFonts w:hint="eastAsia" w:ascii="仿宋" w:hAnsi="仿宋" w:eastAsia="仿宋"/>
          <w:sz w:val="32"/>
          <w:szCs w:val="32"/>
          <w:highlight w:val="none"/>
        </w:rPr>
        <w:t>万元，完成年初预算的</w:t>
      </w:r>
      <w:r>
        <w:rPr>
          <w:rFonts w:ascii="仿宋" w:hAnsi="仿宋" w:eastAsia="仿宋"/>
          <w:sz w:val="32"/>
          <w:szCs w:val="32"/>
          <w:highlight w:val="none"/>
        </w:rPr>
        <w:t>132.64%</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原因是：2022年9月新公招新进人员8人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132.64%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2022年9月新公招新进人员8人。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人员基本养老保险缴费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2022年9月新公招新进人员8人</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2767965"/>
            <wp:effectExtent l="4445" t="4445" r="16510" b="8890"/>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2.89</w:t>
      </w:r>
      <w:r>
        <w:rPr>
          <w:rFonts w:hint="eastAsia" w:ascii="仿宋" w:hAnsi="仿宋" w:eastAsia="仿宋"/>
          <w:sz w:val="32"/>
          <w:szCs w:val="32"/>
          <w:highlight w:val="none"/>
        </w:rPr>
        <w:t>万元，支出决算为</w:t>
      </w:r>
      <w:r>
        <w:rPr>
          <w:rFonts w:ascii="仿宋" w:hAnsi="仿宋" w:eastAsia="仿宋"/>
          <w:sz w:val="32"/>
          <w:szCs w:val="32"/>
          <w:highlight w:val="none"/>
        </w:rPr>
        <w:t>3.60</w:t>
      </w:r>
      <w:r>
        <w:rPr>
          <w:rFonts w:hint="eastAsia" w:ascii="仿宋" w:hAnsi="仿宋" w:eastAsia="仿宋"/>
          <w:sz w:val="32"/>
          <w:szCs w:val="32"/>
          <w:highlight w:val="none"/>
        </w:rPr>
        <w:t>万元，完成年初预算的</w:t>
      </w:r>
      <w:r>
        <w:rPr>
          <w:rFonts w:ascii="仿宋" w:hAnsi="仿宋" w:eastAsia="仿宋"/>
          <w:sz w:val="32"/>
          <w:szCs w:val="32"/>
          <w:highlight w:val="none"/>
        </w:rPr>
        <w:t>124.57%</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原因是：2022年9月新公招新进人员8人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124.57%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2022年9月新公招新进人员8人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3.60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人员住房公积金缴费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2022年新公招新进人员8人</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6.43</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原因是：2022年度本单位新增办公设备。</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办公设备购置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新增办公设备购置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办公设备购置</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lang w:val="en-US" w:eastAsia="zh-CN"/>
              </w:rPr>
              <w:t>新增办公设备购置</w:t>
            </w:r>
          </w:p>
        </w:tc>
      </w:tr>
    </w:tbl>
    <w:p>
      <w:pPr>
        <w:jc w:val="both"/>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环江毛南族自治县下南乡中心幼儿园2022年度一般公共预算财政拨款基本支出</w:t>
      </w:r>
      <w:r>
        <w:rPr>
          <w:rFonts w:ascii="仿宋" w:hAnsi="仿宋" w:eastAsia="仿宋" w:cs="仿宋"/>
          <w:sz w:val="32"/>
          <w:u w:color="auto"/>
        </w:rPr>
        <w:t>54.70</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rPr>
        <w:t>54.21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rPr>
        <w:t>0.48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ascii="仿宋" w:hAnsi="仿宋" w:eastAsia="仿宋" w:cs="仿宋"/>
          <w:sz w:val="32"/>
          <w:u w:color="auto"/>
        </w:rPr>
        <w:t>53.61万元，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171.22%</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主要原因是：2022年9月新公招新进人员8人。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24.49万元，30102津贴补贴3.89万元，30103奖金7.72万元，30107绩效工资6.17万元，30108机关事业单位基本养老保险缴费5.12万元，30110职工基本医疗保险缴费2.38万元，30112其他社会保障缴费0.24万元，30113住房公积金3.60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ascii="仿宋" w:hAnsi="仿宋" w:eastAsia="仿宋" w:cs="仿宋"/>
          <w:sz w:val="32"/>
          <w:u w:color="auto"/>
        </w:rPr>
        <w:t>0.48万元，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主要原因是：无差异。</w:t>
      </w:r>
    </w:p>
    <w:p>
      <w:pPr>
        <w:ind w:firstLine="320" w:firstLineChars="1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30228工会经费0.48万元。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highlight w:val="none"/>
        </w:rPr>
        <w:t>对个人和家庭的补助</w:t>
      </w:r>
      <w:r>
        <w:rPr>
          <w:rFonts w:ascii="仿宋" w:hAnsi="仿宋" w:eastAsia="仿宋" w:cs="仿宋"/>
          <w:sz w:val="32"/>
          <w:u w:color="auto"/>
        </w:rPr>
        <w:t>0.60万元，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100%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主要原因是：用于教师节表彰奖金。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30305生活补助0.59万元，30399其他对个人和家庭的补助0.01万元。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97810"/>
            <wp:effectExtent l="4445" t="4445" r="16510" b="1714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主要原因是：2022年度本部门无</w:t>
      </w:r>
      <w:r>
        <w:rPr>
          <w:rFonts w:hint="eastAsia" w:ascii="仿宋" w:hAnsi="仿宋" w:eastAsia="仿宋" w:cs="仿宋"/>
          <w:sz w:val="32"/>
          <w:szCs w:val="32"/>
          <w:highlight w:val="none"/>
        </w:rPr>
        <w:t>债务利息及费用</w:t>
      </w:r>
      <w:r>
        <w:rPr>
          <w:rFonts w:hint="eastAsia" w:ascii="仿宋" w:hAnsi="仿宋" w:eastAsia="仿宋" w:cs="仿宋"/>
          <w:sz w:val="32"/>
          <w:szCs w:val="32"/>
          <w:highlight w:val="none"/>
          <w:lang w:val="en-US" w:eastAsia="zh-CN"/>
        </w:rPr>
        <w:t>资金</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70129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主要原因是：2022年度本部门无其他资金支出。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607310"/>
            <wp:effectExtent l="4445" t="4445" r="16510" b="1714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主要原因是：2022年度本部门无其他资金支出。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25298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环江毛南族自治县下南乡中心幼儿园2022年度政府性基金支出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环江毛南族自治县下南乡中心幼儿园2022年度政府性基金支出年初预算为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环江毛南族自治县下南乡中心幼儿园</w:t>
      </w:r>
      <w:r>
        <w:rPr>
          <w:rFonts w:ascii="仿宋_GB2312" w:hAnsi="仿宋_GB2312" w:eastAsia="仿宋_GB2312" w:cs="仿宋_GB2312"/>
          <w:color w:val="000000" w:themeColor="text1"/>
          <w:sz w:val="32"/>
          <w:u w:color="auto"/>
          <w14:textFill>
            <w14:solidFill>
              <w14:schemeClr w14:val="tx1"/>
            </w14:solidFill>
          </w14:textFill>
        </w:rPr>
        <w:t>没有政府性基金收入，也没有政府性基金收入安排的支出</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环江毛南族自治县下南乡中心幼儿园2022年度国有资本经营预算支出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环江毛南族自治县下南乡中心幼儿园2022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4" w:name="PO_part3A5B1C1DiffReason1"/>
      <w:r>
        <w:rPr>
          <w:rFonts w:hint="eastAsia" w:ascii="仿宋_GB2312" w:hAnsi="Times New Roman" w:eastAsia="仿宋_GB2312" w:cs="Times New Roman"/>
          <w:color w:val="000000" w:themeColor="text1"/>
          <w:sz w:val="32"/>
          <w:szCs w:val="32"/>
          <w14:textFill>
            <w14:solidFill>
              <w14:schemeClr w14:val="tx1"/>
            </w14:solidFill>
          </w14:textFill>
        </w:rPr>
        <w:t>环江毛南族自治县下南乡中心幼儿园</w:t>
      </w:r>
      <w:r>
        <w:rPr>
          <w:rFonts w:ascii="仿宋_GB2312" w:hAnsi="仿宋_GB2312" w:eastAsia="仿宋_GB2312" w:cs="仿宋_GB2312"/>
          <w:color w:val="000000" w:themeColor="text1"/>
          <w:sz w:val="32"/>
          <w:u w:color="auto"/>
          <w14:textFill>
            <w14:solidFill>
              <w14:schemeClr w14:val="tx1"/>
            </w14:solidFill>
          </w14:textFill>
        </w:rPr>
        <w:t>没有国有资本经营预算收入，也没有国有资本经营预算收入</w:t>
      </w:r>
      <w:r>
        <w:rPr>
          <w:rFonts w:hint="eastAsia" w:ascii="仿宋_GB2312" w:hAnsi="Times New Roman" w:eastAsia="仿宋_GB2312" w:cs="Times New Roman"/>
          <w:color w:val="000000" w:themeColor="text1"/>
          <w:sz w:val="32"/>
          <w:szCs w:val="32"/>
          <w14:textFill>
            <w14:solidFill>
              <w14:schemeClr w14:val="tx1"/>
            </w14:solidFill>
          </w14:textFill>
        </w:rPr>
        <w:t>安排的支出。</w:t>
      </w:r>
      <w:bookmarkEnd w:id="4"/>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主要原因是：本单位无“三公经费支出”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000000" w:themeColor="text1"/>
          <w:sz w:val="32"/>
          <w:szCs w:val="32"/>
          <w14:textFill>
            <w14:solidFill>
              <w14:schemeClr w14:val="tx1"/>
            </w14:solidFill>
          </w14:textFill>
        </w:rPr>
        <w:t>全年使用财政拨款安排</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0.00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（局、办、镇）机关、</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个所属单位出国团组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个，参加其他单位组织的出国团组</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，全年因公出国（境）团组共计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个，</w:t>
      </w:r>
      <w:r>
        <w:rPr>
          <w:rFonts w:hint="eastAsia" w:ascii="仿宋" w:hAnsi="仿宋" w:eastAsia="仿宋" w:cs="仿宋"/>
          <w:sz w:val="32"/>
          <w:szCs w:val="32"/>
          <w:highlight w:val="none"/>
        </w:rPr>
        <w:t>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sz w:val="32"/>
          <w:szCs w:val="32"/>
          <w:highlight w:val="none"/>
          <w:lang w:val="en-US" w:eastAsia="zh-CN"/>
        </w:rPr>
        <w:t>主要原因：</w:t>
      </w:r>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color w:val="000000" w:themeColor="text1"/>
          <w:sz w:val="32"/>
          <w:szCs w:val="32"/>
          <w:lang w:val="en-US"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无公务用车购置。</w:t>
      </w:r>
    </w:p>
    <w:p>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本部门无公务车运行维护资金支出。</w:t>
      </w:r>
      <w:r>
        <w:rPr>
          <w:rFonts w:hint="eastAsia" w:ascii="仿宋" w:hAnsi="仿宋" w:eastAsia="仿宋" w:cs="仿宋"/>
          <w:sz w:val="32"/>
          <w:szCs w:val="32"/>
          <w:highlight w:val="none"/>
        </w:rPr>
        <w:t>2022年，</w:t>
      </w:r>
      <w:r>
        <w:rPr>
          <w:rFonts w:ascii="仿宋" w:hAnsi="仿宋" w:eastAsia="仿宋" w:cs="仿宋"/>
          <w:sz w:val="32"/>
          <w:u w:color="auto"/>
        </w:rPr>
        <w:t>环江毛南族自治县</w:t>
      </w:r>
      <w:r>
        <w:rPr>
          <w:rFonts w:hint="eastAsia" w:ascii="仿宋" w:hAnsi="仿宋" w:eastAsia="仿宋" w:cs="仿宋"/>
          <w:sz w:val="32"/>
          <w:u w:color="auto"/>
          <w:lang w:val="en-US" w:eastAsia="zh-CN"/>
        </w:rPr>
        <w:t>下南</w:t>
      </w:r>
      <w:r>
        <w:rPr>
          <w:rFonts w:ascii="仿宋" w:hAnsi="仿宋" w:eastAsia="仿宋" w:cs="仿宋"/>
          <w:sz w:val="32"/>
          <w:u w:color="auto"/>
        </w:rPr>
        <w:t>乡中心幼儿园</w:t>
      </w:r>
      <w:r>
        <w:rPr>
          <w:rFonts w:hint="eastAsia" w:ascii="仿宋" w:hAnsi="仿宋" w:eastAsia="仿宋" w:cs="仿宋"/>
          <w:sz w:val="32"/>
          <w:szCs w:val="32"/>
          <w:highlight w:val="none"/>
        </w:rPr>
        <w:t>及</w:t>
      </w:r>
      <w:r>
        <w:rPr>
          <w:rFonts w:hint="eastAsia" w:ascii="仿宋" w:hAnsi="仿宋" w:eastAsia="仿宋" w:cs="仿宋"/>
          <w:sz w:val="32"/>
          <w:szCs w:val="32"/>
          <w:highlight w:val="none"/>
          <w:lang w:val="en-US" w:eastAsia="zh-CN"/>
        </w:rPr>
        <w:t>0个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2022年，</w:t>
      </w:r>
      <w:r>
        <w:rPr>
          <w:rFonts w:ascii="仿宋" w:hAnsi="仿宋" w:eastAsia="仿宋" w:cs="仿宋"/>
          <w:sz w:val="32"/>
          <w:u w:color="auto"/>
        </w:rPr>
        <w:t>环江毛南族自治县下南乡中心幼儿园</w:t>
      </w:r>
      <w:r>
        <w:rPr>
          <w:rFonts w:hint="eastAsia" w:ascii="仿宋" w:hAnsi="仿宋" w:eastAsia="仿宋" w:cs="仿宋"/>
          <w:sz w:val="32"/>
          <w:szCs w:val="32"/>
          <w:highlight w:val="none"/>
        </w:rPr>
        <w:t>及</w:t>
      </w:r>
      <w:r>
        <w:rPr>
          <w:rFonts w:hint="eastAsia" w:ascii="仿宋" w:hAnsi="仿宋" w:eastAsia="仿宋" w:cs="仿宋"/>
          <w:color w:val="000000" w:themeColor="text1"/>
          <w:sz w:val="32"/>
          <w:szCs w:val="32"/>
          <w:highlight w:val="none"/>
          <w:u w:val="single"/>
          <w:lang w:val="en-US" w:eastAsia="zh-CN"/>
          <w14:textFill>
            <w14:solidFill>
              <w14:schemeClr w14:val="tx1"/>
            </w14:solidFill>
          </w14:textFill>
        </w:rPr>
        <w:t xml:space="preserve"> 0  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本部门无</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资金</w:t>
      </w:r>
      <w:r>
        <w:rPr>
          <w:rFonts w:hint="eastAsia" w:ascii="仿宋" w:hAnsi="仿宋" w:eastAsia="仿宋" w:cs="仿宋"/>
          <w:sz w:val="32"/>
          <w:szCs w:val="32"/>
          <w:highlight w:val="none"/>
        </w:rPr>
        <w:t>支</w:t>
      </w:r>
      <w:r>
        <w:rPr>
          <w:rFonts w:hint="eastAsia" w:ascii="仿宋" w:hAnsi="仿宋" w:eastAsia="仿宋" w:cs="仿宋"/>
          <w:color w:val="auto"/>
          <w:sz w:val="32"/>
          <w:szCs w:val="32"/>
          <w:highlight w:val="none"/>
        </w:rPr>
        <w:t>出</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本部门2022年度机关运行经费支出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0.00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本部门无机关运行经费支出。</w:t>
      </w:r>
      <w:bookmarkStart w:id="5" w:name="_GoBack"/>
      <w:bookmarkEnd w:id="5"/>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324560.04</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324560.04</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整体上预算项目支出率高，达到了预期效益指标，部分预算项目预算项目支出率比较低，还需要进一步完善相关项目管理制度，并依照制度办事，为项目实施提供有效的保障</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整体上预算项目支出率高，达到了预期效益指标，部分预算项目预算项目支出率比较低，还需要进一步完善相关项目管理制度，并依照制度办事，为项目实施提供有效的保障</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default"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784.87</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8个项目均评一等奖。</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我部门根据年初设定的绩效目标，伙食补助项目自评得分为100分。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下南乡</w:t>
      </w:r>
      <w:r>
        <w:rPr>
          <w:rFonts w:hint="eastAsia" w:ascii="仿宋" w:hAnsi="仿宋" w:eastAsia="仿宋" w:cs="仿宋"/>
          <w:color w:val="000000" w:themeColor="text1"/>
          <w:sz w:val="32"/>
          <w:szCs w:val="32"/>
          <w14:textFill>
            <w14:solidFill>
              <w14:schemeClr w14:val="tx1"/>
            </w14:solidFill>
          </w14:textFill>
        </w:rPr>
        <w:t>中心幼儿园2022年年初预算经费（保育教育费）项目自评得分为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90.78</w:t>
      </w:r>
      <w:r>
        <w:rPr>
          <w:rFonts w:hint="eastAsia" w:ascii="仿宋" w:hAnsi="仿宋" w:eastAsia="仿宋" w:cs="仿宋"/>
          <w:color w:val="000000" w:themeColor="text1"/>
          <w:sz w:val="32"/>
          <w:szCs w:val="32"/>
          <w14:textFill>
            <w14:solidFill>
              <w14:schemeClr w14:val="tx1"/>
            </w14:solidFill>
          </w14:textFill>
        </w:rPr>
        <w:t>分。发现的主要问题及原因：在项目资金预算绩效方面总体上是管理使用到位，但项目未完成预算资金使用量；二是学校报账材料整理比较慢，不能及时支付。下一步改进措施：完善项目相关管理制度，并依照制度办事，为项目的实施提供有效的保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学前生均公用经费项目自评得分为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97.34</w:t>
      </w:r>
      <w:r>
        <w:rPr>
          <w:rFonts w:hint="eastAsia" w:ascii="仿宋" w:hAnsi="仿宋" w:eastAsia="仿宋" w:cs="仿宋"/>
          <w:color w:val="000000" w:themeColor="text1"/>
          <w:sz w:val="32"/>
          <w:szCs w:val="32"/>
          <w14:textFill>
            <w14:solidFill>
              <w14:schemeClr w14:val="tx1"/>
            </w14:solidFill>
          </w14:textFill>
        </w:rPr>
        <w:t>分。发现的主要问题及原因：一是未能制定相关管理制度，在项目实施方面还有待完善。；二是学校报账材料整理比较慢，不能及时支付。下一步改进措施：加强对幼儿园资金使用过程的监督和指导。</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教师节经费项目自评得分为100分。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奖励性补贴</w:t>
      </w:r>
      <w:r>
        <w:rPr>
          <w:rFonts w:hint="eastAsia" w:ascii="仿宋" w:hAnsi="仿宋" w:eastAsia="仿宋" w:cs="仿宋"/>
          <w:color w:val="000000" w:themeColor="text1"/>
          <w:sz w:val="32"/>
          <w:szCs w:val="32"/>
          <w14:textFill>
            <w14:solidFill>
              <w14:schemeClr w14:val="tx1"/>
            </w14:solidFill>
          </w14:textFill>
        </w:rPr>
        <w:t>项目自评得分为100分。</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学前教育保育费项目自评得分为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99.88</w:t>
      </w:r>
      <w:r>
        <w:rPr>
          <w:rFonts w:hint="eastAsia" w:ascii="仿宋" w:hAnsi="仿宋" w:eastAsia="仿宋" w:cs="仿宋"/>
          <w:color w:val="000000" w:themeColor="text1"/>
          <w:sz w:val="32"/>
          <w:szCs w:val="32"/>
          <w14:textFill>
            <w14:solidFill>
              <w14:schemeClr w14:val="tx1"/>
            </w14:solidFill>
          </w14:textFill>
        </w:rPr>
        <w:t>分。发现的主要问题及原因：在项目资金预算绩效方面总体上是管理使用到位，但项目未完成预算资金使用量；二是学校报账材料整理比较慢，不能及时支付。下一步改进措施：加强对幼儿园资金使用过程的监督和指导，在项目实施方面还有待完善。</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学前教育保育费县本级补助资金项目自评得分为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96.87</w:t>
      </w:r>
      <w:r>
        <w:rPr>
          <w:rFonts w:hint="eastAsia" w:ascii="仿宋" w:hAnsi="仿宋" w:eastAsia="仿宋" w:cs="仿宋"/>
          <w:color w:val="000000" w:themeColor="text1"/>
          <w:sz w:val="32"/>
          <w:szCs w:val="32"/>
          <w14:textFill>
            <w14:solidFill>
              <w14:schemeClr w14:val="tx1"/>
            </w14:solidFill>
          </w14:textFill>
        </w:rPr>
        <w:t>分。发现的主要问题及原因：一是未能制定相关管理制度，在项目实施方面还有待完善。；二是学校报账材料整理比较慢，不能及时支付。下一步改进措施：完善项目相关管理制度，并依照制度办事，为项目的实施提供有效的保障。</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学前教育保育费中央补助资金项目自评得分为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p>
    <w:p>
      <w:pPr>
        <w:ind w:firstLine="640" w:firstLineChars="200"/>
        <w:jc w:val="left"/>
        <w:rPr>
          <w:rFonts w:hint="eastAsia" w:ascii="仿宋" w:hAnsi="仿宋" w:eastAsia="仿宋" w:cs="仿宋"/>
          <w:color w:val="FF0000"/>
          <w:sz w:val="32"/>
          <w:szCs w:val="32"/>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MWY5MWQ1YjU0MTEyZTUxZDc4MzdkMTJjYTQwMG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4745C3"/>
    <w:rsid w:val="015F1951"/>
    <w:rsid w:val="020C171D"/>
    <w:rsid w:val="0216715F"/>
    <w:rsid w:val="02E0291A"/>
    <w:rsid w:val="04E54546"/>
    <w:rsid w:val="05992762"/>
    <w:rsid w:val="07B0770E"/>
    <w:rsid w:val="0942143F"/>
    <w:rsid w:val="0D100297"/>
    <w:rsid w:val="0D202B45"/>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D317259"/>
    <w:rsid w:val="1E664F5B"/>
    <w:rsid w:val="1EB34BE1"/>
    <w:rsid w:val="215E639F"/>
    <w:rsid w:val="21EC3183"/>
    <w:rsid w:val="225E72CD"/>
    <w:rsid w:val="246E2F77"/>
    <w:rsid w:val="254B4E2B"/>
    <w:rsid w:val="283D7C94"/>
    <w:rsid w:val="29480E03"/>
    <w:rsid w:val="2983634D"/>
    <w:rsid w:val="2BB02055"/>
    <w:rsid w:val="2C575A56"/>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C07002B"/>
    <w:rsid w:val="3D0D152A"/>
    <w:rsid w:val="3DF62756"/>
    <w:rsid w:val="3F1B7587"/>
    <w:rsid w:val="41E57B4F"/>
    <w:rsid w:val="432F26F6"/>
    <w:rsid w:val="43880F63"/>
    <w:rsid w:val="440E6522"/>
    <w:rsid w:val="441C5A6F"/>
    <w:rsid w:val="44C44FCC"/>
    <w:rsid w:val="44CC7369"/>
    <w:rsid w:val="457F5108"/>
    <w:rsid w:val="46882DF3"/>
    <w:rsid w:val="46951B6B"/>
    <w:rsid w:val="49A34401"/>
    <w:rsid w:val="4A3E30AB"/>
    <w:rsid w:val="4AC14DAC"/>
    <w:rsid w:val="4D154C85"/>
    <w:rsid w:val="4EB35ECE"/>
    <w:rsid w:val="4FD204D1"/>
    <w:rsid w:val="508F4E24"/>
    <w:rsid w:val="51461E90"/>
    <w:rsid w:val="51463753"/>
    <w:rsid w:val="52553A93"/>
    <w:rsid w:val="53521F8B"/>
    <w:rsid w:val="53E22F47"/>
    <w:rsid w:val="54522FF8"/>
    <w:rsid w:val="55450629"/>
    <w:rsid w:val="56692963"/>
    <w:rsid w:val="568B0F48"/>
    <w:rsid w:val="5786217B"/>
    <w:rsid w:val="59337A15"/>
    <w:rsid w:val="59810274"/>
    <w:rsid w:val="5CA96A00"/>
    <w:rsid w:val="5CF730BC"/>
    <w:rsid w:val="5D614D3B"/>
    <w:rsid w:val="5E5F0DCE"/>
    <w:rsid w:val="5FA40A7B"/>
    <w:rsid w:val="5FD56D29"/>
    <w:rsid w:val="5FEC7F3F"/>
    <w:rsid w:val="60F74BC3"/>
    <w:rsid w:val="617D3BF8"/>
    <w:rsid w:val="61841F6A"/>
    <w:rsid w:val="623007A9"/>
    <w:rsid w:val="637D7558"/>
    <w:rsid w:val="644F19AC"/>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2EE2188"/>
    <w:rsid w:val="73953409"/>
    <w:rsid w:val="73E069A3"/>
    <w:rsid w:val="763E1A89"/>
    <w:rsid w:val="78104AA8"/>
    <w:rsid w:val="78E257C5"/>
    <w:rsid w:val="794B35BE"/>
    <w:rsid w:val="7AD532C5"/>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175.91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0.59</c:v>
                </c:pt>
                <c:pt idx="5">
                  <c:v>0</c:v>
                </c:pt>
                <c:pt idx="6">
                  <c:v>0</c:v>
                </c:pt>
                <c:pt idx="7">
                  <c:v>0</c:v>
                </c:pt>
                <c:pt idx="8">
                  <c:v>0</c:v>
                </c:pt>
                <c:pt idx="9">
                  <c:v>0</c:v>
                </c:pt>
                <c:pt idx="10">
                  <c:v>0</c:v>
                </c:pt>
                <c:pt idx="11">
                  <c:v>0.01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0</c:v>
                </c:pt>
                <c:pt idx="1">
                  <c:v>146.44</c:v>
                </c:pt>
                <c:pt idx="2">
                  <c:v>3.71</c:v>
                </c:pt>
                <c:pt idx="3">
                  <c:v>1.56</c:v>
                </c:pt>
                <c:pt idx="4">
                  <c:v>1.66</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0.48</c:v>
                </c:pt>
                <c:pt idx="1">
                  <c:v>160.27</c:v>
                </c:pt>
                <c:pt idx="2">
                  <c:v>5.12</c:v>
                </c:pt>
                <c:pt idx="3">
                  <c:v>3.6</c:v>
                </c:pt>
                <c:pt idx="4">
                  <c:v>6.43</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0.48</c:v>
                </c:pt>
                <c:pt idx="1">
                  <c:v>0.48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2050201</c:v>
                </c:pt>
                <c:pt idx="1">
                  <c:v>2050299</c:v>
                </c:pt>
                <c:pt idx="2">
                  <c:v>205x</c:v>
                </c:pt>
              </c:strCache>
            </c:strRef>
          </c:cat>
          <c:val>
            <c:numRef>
              <c:f>Sheet1!$B$2:$B$4</c:f>
              <c:numCache>
                <c:formatCode>General</c:formatCode>
                <c:ptCount val="3"/>
                <c:pt idx="0">
                  <c:v>154.17</c:v>
                </c:pt>
                <c:pt idx="1">
                  <c:v>6.1</c:v>
                </c:pt>
                <c:pt idx="2">
                  <c:v>160.27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5.12</c:v>
                </c:pt>
                <c:pt idx="1">
                  <c:v>5.12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3.6</c:v>
                </c:pt>
                <c:pt idx="1">
                  <c:v>3.6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6.43</c:v>
                </c:pt>
                <c:pt idx="1">
                  <c:v>6.43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24.49</c:v>
                </c:pt>
                <c:pt idx="1">
                  <c:v>3.89</c:v>
                </c:pt>
                <c:pt idx="2">
                  <c:v>7.72</c:v>
                </c:pt>
                <c:pt idx="3">
                  <c:v>0</c:v>
                </c:pt>
                <c:pt idx="4">
                  <c:v>6.17</c:v>
                </c:pt>
                <c:pt idx="5">
                  <c:v>5.12</c:v>
                </c:pt>
                <c:pt idx="6">
                  <c:v>0</c:v>
                </c:pt>
                <c:pt idx="7">
                  <c:v>2.38</c:v>
                </c:pt>
                <c:pt idx="8">
                  <c:v>0</c:v>
                </c:pt>
                <c:pt idx="9">
                  <c:v>0.24</c:v>
                </c:pt>
                <c:pt idx="10">
                  <c:v>3.6</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0.48</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10866</Words>
  <Characters>14487</Characters>
  <Lines>90</Lines>
  <Paragraphs>25</Paragraphs>
  <TotalTime>11</TotalTime>
  <ScaleCrop>false</ScaleCrop>
  <LinksUpToDate>false</LinksUpToDate>
  <CharactersWithSpaces>14728</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2023-08-17T10:06:00Z</dcterms:created>
  <dc:creator>C D D</dc:creator>
  <cp:lastModifiedBy>Administrator</cp:lastModifiedBy>
  <cp:lastPrinted>2023-11-22T11:15:00Z</cp:lastPrinted>
  <dcterms:modified xsi:type="dcterms:W3CDTF">2023-11-29T01:16:53Z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CD658B7D3C4C46FAA469BFF406E3673B_13</vt:lpwstr>
  </property>
</Properties>
</file>