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center"/>
        <w:rPr>
          <w:rFonts w:ascii="黑体" w:hAnsi="黑体" w:eastAsia="黑体" w:cs="黑体"/>
          <w:b/>
          <w:bCs/>
          <w:sz w:val="52"/>
          <w:szCs w:val="52"/>
        </w:rPr>
      </w:pPr>
      <w:r>
        <w:rPr>
          <w:rFonts w:hint="eastAsia" w:ascii="黑体" w:hAnsi="黑体" w:eastAsia="黑体" w:cs="黑体"/>
          <w:b/>
          <w:bCs/>
          <w:sz w:val="52"/>
          <w:szCs w:val="52"/>
        </w:rPr>
        <w:t>环江毛南族自治县川山镇初级中学2022年度部门决算</w:t>
      </w:r>
    </w:p>
    <w:p>
      <w:pPr>
        <w:jc w:val="center"/>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hint="eastAsia" w:ascii="黑体" w:hAnsi="黑体" w:eastAsia="黑体" w:cs="黑体"/>
          <w:sz w:val="36"/>
          <w:szCs w:val="36"/>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6"/>
          <w:szCs w:val="36"/>
          <w:lang w:val="en-US" w:eastAsia="zh-CN"/>
        </w:rPr>
        <w:t xml:space="preserve">   </w:t>
      </w:r>
      <w:r>
        <w:rPr>
          <w:rFonts w:hint="eastAsia" w:ascii="黑体" w:hAnsi="黑体" w:eastAsia="黑体" w:cs="黑体"/>
          <w:sz w:val="36"/>
          <w:szCs w:val="36"/>
          <w:lang w:val="en-US" w:eastAsia="zh-CN"/>
        </w:rPr>
        <w:t xml:space="preserve">  单位负责人：何泰学</w:t>
      </w:r>
    </w:p>
    <w:p>
      <w:pPr>
        <w:jc w:val="left"/>
        <w:rPr>
          <w:rFonts w:ascii="仿宋" w:hAnsi="仿宋" w:eastAsia="仿宋" w:cs="仿宋"/>
          <w:sz w:val="36"/>
          <w:szCs w:val="36"/>
        </w:rPr>
      </w:pPr>
    </w:p>
    <w:p>
      <w:pPr>
        <w:ind w:firstLine="2891" w:firstLineChars="800"/>
        <w:jc w:val="both"/>
        <w:rPr>
          <w:rFonts w:hint="default" w:ascii="黑体" w:hAnsi="黑体" w:eastAsia="黑体" w:cs="黑体"/>
          <w:b/>
          <w:bCs/>
          <w:sz w:val="36"/>
          <w:szCs w:val="36"/>
          <w:lang w:val="en-US" w:eastAsia="zh-CN"/>
        </w:rPr>
      </w:pPr>
      <w:r>
        <w:rPr>
          <w:rFonts w:hint="eastAsia" w:ascii="黑体" w:hAnsi="黑体" w:eastAsia="黑体" w:cs="黑体"/>
          <w:b/>
          <w:bCs/>
          <w:sz w:val="36"/>
          <w:szCs w:val="36"/>
        </w:rPr>
        <w:t>2023年10月</w:t>
      </w:r>
    </w:p>
    <w:p>
      <w:pPr>
        <w:rPr>
          <w:rFonts w:ascii="仿宋" w:hAnsi="仿宋" w:eastAsia="仿宋" w:cs="仿宋"/>
          <w:sz w:val="32"/>
          <w:szCs w:val="32"/>
        </w:rPr>
      </w:pPr>
      <w:r>
        <w:rPr>
          <w:rFonts w:ascii="仿宋" w:hAnsi="仿宋" w:eastAsia="仿宋" w:cs="仿宋"/>
          <w:sz w:val="32"/>
          <w:szCs w:val="32"/>
        </w:rPr>
        <w:br w:type="page"/>
      </w:r>
    </w:p>
    <w:p>
      <w:pPr>
        <w:jc w:val="center"/>
        <w:rPr>
          <w:rFonts w:ascii="黑体" w:hAnsi="黑体" w:eastAsia="黑体" w:cs="黑体"/>
          <w:b/>
          <w:bCs/>
          <w:sz w:val="36"/>
          <w:szCs w:val="36"/>
        </w:rPr>
      </w:pPr>
      <w:r>
        <w:rPr>
          <w:rFonts w:hint="eastAsia" w:ascii="黑体" w:hAnsi="黑体" w:eastAsia="黑体" w:cs="黑体"/>
          <w:b/>
          <w:bCs/>
          <w:sz w:val="36"/>
          <w:szCs w:val="36"/>
        </w:rPr>
        <w:t>目   录</w:t>
      </w:r>
    </w:p>
    <w:p>
      <w:pPr>
        <w:jc w:val="left"/>
        <w:rPr>
          <w:rFonts w:ascii="黑体" w:hAnsi="黑体" w:eastAsia="黑体" w:cs="黑体"/>
          <w:b/>
          <w:bCs/>
          <w:sz w:val="36"/>
          <w:szCs w:val="36"/>
        </w:rPr>
      </w:pPr>
    </w:p>
    <w:p>
      <w:pPr>
        <w:jc w:val="left"/>
        <w:rPr>
          <w:rFonts w:ascii="仿宋" w:hAnsi="仿宋" w:eastAsia="仿宋" w:cs="仿宋"/>
          <w:sz w:val="32"/>
          <w:szCs w:val="32"/>
        </w:rPr>
      </w:pPr>
      <w:r>
        <w:rPr>
          <w:rFonts w:hint="eastAsia" w:ascii="黑体" w:hAnsi="黑体" w:eastAsia="黑体" w:cs="黑体"/>
          <w:sz w:val="32"/>
          <w:szCs w:val="32"/>
        </w:rPr>
        <w:t>第一部分：</w:t>
      </w:r>
      <w:r>
        <w:rPr>
          <w:rFonts w:ascii="黑体" w:hAnsi="黑体" w:eastAsia="黑体" w:cs="黑体"/>
          <w:sz w:val="32"/>
        </w:rPr>
        <w:t>环江毛南族自治县川山镇初级中学</w:t>
      </w:r>
      <w:r>
        <w:rPr>
          <w:rFonts w:hint="eastAsia" w:ascii="黑体" w:hAnsi="黑体" w:eastAsia="黑体" w:cs="黑体"/>
          <w:sz w:val="32"/>
          <w:szCs w:val="32"/>
        </w:rPr>
        <w:t>概况</w:t>
      </w:r>
    </w:p>
    <w:p>
      <w:pPr>
        <w:jc w:val="left"/>
        <w:rPr>
          <w:rFonts w:ascii="仿宋" w:hAnsi="仿宋" w:eastAsia="仿宋" w:cs="仿宋"/>
          <w:sz w:val="32"/>
          <w:szCs w:val="32"/>
        </w:rPr>
      </w:pPr>
      <w:r>
        <w:rPr>
          <w:rFonts w:hint="eastAsia" w:ascii="仿宋" w:hAnsi="仿宋" w:eastAsia="仿宋" w:cs="仿宋"/>
          <w:sz w:val="32"/>
          <w:szCs w:val="32"/>
        </w:rPr>
        <w:t>一、主要职能</w:t>
      </w:r>
    </w:p>
    <w:p>
      <w:pPr>
        <w:jc w:val="left"/>
        <w:rPr>
          <w:rFonts w:ascii="仿宋" w:hAnsi="仿宋" w:eastAsia="仿宋" w:cs="仿宋"/>
          <w:sz w:val="32"/>
          <w:szCs w:val="32"/>
        </w:rPr>
      </w:pPr>
      <w:r>
        <w:rPr>
          <w:rFonts w:hint="eastAsia" w:ascii="仿宋" w:hAnsi="仿宋" w:eastAsia="仿宋" w:cs="仿宋"/>
          <w:sz w:val="32"/>
          <w:szCs w:val="32"/>
        </w:rPr>
        <w:t>二、部门决算单位构成</w:t>
      </w:r>
    </w:p>
    <w:p>
      <w:pPr>
        <w:jc w:val="left"/>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环江毛南族自治县川山镇初级中学</w:t>
      </w:r>
      <w:r>
        <w:rPr>
          <w:rFonts w:hint="eastAsia" w:ascii="黑体" w:hAnsi="黑体" w:eastAsia="黑体" w:cs="黑体"/>
          <w:sz w:val="32"/>
          <w:szCs w:val="32"/>
        </w:rPr>
        <w:t>2022年度部门决算报表</w:t>
      </w:r>
    </w:p>
    <w:p>
      <w:pPr>
        <w:rPr>
          <w:rFonts w:ascii="仿宋_GB2312" w:eastAsia="仿宋_GB2312"/>
          <w:sz w:val="32"/>
          <w:szCs w:val="32"/>
        </w:rPr>
      </w:pPr>
      <w:r>
        <w:rPr>
          <w:rFonts w:hint="eastAsia" w:ascii="仿宋_GB2312" w:eastAsia="仿宋_GB2312"/>
          <w:sz w:val="32"/>
          <w:szCs w:val="32"/>
        </w:rPr>
        <w:t>表一：收入支出决算总表</w:t>
      </w:r>
    </w:p>
    <w:p>
      <w:pPr>
        <w:rPr>
          <w:rFonts w:ascii="仿宋_GB2312" w:eastAsia="仿宋_GB2312"/>
          <w:sz w:val="32"/>
          <w:szCs w:val="32"/>
        </w:rPr>
      </w:pPr>
      <w:r>
        <w:rPr>
          <w:rFonts w:hint="eastAsia" w:ascii="仿宋_GB2312" w:eastAsia="仿宋_GB2312"/>
          <w:sz w:val="32"/>
          <w:szCs w:val="32"/>
        </w:rPr>
        <w:t>表二：收入决算表</w:t>
      </w:r>
    </w:p>
    <w:p>
      <w:pPr>
        <w:rPr>
          <w:rFonts w:ascii="仿宋_GB2312" w:eastAsia="仿宋_GB2312"/>
          <w:sz w:val="32"/>
          <w:szCs w:val="32"/>
        </w:rPr>
      </w:pPr>
      <w:r>
        <w:rPr>
          <w:rFonts w:hint="eastAsia" w:ascii="仿宋_GB2312" w:eastAsia="仿宋_GB2312"/>
          <w:sz w:val="32"/>
          <w:szCs w:val="32"/>
        </w:rPr>
        <w:t>表三：支出决算表</w:t>
      </w:r>
    </w:p>
    <w:p>
      <w:pPr>
        <w:rPr>
          <w:rFonts w:ascii="仿宋_GB2312" w:eastAsia="仿宋_GB2312"/>
          <w:sz w:val="32"/>
          <w:szCs w:val="32"/>
        </w:rPr>
      </w:pPr>
      <w:r>
        <w:rPr>
          <w:rFonts w:hint="eastAsia" w:ascii="仿宋_GB2312" w:eastAsia="仿宋_GB2312"/>
          <w:sz w:val="32"/>
          <w:szCs w:val="32"/>
        </w:rPr>
        <w:t>表四：财政拨款收入支出决算总表</w:t>
      </w:r>
    </w:p>
    <w:p>
      <w:pPr>
        <w:rPr>
          <w:rFonts w:ascii="仿宋_GB2312" w:eastAsia="仿宋_GB2312"/>
          <w:sz w:val="32"/>
          <w:szCs w:val="32"/>
        </w:rPr>
      </w:pPr>
      <w:r>
        <w:rPr>
          <w:rFonts w:hint="eastAsia" w:ascii="仿宋_GB2312" w:eastAsia="仿宋_GB2312"/>
          <w:sz w:val="32"/>
          <w:szCs w:val="32"/>
        </w:rPr>
        <w:t>表五：一般公共预算财政拨款支出决算表</w:t>
      </w:r>
    </w:p>
    <w:p>
      <w:pPr>
        <w:rPr>
          <w:rFonts w:ascii="仿宋_GB2312" w:eastAsia="仿宋_GB2312"/>
          <w:sz w:val="32"/>
          <w:szCs w:val="32"/>
        </w:rPr>
      </w:pPr>
      <w:r>
        <w:rPr>
          <w:rFonts w:hint="eastAsia" w:ascii="仿宋_GB2312" w:eastAsia="仿宋_GB2312"/>
          <w:sz w:val="32"/>
          <w:szCs w:val="32"/>
        </w:rPr>
        <w:t>表六：一般公共预算财政拨款基本支出决算明细表</w:t>
      </w:r>
    </w:p>
    <w:p>
      <w:pPr>
        <w:rPr>
          <w:rFonts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rPr>
          <w:rFonts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rPr>
          <w:rFonts w:ascii="仿宋_GB2312" w:eastAsia="仿宋_GB2312"/>
          <w:sz w:val="32"/>
          <w:szCs w:val="32"/>
        </w:rPr>
      </w:pPr>
      <w:r>
        <w:rPr>
          <w:rFonts w:hint="eastAsia" w:ascii="仿宋_GB2312" w:eastAsia="仿宋_GB2312"/>
          <w:sz w:val="32"/>
          <w:szCs w:val="32"/>
        </w:rPr>
        <w:t>表九：财政拨款“三公”经费支出决算表</w:t>
      </w:r>
    </w:p>
    <w:p>
      <w:pPr>
        <w:jc w:val="left"/>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环江毛南族自治县川山镇初级中学</w:t>
      </w:r>
      <w:r>
        <w:rPr>
          <w:rFonts w:hint="eastAsia" w:ascii="黑体" w:hAnsi="黑体" w:eastAsia="黑体" w:cs="黑体"/>
          <w:sz w:val="32"/>
          <w:szCs w:val="32"/>
        </w:rPr>
        <w:t>2022年度部门决算情况说明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六、财政拨款“三公”经费支出决算情况说明。</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第四部分：名词解释</w:t>
      </w:r>
    </w:p>
    <w:p>
      <w:pPr>
        <w:jc w:val="left"/>
        <w:rPr>
          <w:rFonts w:ascii="黑体" w:hAnsi="黑体" w:eastAsia="黑体" w:cs="黑体"/>
          <w:sz w:val="32"/>
          <w:szCs w:val="32"/>
        </w:rPr>
      </w:pPr>
      <w:r>
        <w:rPr>
          <w:rFonts w:hint="eastAsia" w:ascii="黑体" w:hAnsi="黑体" w:eastAsia="黑体" w:cs="黑体"/>
          <w:sz w:val="32"/>
          <w:szCs w:val="32"/>
        </w:rPr>
        <w:br w:type="page"/>
      </w:r>
    </w:p>
    <w:p>
      <w:pPr>
        <w:jc w:val="center"/>
        <w:rPr>
          <w:rFonts w:ascii="仿宋" w:hAnsi="仿宋" w:eastAsia="仿宋" w:cs="仿宋"/>
          <w:sz w:val="32"/>
          <w:szCs w:val="32"/>
        </w:rPr>
      </w:pPr>
      <w:r>
        <w:rPr>
          <w:rFonts w:hint="eastAsia" w:ascii="黑体" w:hAnsi="黑体" w:eastAsia="黑体" w:cs="黑体"/>
          <w:b/>
          <w:bCs/>
          <w:sz w:val="32"/>
          <w:szCs w:val="32"/>
        </w:rPr>
        <w:t>第一部分：</w:t>
      </w:r>
      <w:r>
        <w:rPr>
          <w:rFonts w:ascii="黑体" w:hAnsi="黑体" w:eastAsia="黑体" w:cs="黑体"/>
          <w:b/>
          <w:sz w:val="32"/>
        </w:rPr>
        <w:t>环江毛南族自治县川山镇初级中学</w:t>
      </w:r>
      <w:r>
        <w:rPr>
          <w:rFonts w:hint="eastAsia" w:ascii="黑体" w:hAnsi="黑体" w:eastAsia="黑体" w:cs="黑体"/>
          <w:b/>
          <w:bCs/>
          <w:sz w:val="32"/>
          <w:szCs w:val="32"/>
        </w:rPr>
        <w:t>概况</w:t>
      </w:r>
    </w:p>
    <w:p>
      <w:pPr>
        <w:jc w:val="left"/>
        <w:rPr>
          <w:rFonts w:ascii="仿宋" w:hAnsi="仿宋" w:eastAsia="仿宋" w:cs="仿宋"/>
          <w:sz w:val="32"/>
          <w:szCs w:val="32"/>
        </w:rPr>
      </w:pPr>
      <w:r>
        <w:rPr>
          <w:rFonts w:hint="eastAsia" w:ascii="黑体" w:hAnsi="黑体" w:eastAsia="黑体" w:cs="黑体"/>
          <w:sz w:val="32"/>
          <w:szCs w:val="32"/>
        </w:rPr>
        <w:t>一、主要职能</w:t>
      </w:r>
    </w:p>
    <w:p>
      <w:pPr>
        <w:ind w:firstLine="640" w:firstLineChars="20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实施初中义务教育，促进基础教育发展。初中学历教育（相关社会服务）。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ascii="黑体" w:hAnsi="黑体" w:eastAsia="黑体" w:cs="黑体"/>
          <w:sz w:val="32"/>
          <w:szCs w:val="32"/>
        </w:rPr>
      </w:pPr>
      <w:r>
        <w:rPr>
          <w:rFonts w:hint="eastAsia" w:ascii="仿宋_GB2312" w:eastAsia="仿宋_GB2312" w:cs="仿宋_GB2312"/>
          <w:kern w:val="0"/>
          <w:sz w:val="32"/>
          <w:szCs w:val="32"/>
          <w:highlight w:val="none"/>
        </w:rPr>
        <w:t>本单位为教育局下属机构，是最基层的预算单</w:t>
      </w:r>
      <w:r>
        <w:rPr>
          <w:rFonts w:hint="eastAsia" w:ascii="仿宋_GB2312" w:eastAsia="仿宋_GB2312" w:cs="仿宋_GB2312"/>
          <w:kern w:val="0"/>
          <w:sz w:val="32"/>
          <w:szCs w:val="32"/>
        </w:rPr>
        <w:t>位。</w:t>
      </w:r>
      <w:r>
        <w:rPr>
          <w:rFonts w:hint="eastAsia" w:ascii="仿宋" w:hAnsi="仿宋" w:eastAsia="仿宋" w:cs="仿宋"/>
          <w:sz w:val="32"/>
          <w:szCs w:val="32"/>
        </w:rPr>
        <w:t>没有下属单位，按照部门决算编报要求，单独编制本部门决算。</w:t>
      </w:r>
    </w:p>
    <w:p>
      <w:pPr>
        <w:jc w:val="center"/>
        <w:rPr>
          <w:rFonts w:ascii="仿宋" w:hAnsi="仿宋" w:eastAsia="仿宋" w:cs="仿宋"/>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rPr>
        <w:t>环江毛南族自治县川山镇初级中学</w:t>
      </w:r>
      <w:r>
        <w:rPr>
          <w:rFonts w:hint="eastAsia" w:ascii="黑体" w:hAnsi="黑体" w:eastAsia="黑体" w:cs="黑体"/>
          <w:sz w:val="32"/>
          <w:szCs w:val="32"/>
        </w:rPr>
        <w:t>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表一：收入支出决算总表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3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66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2669"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202"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02"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pPr>
            <w:r>
              <w:rPr>
                <w:rFonts w:hint="eastAsia"/>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r>
    </w:tbl>
    <w:p>
      <w:pPr>
        <w:rPr>
          <w:rFonts w:ascii="宋体" w:hAnsi="宋体" w:eastAsia="宋体" w:cs="宋体"/>
          <w:color w:val="000000"/>
          <w:kern w:val="0"/>
          <w:sz w:val="30"/>
          <w:szCs w:val="30"/>
          <w:lang w:bidi="ar"/>
        </w:rPr>
      </w:pPr>
      <w:r>
        <w:rPr>
          <w:rFonts w:hint="eastAsia" w:ascii="宋体" w:hAnsi="宋体" w:eastAsia="宋体" w:cs="宋体"/>
          <w:color w:val="000000"/>
          <w:kern w:val="0"/>
          <w:sz w:val="30"/>
          <w:szCs w:val="30"/>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表二：收入决算表</w:t>
            </w:r>
          </w:p>
          <w:p>
            <w:pPr>
              <w:jc w:val="left"/>
              <w:rPr>
                <w:rFonts w:ascii="仿宋" w:hAnsi="仿宋" w:eastAsia="仿宋" w:cs="仿宋"/>
                <w:sz w:val="24"/>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2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52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13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6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4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709"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1671.55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1671.55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1255.99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1255.99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28.72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28.72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注：本表反映部门本年度取得的各项收入情况。</w:t>
            </w:r>
          </w:p>
        </w:tc>
      </w:tr>
    </w:tbl>
    <w:p>
      <w:pPr>
        <w:jc w:val="center"/>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表三：支出决算表</w:t>
      </w:r>
    </w:p>
    <w:p>
      <w:pPr>
        <w:jc w:val="left"/>
        <w:rPr>
          <w:rFonts w:ascii="仿宋" w:hAnsi="仿宋" w:eastAsia="仿宋" w:cs="仿宋"/>
          <w:sz w:val="24"/>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30"/>
                <w:szCs w:val="30"/>
              </w:rPr>
            </w:pPr>
            <w:r>
              <w:rPr>
                <w:rFonts w:hint="eastAsia" w:ascii="宋体" w:hAnsi="宋体" w:eastAsia="宋体" w:cs="宋体"/>
                <w:color w:val="000000"/>
                <w:kern w:val="0"/>
                <w:sz w:val="32"/>
                <w:szCs w:val="32"/>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3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303" w:type="dxa"/>
            <w:gridSpan w:val="2"/>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2222"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27"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nil"/>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1653"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654" w:type="dxa"/>
            <w:tcBorders>
              <w:top w:val="nil"/>
              <w:left w:val="nil"/>
              <w:bottom w:val="single" w:color="auto" w:sz="4" w:space="0"/>
              <w:right w:val="nil"/>
            </w:tcBorders>
            <w:shd w:val="clear" w:color="auto" w:fill="auto"/>
            <w:noWrap/>
            <w:vAlign w:val="center"/>
          </w:tcPr>
          <w:p>
            <w:pPr>
              <w:rPr>
                <w:rFonts w:ascii="Arial" w:hAnsi="Arial" w:cs="Arial"/>
                <w:color w:val="000000"/>
                <w:sz w:val="20"/>
                <w:szCs w:val="20"/>
              </w:rPr>
            </w:pPr>
          </w:p>
        </w:tc>
        <w:tc>
          <w:tcPr>
            <w:tcW w:w="1702" w:type="dxa"/>
            <w:tcBorders>
              <w:top w:val="nil"/>
              <w:left w:val="nil"/>
              <w:bottom w:val="single" w:color="auto" w:sz="4" w:space="0"/>
              <w:right w:val="nil"/>
            </w:tcBorders>
            <w:shd w:val="clear" w:color="auto" w:fill="auto"/>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1671.55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1469.33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202.22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ascii="宋体" w:hAnsi="宋体" w:eastAsia="宋体" w:cs="宋体"/>
                <w:b/>
                <w:bCs/>
                <w:color w:val="000000"/>
                <w:sz w:val="22"/>
                <w:szCs w:val="22"/>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1255.99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28.72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1255.99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28.72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1255.99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1255.99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28.72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28.72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注：本表反映部门本年度各项支出情况。</w:t>
            </w:r>
          </w:p>
        </w:tc>
      </w:tr>
    </w:tbl>
    <w:p>
      <w:pPr>
        <w:rPr>
          <w:rFonts w:ascii="仿宋" w:hAnsi="仿宋" w:eastAsia="仿宋" w:cs="仿宋"/>
          <w:sz w:val="24"/>
        </w:rPr>
      </w:pPr>
      <w:r>
        <w:rPr>
          <w:rFonts w:ascii="仿宋" w:hAnsi="仿宋" w:eastAsia="仿宋" w:cs="仿宋"/>
          <w:sz w:val="24"/>
        </w:rPr>
        <w:br w:type="page"/>
      </w:r>
    </w:p>
    <w:p>
      <w:pPr>
        <w:jc w:val="center"/>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表四：财政拨款收入支出决算总表</w:t>
      </w:r>
    </w:p>
    <w:p>
      <w:pPr>
        <w:jc w:val="left"/>
        <w:rPr>
          <w:rFonts w:ascii="仿宋" w:hAnsi="仿宋" w:eastAsia="仿宋" w:cs="仿宋"/>
          <w:sz w:val="24"/>
        </w:rPr>
      </w:pPr>
    </w:p>
    <w:tbl>
      <w:tblPr>
        <w:tblStyle w:val="7"/>
        <w:tblW w:w="4966" w:type="pct"/>
        <w:tblInd w:w="0" w:type="dxa"/>
        <w:tblLayout w:type="fixed"/>
        <w:tblCellMar>
          <w:top w:w="0" w:type="dxa"/>
          <w:left w:w="108" w:type="dxa"/>
          <w:bottom w:w="0" w:type="dxa"/>
          <w:right w:w="108" w:type="dxa"/>
        </w:tblCellMar>
      </w:tblPr>
      <w:tblGrid>
        <w:gridCol w:w="2213"/>
        <w:gridCol w:w="786"/>
        <w:gridCol w:w="1306"/>
        <w:gridCol w:w="2359"/>
        <w:gridCol w:w="850"/>
        <w:gridCol w:w="1090"/>
        <w:gridCol w:w="1771"/>
        <w:gridCol w:w="1808"/>
        <w:gridCol w:w="1895"/>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7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629"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40" w:type="pct"/>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672" w:type="pct"/>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16.02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16.02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1284.71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1284.71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113.25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113.25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84.07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84.07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173.49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173.49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1671.55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1671.55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1671.55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注：本表反映部门本年度一般公共预算财政拨款、政府性基金预算财政拨款和国有资本经营预算财政拨款的总收支和年末结转结余情况。</w:t>
            </w: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c>
          <w:tcPr>
            <w:tcW w:w="672" w:type="pct"/>
            <w:tcBorders>
              <w:top w:val="single" w:color="auto" w:sz="4" w:space="0"/>
              <w:left w:val="nil"/>
              <w:bottom w:val="nil"/>
              <w:right w:val="nil"/>
            </w:tcBorders>
            <w:shd w:val="clear" w:color="auto" w:fill="auto"/>
            <w:noWrap/>
            <w:vAlign w:val="center"/>
          </w:tcPr>
          <w:p>
            <w:pPr>
              <w:jc w:val="left"/>
              <w:rPr>
                <w:rFonts w:ascii="宋体" w:hAnsi="宋体" w:eastAsia="宋体" w:cs="宋体"/>
                <w:color w:val="000000"/>
                <w:sz w:val="20"/>
                <w:szCs w:val="20"/>
              </w:rPr>
            </w:pP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表五：一般公共预算财政拨款支出决算表</w:t>
      </w:r>
    </w:p>
    <w:p>
      <w:pPr>
        <w:jc w:val="left"/>
        <w:rPr>
          <w:rFonts w:ascii="仿宋" w:hAnsi="仿宋" w:eastAsia="仿宋" w:cs="仿宋"/>
          <w:sz w:val="24"/>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052"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3107"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2889"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ascii="宋体" w:hAnsi="宋体" w:eastAsia="宋体" w:cs="宋体"/>
                <w:b/>
                <w:bCs/>
                <w:color w:val="000000"/>
                <w:sz w:val="22"/>
                <w:szCs w:val="22"/>
              </w:rPr>
              <w:t>1671.55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1469.33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202.22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1284.71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1255.99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28.72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1284.71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1255.99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28.72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1255.99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1255.99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28.72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28.72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84.07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84.07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84.07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84.07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84.07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84.07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173.49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173.49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173.49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173.49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sz w:val="22"/>
                <w:szCs w:val="22"/>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sz w:val="22"/>
                <w:szCs w:val="22"/>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173.49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173.49</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注：本表反映部门本年度一般公共预算财政拨款支出情况。</w:t>
            </w:r>
          </w:p>
        </w:tc>
      </w:tr>
    </w:tbl>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表六：一般公共预算财政拨款基本支出决算表</w:t>
      </w:r>
    </w:p>
    <w:p>
      <w:pPr>
        <w:jc w:val="left"/>
        <w:rPr>
          <w:rFonts w:ascii="仿宋" w:hAnsi="仿宋" w:eastAsia="仿宋" w:cs="仿宋"/>
          <w:sz w:val="24"/>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7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0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14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09"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116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173"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3456" w:type="dxa"/>
            <w:gridSpan w:val="2"/>
            <w:tcBorders>
              <w:top w:val="nil"/>
              <w:left w:val="nil"/>
              <w:bottom w:val="single" w:color="auto" w:sz="4" w:space="0"/>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科目编码</w:t>
            </w:r>
          </w:p>
          <w:p>
            <w:pPr>
              <w:widowControl/>
              <w:jc w:val="center"/>
              <w:textAlignment w:val="center"/>
              <w:rPr>
                <w:rFonts w:ascii="宋体" w:hAnsi="宋体" w:eastAsia="宋体" w:cs="宋体"/>
                <w:color w:val="000000"/>
                <w:sz w:val="22"/>
                <w:szCs w:val="22"/>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1151.99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37.00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501.17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66.85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82.05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4.95</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184.91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4.95</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113.25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0.93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0.66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54.82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2.69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6.75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84.07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58.49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275.40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8.15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40.80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221.98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16.02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4.46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人员经费合计</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2"/>
                <w:szCs w:val="22"/>
              </w:rPr>
            </w:pPr>
            <w:bookmarkStart w:id="0" w:name="OLE_LINK3"/>
            <w:bookmarkEnd w:id="0"/>
            <w:bookmarkStart w:id="1" w:name="OLE_LINK4"/>
            <w:bookmarkEnd w:id="1"/>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1427.39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2"/>
                <w:szCs w:val="22"/>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41.94</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注：本表反映部门本年度一般公共预算财政拨款基本支出明细情况。</w:t>
            </w:r>
          </w:p>
        </w:tc>
      </w:tr>
    </w:tbl>
    <w:p>
      <w:pPr>
        <w:jc w:val="left"/>
        <w:rPr>
          <w:rFonts w:ascii="仿宋" w:hAnsi="仿宋" w:eastAsia="仿宋" w:cs="仿宋"/>
          <w:sz w:val="24"/>
        </w:rPr>
      </w:pPr>
    </w:p>
    <w:p>
      <w:pPr>
        <w:rPr>
          <w:rFonts w:ascii="仿宋" w:hAnsi="仿宋" w:eastAsia="仿宋" w:cs="仿宋"/>
          <w:sz w:val="24"/>
        </w:rPr>
      </w:pPr>
      <w:r>
        <w:rPr>
          <w:rFonts w:ascii="仿宋" w:hAnsi="仿宋" w:eastAsia="仿宋" w:cs="仿宋"/>
          <w:sz w:val="24"/>
        </w:rPr>
        <w:br w:type="page"/>
      </w:r>
    </w:p>
    <w:p>
      <w:pPr>
        <w:jc w:val="left"/>
        <w:rPr>
          <w:rFonts w:ascii="仿宋" w:hAnsi="仿宋" w:eastAsia="仿宋" w:cs="仿宋"/>
          <w:sz w:val="24"/>
        </w:rPr>
      </w:pPr>
      <w:r>
        <w:rPr>
          <w:rFonts w:hint="eastAsia" w:ascii="仿宋" w:hAnsi="仿宋" w:eastAsia="仿宋" w:cs="仿宋"/>
          <w:sz w:val="24"/>
        </w:rPr>
        <w:t>表七：政府性基金预算财政拨款收入支出决算表</w:t>
      </w:r>
    </w:p>
    <w:p>
      <w:pPr>
        <w:jc w:val="left"/>
        <w:rPr>
          <w:rFonts w:ascii="仿宋" w:hAnsi="仿宋" w:eastAsia="仿宋" w:cs="仿宋"/>
          <w:sz w:val="24"/>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30"/>
        <w:gridCol w:w="1948"/>
      </w:tblGrid>
      <w:tr>
        <w:tblPrEx>
          <w:tblCellMar>
            <w:top w:w="0" w:type="dxa"/>
            <w:left w:w="108" w:type="dxa"/>
            <w:bottom w:w="0" w:type="dxa"/>
            <w:right w:w="108" w:type="dxa"/>
          </w:tblCellMar>
        </w:tblPrEx>
        <w:trPr>
          <w:trHeight w:val="536" w:hRule="atLeast"/>
        </w:trPr>
        <w:tc>
          <w:tcPr>
            <w:tcW w:w="13982" w:type="dxa"/>
            <w:gridSpan w:val="10"/>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7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108" w:type="dxa"/>
            <w:bottom w:w="0" w:type="dxa"/>
            <w:right w:w="108" w:type="dxa"/>
          </w:tblCellMar>
        </w:tblPrEx>
        <w:trPr>
          <w:trHeight w:val="268" w:hRule="atLeast"/>
        </w:trPr>
        <w:tc>
          <w:tcPr>
            <w:tcW w:w="8624" w:type="dxa"/>
            <w:gridSpan w:val="7"/>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168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730" w:type="dxa"/>
            <w:tcBorders>
              <w:top w:val="nil"/>
              <w:left w:val="nil"/>
              <w:bottom w:val="single" w:color="auto" w:sz="4" w:space="0"/>
              <w:right w:val="nil"/>
            </w:tcBorders>
            <w:shd w:val="clear" w:color="auto" w:fill="auto"/>
            <w:noWrap/>
            <w:vAlign w:val="bottom"/>
          </w:tcPr>
          <w:p>
            <w:pPr>
              <w:rPr>
                <w:rFonts w:ascii="Arial" w:hAnsi="Arial" w:cs="Arial"/>
                <w:color w:val="000000"/>
                <w:sz w:val="20"/>
                <w:szCs w:val="20"/>
              </w:rPr>
            </w:pPr>
          </w:p>
        </w:tc>
        <w:tc>
          <w:tcPr>
            <w:tcW w:w="1948" w:type="dxa"/>
            <w:tcBorders>
              <w:top w:val="nil"/>
              <w:left w:val="nil"/>
              <w:bottom w:val="single" w:color="auto" w:sz="4" w:space="0"/>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本年收入</w:t>
            </w:r>
          </w:p>
        </w:tc>
        <w:tc>
          <w:tcPr>
            <w:tcW w:w="50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c>
          <w:tcPr>
            <w:tcW w:w="19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年末结转和结余</w:t>
            </w:r>
          </w:p>
        </w:tc>
      </w:tr>
      <w:tr>
        <w:tblPrEx>
          <w:tblCellMar>
            <w:top w:w="0" w:type="dxa"/>
            <w:left w:w="108" w:type="dxa"/>
            <w:bottom w:w="0" w:type="dxa"/>
            <w:right w:w="108" w:type="dxa"/>
          </w:tblCellMar>
        </w:tblPrEx>
        <w:trPr>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1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9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r>
      <w:tr>
        <w:tblPrEx>
          <w:tblCellMar>
            <w:top w:w="0" w:type="dxa"/>
            <w:left w:w="108" w:type="dxa"/>
            <w:bottom w:w="0" w:type="dxa"/>
            <w:right w:w="108" w:type="dxa"/>
          </w:tblCellMar>
        </w:tblPrEx>
        <w:trPr>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sz w:val="22"/>
                <w:szCs w:val="22"/>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7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9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r>
      <w:tr>
        <w:tblPrEx>
          <w:tblCellMar>
            <w:top w:w="0" w:type="dxa"/>
            <w:left w:w="108" w:type="dxa"/>
            <w:bottom w:w="0" w:type="dxa"/>
            <w:right w:w="108" w:type="dxa"/>
          </w:tblCellMar>
        </w:tblPrEx>
        <w:trPr>
          <w:trHeight w:val="277" w:hRule="atLeast"/>
        </w:trPr>
        <w:tc>
          <w:tcPr>
            <w:tcW w:w="13982" w:type="dxa"/>
            <w:gridSpan w:val="10"/>
            <w:tcBorders>
              <w:top w:val="nil"/>
              <w:left w:val="nil"/>
              <w:bottom w:val="nil"/>
              <w:right w:val="nil"/>
            </w:tcBorders>
            <w:shd w:val="clear" w:color="auto" w:fill="auto"/>
            <w:noWrap/>
            <w:vAlign w:val="center"/>
          </w:tcPr>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注：本表反映部门本年度政府性基金预算财政拨款收入、支出及结转和结余情况。</w:t>
            </w:r>
          </w:p>
          <w:p>
            <w:pPr>
              <w:rPr>
                <w:rFonts w:ascii="宋体" w:hAnsi="宋体" w:eastAsia="宋体" w:cs="宋体"/>
                <w:kern w:val="0"/>
                <w:sz w:val="22"/>
                <w:szCs w:val="22"/>
                <w:lang w:bidi="ar"/>
              </w:rPr>
            </w:pPr>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年度没有政府性基金预算财政拨款收入，也没有政府性基金预算财政拨款安排的支出，故本表无数据。</w:t>
            </w:r>
          </w:p>
        </w:tc>
      </w:tr>
    </w:tbl>
    <w:p>
      <w:pPr>
        <w:tabs>
          <w:tab w:val="left" w:pos="9844"/>
        </w:tabs>
        <w:rPr>
          <w:rFonts w:ascii="仿宋" w:hAnsi="仿宋" w:eastAsia="仿宋" w:cs="仿宋"/>
          <w:sz w:val="24"/>
        </w:rPr>
      </w:pPr>
      <w:r>
        <w:rPr>
          <w:rFonts w:ascii="仿宋" w:hAnsi="仿宋" w:eastAsia="仿宋" w:cs="仿宋"/>
          <w:sz w:val="24"/>
        </w:rPr>
        <w:br w:type="page"/>
      </w:r>
      <w:r>
        <w:rPr>
          <w:rFonts w:ascii="仿宋" w:hAnsi="仿宋" w:eastAsia="仿宋" w:cs="仿宋"/>
          <w:sz w:val="24"/>
        </w:rPr>
        <w:tab/>
      </w: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表八：国有资本经营预算财政拨款支出决算表</w:t>
      </w:r>
    </w:p>
    <w:p>
      <w:pPr>
        <w:jc w:val="left"/>
        <w:rPr>
          <w:rFonts w:ascii="仿宋" w:hAnsi="仿宋" w:eastAsia="仿宋" w:cs="仿宋"/>
          <w:sz w:val="24"/>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6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9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313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065"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99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1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306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b/>
                <w:bCs/>
                <w:color w:val="000000"/>
                <w:sz w:val="22"/>
                <w:szCs w:val="22"/>
              </w:rPr>
            </w:pPr>
            <w:r>
              <w:rPr>
                <w:rFonts w:hint="eastAsia" w:ascii="宋体" w:hAnsi="宋体" w:eastAsia="宋体" w:cs="宋体"/>
                <w:b/>
                <w:bCs/>
                <w:color w:val="000000"/>
                <w:sz w:val="22"/>
                <w:szCs w:val="22"/>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szCs w:val="22"/>
              </w:rPr>
            </w:pPr>
          </w:p>
        </w:tc>
        <w:tc>
          <w:tcPr>
            <w:tcW w:w="299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13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306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r>
    </w:tbl>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注：本表反映部门本年度国有资本经营预算财政拨款支出情况。</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年度没有政府性基金预算财政拨款收入，也没有政府性基金预算财政拨款安排的支出，故本表无数据。</w:t>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p>
            <w:pPr>
              <w:widowControl/>
              <w:jc w:val="left"/>
              <w:textAlignment w:val="center"/>
              <w:rPr>
                <w:rFonts w:ascii="宋体" w:hAnsi="宋体" w:eastAsia="宋体" w:cs="宋体"/>
                <w:color w:val="000000"/>
                <w:kern w:val="0"/>
                <w:sz w:val="22"/>
                <w:szCs w:val="22"/>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jc w:val="left"/>
              <w:rPr>
                <w:rFonts w:ascii="仿宋" w:hAnsi="仿宋" w:eastAsia="仿宋" w:cs="仿宋"/>
                <w:sz w:val="24"/>
              </w:rPr>
            </w:pPr>
            <w:r>
              <w:rPr>
                <w:rFonts w:hint="eastAsia" w:ascii="仿宋" w:hAnsi="仿宋" w:eastAsia="仿宋" w:cs="仿宋"/>
                <w:sz w:val="24"/>
              </w:rPr>
              <w:t>表九：财政拨款“三公”经费支出决算表</w:t>
            </w:r>
          </w:p>
          <w:p>
            <w:pPr>
              <w:widowControl/>
              <w:jc w:val="center"/>
              <w:textAlignment w:val="bottom"/>
              <w:rPr>
                <w:rFonts w:ascii="宋体" w:hAnsi="宋体" w:eastAsia="宋体" w:cs="宋体"/>
                <w:color w:val="000000"/>
                <w:kern w:val="0"/>
                <w:sz w:val="30"/>
                <w:szCs w:val="30"/>
                <w:lang w:bidi="ar"/>
              </w:rPr>
            </w:pPr>
          </w:p>
          <w:p>
            <w:pPr>
              <w:widowControl/>
              <w:jc w:val="center"/>
              <w:textAlignment w:val="bottom"/>
              <w:rPr>
                <w:rFonts w:ascii="宋体" w:hAnsi="宋体" w:eastAsia="宋体" w:cs="宋体"/>
                <w:color w:val="000000"/>
                <w:sz w:val="30"/>
                <w:szCs w:val="30"/>
              </w:rPr>
            </w:pPr>
            <w:r>
              <w:rPr>
                <w:rFonts w:hint="eastAsia" w:ascii="宋体" w:hAnsi="宋体" w:eastAsia="宋体" w:cs="宋体"/>
                <w:color w:val="000000"/>
                <w:kern w:val="0"/>
                <w:sz w:val="32"/>
                <w:szCs w:val="32"/>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59"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40"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3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73" w:type="dxa"/>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ascii="宋体" w:hAnsi="宋体" w:eastAsia="宋体" w:cs="宋体"/>
                <w:color w:val="000000"/>
                <w:sz w:val="20"/>
              </w:rPr>
              <w:t>环江毛南族自治县川山镇初级中学</w:t>
            </w:r>
          </w:p>
        </w:tc>
        <w:tc>
          <w:tcPr>
            <w:tcW w:w="1066"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053"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8" w:type="dxa"/>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206" w:type="dxa"/>
            <w:gridSpan w:val="2"/>
            <w:tcBorders>
              <w:top w:val="nil"/>
              <w:left w:val="nil"/>
              <w:bottom w:val="nil"/>
              <w:right w:val="nil"/>
            </w:tcBorders>
            <w:shd w:val="clear" w:color="auto" w:fill="auto"/>
            <w:noWrap/>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42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6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6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p>
            <w:pPr>
              <w:widowControl/>
              <w:jc w:val="center"/>
              <w:textAlignment w:val="center"/>
              <w:rPr>
                <w:rFonts w:ascii="宋体" w:hAnsi="宋体" w:eastAsia="宋体" w:cs="宋体"/>
                <w:color w:val="000000"/>
                <w:sz w:val="22"/>
                <w:szCs w:val="22"/>
              </w:rPr>
            </w:pPr>
          </w:p>
        </w:tc>
        <w:tc>
          <w:tcPr>
            <w:tcW w:w="142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109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115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10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11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105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11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113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107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ascii="宋体" w:hAnsi="宋体" w:eastAsia="宋体" w:cs="宋体"/>
                <w:color w:val="000000"/>
                <w:sz w:val="22"/>
                <w:szCs w:val="22"/>
              </w:rPr>
              <w:t>0.00</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05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0.00</w:t>
            </w:r>
          </w:p>
        </w:tc>
        <w:tc>
          <w:tcPr>
            <w:tcW w:w="1133" w:type="dxa"/>
            <w:tcBorders>
              <w:top w:val="nil"/>
              <w:left w:val="nil"/>
              <w:bottom w:val="single" w:color="000000" w:sz="4" w:space="0"/>
              <w:right w:val="single" w:color="000000" w:sz="4" w:space="0"/>
            </w:tcBorders>
            <w:shd w:val="clear" w:color="auto" w:fill="auto"/>
            <w:noWrap/>
          </w:tcPr>
          <w:p>
            <w:pPr>
              <w:jc w:val="right"/>
            </w:pPr>
            <w:r>
              <w:t>0.00</w:t>
            </w:r>
          </w:p>
        </w:tc>
        <w:tc>
          <w:tcPr>
            <w:tcW w:w="1073" w:type="dxa"/>
            <w:tcBorders>
              <w:top w:val="nil"/>
              <w:left w:val="nil"/>
              <w:bottom w:val="single" w:color="000000" w:sz="4" w:space="0"/>
              <w:right w:val="single" w:color="000000" w:sz="4" w:space="0"/>
            </w:tcBorders>
            <w:shd w:val="clear" w:color="auto" w:fill="auto"/>
            <w:noWrap/>
          </w:tcPr>
          <w:p>
            <w:pPr>
              <w:jc w:val="right"/>
            </w:pPr>
            <w:r>
              <w:rPr>
                <w:rFonts w:hint="eastAsia"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szCs w:val="21"/>
                <w:lang w:bidi="ar"/>
              </w:rPr>
              <w:t>本部门</w:t>
            </w:r>
            <w:r>
              <w:rPr>
                <w:rFonts w:ascii="Times New Roman" w:hAnsi="Times New Roman" w:eastAsia="宋体" w:cs="Times New Roman"/>
                <w:szCs w:val="21"/>
                <w:lang w:bidi="ar"/>
              </w:rPr>
              <w:t>2022</w:t>
            </w:r>
            <w:r>
              <w:rPr>
                <w:rFonts w:hint="eastAsia" w:ascii="宋体" w:hAnsi="宋体" w:eastAsia="宋体" w:cs="宋体"/>
                <w:szCs w:val="21"/>
                <w:lang w:bidi="ar"/>
              </w:rPr>
              <w:t>年度没有政府性基金预算财政拨款收入，也没有政府性基金预算财政拨款安排的支出，故本表无数据。</w:t>
            </w:r>
          </w:p>
        </w:tc>
      </w:tr>
    </w:tbl>
    <w:p>
      <w:pPr>
        <w:ind w:firstLine="420"/>
        <w:jc w:val="left"/>
        <w:rPr>
          <w:rFonts w:ascii="仿宋" w:hAnsi="仿宋" w:eastAsia="仿宋" w:cs="仿宋"/>
          <w:sz w:val="24"/>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rPr>
      </w:pPr>
    </w:p>
    <w:p>
      <w:pPr>
        <w:jc w:val="center"/>
        <w:rPr>
          <w:rFonts w:ascii="仿宋" w:hAnsi="仿宋" w:eastAsia="仿宋" w:cs="仿宋"/>
          <w:sz w:val="32"/>
          <w:szCs w:val="32"/>
        </w:rPr>
      </w:pPr>
      <w:r>
        <w:rPr>
          <w:rFonts w:hint="eastAsia" w:ascii="黑体" w:hAnsi="黑体" w:eastAsia="黑体" w:cs="黑体"/>
          <w:sz w:val="32"/>
          <w:szCs w:val="32"/>
        </w:rPr>
        <w:t>第三部分：</w:t>
      </w:r>
      <w:r>
        <w:rPr>
          <w:rFonts w:ascii="黑体" w:hAnsi="黑体" w:eastAsia="黑体" w:cs="黑体"/>
          <w:sz w:val="32"/>
        </w:rPr>
        <w:t>环江毛南族自治县川山镇初级中学</w:t>
      </w:r>
      <w:r>
        <w:rPr>
          <w:rFonts w:hint="eastAsia" w:ascii="黑体" w:hAnsi="黑体" w:eastAsia="黑体" w:cs="黑体"/>
          <w:sz w:val="32"/>
          <w:szCs w:val="32"/>
        </w:rPr>
        <w:t>2022年度部门决算情况说明</w:t>
      </w:r>
    </w:p>
    <w:p>
      <w:pPr>
        <w:jc w:val="left"/>
        <w:rPr>
          <w:rFonts w:ascii="黑体" w:hAnsi="黑体" w:eastAsia="黑体" w:cs="黑体"/>
          <w:sz w:val="32"/>
          <w:szCs w:val="32"/>
        </w:rPr>
      </w:pPr>
      <w:r>
        <w:rPr>
          <w:rFonts w:hint="eastAsia" w:ascii="黑体" w:hAnsi="黑体" w:eastAsia="黑体" w:cs="黑体"/>
          <w:sz w:val="32"/>
          <w:szCs w:val="32"/>
        </w:rPr>
        <w:t>一、2022年度收入支出决算总体情况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（一）本部门2022年度总收入</w:t>
      </w:r>
      <w:r>
        <w:rPr>
          <w:rFonts w:ascii="仿宋" w:hAnsi="仿宋" w:eastAsia="仿宋" w:cs="仿宋"/>
          <w:sz w:val="32"/>
        </w:rPr>
        <w:t>1671.55</w:t>
      </w:r>
      <w:r>
        <w:rPr>
          <w:rFonts w:hint="eastAsia" w:ascii="仿宋" w:hAnsi="仿宋" w:eastAsia="仿宋" w:cs="仿宋"/>
          <w:sz w:val="32"/>
          <w:szCs w:val="32"/>
        </w:rPr>
        <w:t>万元，较2021年度决算数</w:t>
      </w:r>
      <w:r>
        <w:rPr>
          <w:rFonts w:ascii="仿宋" w:hAnsi="仿宋" w:eastAsia="仿宋" w:cs="仿宋"/>
          <w:sz w:val="32"/>
        </w:rPr>
        <w:t>减少567.85</w:t>
      </w:r>
      <w:r>
        <w:rPr>
          <w:rFonts w:hint="eastAsia" w:ascii="仿宋" w:hAnsi="仿宋" w:eastAsia="仿宋" w:cs="仿宋"/>
          <w:sz w:val="32"/>
          <w:szCs w:val="32"/>
        </w:rPr>
        <w:t>万元，</w:t>
      </w:r>
      <w:r>
        <w:rPr>
          <w:rFonts w:ascii="仿宋" w:hAnsi="仿宋" w:eastAsia="仿宋" w:cs="仿宋"/>
          <w:sz w:val="32"/>
        </w:rPr>
        <w:t>下降25.36%</w:t>
      </w:r>
      <w:r>
        <w:rPr>
          <w:rFonts w:hint="eastAsia" w:ascii="仿宋" w:hAnsi="仿宋" w:eastAsia="仿宋" w:cs="仿宋"/>
          <w:sz w:val="32"/>
          <w:szCs w:val="32"/>
        </w:rPr>
        <w:t>，其中本年收入</w:t>
      </w:r>
      <w:r>
        <w:rPr>
          <w:rFonts w:ascii="仿宋" w:hAnsi="仿宋" w:eastAsia="仿宋" w:cs="仿宋"/>
          <w:sz w:val="32"/>
        </w:rPr>
        <w:t>1671.55</w:t>
      </w:r>
      <w:r>
        <w:rPr>
          <w:rFonts w:hint="eastAsia" w:ascii="仿宋" w:hAnsi="仿宋" w:eastAsia="仿宋" w:cs="仿宋"/>
          <w:sz w:val="32"/>
          <w:szCs w:val="32"/>
        </w:rPr>
        <w:t>万元。收入具体情况如下。</w:t>
      </w:r>
    </w:p>
    <w:p>
      <w:pPr>
        <w:autoSpaceDE w:val="0"/>
        <w:autoSpaceDN w:val="0"/>
        <w:adjustRightInd w:val="0"/>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lang w:bidi="ar"/>
        </w:rPr>
        <w:t>1.一般公共预算财政拨款收入</w:t>
      </w:r>
      <w:r>
        <w:rPr>
          <w:rFonts w:ascii="仿宋" w:hAnsi="仿宋" w:eastAsia="仿宋" w:cs="仿宋"/>
          <w:sz w:val="32"/>
        </w:rPr>
        <w:t>1671.55</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减少144.30</w:t>
      </w:r>
      <w:r>
        <w:rPr>
          <w:rFonts w:hint="eastAsia" w:ascii="仿宋" w:hAnsi="仿宋" w:eastAsia="仿宋" w:cs="仿宋"/>
          <w:sz w:val="32"/>
          <w:szCs w:val="32"/>
          <w:lang w:bidi="ar"/>
        </w:rPr>
        <w:t>万元，</w:t>
      </w:r>
      <w:r>
        <w:rPr>
          <w:rFonts w:ascii="仿宋" w:hAnsi="仿宋" w:eastAsia="仿宋" w:cs="仿宋"/>
          <w:sz w:val="32"/>
        </w:rPr>
        <w:t>下降7.95%</w:t>
      </w:r>
      <w:r>
        <w:rPr>
          <w:rFonts w:hint="eastAsia" w:ascii="仿宋" w:hAnsi="仿宋" w:eastAsia="仿宋" w:cs="仿宋"/>
          <w:sz w:val="32"/>
          <w:szCs w:val="32"/>
          <w:lang w:bidi="ar"/>
        </w:rPr>
        <w:t>，</w:t>
      </w:r>
      <w:r>
        <w:rPr>
          <w:rFonts w:hint="eastAsia" w:ascii="仿宋" w:hAnsi="仿宋" w:eastAsia="仿宋" w:cs="仿宋"/>
          <w:color w:val="000000" w:themeColor="text1"/>
          <w:sz w:val="32"/>
          <w:szCs w:val="32"/>
          <w:lang w:bidi="ar"/>
          <w14:textFill>
            <w14:solidFill>
              <w14:schemeClr w14:val="tx1"/>
            </w14:solidFill>
          </w14:textFill>
        </w:rPr>
        <w:t>主要原因：</w:t>
      </w:r>
      <w:r>
        <w:rPr>
          <w:rFonts w:hint="eastAsia" w:ascii="Times New Roman" w:hAnsi="Times New Roman" w:eastAsia="仿宋_GB2312" w:cs="Times New Roman"/>
          <w:kern w:val="0"/>
          <w:sz w:val="32"/>
          <w:szCs w:val="32"/>
        </w:rPr>
        <w:t>一是人员减少，工资福利等支出相应减少，二是学生人数减少，相应的各项拨款也减少</w:t>
      </w:r>
      <w:r>
        <w:rPr>
          <w:rFonts w:ascii="Times New Roman" w:hAnsi="Times New Roman" w:eastAsia="仿宋_GB2312" w:cs="Times New Roman"/>
          <w:kern w:val="0"/>
          <w:sz w:val="32"/>
          <w:szCs w:val="32"/>
        </w:rPr>
        <w:t>。</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lang w:bidi="ar"/>
        </w:rPr>
        <w:t>2.政府性基金预算财政拨款收入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3.国有资本经营预算财政拨款收入</w:t>
      </w:r>
      <w:r>
        <w:rPr>
          <w:rFonts w:ascii="仿宋" w:hAnsi="仿宋" w:eastAsia="仿宋" w:cs="仿宋"/>
          <w:sz w:val="32"/>
        </w:rPr>
        <w:t>0.00</w:t>
      </w:r>
      <w:r>
        <w:rPr>
          <w:rFonts w:hint="eastAsia" w:ascii="仿宋" w:hAnsi="仿宋" w:eastAsia="仿宋" w:cs="仿宋"/>
          <w:sz w:val="32"/>
          <w:szCs w:val="32"/>
          <w:lang w:bidi="ar"/>
        </w:rPr>
        <w:t>万元。为</w:t>
      </w:r>
      <w:r>
        <w:rPr>
          <w:rFonts w:hint="eastAsia" w:ascii="仿宋" w:hAnsi="仿宋" w:eastAsia="仿宋" w:cs="仿宋"/>
          <w:sz w:val="32"/>
          <w:szCs w:val="32"/>
        </w:rPr>
        <w:t>环江毛南族自治县</w:t>
      </w:r>
      <w:r>
        <w:rPr>
          <w:rFonts w:hint="eastAsia" w:ascii="仿宋" w:hAnsi="仿宋" w:eastAsia="仿宋" w:cs="仿宋"/>
          <w:sz w:val="32"/>
          <w:szCs w:val="32"/>
          <w:lang w:bidi="ar"/>
        </w:rPr>
        <w:t>本级财政当年拨付的资金。较2021年度决算数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bidi="ar"/>
        </w:rPr>
        <w:t>4.上级补助收入</w:t>
      </w:r>
      <w:r>
        <w:rPr>
          <w:rFonts w:ascii="仿宋" w:hAnsi="仿宋" w:eastAsia="仿宋" w:cs="仿宋"/>
          <w:sz w:val="32"/>
        </w:rPr>
        <w:t>0.00</w:t>
      </w:r>
      <w:r>
        <w:rPr>
          <w:rFonts w:hint="eastAsia" w:ascii="仿宋" w:hAnsi="仿宋" w:eastAsia="仿宋" w:cs="仿宋"/>
          <w:sz w:val="32"/>
          <w:szCs w:val="32"/>
          <w:lang w:bidi="ar"/>
        </w:rPr>
        <w:t>万元，为上级部门当年拨付的资金。较2021年度决算数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5.事业收入</w:t>
      </w:r>
      <w:r>
        <w:rPr>
          <w:rFonts w:ascii="仿宋" w:hAnsi="仿宋" w:eastAsia="仿宋" w:cs="仿宋"/>
          <w:sz w:val="32"/>
        </w:rPr>
        <w:t>0.00</w:t>
      </w:r>
      <w:r>
        <w:rPr>
          <w:rFonts w:hint="eastAsia" w:ascii="仿宋" w:hAnsi="仿宋" w:eastAsia="仿宋" w:cs="仿宋"/>
          <w:sz w:val="32"/>
          <w:szCs w:val="32"/>
          <w:lang w:bidi="ar"/>
        </w:rPr>
        <w:t>万元，为事业单位开展业务活动取得的收入。较2021年度决算数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6.经</w:t>
      </w:r>
      <w:r>
        <w:rPr>
          <w:rFonts w:hint="eastAsia" w:ascii="仿宋" w:hAnsi="仿宋" w:eastAsia="仿宋" w:cs="仿宋"/>
          <w:sz w:val="32"/>
          <w:szCs w:val="32"/>
          <w:lang w:bidi="ar"/>
        </w:rPr>
        <w:t>营收入0.00万,为事业单位在业务活动之外开展非独立核算经营活动取得的收入。较2021年度决算数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7.附属单位上缴收入</w:t>
      </w:r>
      <w:r>
        <w:rPr>
          <w:rFonts w:ascii="仿宋" w:hAnsi="仿宋" w:eastAsia="仿宋" w:cs="仿宋"/>
          <w:sz w:val="32"/>
        </w:rPr>
        <w:t>0.00</w:t>
      </w:r>
      <w:r>
        <w:rPr>
          <w:rFonts w:hint="eastAsia" w:ascii="仿宋" w:hAnsi="仿宋" w:eastAsia="仿宋" w:cs="仿宋"/>
          <w:sz w:val="32"/>
          <w:szCs w:val="32"/>
          <w:lang w:bidi="ar"/>
        </w:rPr>
        <w:t>万元。较2021年度决算数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8.其他收入</w:t>
      </w:r>
      <w:r>
        <w:rPr>
          <w:rFonts w:ascii="仿宋" w:hAnsi="仿宋" w:eastAsia="仿宋" w:cs="仿宋"/>
          <w:sz w:val="32"/>
        </w:rPr>
        <w:t>0.00</w:t>
      </w:r>
      <w:r>
        <w:rPr>
          <w:rFonts w:hint="eastAsia" w:ascii="仿宋" w:hAnsi="仿宋" w:eastAsia="仿宋" w:cs="仿宋"/>
          <w:sz w:val="32"/>
          <w:szCs w:val="32"/>
          <w:lang w:bidi="ar"/>
        </w:rPr>
        <w:t>万元,为预算单位在“财政拨款收入”“事业收入”“经营收入”之外取得的收入。较2021年度决算数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9.使用非财政拨款结余</w:t>
      </w:r>
      <w:r>
        <w:rPr>
          <w:rFonts w:ascii="仿宋" w:hAnsi="仿宋" w:eastAsia="仿宋" w:cs="仿宋"/>
          <w:sz w:val="32"/>
        </w:rPr>
        <w:t>0.00</w:t>
      </w:r>
      <w:r>
        <w:rPr>
          <w:rFonts w:hint="eastAsia" w:ascii="仿宋" w:hAnsi="仿宋" w:eastAsia="仿宋" w:cs="仿宋"/>
          <w:sz w:val="32"/>
          <w:szCs w:val="32"/>
          <w:lang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增加0.00</w:t>
      </w:r>
      <w:r>
        <w:rPr>
          <w:rFonts w:hint="eastAsia" w:ascii="仿宋" w:hAnsi="仿宋" w:eastAsia="仿宋" w:cs="仿宋"/>
          <w:sz w:val="32"/>
          <w:szCs w:val="32"/>
          <w:lang w:bidi="ar"/>
        </w:rPr>
        <w:t>万元，</w:t>
      </w:r>
      <w:r>
        <w:rPr>
          <w:rFonts w:ascii="仿宋" w:hAnsi="仿宋" w:eastAsia="仿宋" w:cs="仿宋"/>
          <w:sz w:val="32"/>
        </w:rPr>
        <w:t>增长0%</w:t>
      </w:r>
      <w:r>
        <w:rPr>
          <w:rFonts w:hint="eastAsia" w:ascii="仿宋" w:hAnsi="仿宋" w:eastAsia="仿宋" w:cs="仿宋"/>
          <w:sz w:val="32"/>
          <w:szCs w:val="32"/>
          <w:lang w:bidi="ar"/>
        </w:rPr>
        <w:t>。</w:t>
      </w:r>
    </w:p>
    <w:p>
      <w:pPr>
        <w:ind w:firstLine="640" w:firstLineChars="200"/>
        <w:jc w:val="left"/>
        <w:rPr>
          <w:rFonts w:ascii="仿宋" w:hAnsi="仿宋" w:eastAsia="仿宋" w:cs="仿宋"/>
          <w:color w:val="FF0000"/>
          <w:sz w:val="32"/>
          <w:szCs w:val="32"/>
        </w:rPr>
      </w:pPr>
      <w:r>
        <w:rPr>
          <w:rFonts w:hint="eastAsia" w:ascii="仿宋" w:hAnsi="仿宋" w:eastAsia="仿宋" w:cs="仿宋"/>
          <w:sz w:val="32"/>
          <w:szCs w:val="32"/>
          <w:lang w:bidi="ar"/>
        </w:rPr>
        <w:t>10.上年结转和结余</w:t>
      </w:r>
      <w:r>
        <w:rPr>
          <w:rFonts w:ascii="仿宋" w:hAnsi="仿宋" w:eastAsia="仿宋" w:cs="仿宋"/>
          <w:sz w:val="32"/>
        </w:rPr>
        <w:t>0.00</w:t>
      </w:r>
      <w:r>
        <w:rPr>
          <w:rFonts w:hint="eastAsia" w:ascii="仿宋" w:hAnsi="仿宋" w:eastAsia="仿宋" w:cs="仿宋"/>
          <w:sz w:val="32"/>
          <w:szCs w:val="32"/>
          <w:lang w:bidi="ar"/>
        </w:rPr>
        <w:t>万元，为以前年度支出预算因客观条件变化未执行完毕、结转到本年度按有关规定继续使用的资金。较2021年度决算数</w:t>
      </w:r>
      <w:r>
        <w:rPr>
          <w:rFonts w:ascii="仿宋" w:hAnsi="仿宋" w:eastAsia="仿宋" w:cs="仿宋"/>
          <w:sz w:val="32"/>
        </w:rPr>
        <w:t>减少423.56</w:t>
      </w:r>
      <w:r>
        <w:rPr>
          <w:rFonts w:hint="eastAsia" w:ascii="仿宋" w:hAnsi="仿宋" w:eastAsia="仿宋" w:cs="仿宋"/>
          <w:sz w:val="32"/>
          <w:szCs w:val="32"/>
          <w:lang w:bidi="ar"/>
        </w:rPr>
        <w:t>万元，</w:t>
      </w:r>
      <w:r>
        <w:rPr>
          <w:rFonts w:ascii="仿宋" w:hAnsi="仿宋" w:eastAsia="仿宋" w:cs="仿宋"/>
          <w:sz w:val="32"/>
        </w:rPr>
        <w:t>下降100.00%</w:t>
      </w:r>
      <w:r>
        <w:rPr>
          <w:rFonts w:hint="eastAsia" w:ascii="仿宋" w:hAnsi="仿宋" w:eastAsia="仿宋" w:cs="仿宋"/>
          <w:sz w:val="32"/>
          <w:szCs w:val="32"/>
          <w:lang w:bidi="ar"/>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80000" cy="322897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（二）本部门2022年度总支出</w:t>
      </w:r>
      <w:r>
        <w:rPr>
          <w:rFonts w:ascii="仿宋" w:hAnsi="仿宋" w:eastAsia="仿宋" w:cs="仿宋"/>
          <w:sz w:val="32"/>
        </w:rPr>
        <w:t>1671.55</w:t>
      </w:r>
      <w:r>
        <w:rPr>
          <w:rFonts w:hint="eastAsia" w:ascii="仿宋" w:hAnsi="仿宋" w:eastAsia="仿宋" w:cs="仿宋"/>
          <w:sz w:val="32"/>
          <w:szCs w:val="32"/>
        </w:rPr>
        <w:t>万元，其中本年支出</w:t>
      </w:r>
      <w:r>
        <w:rPr>
          <w:rFonts w:ascii="仿宋" w:hAnsi="仿宋" w:eastAsia="仿宋" w:cs="仿宋"/>
          <w:sz w:val="32"/>
        </w:rPr>
        <w:t>1671.55</w:t>
      </w:r>
      <w:r>
        <w:rPr>
          <w:rFonts w:hint="eastAsia" w:ascii="仿宋" w:hAnsi="仿宋" w:eastAsia="仿宋" w:cs="仿宋"/>
          <w:sz w:val="32"/>
          <w:szCs w:val="32"/>
        </w:rPr>
        <w:t>万元，较2021年度决算数</w:t>
      </w:r>
      <w:r>
        <w:rPr>
          <w:rFonts w:ascii="仿宋" w:hAnsi="仿宋" w:eastAsia="仿宋" w:cs="仿宋"/>
          <w:sz w:val="32"/>
        </w:rPr>
        <w:t>减少567.85</w:t>
      </w:r>
      <w:r>
        <w:rPr>
          <w:rFonts w:hint="eastAsia" w:ascii="仿宋" w:hAnsi="仿宋" w:eastAsia="仿宋" w:cs="仿宋"/>
          <w:sz w:val="32"/>
          <w:szCs w:val="32"/>
        </w:rPr>
        <w:t>万元，</w:t>
      </w:r>
      <w:r>
        <w:rPr>
          <w:rFonts w:ascii="仿宋" w:hAnsi="仿宋" w:eastAsia="仿宋" w:cs="仿宋"/>
          <w:sz w:val="32"/>
        </w:rPr>
        <w:t>下降25.36%</w:t>
      </w:r>
      <w:r>
        <w:rPr>
          <w:rFonts w:hint="eastAsia" w:ascii="仿宋" w:hAnsi="仿宋" w:eastAsia="仿宋" w:cs="仿宋"/>
          <w:sz w:val="32"/>
          <w:szCs w:val="32"/>
        </w:rPr>
        <w:t>。支出具体情况如下：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rPr>
        <w:t>.</w:t>
      </w:r>
      <w:r>
        <w:rPr>
          <w:rFonts w:hint="eastAsia" w:ascii="仿宋" w:hAnsi="仿宋" w:eastAsia="仿宋" w:cs="仿宋"/>
          <w:sz w:val="32"/>
          <w:szCs w:val="32"/>
          <w:lang w:bidi="ar"/>
        </w:rPr>
        <w:t>一般公共服务支出</w:t>
      </w:r>
      <w:r>
        <w:rPr>
          <w:rFonts w:hint="eastAsia" w:ascii="仿宋" w:hAnsi="仿宋" w:eastAsia="仿宋" w:cs="仿宋"/>
          <w:sz w:val="32"/>
          <w:szCs w:val="32"/>
        </w:rPr>
        <w:t>（</w:t>
      </w:r>
      <w:r>
        <w:rPr>
          <w:rFonts w:hint="eastAsia" w:ascii="仿宋" w:hAnsi="仿宋" w:eastAsia="仿宋" w:cs="仿宋"/>
          <w:sz w:val="32"/>
          <w:szCs w:val="32"/>
          <w:lang w:bidi="ar"/>
        </w:rPr>
        <w:t>201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16.02</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仿宋" w:hAnsi="仿宋" w:eastAsia="仿宋" w:cs="仿宋"/>
          <w:sz w:val="32"/>
          <w:szCs w:val="32"/>
        </w:rPr>
        <w:t>工会经费。较2021年度决算数</w:t>
      </w:r>
      <w:r>
        <w:rPr>
          <w:rFonts w:hint="eastAsia" w:ascii="仿宋" w:hAnsi="仿宋" w:eastAsia="仿宋" w:cs="仿宋"/>
          <w:sz w:val="32"/>
          <w:szCs w:val="32"/>
          <w:lang w:bidi="ar"/>
        </w:rPr>
        <w:t>增加16.02</w:t>
      </w:r>
      <w:r>
        <w:rPr>
          <w:rFonts w:hint="eastAsia" w:ascii="仿宋" w:hAnsi="仿宋" w:eastAsia="仿宋" w:cs="仿宋"/>
          <w:sz w:val="32"/>
          <w:szCs w:val="32"/>
        </w:rPr>
        <w:t>万元，</w:t>
      </w:r>
      <w:r>
        <w:rPr>
          <w:rFonts w:hint="eastAsia" w:ascii="仿宋" w:hAnsi="仿宋" w:eastAsia="仿宋" w:cs="仿宋"/>
          <w:sz w:val="32"/>
          <w:szCs w:val="32"/>
          <w:lang w:bidi="ar"/>
        </w:rPr>
        <w:t>增长100%</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2021年本单位无该项目预算,本单位</w:t>
      </w:r>
      <w:r>
        <w:rPr>
          <w:rFonts w:hint="eastAsia" w:ascii="仿宋" w:hAnsi="仿宋" w:eastAsia="仿宋" w:cs="仿宋"/>
          <w:sz w:val="32"/>
          <w:szCs w:val="32"/>
        </w:rPr>
        <w:t>工会经费</w:t>
      </w:r>
      <w:r>
        <w:rPr>
          <w:rFonts w:hint="eastAsia" w:ascii="仿宋" w:hAnsi="仿宋" w:eastAsia="仿宋" w:cs="仿宋"/>
          <w:sz w:val="32"/>
          <w:szCs w:val="32"/>
          <w:lang w:bidi="ar"/>
        </w:rPr>
        <w:t>预算由主管单位统一预算。</w:t>
      </w:r>
    </w:p>
    <w:p>
      <w:pPr>
        <w:autoSpaceDE w:val="0"/>
        <w:autoSpaceDN w:val="0"/>
        <w:adjustRightInd w:val="0"/>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2</w:t>
      </w:r>
      <w:r>
        <w:rPr>
          <w:rFonts w:ascii="仿宋" w:hAnsi="仿宋" w:eastAsia="仿宋" w:cs="仿宋"/>
          <w:sz w:val="32"/>
        </w:rPr>
        <w:t>.</w:t>
      </w:r>
      <w:r>
        <w:rPr>
          <w:rFonts w:hint="eastAsia" w:ascii="仿宋" w:hAnsi="仿宋" w:eastAsia="仿宋" w:cs="仿宋"/>
          <w:sz w:val="32"/>
          <w:szCs w:val="32"/>
          <w:lang w:bidi="ar"/>
        </w:rPr>
        <w:t>教育支出</w:t>
      </w:r>
      <w:r>
        <w:rPr>
          <w:rFonts w:hint="eastAsia" w:ascii="仿宋" w:hAnsi="仿宋" w:eastAsia="仿宋" w:cs="仿宋"/>
          <w:sz w:val="32"/>
          <w:szCs w:val="32"/>
        </w:rPr>
        <w:t>（</w:t>
      </w:r>
      <w:r>
        <w:rPr>
          <w:rFonts w:hint="eastAsia" w:ascii="仿宋" w:hAnsi="仿宋" w:eastAsia="仿宋" w:cs="仿宋"/>
          <w:sz w:val="32"/>
          <w:szCs w:val="32"/>
          <w:lang w:bidi="ar"/>
        </w:rPr>
        <w:t>205</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1284.71</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ascii="Times New Roman" w:hAnsi="Times New Roman" w:eastAsia="仿宋_GB2312" w:cs="Times New Roman"/>
          <w:kern w:val="0"/>
          <w:sz w:val="32"/>
          <w:szCs w:val="32"/>
        </w:rPr>
        <w:t>主要用于</w:t>
      </w:r>
      <w:r>
        <w:rPr>
          <w:rFonts w:hint="eastAsia" w:ascii="Times New Roman" w:hAnsi="Times New Roman" w:eastAsia="仿宋_GB2312" w:cs="Times New Roman"/>
          <w:kern w:val="0"/>
          <w:sz w:val="32"/>
          <w:szCs w:val="32"/>
        </w:rPr>
        <w:t>人员基本工资，商品服务支出。</w:t>
      </w:r>
      <w:r>
        <w:rPr>
          <w:rFonts w:hint="eastAsia" w:ascii="仿宋" w:hAnsi="仿宋" w:eastAsia="仿宋" w:cs="仿宋"/>
          <w:sz w:val="32"/>
          <w:szCs w:val="32"/>
        </w:rPr>
        <w:t>较2021年度决算数</w:t>
      </w:r>
      <w:r>
        <w:rPr>
          <w:rFonts w:hint="eastAsia" w:ascii="仿宋" w:hAnsi="仿宋" w:eastAsia="仿宋" w:cs="仿宋"/>
          <w:sz w:val="32"/>
          <w:szCs w:val="32"/>
          <w:lang w:bidi="ar"/>
        </w:rPr>
        <w:t>减少352.54</w:t>
      </w:r>
      <w:r>
        <w:rPr>
          <w:rFonts w:hint="eastAsia" w:ascii="仿宋" w:hAnsi="仿宋" w:eastAsia="仿宋" w:cs="仿宋"/>
          <w:sz w:val="32"/>
          <w:szCs w:val="32"/>
        </w:rPr>
        <w:t>万元，</w:t>
      </w:r>
      <w:r>
        <w:rPr>
          <w:rFonts w:hint="eastAsia" w:ascii="仿宋" w:hAnsi="仿宋" w:eastAsia="仿宋" w:cs="仿宋"/>
          <w:sz w:val="32"/>
          <w:szCs w:val="32"/>
          <w:lang w:bidi="ar"/>
        </w:rPr>
        <w:t>下降21.53%</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Times New Roman" w:hAnsi="Times New Roman" w:eastAsia="仿宋_GB2312" w:cs="Times New Roman"/>
          <w:kern w:val="0"/>
          <w:sz w:val="32"/>
          <w:szCs w:val="32"/>
        </w:rPr>
        <w:t>一是人员减少，工资福利等支出相应减少，二是学生人数减少，相应的各项拨款也减少</w:t>
      </w:r>
      <w:r>
        <w:rPr>
          <w:rFonts w:ascii="Times New Roman" w:hAnsi="Times New Roman" w:eastAsia="仿宋_GB2312" w:cs="Times New Roman"/>
          <w:kern w:val="0"/>
          <w:sz w:val="32"/>
          <w:szCs w:val="32"/>
        </w:rPr>
        <w:t>。</w:t>
      </w: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hint="eastAsia" w:ascii="仿宋" w:hAnsi="仿宋" w:eastAsia="仿宋" w:cs="仿宋"/>
          <w:sz w:val="32"/>
          <w:szCs w:val="32"/>
        </w:rPr>
        <w:t>3</w:t>
      </w:r>
      <w:r>
        <w:rPr>
          <w:rFonts w:ascii="仿宋" w:hAnsi="仿宋" w:eastAsia="仿宋" w:cs="仿宋"/>
          <w:sz w:val="32"/>
        </w:rPr>
        <w:t>.</w:t>
      </w:r>
      <w:r>
        <w:rPr>
          <w:rFonts w:hint="eastAsia" w:ascii="仿宋" w:hAnsi="仿宋" w:eastAsia="仿宋" w:cs="仿宋"/>
          <w:sz w:val="32"/>
          <w:szCs w:val="32"/>
          <w:lang w:bidi="ar"/>
        </w:rPr>
        <w:t>社会保障和就业支出</w:t>
      </w:r>
      <w:r>
        <w:rPr>
          <w:rFonts w:hint="eastAsia" w:ascii="仿宋" w:hAnsi="仿宋" w:eastAsia="仿宋" w:cs="仿宋"/>
          <w:sz w:val="32"/>
          <w:szCs w:val="32"/>
        </w:rPr>
        <w:t>（</w:t>
      </w:r>
      <w:r>
        <w:rPr>
          <w:rFonts w:hint="eastAsia" w:ascii="仿宋" w:hAnsi="仿宋" w:eastAsia="仿宋" w:cs="仿宋"/>
          <w:sz w:val="32"/>
          <w:szCs w:val="32"/>
          <w:lang w:bidi="ar"/>
        </w:rPr>
        <w:t>208</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113.25</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Times New Roman" w:hAnsi="Times New Roman" w:eastAsia="仿宋_GB2312" w:cs="Times New Roman"/>
          <w:kern w:val="0"/>
          <w:sz w:val="32"/>
          <w:szCs w:val="32"/>
        </w:rPr>
        <w:t>主要用于单位基本养老缴费。</w:t>
      </w:r>
      <w:r>
        <w:rPr>
          <w:rFonts w:hint="eastAsia" w:ascii="仿宋" w:hAnsi="仿宋" w:eastAsia="仿宋" w:cs="仿宋"/>
          <w:sz w:val="32"/>
          <w:szCs w:val="32"/>
        </w:rPr>
        <w:t>较2021年度决算数</w:t>
      </w:r>
      <w:r>
        <w:rPr>
          <w:rFonts w:hint="eastAsia" w:ascii="仿宋" w:hAnsi="仿宋" w:eastAsia="仿宋" w:cs="仿宋"/>
          <w:sz w:val="32"/>
          <w:szCs w:val="32"/>
          <w:lang w:bidi="ar"/>
        </w:rPr>
        <w:t>减少155.80</w:t>
      </w:r>
      <w:r>
        <w:rPr>
          <w:rFonts w:hint="eastAsia" w:ascii="仿宋" w:hAnsi="仿宋" w:eastAsia="仿宋" w:cs="仿宋"/>
          <w:sz w:val="32"/>
          <w:szCs w:val="32"/>
        </w:rPr>
        <w:t>万元，</w:t>
      </w:r>
      <w:r>
        <w:rPr>
          <w:rFonts w:hint="eastAsia" w:ascii="仿宋" w:hAnsi="仿宋" w:eastAsia="仿宋" w:cs="仿宋"/>
          <w:sz w:val="32"/>
          <w:szCs w:val="32"/>
          <w:lang w:bidi="ar"/>
        </w:rPr>
        <w:t>下降57.91%</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Times New Roman" w:hAnsi="Times New Roman" w:eastAsia="仿宋_GB2312" w:cs="Times New Roman"/>
          <w:kern w:val="0"/>
          <w:sz w:val="32"/>
          <w:szCs w:val="32"/>
        </w:rPr>
        <w:t>人员减少</w:t>
      </w:r>
      <w:r>
        <w:rPr>
          <w:rFonts w:hint="eastAsia" w:ascii="仿宋" w:hAnsi="仿宋" w:eastAsia="仿宋" w:cs="仿宋"/>
          <w:sz w:val="32"/>
          <w:szCs w:val="32"/>
          <w:lang w:bidi="ar"/>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rPr>
        <w:t>.</w:t>
      </w:r>
      <w:r>
        <w:rPr>
          <w:rFonts w:hint="eastAsia" w:ascii="仿宋" w:hAnsi="仿宋" w:eastAsia="仿宋" w:cs="仿宋"/>
          <w:sz w:val="32"/>
          <w:szCs w:val="32"/>
          <w:lang w:bidi="ar"/>
        </w:rPr>
        <w:t>住房保障支出</w:t>
      </w:r>
      <w:r>
        <w:rPr>
          <w:rFonts w:hint="eastAsia" w:ascii="仿宋" w:hAnsi="仿宋" w:eastAsia="仿宋" w:cs="仿宋"/>
          <w:sz w:val="32"/>
          <w:szCs w:val="32"/>
        </w:rPr>
        <w:t>（</w:t>
      </w:r>
      <w:r>
        <w:rPr>
          <w:rFonts w:hint="eastAsia" w:ascii="仿宋" w:hAnsi="仿宋" w:eastAsia="仿宋" w:cs="仿宋"/>
          <w:sz w:val="32"/>
          <w:szCs w:val="32"/>
          <w:lang w:bidi="ar"/>
        </w:rPr>
        <w:t>221</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84.07</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Times New Roman" w:hAnsi="Times New Roman" w:eastAsia="仿宋_GB2312" w:cs="Times New Roman"/>
          <w:kern w:val="0"/>
          <w:sz w:val="32"/>
          <w:szCs w:val="32"/>
        </w:rPr>
        <w:t>主要用于住房公积金缴费。</w:t>
      </w:r>
      <w:r>
        <w:rPr>
          <w:rFonts w:hint="eastAsia" w:ascii="仿宋" w:hAnsi="仿宋" w:eastAsia="仿宋" w:cs="仿宋"/>
          <w:sz w:val="32"/>
          <w:szCs w:val="32"/>
        </w:rPr>
        <w:t>较2021年度决算数</w:t>
      </w:r>
      <w:r>
        <w:rPr>
          <w:rFonts w:hint="eastAsia" w:ascii="仿宋" w:hAnsi="仿宋" w:eastAsia="仿宋" w:cs="仿宋"/>
          <w:sz w:val="32"/>
          <w:szCs w:val="32"/>
          <w:lang w:bidi="ar"/>
        </w:rPr>
        <w:t>增加19.42</w:t>
      </w:r>
      <w:r>
        <w:rPr>
          <w:rFonts w:hint="eastAsia" w:ascii="仿宋" w:hAnsi="仿宋" w:eastAsia="仿宋" w:cs="仿宋"/>
          <w:sz w:val="32"/>
          <w:szCs w:val="32"/>
        </w:rPr>
        <w:t>万元，</w:t>
      </w:r>
      <w:r>
        <w:rPr>
          <w:rFonts w:hint="eastAsia" w:ascii="仿宋" w:hAnsi="仿宋" w:eastAsia="仿宋" w:cs="仿宋"/>
          <w:sz w:val="32"/>
          <w:szCs w:val="32"/>
          <w:lang w:bidi="ar"/>
        </w:rPr>
        <w:t>增长30.04%</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2022年收入增加，使得</w:t>
      </w:r>
      <w:r>
        <w:rPr>
          <w:rFonts w:hint="eastAsia" w:ascii="Times New Roman" w:hAnsi="Times New Roman" w:eastAsia="仿宋_GB2312" w:cs="Times New Roman"/>
          <w:kern w:val="0"/>
          <w:sz w:val="32"/>
          <w:szCs w:val="32"/>
        </w:rPr>
        <w:t>住房公积金扣缴基数提高。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rPr>
        <w:t>.</w:t>
      </w:r>
      <w:r>
        <w:rPr>
          <w:rFonts w:hint="eastAsia" w:ascii="仿宋" w:hAnsi="仿宋" w:eastAsia="仿宋" w:cs="仿宋"/>
          <w:sz w:val="32"/>
          <w:szCs w:val="32"/>
          <w:lang w:bidi="ar"/>
        </w:rPr>
        <w:t>其他支出</w:t>
      </w:r>
      <w:r>
        <w:rPr>
          <w:rFonts w:hint="eastAsia" w:ascii="仿宋" w:hAnsi="仿宋" w:eastAsia="仿宋" w:cs="仿宋"/>
          <w:sz w:val="32"/>
          <w:szCs w:val="32"/>
        </w:rPr>
        <w:t>（</w:t>
      </w:r>
      <w:r>
        <w:rPr>
          <w:rFonts w:hint="eastAsia" w:ascii="仿宋" w:hAnsi="仿宋" w:eastAsia="仿宋" w:cs="仿宋"/>
          <w:sz w:val="32"/>
          <w:szCs w:val="32"/>
          <w:lang w:bidi="ar"/>
        </w:rPr>
        <w:t>229</w:t>
      </w:r>
      <w:r>
        <w:rPr>
          <w:rFonts w:ascii="Calibri" w:hAnsi="Calibri" w:eastAsia="宋体" w:cs="Times New Roman"/>
          <w:lang w:bidi="ar"/>
        </w:rPr>
        <w:t xml:space="preserve"> </w:t>
      </w:r>
      <w:r>
        <w:rPr>
          <w:rFonts w:hint="eastAsia" w:ascii="仿宋" w:hAnsi="仿宋" w:eastAsia="仿宋" w:cs="仿宋"/>
          <w:sz w:val="32"/>
          <w:szCs w:val="32"/>
        </w:rPr>
        <w:t>类）</w:t>
      </w:r>
      <w:r>
        <w:rPr>
          <w:rFonts w:hint="eastAsia" w:ascii="仿宋" w:hAnsi="仿宋" w:eastAsia="仿宋" w:cs="仿宋"/>
          <w:sz w:val="32"/>
          <w:szCs w:val="32"/>
          <w:lang w:bidi="ar"/>
        </w:rPr>
        <w:t>173.49</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主要用于：</w:t>
      </w:r>
      <w:r>
        <w:rPr>
          <w:rFonts w:hint="eastAsia" w:ascii="Times New Roman" w:hAnsi="Times New Roman" w:eastAsia="仿宋_GB2312" w:cs="Times New Roman"/>
          <w:kern w:val="0"/>
          <w:sz w:val="32"/>
          <w:szCs w:val="32"/>
        </w:rPr>
        <w:t>主要用于人员工资福利</w:t>
      </w:r>
      <w:r>
        <w:rPr>
          <w:rFonts w:hint="eastAsia" w:ascii="仿宋" w:hAnsi="仿宋" w:eastAsia="仿宋" w:cs="仿宋"/>
          <w:sz w:val="32"/>
          <w:szCs w:val="32"/>
        </w:rPr>
        <w:t>。较2021年度决算数</w:t>
      </w:r>
      <w:r>
        <w:rPr>
          <w:rFonts w:hint="eastAsia" w:ascii="仿宋" w:hAnsi="仿宋" w:eastAsia="仿宋" w:cs="仿宋"/>
          <w:sz w:val="32"/>
          <w:szCs w:val="32"/>
          <w:lang w:bidi="ar"/>
        </w:rPr>
        <w:t>减少94.96</w:t>
      </w:r>
      <w:r>
        <w:rPr>
          <w:rFonts w:hint="eastAsia" w:ascii="仿宋" w:hAnsi="仿宋" w:eastAsia="仿宋" w:cs="仿宋"/>
          <w:sz w:val="32"/>
          <w:szCs w:val="32"/>
        </w:rPr>
        <w:t>万元，</w:t>
      </w:r>
      <w:r>
        <w:rPr>
          <w:rFonts w:hint="eastAsia" w:ascii="仿宋" w:hAnsi="仿宋" w:eastAsia="仿宋" w:cs="仿宋"/>
          <w:sz w:val="32"/>
          <w:szCs w:val="32"/>
          <w:lang w:bidi="ar"/>
        </w:rPr>
        <w:t>下降35.37%</w:t>
      </w:r>
      <w:r>
        <w:rPr>
          <w:rFonts w:hint="eastAsia" w:ascii="仿宋" w:hAnsi="仿宋" w:eastAsia="仿宋" w:cs="仿宋"/>
          <w:sz w:val="32"/>
          <w:szCs w:val="32"/>
        </w:rPr>
        <w:t>，</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Times New Roman" w:hAnsi="Times New Roman" w:eastAsia="仿宋_GB2312" w:cs="Times New Roman"/>
          <w:kern w:val="0"/>
          <w:sz w:val="32"/>
          <w:szCs w:val="32"/>
        </w:rPr>
        <w:t>人员减少</w:t>
      </w:r>
      <w:r>
        <w:rPr>
          <w:rFonts w:hint="eastAsia" w:ascii="仿宋" w:hAnsi="仿宋" w:eastAsia="仿宋" w:cs="仿宋"/>
          <w:sz w:val="32"/>
          <w:szCs w:val="32"/>
          <w:lang w:bidi="ar"/>
        </w:rPr>
        <w:t>。</w:t>
      </w:r>
    </w:p>
    <w:p>
      <w:pPr>
        <w:ind w:firstLine="620" w:firstLineChars="200"/>
        <w:jc w:val="left"/>
        <w:rPr>
          <w:rFonts w:ascii="仿宋" w:hAnsi="仿宋" w:eastAsia="仿宋_GB2312" w:cs="仿宋"/>
          <w:sz w:val="32"/>
          <w:szCs w:val="32"/>
          <w:lang w:bidi="ar"/>
        </w:rPr>
      </w:pPr>
      <w:r>
        <w:rPr>
          <w:rFonts w:ascii="仿宋_GB2312" w:hAnsi="微软雅黑" w:eastAsia="仿宋_GB2312" w:cs="仿宋_GB2312"/>
          <w:color w:val="000000"/>
          <w:sz w:val="31"/>
          <w:szCs w:val="31"/>
          <w:shd w:val="clear" w:color="auto" w:fill="FFFFFF"/>
        </w:rPr>
        <w:t>结余分配</w:t>
      </w:r>
      <w:r>
        <w:rPr>
          <w:rFonts w:hint="eastAsia" w:ascii="仿宋_GB2312" w:hAnsi="微软雅黑" w:eastAsia="仿宋_GB2312" w:cs="仿宋_GB2312"/>
          <w:color w:val="000000"/>
          <w:sz w:val="31"/>
          <w:szCs w:val="31"/>
          <w:shd w:val="clear" w:color="auto" w:fill="FFFFFF"/>
        </w:rPr>
        <w:t>0.00</w:t>
      </w:r>
      <w:r>
        <w:rPr>
          <w:rFonts w:ascii="仿宋_GB2312" w:hAnsi="微软雅黑" w:eastAsia="仿宋_GB2312" w:cs="仿宋_GB2312"/>
          <w:color w:val="000000"/>
          <w:sz w:val="31"/>
          <w:szCs w:val="31"/>
          <w:shd w:val="clear" w:color="auto" w:fill="FFFFFF"/>
        </w:rPr>
        <w:t>万元，为事业单位按规定提取的专用结余、缴纳所得税和转入非财政拨款结余等。较202</w:t>
      </w:r>
      <w:r>
        <w:rPr>
          <w:rFonts w:hint="eastAsia" w:ascii="仿宋_GB2312" w:hAnsi="微软雅黑" w:eastAsia="仿宋_GB2312" w:cs="仿宋_GB2312"/>
          <w:color w:val="000000"/>
          <w:sz w:val="31"/>
          <w:szCs w:val="31"/>
          <w:shd w:val="clear" w:color="auto" w:fill="FFFFFF"/>
        </w:rPr>
        <w:t>1</w:t>
      </w:r>
      <w:r>
        <w:rPr>
          <w:rFonts w:ascii="仿宋_GB2312" w:hAnsi="微软雅黑" w:eastAsia="仿宋_GB2312" w:cs="仿宋_GB2312"/>
          <w:color w:val="000000"/>
          <w:sz w:val="31"/>
          <w:szCs w:val="31"/>
          <w:shd w:val="clear" w:color="auto" w:fill="FFFFFF"/>
        </w:rPr>
        <w:t>年决算</w:t>
      </w:r>
      <w:r>
        <w:rPr>
          <w:rFonts w:hint="eastAsia" w:ascii="仿宋_GB2312" w:hAnsi="微软雅黑" w:eastAsia="仿宋_GB2312" w:cs="仿宋_GB2312"/>
          <w:color w:val="000000"/>
          <w:sz w:val="31"/>
          <w:szCs w:val="31"/>
          <w:shd w:val="clear" w:color="auto" w:fill="FFFFFF"/>
        </w:rPr>
        <w:t>0.00</w:t>
      </w:r>
      <w:r>
        <w:rPr>
          <w:rFonts w:ascii="仿宋_GB2312" w:hAnsi="微软雅黑" w:eastAsia="仿宋_GB2312" w:cs="仿宋_GB2312"/>
          <w:color w:val="000000"/>
          <w:sz w:val="31"/>
          <w:szCs w:val="31"/>
          <w:shd w:val="clear" w:color="auto" w:fill="FFFFFF"/>
        </w:rPr>
        <w:t>万元</w:t>
      </w:r>
      <w:r>
        <w:rPr>
          <w:rFonts w:hint="eastAsia" w:ascii="仿宋_GB2312" w:hAnsi="微软雅黑" w:eastAsia="仿宋_GB2312" w:cs="仿宋_GB2312"/>
          <w:color w:val="000000"/>
          <w:sz w:val="31"/>
          <w:szCs w:val="31"/>
          <w:shd w:val="clear" w:color="auto" w:fill="FFFFFF"/>
        </w:rPr>
        <w:t>,增加0.00</w:t>
      </w:r>
      <w:r>
        <w:rPr>
          <w:rFonts w:ascii="仿宋_GB2312" w:hAnsi="微软雅黑" w:eastAsia="仿宋_GB2312" w:cs="仿宋_GB2312"/>
          <w:color w:val="000000"/>
          <w:sz w:val="31"/>
          <w:szCs w:val="31"/>
          <w:shd w:val="clear" w:color="auto" w:fill="FFFFFF"/>
        </w:rPr>
        <w:t>万元，</w:t>
      </w:r>
      <w:r>
        <w:rPr>
          <w:rFonts w:hint="eastAsia" w:ascii="仿宋_GB2312" w:hAnsi="微软雅黑" w:eastAsia="仿宋_GB2312" w:cs="仿宋_GB2312"/>
          <w:color w:val="000000"/>
          <w:sz w:val="31"/>
          <w:szCs w:val="31"/>
          <w:shd w:val="clear" w:color="auto" w:fill="FFFFFF"/>
        </w:rPr>
        <w:t>增长0%</w:t>
      </w:r>
      <w:r>
        <w:rPr>
          <w:rFonts w:hint="eastAsia" w:ascii="仿宋_GB2312" w:hAnsi="微软雅黑" w:eastAsia="仿宋_GB2312" w:cs="仿宋_GB2312"/>
          <w:color w:val="000000" w:themeColor="text1"/>
          <w:sz w:val="31"/>
          <w:szCs w:val="31"/>
          <w:shd w:val="clear" w:color="auto" w:fill="FFFFFF"/>
          <w14:textFill>
            <w14:solidFill>
              <w14:schemeClr w14:val="tx1"/>
            </w14:solidFill>
          </w14:textFill>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年末结转和结余</w:t>
      </w:r>
      <w:r>
        <w:rPr>
          <w:rFonts w:ascii="仿宋" w:hAnsi="仿宋" w:eastAsia="仿宋" w:cs="仿宋"/>
          <w:sz w:val="32"/>
        </w:rPr>
        <w:t>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rPr>
        <w:t>。较2021年度决算数</w:t>
      </w:r>
      <w:r>
        <w:rPr>
          <w:rFonts w:ascii="仿宋" w:hAnsi="仿宋" w:eastAsia="仿宋" w:cs="仿宋"/>
          <w:sz w:val="32"/>
        </w:rPr>
        <w:t>增加0.00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575175" cy="2821940"/>
            <wp:effectExtent l="4445" t="4445" r="11430" b="1206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rPr>
      </w:pPr>
      <w:r>
        <w:rPr>
          <w:rFonts w:hint="eastAsia" w:ascii="黑体" w:hAnsi="黑体" w:eastAsia="黑体" w:cs="黑体"/>
          <w:sz w:val="32"/>
          <w:szCs w:val="32"/>
        </w:rPr>
        <w:t>二、2022 年度</w:t>
      </w:r>
      <w:bookmarkStart w:id="2" w:name="OLE_LINK1"/>
      <w:r>
        <w:rPr>
          <w:rFonts w:hint="eastAsia" w:ascii="黑体" w:hAnsi="黑体" w:eastAsia="黑体" w:cs="黑体"/>
          <w:sz w:val="32"/>
          <w:szCs w:val="32"/>
        </w:rPr>
        <w:t>一般公共预算财政拨款支出决算情况</w:t>
      </w:r>
      <w:bookmarkEnd w:id="2"/>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环江毛南族自治县川山镇初级中学2022年度一般公共预算财政拨款支出</w:t>
      </w:r>
      <w:r>
        <w:rPr>
          <w:rFonts w:ascii="仿宋" w:hAnsi="仿宋" w:eastAsia="仿宋" w:cs="仿宋"/>
          <w:sz w:val="32"/>
        </w:rPr>
        <w:t>1671.55</w:t>
      </w:r>
      <w:r>
        <w:rPr>
          <w:rFonts w:hint="eastAsia" w:ascii="仿宋" w:hAnsi="仿宋" w:eastAsia="仿宋" w:cs="仿宋"/>
          <w:sz w:val="32"/>
          <w:szCs w:val="32"/>
        </w:rPr>
        <w:t>万元，较2021年度决算数</w:t>
      </w:r>
      <w:r>
        <w:rPr>
          <w:rFonts w:ascii="仿宋" w:hAnsi="仿宋" w:eastAsia="仿宋" w:cs="仿宋"/>
          <w:sz w:val="32"/>
        </w:rPr>
        <w:t>减少430.63</w:t>
      </w:r>
      <w:r>
        <w:rPr>
          <w:rFonts w:hint="eastAsia" w:ascii="仿宋" w:hAnsi="仿宋" w:eastAsia="仿宋" w:cs="仿宋"/>
          <w:sz w:val="32"/>
          <w:szCs w:val="32"/>
        </w:rPr>
        <w:t>万元，</w:t>
      </w:r>
      <w:r>
        <w:rPr>
          <w:rFonts w:ascii="仿宋" w:hAnsi="仿宋" w:eastAsia="仿宋" w:cs="仿宋"/>
          <w:sz w:val="32"/>
        </w:rPr>
        <w:t>下降20.48%</w:t>
      </w:r>
      <w:r>
        <w:rPr>
          <w:rFonts w:hint="eastAsia" w:ascii="仿宋" w:hAnsi="仿宋" w:eastAsia="仿宋" w:cs="仿宋"/>
          <w:sz w:val="32"/>
          <w:szCs w:val="32"/>
        </w:rPr>
        <w:t>。其中：基本支出</w:t>
      </w:r>
      <w:r>
        <w:rPr>
          <w:rFonts w:ascii="仿宋" w:hAnsi="仿宋" w:eastAsia="仿宋" w:cs="仿宋"/>
          <w:sz w:val="32"/>
        </w:rPr>
        <w:t>1469.33</w:t>
      </w:r>
      <w:r>
        <w:rPr>
          <w:rFonts w:hint="eastAsia" w:ascii="仿宋" w:hAnsi="仿宋" w:eastAsia="仿宋" w:cs="仿宋"/>
          <w:sz w:val="32"/>
          <w:szCs w:val="32"/>
        </w:rPr>
        <w:t>万元，项目支出</w:t>
      </w:r>
      <w:r>
        <w:rPr>
          <w:rFonts w:ascii="仿宋" w:hAnsi="仿宋" w:eastAsia="仿宋" w:cs="仿宋"/>
          <w:sz w:val="32"/>
        </w:rPr>
        <w:t>202.22</w:t>
      </w:r>
      <w:r>
        <w:rPr>
          <w:rFonts w:hint="eastAsia" w:ascii="仿宋" w:hAnsi="仿宋" w:eastAsia="仿宋" w:cs="仿宋"/>
          <w:sz w:val="32"/>
          <w:szCs w:val="32"/>
        </w:rPr>
        <w:t>万元。</w:t>
      </w:r>
    </w:p>
    <w:p>
      <w:pPr>
        <w:ind w:firstLine="640" w:firstLineChars="200"/>
        <w:jc w:val="left"/>
        <w:rPr>
          <w:rFonts w:ascii="仿宋" w:hAnsi="仿宋" w:eastAsia="仿宋"/>
          <w:sz w:val="32"/>
          <w:szCs w:val="32"/>
        </w:rPr>
      </w:pPr>
      <w:r>
        <w:rPr>
          <w:rFonts w:hint="eastAsia" w:ascii="仿宋" w:hAnsi="仿宋" w:eastAsia="仿宋" w:cs="仿宋"/>
          <w:sz w:val="32"/>
          <w:szCs w:val="32"/>
        </w:rPr>
        <w:t>环江毛南族自治县川山镇初级中学2022 年度一般公共预算财政拨款支出年初预算为</w:t>
      </w:r>
      <w:r>
        <w:rPr>
          <w:rFonts w:ascii="仿宋" w:hAnsi="仿宋" w:eastAsia="仿宋" w:cs="仿宋"/>
          <w:sz w:val="32"/>
        </w:rPr>
        <w:t>1119.02</w:t>
      </w:r>
      <w:r>
        <w:rPr>
          <w:rFonts w:hint="eastAsia" w:ascii="仿宋" w:hAnsi="仿宋" w:eastAsia="仿宋" w:cs="仿宋"/>
          <w:sz w:val="32"/>
          <w:szCs w:val="32"/>
        </w:rPr>
        <w:t>万元，支出决算为</w:t>
      </w:r>
      <w:r>
        <w:rPr>
          <w:rFonts w:ascii="仿宋" w:hAnsi="仿宋" w:eastAsia="仿宋" w:cs="仿宋"/>
          <w:sz w:val="32"/>
        </w:rPr>
        <w:t>1671.55</w:t>
      </w:r>
      <w:r>
        <w:rPr>
          <w:rFonts w:hint="eastAsia" w:ascii="仿宋" w:hAnsi="仿宋" w:eastAsia="仿宋" w:cs="仿宋"/>
          <w:sz w:val="32"/>
          <w:szCs w:val="32"/>
        </w:rPr>
        <w:t>万元，完成年初预算的</w:t>
      </w:r>
      <w:r>
        <w:rPr>
          <w:rFonts w:ascii="仿宋" w:hAnsi="仿宋" w:eastAsia="仿宋" w:cs="仿宋"/>
          <w:sz w:val="32"/>
        </w:rPr>
        <w:t>149.38%</w:t>
      </w:r>
      <w:r>
        <w:rPr>
          <w:rFonts w:hint="eastAsia" w:ascii="仿宋" w:hAnsi="仿宋" w:eastAsia="仿宋" w:cs="仿宋"/>
          <w:sz w:val="32"/>
          <w:szCs w:val="32"/>
        </w:rPr>
        <w:t>。</w:t>
      </w:r>
      <w:bookmarkStart w:id="3" w:name="OLE_LINK2"/>
      <w:bookmarkEnd w:id="3"/>
    </w:p>
    <w:p>
      <w:pPr>
        <w:numPr>
          <w:ilvl w:val="0"/>
          <w:numId w:val="1"/>
        </w:numPr>
        <w:jc w:val="left"/>
        <w:rPr>
          <w:rFonts w:ascii="仿宋" w:hAnsi="仿宋" w:eastAsia="仿宋"/>
          <w:sz w:val="32"/>
          <w:szCs w:val="32"/>
        </w:rPr>
      </w:pPr>
      <w:r>
        <w:rPr>
          <w:rFonts w:hint="eastAsia" w:ascii="仿宋" w:hAnsi="仿宋" w:eastAsia="仿宋"/>
          <w:sz w:val="32"/>
          <w:szCs w:val="32"/>
        </w:rPr>
        <w:t>一般公共服务支出</w:t>
      </w:r>
      <w:r>
        <w:rPr>
          <w:rFonts w:ascii="仿宋" w:hAnsi="仿宋" w:eastAsia="仿宋"/>
          <w:sz w:val="32"/>
        </w:rPr>
        <w:t>（201</w:t>
      </w:r>
      <w:r>
        <w:rPr>
          <w:rFonts w:hint="eastAsia" w:ascii="仿宋" w:hAnsi="仿宋" w:eastAsia="仿宋"/>
          <w:sz w:val="32"/>
          <w:szCs w:val="32"/>
        </w:rPr>
        <w:t>类）年初预算为</w:t>
      </w:r>
      <w:r>
        <w:rPr>
          <w:rFonts w:ascii="仿宋" w:hAnsi="仿宋" w:eastAsia="仿宋"/>
          <w:sz w:val="32"/>
          <w:szCs w:val="32"/>
        </w:rPr>
        <w:t>16.02</w:t>
      </w:r>
      <w:r>
        <w:rPr>
          <w:rFonts w:hint="eastAsia" w:ascii="仿宋" w:hAnsi="仿宋" w:eastAsia="仿宋"/>
          <w:sz w:val="32"/>
          <w:szCs w:val="32"/>
        </w:rPr>
        <w:t>万元，支出决算为</w:t>
      </w:r>
      <w:r>
        <w:rPr>
          <w:rFonts w:ascii="仿宋" w:hAnsi="仿宋" w:eastAsia="仿宋"/>
          <w:sz w:val="32"/>
          <w:szCs w:val="32"/>
        </w:rPr>
        <w:t>16.02</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w:t>
      </w: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jc w:val="left"/>
        <w:rPr>
          <w:rFonts w:ascii="仿宋" w:hAnsi="仿宋" w:eastAsia="仿宋" w:cs="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教育支出</w:t>
      </w:r>
      <w:r>
        <w:rPr>
          <w:rFonts w:ascii="仿宋" w:hAnsi="仿宋" w:eastAsia="仿宋"/>
          <w:sz w:val="32"/>
        </w:rPr>
        <w:t>（205</w:t>
      </w:r>
      <w:r>
        <w:rPr>
          <w:rFonts w:hint="eastAsia" w:ascii="仿宋" w:hAnsi="仿宋" w:eastAsia="仿宋"/>
          <w:sz w:val="32"/>
          <w:szCs w:val="32"/>
        </w:rPr>
        <w:t>类）年初预算为</w:t>
      </w:r>
      <w:r>
        <w:rPr>
          <w:rFonts w:ascii="仿宋" w:hAnsi="仿宋" w:eastAsia="仿宋"/>
          <w:sz w:val="32"/>
          <w:szCs w:val="32"/>
        </w:rPr>
        <w:t>878.67</w:t>
      </w:r>
      <w:r>
        <w:rPr>
          <w:rFonts w:hint="eastAsia" w:ascii="仿宋" w:hAnsi="仿宋" w:eastAsia="仿宋"/>
          <w:sz w:val="32"/>
          <w:szCs w:val="32"/>
        </w:rPr>
        <w:t>万元，支出决算为</w:t>
      </w:r>
      <w:r>
        <w:rPr>
          <w:rFonts w:ascii="仿宋" w:hAnsi="仿宋" w:eastAsia="仿宋"/>
          <w:sz w:val="32"/>
          <w:szCs w:val="32"/>
        </w:rPr>
        <w:t>1284.71</w:t>
      </w:r>
      <w:r>
        <w:rPr>
          <w:rFonts w:hint="eastAsia" w:ascii="仿宋" w:hAnsi="仿宋" w:eastAsia="仿宋"/>
          <w:sz w:val="32"/>
          <w:szCs w:val="32"/>
        </w:rPr>
        <w:t>万元，完成年初预算的</w:t>
      </w:r>
      <w:r>
        <w:rPr>
          <w:rFonts w:ascii="仿宋" w:hAnsi="仿宋" w:eastAsia="仿宋"/>
          <w:sz w:val="32"/>
          <w:szCs w:val="32"/>
        </w:rPr>
        <w:t>146.21%</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社保缴费基数和</w:t>
      </w:r>
      <w:r>
        <w:rPr>
          <w:rFonts w:hint="eastAsia" w:ascii="Times New Roman" w:hAnsi="Times New Roman" w:eastAsia="仿宋_GB2312" w:cs="Times New Roman"/>
          <w:kern w:val="0"/>
          <w:sz w:val="32"/>
          <w:szCs w:val="32"/>
        </w:rPr>
        <w:t>住房公积金扣缴基数提高。</w:t>
      </w:r>
    </w:p>
    <w:p>
      <w:pPr>
        <w:jc w:val="left"/>
        <w:rPr>
          <w:rFonts w:ascii="仿宋" w:hAnsi="仿宋" w:eastAsia="仿宋"/>
          <w:sz w:val="32"/>
          <w:szCs w:val="32"/>
        </w:rPr>
      </w:pP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numId w:val="0"/>
        </w:numPr>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ascii="仿宋" w:hAnsi="仿宋" w:eastAsia="仿宋"/>
          <w:sz w:val="32"/>
        </w:rPr>
        <w:t>（208</w:t>
      </w:r>
      <w:r>
        <w:rPr>
          <w:rFonts w:hint="eastAsia" w:ascii="仿宋" w:hAnsi="仿宋" w:eastAsia="仿宋"/>
          <w:sz w:val="32"/>
          <w:szCs w:val="32"/>
        </w:rPr>
        <w:t>类）年初预算为</w:t>
      </w:r>
      <w:r>
        <w:rPr>
          <w:rFonts w:ascii="仿宋" w:hAnsi="仿宋" w:eastAsia="仿宋"/>
          <w:sz w:val="32"/>
          <w:szCs w:val="32"/>
        </w:rPr>
        <w:t>128.19</w:t>
      </w:r>
      <w:r>
        <w:rPr>
          <w:rFonts w:hint="eastAsia" w:ascii="仿宋" w:hAnsi="仿宋" w:eastAsia="仿宋"/>
          <w:sz w:val="32"/>
          <w:szCs w:val="32"/>
        </w:rPr>
        <w:t>万元，支出决算为</w:t>
      </w:r>
      <w:r>
        <w:rPr>
          <w:rFonts w:ascii="仿宋" w:hAnsi="仿宋" w:eastAsia="仿宋"/>
          <w:sz w:val="32"/>
          <w:szCs w:val="32"/>
        </w:rPr>
        <w:t>113.25</w:t>
      </w:r>
      <w:r>
        <w:rPr>
          <w:rFonts w:hint="eastAsia" w:ascii="仿宋" w:hAnsi="仿宋" w:eastAsia="仿宋"/>
          <w:sz w:val="32"/>
          <w:szCs w:val="32"/>
        </w:rPr>
        <w:t>万元，完成年初预算的</w:t>
      </w:r>
      <w:r>
        <w:rPr>
          <w:rFonts w:ascii="仿宋" w:hAnsi="仿宋" w:eastAsia="仿宋"/>
          <w:sz w:val="32"/>
          <w:szCs w:val="32"/>
        </w:rPr>
        <w:t>88.35%</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人员减少。</w:t>
      </w: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numId w:val="0"/>
        </w:numPr>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住房保障支出</w:t>
      </w:r>
      <w:r>
        <w:rPr>
          <w:rFonts w:ascii="仿宋" w:hAnsi="仿宋" w:eastAsia="仿宋"/>
          <w:sz w:val="32"/>
        </w:rPr>
        <w:t>（221</w:t>
      </w:r>
      <w:r>
        <w:rPr>
          <w:rFonts w:hint="eastAsia" w:ascii="仿宋" w:hAnsi="仿宋" w:eastAsia="仿宋"/>
          <w:sz w:val="32"/>
          <w:szCs w:val="32"/>
        </w:rPr>
        <w:t>类）年初预算为</w:t>
      </w:r>
      <w:r>
        <w:rPr>
          <w:rFonts w:ascii="仿宋" w:hAnsi="仿宋" w:eastAsia="仿宋"/>
          <w:sz w:val="32"/>
          <w:szCs w:val="32"/>
        </w:rPr>
        <w:t>96.14</w:t>
      </w:r>
      <w:r>
        <w:rPr>
          <w:rFonts w:hint="eastAsia" w:ascii="仿宋" w:hAnsi="仿宋" w:eastAsia="仿宋"/>
          <w:sz w:val="32"/>
          <w:szCs w:val="32"/>
        </w:rPr>
        <w:t>万元，支出决算为</w:t>
      </w:r>
      <w:r>
        <w:rPr>
          <w:rFonts w:ascii="仿宋" w:hAnsi="仿宋" w:eastAsia="仿宋"/>
          <w:sz w:val="32"/>
          <w:szCs w:val="32"/>
        </w:rPr>
        <w:t>84.07</w:t>
      </w:r>
      <w:r>
        <w:rPr>
          <w:rFonts w:hint="eastAsia" w:ascii="仿宋" w:hAnsi="仿宋" w:eastAsia="仿宋"/>
          <w:sz w:val="32"/>
          <w:szCs w:val="32"/>
        </w:rPr>
        <w:t>万元，完成年初预算的</w:t>
      </w:r>
      <w:r>
        <w:rPr>
          <w:rFonts w:ascii="仿宋" w:hAnsi="仿宋" w:eastAsia="仿宋"/>
          <w:sz w:val="32"/>
          <w:szCs w:val="32"/>
        </w:rPr>
        <w:t>87.45%</w:t>
      </w:r>
      <w:r>
        <w:rPr>
          <w:rFonts w:hint="eastAsia" w:ascii="仿宋" w:hAnsi="仿宋" w:eastAsia="仿宋"/>
          <w:sz w:val="32"/>
          <w:szCs w:val="32"/>
        </w:rPr>
        <w:t>。</w:t>
      </w:r>
      <w:r>
        <w:rPr>
          <w:rFonts w:hint="eastAsia" w:ascii="仿宋" w:hAnsi="仿宋" w:eastAsia="仿宋"/>
          <w:color w:val="000000" w:themeColor="text1"/>
          <w:sz w:val="32"/>
          <w:szCs w:val="32"/>
          <w14:textFill>
            <w14:solidFill>
              <w14:schemeClr w14:val="tx1"/>
            </w14:solidFill>
          </w14:textFill>
        </w:rPr>
        <w:t>预决算存有差异原因是：</w:t>
      </w:r>
      <w:r>
        <w:rPr>
          <w:rFonts w:hint="eastAsia" w:ascii="仿宋" w:hAnsi="仿宋" w:eastAsia="仿宋" w:cs="仿宋"/>
          <w:sz w:val="32"/>
          <w:szCs w:val="32"/>
          <w:lang w:bidi="ar"/>
        </w:rPr>
        <w:t>人员减少。</w:t>
      </w:r>
    </w:p>
    <w:p>
      <w:pPr>
        <w:jc w:val="center"/>
        <w:rPr>
          <w:rFonts w:ascii="仿宋" w:hAnsi="仿宋" w:eastAsia="仿宋"/>
          <w:sz w:val="32"/>
          <w:szCs w:val="32"/>
        </w:rPr>
      </w:pPr>
      <w:r>
        <w:rPr>
          <w:rFonts w:hint="eastAsia" w:ascii="仿宋" w:hAnsi="仿宋" w:eastAsia="仿宋" w:cs="仿宋"/>
          <w:sz w:val="32"/>
          <w:szCs w:val="32"/>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numId w:val="0"/>
        </w:numPr>
        <w:jc w:val="both"/>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其他支出</w:t>
      </w:r>
      <w:r>
        <w:rPr>
          <w:rFonts w:ascii="仿宋" w:hAnsi="仿宋" w:eastAsia="仿宋"/>
          <w:sz w:val="32"/>
        </w:rPr>
        <w:t>（229</w:t>
      </w:r>
      <w:r>
        <w:rPr>
          <w:rFonts w:hint="eastAsia" w:ascii="仿宋" w:hAnsi="仿宋" w:eastAsia="仿宋"/>
          <w:sz w:val="32"/>
          <w:szCs w:val="32"/>
        </w:rPr>
        <w:t>类）年初预算为</w:t>
      </w:r>
      <w:r>
        <w:rPr>
          <w:rFonts w:ascii="仿宋" w:hAnsi="仿宋" w:eastAsia="仿宋"/>
          <w:sz w:val="32"/>
          <w:szCs w:val="32"/>
        </w:rPr>
        <w:t>0.00</w:t>
      </w:r>
      <w:r>
        <w:rPr>
          <w:rFonts w:hint="eastAsia" w:ascii="仿宋" w:hAnsi="仿宋" w:eastAsia="仿宋"/>
          <w:sz w:val="32"/>
          <w:szCs w:val="32"/>
        </w:rPr>
        <w:t>万元，支出决算为</w:t>
      </w:r>
      <w:r>
        <w:rPr>
          <w:rFonts w:ascii="仿宋" w:hAnsi="仿宋" w:eastAsia="仿宋"/>
          <w:sz w:val="32"/>
          <w:szCs w:val="32"/>
        </w:rPr>
        <w:t>173.49</w:t>
      </w:r>
      <w:r>
        <w:rPr>
          <w:rFonts w:hint="eastAsia" w:ascii="仿宋" w:hAnsi="仿宋" w:eastAsia="仿宋"/>
          <w:sz w:val="32"/>
          <w:szCs w:val="32"/>
        </w:rPr>
        <w:t>万元，完成年初预算的</w:t>
      </w:r>
      <w:r>
        <w:rPr>
          <w:rFonts w:ascii="仿宋" w:hAnsi="仿宋" w:eastAsia="仿宋"/>
          <w:sz w:val="32"/>
          <w:szCs w:val="32"/>
        </w:rPr>
        <w:t>100.00%</w:t>
      </w:r>
      <w:r>
        <w:rPr>
          <w:rFonts w:hint="eastAsia" w:ascii="仿宋" w:hAnsi="仿宋" w:eastAsia="仿宋"/>
          <w:sz w:val="32"/>
          <w:szCs w:val="32"/>
        </w:rPr>
        <w:t>。</w:t>
      </w:r>
      <w:r>
        <w:rPr>
          <w:rFonts w:hint="eastAsia" w:ascii="仿宋" w:hAnsi="仿宋" w:eastAsia="仿宋" w:cs="仿宋"/>
          <w:sz w:val="32"/>
          <w:szCs w:val="32"/>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rPr>
      </w:pPr>
      <w:r>
        <w:rPr>
          <w:rFonts w:hint="eastAsia" w:ascii="黑体" w:hAnsi="黑体" w:eastAsia="黑体" w:cs="黑体"/>
          <w:sz w:val="32"/>
          <w:szCs w:val="32"/>
        </w:rPr>
        <w:t>三、2022年度一般公共预算财政拨款基本支出决算情况说明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环江毛南族自治县川山镇初级中学2022年度一般公共预算财政拨款基本支出</w:t>
      </w:r>
      <w:r>
        <w:rPr>
          <w:rFonts w:ascii="仿宋" w:hAnsi="仿宋" w:eastAsia="仿宋" w:cs="仿宋"/>
          <w:sz w:val="32"/>
        </w:rPr>
        <w:t>1469.33</w:t>
      </w:r>
      <w:r>
        <w:rPr>
          <w:rFonts w:hint="eastAsia" w:ascii="仿宋" w:hAnsi="仿宋" w:eastAsia="仿宋" w:cs="仿宋"/>
          <w:sz w:val="32"/>
          <w:szCs w:val="32"/>
        </w:rPr>
        <w:t>万元，</w:t>
      </w:r>
      <w:r>
        <w:rPr>
          <w:rFonts w:ascii="仿宋_GB2312" w:hAnsi="微软雅黑" w:eastAsia="仿宋_GB2312" w:cs="仿宋_GB2312"/>
          <w:color w:val="000000"/>
          <w:sz w:val="31"/>
          <w:szCs w:val="31"/>
          <w:shd w:val="clear" w:color="auto" w:fill="FFFFFF"/>
        </w:rPr>
        <w:t>其中：人员经费支出</w:t>
      </w:r>
      <w:r>
        <w:rPr>
          <w:rFonts w:hint="eastAsia" w:ascii="仿宋" w:hAnsi="仿宋" w:eastAsia="仿宋" w:cs="仿宋"/>
          <w:sz w:val="32"/>
          <w:szCs w:val="32"/>
        </w:rPr>
        <w:t>1427.39</w:t>
      </w:r>
      <w:r>
        <w:rPr>
          <w:rFonts w:ascii="仿宋_GB2312" w:hAnsi="微软雅黑" w:eastAsia="仿宋_GB2312" w:cs="仿宋_GB2312"/>
          <w:color w:val="000000"/>
          <w:sz w:val="31"/>
          <w:szCs w:val="31"/>
          <w:shd w:val="clear" w:color="auto" w:fill="FFFFFF"/>
        </w:rPr>
        <w:t>万元，公用经费支出</w:t>
      </w:r>
      <w:r>
        <w:rPr>
          <w:rFonts w:hint="eastAsia" w:ascii="仿宋" w:hAnsi="仿宋" w:eastAsia="仿宋" w:cs="仿宋"/>
          <w:sz w:val="32"/>
          <w:szCs w:val="32"/>
        </w:rPr>
        <w:t>41.94</w:t>
      </w:r>
      <w:r>
        <w:rPr>
          <w:rFonts w:ascii="仿宋_GB2312" w:hAnsi="微软雅黑" w:eastAsia="仿宋_GB2312" w:cs="仿宋_GB2312"/>
          <w:color w:val="000000"/>
          <w:sz w:val="31"/>
          <w:szCs w:val="31"/>
          <w:shd w:val="clear" w:color="auto" w:fill="FFFFFF"/>
        </w:rPr>
        <w:t>万元，</w:t>
      </w:r>
      <w:r>
        <w:rPr>
          <w:rFonts w:hint="eastAsia" w:ascii="仿宋" w:hAnsi="仿宋" w:eastAsia="仿宋" w:cs="仿宋"/>
          <w:sz w:val="32"/>
          <w:szCs w:val="32"/>
        </w:rPr>
        <w:t>支出具体情况如下：</w:t>
      </w:r>
    </w:p>
    <w:p>
      <w:pPr>
        <w:numPr>
          <w:ilvl w:val="0"/>
          <w:numId w:val="2"/>
        </w:numPr>
        <w:jc w:val="left"/>
        <w:rPr>
          <w:rFonts w:hint="eastAsia" w:ascii="仿宋" w:hAnsi="仿宋" w:eastAsia="仿宋" w:cs="仿宋"/>
          <w:sz w:val="32"/>
          <w:szCs w:val="32"/>
        </w:rPr>
      </w:pPr>
      <w:r>
        <w:rPr>
          <w:rFonts w:hint="eastAsia" w:ascii="仿宋" w:hAnsi="仿宋" w:eastAsia="仿宋" w:cs="仿宋"/>
          <w:sz w:val="32"/>
          <w:szCs w:val="32"/>
        </w:rPr>
        <w:t>工资福利支出</w:t>
      </w:r>
      <w:r>
        <w:rPr>
          <w:rFonts w:ascii="仿宋" w:hAnsi="仿宋" w:eastAsia="仿宋" w:cs="仿宋"/>
          <w:sz w:val="32"/>
        </w:rPr>
        <w:t>1151.99万元，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109.31%</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社保缴费基数和</w:t>
      </w:r>
      <w:r>
        <w:rPr>
          <w:rFonts w:hint="eastAsia" w:ascii="Times New Roman" w:hAnsi="Times New Roman" w:eastAsia="仿宋_GB2312" w:cs="Times New Roman"/>
          <w:kern w:val="0"/>
          <w:sz w:val="32"/>
          <w:szCs w:val="32"/>
        </w:rPr>
        <w:t>住房公积金扣缴基数提高</w:t>
      </w:r>
      <w:r>
        <w:rPr>
          <w:rFonts w:hint="eastAsia" w:ascii="Times New Roman" w:hAnsi="Times New Roman" w:eastAsia="仿宋_GB2312" w:cs="Times New Roman"/>
          <w:kern w:val="0"/>
          <w:sz w:val="32"/>
          <w:szCs w:val="32"/>
          <w:lang w:eastAsia="zh-CN"/>
        </w:rPr>
        <w:t>。</w:t>
      </w:r>
    </w:p>
    <w:p>
      <w:pPr>
        <w:numPr>
          <w:numId w:val="0"/>
        </w:num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30101基本工资501.17万元，30102津贴补贴66.85万元，30103奖金82.05万元，30107绩效工资184.91万元，30108机关事业单位基本养老保险缴费113.25万元，30110职工基本医疗保险缴费54.82万元，30112其他社会保障缴费6.39万元，30113住房公积金84.07万元，30199其他工资福利支出58.49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596515"/>
            <wp:effectExtent l="4445" t="4445" r="16510" b="889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商品和服务支出</w:t>
      </w:r>
      <w:r>
        <w:rPr>
          <w:rFonts w:ascii="仿宋" w:hAnsi="仿宋" w:eastAsia="仿宋" w:cs="仿宋"/>
          <w:sz w:val="32"/>
        </w:rPr>
        <w:t>37.00万元，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230.96%</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有的项目年初预算时没计划在此开支。年中进行调整在该项目开支。</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：30201办公费0.79万元，30205水费3.97万元，30206电费0.93万元，30207邮电费0.66万元，30209物业管理费2.69万元，30211差旅费6.75万元，30213维修（护）费4.79万元，30218专用材料费0.39万元，30228工会经费16.02万元。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27686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对个人和家庭的补助</w:t>
      </w:r>
      <w:r>
        <w:rPr>
          <w:rFonts w:ascii="仿宋" w:hAnsi="仿宋" w:eastAsia="仿宋" w:cs="仿宋"/>
          <w:sz w:val="32"/>
        </w:rPr>
        <w:t>275.40万元，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1953.19%</w:t>
      </w:r>
      <w:r>
        <w:rPr>
          <w:rFonts w:ascii="仿宋_GB2312" w:hAnsi="微软雅黑" w:eastAsia="仿宋_GB2312" w:cs="仿宋_GB2312"/>
          <w:color w:val="000000"/>
          <w:sz w:val="31"/>
          <w:szCs w:val="31"/>
          <w:shd w:val="clear" w:color="auto" w:fill="FFFFFF"/>
        </w:rPr>
        <w:t>，</w:t>
      </w:r>
      <w:r>
        <w:rPr>
          <w:rFonts w:hint="eastAsia" w:ascii="仿宋" w:hAnsi="仿宋" w:eastAsia="仿宋" w:cs="仿宋"/>
          <w:sz w:val="32"/>
          <w:szCs w:val="32"/>
        </w:rPr>
        <w:t>（简要说明预决算差异）</w:t>
      </w:r>
      <w:r>
        <w:rPr>
          <w:rFonts w:hint="eastAsia" w:ascii="仿宋" w:hAnsi="仿宋" w:eastAsia="仿宋" w:cs="仿宋"/>
          <w:color w:val="000000" w:themeColor="text1"/>
          <w:sz w:val="32"/>
          <w:szCs w:val="32"/>
          <w:lang w:bidi="ar"/>
          <w14:textFill>
            <w14:solidFill>
              <w14:schemeClr w14:val="tx1"/>
            </w14:solidFill>
          </w14:textFill>
        </w:rPr>
        <w:t>主要原因是</w:t>
      </w:r>
      <w:r>
        <w:rPr>
          <w:rFonts w:hint="eastAsia" w:ascii="仿宋" w:hAnsi="仿宋" w:eastAsia="仿宋" w:cs="仿宋"/>
          <w:sz w:val="32"/>
          <w:szCs w:val="32"/>
          <w:lang w:bidi="ar"/>
        </w:rPr>
        <w:t xml:space="preserve">有的项目年初预算时没计划在此开支。年中进行调整在该项目开支。    </w:t>
      </w:r>
      <w:r>
        <w:rPr>
          <w:rFonts w:hint="eastAsia" w:ascii="仿宋" w:hAnsi="仿宋" w:eastAsia="仿宋"/>
          <w:sz w:val="32"/>
          <w:szCs w:val="32"/>
        </w:rPr>
        <w:t>支出具体情况如下</w:t>
      </w:r>
      <w:r>
        <w:rPr>
          <w:rFonts w:hint="eastAsia" w:ascii="仿宋" w:hAnsi="仿宋" w:eastAsia="仿宋" w:cs="仿宋"/>
          <w:sz w:val="32"/>
          <w:szCs w:val="32"/>
        </w:rPr>
        <w:t>：30304抚恤金8.15万元，30305生活补助40.80万元，30308助学金221.98万元，30399其他对个人和家庭的补助4.46万元。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债务利息及费用支出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hint="eastAsia" w:ascii="仿宋_GB2312" w:hAnsi="微软雅黑" w:eastAsia="仿宋_GB2312" w:cs="仿宋_GB2312"/>
          <w:color w:val="000000"/>
          <w:sz w:val="31"/>
          <w:szCs w:val="31"/>
          <w:shd w:val="clear" w:color="auto" w:fill="FFFFFF"/>
        </w:rPr>
        <w:t>。</w:t>
      </w:r>
      <w:r>
        <w:rPr>
          <w:rFonts w:hint="eastAsia" w:ascii="仿宋_GB2312" w:hAnsi="微软雅黑" w:eastAsia="仿宋_GB2312" w:cs="仿宋_GB2312"/>
          <w:color w:val="000000"/>
          <w:sz w:val="31"/>
          <w:szCs w:val="31"/>
          <w:shd w:val="clear" w:color="auto" w:fill="FFFFFF"/>
          <w:lang w:val="en-US" w:eastAsia="zh-CN"/>
        </w:rPr>
        <w:t>主要原因：无。</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
        </w:numPr>
        <w:jc w:val="left"/>
        <w:rPr>
          <w:rFonts w:ascii="仿宋" w:hAnsi="仿宋" w:eastAsia="仿宋" w:cs="仿宋"/>
          <w:color w:val="FF0000"/>
          <w:sz w:val="32"/>
          <w:szCs w:val="32"/>
        </w:rPr>
      </w:pPr>
      <w:r>
        <w:rPr>
          <w:rFonts w:hint="eastAsia" w:ascii="仿宋" w:hAnsi="仿宋" w:eastAsia="仿宋" w:cs="仿宋"/>
          <w:sz w:val="32"/>
          <w:szCs w:val="32"/>
        </w:rPr>
        <w:t>资本性支出</w:t>
      </w:r>
      <w:r>
        <w:rPr>
          <w:rFonts w:ascii="仿宋" w:hAnsi="仿宋" w:eastAsia="仿宋" w:cs="仿宋"/>
          <w:sz w:val="32"/>
        </w:rPr>
        <w:t>4.95万元，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100%</w:t>
      </w:r>
      <w:r>
        <w:rPr>
          <w:rFonts w:hint="eastAsia" w:ascii="仿宋_GB2312" w:hAnsi="微软雅黑" w:eastAsia="仿宋_GB2312" w:cs="仿宋_GB2312"/>
          <w:color w:val="000000"/>
          <w:sz w:val="31"/>
          <w:szCs w:val="31"/>
          <w:shd w:val="clear" w:color="auto" w:fill="FFFFFF"/>
        </w:rPr>
        <w:t>。</w:t>
      </w:r>
    </w:p>
    <w:p>
      <w:pPr>
        <w:jc w:val="left"/>
        <w:rPr>
          <w:rFonts w:ascii="仿宋" w:hAnsi="仿宋" w:eastAsia="仿宋" w:cs="仿宋"/>
          <w:sz w:val="32"/>
          <w:szCs w:val="32"/>
        </w:rPr>
      </w:pPr>
      <w:r>
        <w:rPr>
          <w:rFonts w:hint="eastAsia" w:ascii="仿宋" w:hAnsi="仿宋" w:eastAsia="仿宋"/>
          <w:sz w:val="32"/>
          <w:szCs w:val="32"/>
        </w:rPr>
        <w:t>支出具体情况如下</w:t>
      </w:r>
      <w:r>
        <w:rPr>
          <w:rFonts w:hint="eastAsia" w:ascii="仿宋" w:hAnsi="仿宋" w:eastAsia="仿宋" w:cs="仿宋"/>
          <w:sz w:val="32"/>
          <w:szCs w:val="32"/>
        </w:rPr>
        <w:t>：31002办公设备购置4.95万元。</w:t>
      </w:r>
    </w:p>
    <w:p>
      <w:pPr>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其他支出</w:t>
      </w:r>
      <w:r>
        <w:rPr>
          <w:rFonts w:ascii="仿宋" w:hAnsi="仿宋" w:eastAsia="仿宋" w:cs="仿宋"/>
          <w:sz w:val="32"/>
        </w:rPr>
        <w:t>0.00万元，</w:t>
      </w:r>
      <w:r>
        <w:rPr>
          <w:rFonts w:ascii="仿宋_GB2312" w:hAnsi="微软雅黑" w:eastAsia="仿宋_GB2312" w:cs="仿宋_GB2312"/>
          <w:color w:val="000000"/>
          <w:sz w:val="31"/>
          <w:szCs w:val="31"/>
          <w:shd w:val="clear" w:color="auto" w:fill="FFFFFF"/>
        </w:rPr>
        <w:t>完成年初预算的</w:t>
      </w:r>
      <w:r>
        <w:rPr>
          <w:rFonts w:hint="eastAsia" w:ascii="仿宋" w:hAnsi="仿宋" w:eastAsia="仿宋" w:cs="仿宋"/>
          <w:sz w:val="32"/>
          <w:szCs w:val="32"/>
        </w:rPr>
        <w:t>0%</w:t>
      </w:r>
      <w:r>
        <w:rPr>
          <w:rFonts w:hint="eastAsia" w:ascii="仿宋_GB2312" w:hAnsi="微软雅黑" w:eastAsia="仿宋_GB2312" w:cs="仿宋_GB2312"/>
          <w:color w:val="000000"/>
          <w:sz w:val="31"/>
          <w:szCs w:val="31"/>
          <w:shd w:val="clear" w:color="auto" w:fill="FFFFFF"/>
        </w:rPr>
        <w:t>。</w:t>
      </w:r>
      <w:r>
        <w:rPr>
          <w:rFonts w:hint="eastAsia" w:ascii="仿宋_GB2312" w:hAnsi="微软雅黑" w:eastAsia="仿宋_GB2312" w:cs="仿宋_GB2312"/>
          <w:color w:val="000000"/>
          <w:sz w:val="31"/>
          <w:szCs w:val="31"/>
          <w:shd w:val="clear" w:color="auto" w:fill="FFFFFF"/>
          <w:lang w:val="en-US" w:eastAsia="zh-CN"/>
        </w:rPr>
        <w:t>主要原因：无。</w:t>
      </w:r>
    </w:p>
    <w:p>
      <w:pPr>
        <w:jc w:val="left"/>
        <w:rPr>
          <w:rFonts w:ascii="黑体" w:hAnsi="黑体" w:eastAsia="黑体" w:cs="黑体"/>
          <w:sz w:val="32"/>
          <w:szCs w:val="32"/>
        </w:rPr>
      </w:pPr>
      <w:r>
        <w:rPr>
          <w:rFonts w:hint="eastAsia" w:ascii="黑体" w:hAnsi="黑体" w:eastAsia="黑体" w:cs="黑体"/>
          <w:sz w:val="32"/>
          <w:szCs w:val="32"/>
        </w:rPr>
        <w:t>四、2022年度政府性基金支出决算情况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环江毛南族自治县川山镇初级中学2022年度政府性基金支出</w:t>
      </w:r>
      <w:r>
        <w:rPr>
          <w:rFonts w:ascii="仿宋" w:hAnsi="仿宋" w:eastAsia="仿宋" w:cs="仿宋"/>
          <w:sz w:val="32"/>
          <w:szCs w:val="32"/>
        </w:rPr>
        <w:t>0.00</w:t>
      </w:r>
      <w:r>
        <w:rPr>
          <w:rFonts w:hint="eastAsia" w:ascii="仿宋" w:hAnsi="仿宋" w:eastAsia="仿宋" w:cs="仿宋"/>
          <w:sz w:val="32"/>
          <w:szCs w:val="32"/>
        </w:rPr>
        <w:t>万元，较2021年度决算数</w:t>
      </w:r>
      <w:r>
        <w:rPr>
          <w:rFonts w:ascii="仿宋" w:hAnsi="仿宋" w:eastAsia="仿宋" w:cs="仿宋"/>
          <w:sz w:val="32"/>
          <w:szCs w:val="32"/>
        </w:rPr>
        <w:t>增加0.00</w:t>
      </w:r>
      <w:r>
        <w:rPr>
          <w:rFonts w:hint="eastAsia" w:ascii="仿宋" w:hAnsi="仿宋" w:eastAsia="仿宋" w:cs="仿宋"/>
          <w:sz w:val="32"/>
          <w:szCs w:val="32"/>
        </w:rPr>
        <w:t>万元，</w:t>
      </w:r>
      <w:r>
        <w:rPr>
          <w:rFonts w:ascii="仿宋" w:hAnsi="仿宋" w:eastAsia="仿宋" w:cs="仿宋"/>
          <w:sz w:val="32"/>
          <w:szCs w:val="32"/>
        </w:rPr>
        <w:t>增长0%</w:t>
      </w:r>
      <w:r>
        <w:rPr>
          <w:rFonts w:hint="eastAsia" w:ascii="仿宋" w:hAnsi="仿宋" w:eastAsia="仿宋" w:cs="仿宋"/>
          <w:sz w:val="32"/>
          <w:szCs w:val="32"/>
        </w:rPr>
        <w:t>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环江毛南族自治县川山镇初级中学2022年度政府性基金支出年初预算为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_GB2312" w:hAnsi="Times New Roman" w:eastAsia="仿宋_GB2312" w:cs="Times New Roman"/>
          <w:sz w:val="32"/>
          <w:szCs w:val="32"/>
        </w:rPr>
        <w:t>环江毛南族自治县川山镇初级中学</w:t>
      </w:r>
      <w:r>
        <w:rPr>
          <w:rFonts w:ascii="仿宋_GB2312" w:hAnsi="仿宋_GB2312" w:eastAsia="仿宋_GB2312" w:cs="仿宋_GB2312"/>
          <w:sz w:val="32"/>
        </w:rPr>
        <w:t>没有政府性基金收入，也没有政府性基金收入安排的支出</w:t>
      </w:r>
      <w:r>
        <w:rPr>
          <w:rFonts w:hint="eastAsia" w:ascii="仿宋_GB2312" w:hAnsi="Times New Roman" w:eastAsia="仿宋_GB2312" w:cs="Times New Roman"/>
          <w:sz w:val="32"/>
          <w:szCs w:val="32"/>
        </w:rPr>
        <w:t>。</w:t>
      </w:r>
    </w:p>
    <w:p>
      <w:pPr>
        <w:jc w:val="left"/>
        <w:rPr>
          <w:rFonts w:ascii="仿宋" w:hAnsi="仿宋" w:eastAsia="仿宋" w:cs="仿宋"/>
          <w:sz w:val="32"/>
          <w:szCs w:val="32"/>
        </w:rPr>
      </w:pPr>
      <w:r>
        <w:rPr>
          <w:rFonts w:hint="eastAsia" w:ascii="黑体" w:hAnsi="黑体" w:eastAsia="黑体" w:cs="黑体"/>
          <w:sz w:val="32"/>
          <w:szCs w:val="32"/>
        </w:rPr>
        <w:t>五、2022年度国有资本经营预算支出决算情况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环江毛南族自治县川山镇初级中学2022年度国有资本经营预算支出</w:t>
      </w:r>
      <w:r>
        <w:rPr>
          <w:rFonts w:ascii="仿宋" w:hAnsi="仿宋" w:eastAsia="仿宋" w:cs="仿宋"/>
          <w:sz w:val="32"/>
          <w:szCs w:val="32"/>
        </w:rPr>
        <w:t>0.00</w:t>
      </w:r>
      <w:r>
        <w:rPr>
          <w:rFonts w:hint="eastAsia" w:ascii="仿宋" w:hAnsi="仿宋" w:eastAsia="仿宋" w:cs="仿宋"/>
          <w:sz w:val="32"/>
          <w:szCs w:val="32"/>
        </w:rPr>
        <w:t>万元。其中：基本支出</w:t>
      </w:r>
      <w:r>
        <w:rPr>
          <w:rFonts w:ascii="仿宋" w:hAnsi="仿宋" w:eastAsia="仿宋" w:cs="仿宋"/>
          <w:sz w:val="32"/>
          <w:szCs w:val="32"/>
        </w:rPr>
        <w:t>0.00</w:t>
      </w:r>
      <w:r>
        <w:rPr>
          <w:rFonts w:hint="eastAsia" w:ascii="仿宋" w:hAnsi="仿宋" w:eastAsia="仿宋" w:cs="仿宋"/>
          <w:sz w:val="32"/>
          <w:szCs w:val="32"/>
        </w:rPr>
        <w:t>万元，项目支出</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环江毛南族自治县川山镇初级中学2022 年度国有资本经营预算支出年初预算为</w:t>
      </w:r>
      <w:r>
        <w:rPr>
          <w:rFonts w:ascii="仿宋" w:hAnsi="仿宋" w:eastAsia="仿宋" w:cs="仿宋"/>
          <w:sz w:val="32"/>
          <w:szCs w:val="32"/>
        </w:rPr>
        <w:t>0.00</w:t>
      </w:r>
      <w:r>
        <w:rPr>
          <w:rFonts w:hint="eastAsia" w:ascii="仿宋" w:hAnsi="仿宋" w:eastAsia="仿宋" w:cs="仿宋"/>
          <w:sz w:val="32"/>
          <w:szCs w:val="32"/>
        </w:rPr>
        <w:t>万元，支出决算为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bookmarkStart w:id="4" w:name="PO_part3A5B1C1DiffReason1"/>
      <w:r>
        <w:rPr>
          <w:rFonts w:hint="eastAsia" w:ascii="仿宋_GB2312" w:hAnsi="Times New Roman" w:eastAsia="仿宋_GB2312" w:cs="Times New Roman"/>
          <w:sz w:val="32"/>
          <w:szCs w:val="32"/>
        </w:rPr>
        <w:t>环江毛南族自治县川山镇初级中学</w:t>
      </w:r>
      <w:r>
        <w:rPr>
          <w:rFonts w:ascii="仿宋_GB2312" w:hAnsi="仿宋_GB2312" w:eastAsia="仿宋_GB2312" w:cs="仿宋_GB2312"/>
          <w:sz w:val="32"/>
        </w:rPr>
        <w:t>没有国有资本经营预算收入，也没有国有资本经营预算收入</w:t>
      </w:r>
      <w:r>
        <w:rPr>
          <w:rFonts w:hint="eastAsia" w:ascii="仿宋_GB2312" w:hAnsi="Times New Roman" w:eastAsia="仿宋_GB2312" w:cs="Times New Roman"/>
          <w:sz w:val="32"/>
          <w:szCs w:val="32"/>
        </w:rPr>
        <w:t>安排的支出。</w:t>
      </w:r>
      <w:bookmarkEnd w:id="4"/>
    </w:p>
    <w:p>
      <w:pPr>
        <w:jc w:val="left"/>
        <w:rPr>
          <w:rFonts w:ascii="仿宋" w:hAnsi="仿宋" w:eastAsia="仿宋" w:cs="仿宋"/>
          <w:sz w:val="32"/>
          <w:szCs w:val="32"/>
        </w:rPr>
      </w:pPr>
      <w:r>
        <w:rPr>
          <w:rFonts w:hint="eastAsia" w:ascii="黑体" w:hAnsi="黑体" w:eastAsia="黑体" w:cs="黑体"/>
          <w:sz w:val="32"/>
          <w:szCs w:val="32"/>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本部门无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rPr>
      </w:pPr>
      <w:r>
        <w:rPr>
          <w:rFonts w:hint="eastAsia" w:ascii="黑体" w:hAnsi="黑体" w:eastAsia="黑体" w:cs="黑体"/>
          <w:sz w:val="32"/>
          <w:szCs w:val="32"/>
        </w:rPr>
        <w:t>七、其他重要事项情况说明</w:t>
      </w:r>
    </w:p>
    <w:p>
      <w:pPr>
        <w:jc w:val="left"/>
        <w:rPr>
          <w:rFonts w:ascii="黑体" w:hAnsi="黑体" w:eastAsia="黑体" w:cs="黑体"/>
          <w:sz w:val="32"/>
          <w:szCs w:val="32"/>
        </w:rPr>
      </w:pPr>
      <w:r>
        <w:rPr>
          <w:rFonts w:hint="eastAsia" w:ascii="黑体" w:hAnsi="黑体" w:eastAsia="黑体" w:cs="黑体"/>
          <w:sz w:val="32"/>
          <w:szCs w:val="32"/>
        </w:rPr>
        <w:t>（一） 机关运行经费支出情况说明</w:t>
      </w:r>
    </w:p>
    <w:p>
      <w:pPr>
        <w:ind w:firstLine="640" w:firstLineChars="200"/>
        <w:jc w:val="left"/>
        <w:rPr>
          <w:rFonts w:hint="default" w:ascii="仿宋" w:hAnsi="仿宋" w:eastAsia="仿宋" w:cs="仿宋"/>
          <w:color w:val="FF0000"/>
          <w:sz w:val="32"/>
          <w:szCs w:val="32"/>
          <w:lang w:val="en-US" w:eastAsia="zh-CN"/>
        </w:rPr>
      </w:pPr>
      <w:r>
        <w:rPr>
          <w:rFonts w:hint="eastAsia" w:ascii="仿宋" w:hAnsi="仿宋" w:eastAsia="仿宋" w:cs="仿宋"/>
          <w:sz w:val="32"/>
          <w:szCs w:val="32"/>
        </w:rPr>
        <w:t>本部门2022年度机关运行经费支出</w:t>
      </w:r>
      <w:r>
        <w:rPr>
          <w:rFonts w:ascii="仿宋" w:hAnsi="仿宋" w:eastAsia="仿宋" w:cs="仿宋"/>
          <w:sz w:val="32"/>
          <w:szCs w:val="32"/>
        </w:rPr>
        <w:t>0.00</w:t>
      </w:r>
      <w:r>
        <w:rPr>
          <w:rFonts w:hint="eastAsia" w:ascii="仿宋" w:hAnsi="仿宋" w:eastAsia="仿宋" w:cs="仿宋"/>
          <w:sz w:val="32"/>
          <w:szCs w:val="32"/>
        </w:rPr>
        <w:t>万。</w:t>
      </w:r>
      <w:r>
        <w:rPr>
          <w:rFonts w:hint="eastAsia" w:ascii="仿宋" w:hAnsi="仿宋" w:eastAsia="仿宋" w:cs="仿宋"/>
          <w:sz w:val="32"/>
          <w:szCs w:val="32"/>
          <w:lang w:val="en-US" w:eastAsia="zh-CN"/>
        </w:rPr>
        <w:t>本部门无机关运行经费支出。</w:t>
      </w:r>
    </w:p>
    <w:p>
      <w:pPr>
        <w:jc w:val="left"/>
        <w:rPr>
          <w:rFonts w:ascii="黑体" w:hAnsi="黑体" w:eastAsia="黑体" w:cs="黑体"/>
          <w:sz w:val="32"/>
          <w:szCs w:val="32"/>
        </w:rPr>
      </w:pPr>
      <w:r>
        <w:rPr>
          <w:rFonts w:hint="eastAsia" w:ascii="黑体" w:hAnsi="黑体" w:eastAsia="黑体" w:cs="黑体"/>
          <w:sz w:val="32"/>
          <w:szCs w:val="32"/>
        </w:rPr>
        <w:t>（二）政府采购支出情况说明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本部门2022年度政府采购支出总额</w:t>
      </w:r>
      <w:r>
        <w:rPr>
          <w:rFonts w:ascii="仿宋" w:hAnsi="仿宋" w:eastAsia="仿宋" w:cs="仿宋"/>
          <w:sz w:val="32"/>
          <w:szCs w:val="32"/>
        </w:rPr>
        <w:t>0.00</w:t>
      </w:r>
      <w:r>
        <w:rPr>
          <w:rFonts w:hint="eastAsia" w:ascii="仿宋" w:hAnsi="仿宋" w:eastAsia="仿宋" w:cs="仿宋"/>
          <w:sz w:val="32"/>
          <w:szCs w:val="32"/>
        </w:rPr>
        <w:t>万元，其中：政府采购货物支出</w:t>
      </w:r>
      <w:r>
        <w:rPr>
          <w:rFonts w:ascii="仿宋" w:hAnsi="仿宋" w:eastAsia="仿宋" w:cs="仿宋"/>
          <w:sz w:val="32"/>
          <w:szCs w:val="32"/>
        </w:rPr>
        <w:t>0.00</w:t>
      </w:r>
      <w:r>
        <w:rPr>
          <w:rFonts w:hint="eastAsia" w:ascii="仿宋" w:hAnsi="仿宋" w:eastAsia="仿宋" w:cs="仿宋"/>
          <w:sz w:val="32"/>
          <w:szCs w:val="32"/>
        </w:rPr>
        <w:t>万元、政府采购工程支出</w:t>
      </w:r>
      <w:r>
        <w:rPr>
          <w:rFonts w:ascii="仿宋" w:hAnsi="仿宋" w:eastAsia="仿宋" w:cs="仿宋"/>
          <w:sz w:val="32"/>
          <w:szCs w:val="32"/>
        </w:rPr>
        <w:t>0.00</w:t>
      </w:r>
      <w:r>
        <w:rPr>
          <w:rFonts w:hint="eastAsia" w:ascii="仿宋" w:hAnsi="仿宋" w:eastAsia="仿宋" w:cs="仿宋"/>
          <w:sz w:val="32"/>
          <w:szCs w:val="32"/>
        </w:rPr>
        <w:t>万元、政府采购服务支出</w:t>
      </w:r>
      <w:r>
        <w:rPr>
          <w:rFonts w:ascii="仿宋" w:hAnsi="仿宋" w:eastAsia="仿宋" w:cs="仿宋"/>
          <w:sz w:val="32"/>
          <w:szCs w:val="32"/>
        </w:rPr>
        <w:t>0.00</w:t>
      </w:r>
      <w:r>
        <w:rPr>
          <w:rFonts w:hint="eastAsia" w:ascii="仿宋" w:hAnsi="仿宋" w:eastAsia="仿宋" w:cs="仿宋"/>
          <w:sz w:val="32"/>
          <w:szCs w:val="32"/>
        </w:rPr>
        <w:t>万元。授予中小企业合同金额</w:t>
      </w:r>
      <w:r>
        <w:rPr>
          <w:rFonts w:ascii="仿宋" w:hAnsi="仿宋" w:eastAsia="仿宋" w:cs="仿宋"/>
          <w:sz w:val="32"/>
          <w:szCs w:val="32"/>
        </w:rPr>
        <w:t>0.00</w:t>
      </w:r>
      <w:r>
        <w:rPr>
          <w:rFonts w:hint="eastAsia" w:ascii="仿宋" w:hAnsi="仿宋" w:eastAsia="仿宋" w:cs="仿宋"/>
          <w:sz w:val="32"/>
          <w:szCs w:val="32"/>
        </w:rPr>
        <w:t>万元，占政府采购支出总额的</w:t>
      </w:r>
      <w:r>
        <w:rPr>
          <w:rFonts w:ascii="仿宋" w:hAnsi="仿宋" w:eastAsia="仿宋" w:cs="仿宋"/>
          <w:sz w:val="32"/>
          <w:szCs w:val="32"/>
        </w:rPr>
        <w:t>0%</w:t>
      </w:r>
      <w:r>
        <w:rPr>
          <w:rFonts w:hint="eastAsia" w:ascii="仿宋" w:hAnsi="仿宋" w:eastAsia="仿宋" w:cs="仿宋"/>
          <w:sz w:val="32"/>
          <w:szCs w:val="32"/>
        </w:rPr>
        <w:t>，其中：授予小微企业合同金额</w:t>
      </w:r>
      <w:r>
        <w:rPr>
          <w:rFonts w:ascii="仿宋" w:hAnsi="仿宋" w:eastAsia="仿宋" w:cs="仿宋"/>
          <w:sz w:val="32"/>
          <w:szCs w:val="32"/>
        </w:rPr>
        <w:t>0.00</w:t>
      </w:r>
      <w:r>
        <w:rPr>
          <w:rFonts w:hint="eastAsia" w:ascii="仿宋" w:hAnsi="仿宋" w:eastAsia="仿宋" w:cs="仿宋"/>
          <w:sz w:val="32"/>
          <w:szCs w:val="32"/>
        </w:rPr>
        <w:t>万元，占授予中小企业合同金额的</w:t>
      </w:r>
      <w:r>
        <w:rPr>
          <w:rFonts w:ascii="仿宋" w:hAnsi="仿宋" w:eastAsia="仿宋" w:cs="仿宋"/>
          <w:sz w:val="32"/>
          <w:szCs w:val="32"/>
        </w:rPr>
        <w:t>0%</w:t>
      </w:r>
      <w:r>
        <w:rPr>
          <w:rFonts w:hint="eastAsia" w:ascii="仿宋" w:hAnsi="仿宋" w:eastAsia="仿宋" w:cs="仿宋"/>
          <w:sz w:val="32"/>
          <w:szCs w:val="32"/>
        </w:rPr>
        <w:t>。</w:t>
      </w:r>
    </w:p>
    <w:p>
      <w:pPr>
        <w:jc w:val="left"/>
        <w:rPr>
          <w:rFonts w:ascii="仿宋" w:hAnsi="仿宋" w:eastAsia="仿宋" w:cs="仿宋"/>
          <w:sz w:val="32"/>
          <w:szCs w:val="32"/>
        </w:rPr>
      </w:pPr>
      <w:r>
        <w:rPr>
          <w:rFonts w:hint="eastAsia" w:ascii="黑体" w:hAnsi="黑体" w:eastAsia="黑体" w:cs="黑体"/>
          <w:sz w:val="32"/>
          <w:szCs w:val="32"/>
        </w:rPr>
        <w:t>（三）国有资产占用情况说明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截至2022年12月31日，本部门共有车辆</w:t>
      </w:r>
      <w:r>
        <w:rPr>
          <w:rFonts w:ascii="仿宋" w:hAnsi="仿宋" w:eastAsia="仿宋" w:cs="仿宋"/>
          <w:sz w:val="32"/>
          <w:szCs w:val="32"/>
        </w:rPr>
        <w:t>0</w:t>
      </w:r>
      <w:r>
        <w:rPr>
          <w:rFonts w:hint="eastAsia" w:ascii="仿宋" w:hAnsi="仿宋" w:eastAsia="仿宋" w:cs="仿宋"/>
          <w:sz w:val="32"/>
          <w:szCs w:val="32"/>
        </w:rPr>
        <w:t>辆，其中：副部（省）级领导干部用车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辆；单位价值50万元以上通用设备</w:t>
      </w:r>
      <w:r>
        <w:rPr>
          <w:rFonts w:ascii="仿宋" w:hAnsi="仿宋" w:eastAsia="仿宋" w:cs="仿宋"/>
          <w:sz w:val="32"/>
          <w:szCs w:val="32"/>
        </w:rPr>
        <w:t>0</w:t>
      </w:r>
      <w:r>
        <w:rPr>
          <w:rFonts w:hint="eastAsia" w:ascii="仿宋" w:hAnsi="仿宋" w:eastAsia="仿宋" w:cs="仿宋"/>
          <w:sz w:val="32"/>
          <w:szCs w:val="32"/>
        </w:rPr>
        <w:t>台（套）；单位价值100万元以上专用设备台（套）。</w:t>
      </w:r>
    </w:p>
    <w:p>
      <w:pPr>
        <w:jc w:val="left"/>
        <w:rPr>
          <w:rFonts w:ascii="仿宋" w:hAnsi="仿宋" w:eastAsia="仿宋" w:cs="仿宋"/>
          <w:sz w:val="32"/>
          <w:szCs w:val="32"/>
        </w:rPr>
      </w:pPr>
      <w:r>
        <w:rPr>
          <w:rFonts w:hint="eastAsia" w:ascii="黑体" w:hAnsi="黑体" w:eastAsia="黑体" w:cs="黑体"/>
          <w:sz w:val="32"/>
          <w:szCs w:val="32"/>
        </w:rPr>
        <w:t>（四）预算绩效管理工作开展情况</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根据财政预算管理要求，本部门组织对2022年度一般公共预算项目支出全面开展绩效自评。其中，一等项目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4个，二等项目3个，共涉及资金</w:t>
      </w:r>
      <w:r>
        <w:rPr>
          <w:rFonts w:hint="eastAsia" w:ascii="仿宋" w:hAnsi="仿宋" w:eastAsia="仿宋" w:cs="仿宋"/>
          <w:color w:val="000000" w:themeColor="text1"/>
          <w:sz w:val="32"/>
          <w:szCs w:val="32"/>
          <w:lang w:val="en-US" w:eastAsia="zh-CN"/>
          <w14:textFill>
            <w14:solidFill>
              <w14:schemeClr w14:val="tx1"/>
            </w14:solidFill>
          </w14:textFill>
        </w:rPr>
        <w:t>550.66</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32.94</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b w:val="0"/>
          <w:bCs/>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我校对17个项目进行</w:t>
      </w:r>
      <w:r>
        <w:rPr>
          <w:rFonts w:hint="eastAsia" w:ascii="仿宋" w:hAnsi="仿宋" w:eastAsia="仿宋" w:cs="仿宋"/>
          <w:b w:val="0"/>
          <w:bCs/>
          <w:sz w:val="32"/>
          <w:szCs w:val="32"/>
        </w:rPr>
        <w:t>自评</w:t>
      </w:r>
      <w:r>
        <w:rPr>
          <w:rFonts w:hint="eastAsia" w:ascii="仿宋" w:hAnsi="仿宋" w:eastAsia="仿宋" w:cs="仿宋"/>
          <w:b w:val="0"/>
          <w:bCs/>
          <w:sz w:val="32"/>
          <w:szCs w:val="32"/>
          <w:lang w:eastAsia="zh-CN"/>
        </w:rPr>
        <w:t>，</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人</w:t>
      </w:r>
      <w:r>
        <w:rPr>
          <w:rFonts w:hint="eastAsia" w:ascii="仿宋" w:hAnsi="仿宋" w:eastAsia="仿宋" w:cs="仿宋"/>
          <w:color w:val="000000" w:themeColor="text1"/>
          <w:sz w:val="32"/>
          <w:szCs w:val="32"/>
          <w:lang w:val="en-US" w:eastAsia="zh-CN"/>
          <w14:textFill>
            <w14:solidFill>
              <w14:schemeClr w14:val="tx1"/>
            </w14:solidFill>
          </w14:textFill>
        </w:rPr>
        <w:t>9个，99.97分1个，98.96分</w:t>
      </w:r>
      <w:bookmarkStart w:id="6" w:name="_GoBack"/>
      <w:r>
        <w:rPr>
          <w:rFonts w:hint="eastAsia" w:ascii="仿宋" w:hAnsi="仿宋" w:eastAsia="仿宋" w:cs="仿宋"/>
          <w:color w:val="000000" w:themeColor="text1"/>
          <w:sz w:val="32"/>
          <w:szCs w:val="32"/>
          <w:lang w:val="en-US" w:eastAsia="zh-CN"/>
          <w14:textFill>
            <w14:solidFill>
              <w14:schemeClr w14:val="tx1"/>
            </w14:solidFill>
          </w14:textFill>
        </w:rPr>
        <w:t>1个，98.89分1个,95分1个，92.91分1个，88分1个，83.27分1个，80分1个</w:t>
      </w:r>
      <w:r>
        <w:rPr>
          <w:rFonts w:hint="eastAsia" w:ascii="仿宋" w:hAnsi="仿宋" w:eastAsia="仿宋" w:cs="仿宋"/>
          <w:color w:val="000000" w:themeColor="text1"/>
          <w:sz w:val="32"/>
          <w:szCs w:val="32"/>
          <w14:textFill>
            <w14:solidFill>
              <w14:schemeClr w14:val="tx1"/>
            </w14:solidFill>
          </w14:textFill>
        </w:rPr>
        <w:t>。发现的主要问题及原因：一是我单位未能制定相关管理制度，在项目实施方面还有待完善</w:t>
      </w:r>
      <w:r>
        <w:rPr>
          <w:rFonts w:hint="eastAsia" w:ascii="仿宋" w:hAnsi="仿宋" w:eastAsia="仿宋" w:cs="仿宋"/>
          <w:color w:val="000000" w:themeColor="text1"/>
          <w:sz w:val="32"/>
          <w:szCs w:val="32"/>
          <w14:textFill>
            <w14:solidFill>
              <w14:schemeClr w14:val="tx1"/>
            </w14:solidFill>
          </w14:textFill>
        </w:rPr>
        <w:t>；二是学校报账材料整理比较慢，不能及时支付</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组织制定完善相关</w:t>
      </w:r>
      <w:r>
        <w:rPr>
          <w:rFonts w:hint="eastAsia" w:ascii="仿宋" w:hAnsi="仿宋" w:eastAsia="仿宋" w:cs="仿宋"/>
          <w:color w:val="000000" w:themeColor="text1"/>
          <w:sz w:val="32"/>
          <w:szCs w:val="32"/>
          <w14:textFill>
            <w14:solidFill>
              <w14:schemeClr w14:val="tx1"/>
            </w14:solidFill>
          </w14:textFill>
        </w:rPr>
        <w:t>管理制度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完善项目实施</w:t>
      </w:r>
      <w:r>
        <w:rPr>
          <w:rFonts w:hint="eastAsia" w:ascii="仿宋" w:hAnsi="仿宋" w:eastAsia="仿宋" w:cs="仿宋"/>
          <w:color w:val="000000" w:themeColor="text1"/>
          <w:sz w:val="32"/>
          <w:szCs w:val="32"/>
          <w:lang w:val="en-US" w:eastAsia="zh-CN"/>
          <w14:textFill>
            <w14:solidFill>
              <w14:schemeClr w14:val="tx1"/>
            </w14:solidFill>
          </w14:textFill>
        </w:rPr>
        <w:t>方案</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项目完成后，及时收集</w:t>
      </w:r>
      <w:r>
        <w:rPr>
          <w:rFonts w:hint="eastAsia" w:ascii="仿宋" w:hAnsi="仿宋" w:eastAsia="仿宋" w:cs="仿宋"/>
          <w:color w:val="000000" w:themeColor="text1"/>
          <w:sz w:val="32"/>
          <w:szCs w:val="32"/>
          <w14:textFill>
            <w14:solidFill>
              <w14:schemeClr w14:val="tx1"/>
            </w14:solidFill>
          </w14:textFill>
        </w:rPr>
        <w:t>报账材料</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及时支付</w:t>
      </w:r>
      <w:r>
        <w:rPr>
          <w:rFonts w:hint="eastAsia" w:ascii="仿宋" w:hAnsi="仿宋" w:eastAsia="仿宋" w:cs="仿宋"/>
          <w:color w:val="000000" w:themeColor="text1"/>
          <w:sz w:val="32"/>
          <w:szCs w:val="32"/>
          <w14:textFill>
            <w14:solidFill>
              <w14:schemeClr w14:val="tx1"/>
            </w14:solidFill>
          </w14:textFill>
        </w:rPr>
        <w:t>。</w:t>
      </w:r>
      <w:bookmarkEnd w:id="6"/>
    </w:p>
    <w:p>
      <w:pPr>
        <w:ind w:firstLine="480" w:firstLineChars="200"/>
        <w:jc w:val="left"/>
        <w:rPr>
          <w:rFonts w:hint="eastAsia" w:ascii="宋体" w:hAnsi="宋体" w:cs="Arial Unicode MS"/>
          <w:sz w:val="24"/>
          <w:lang w:val="en-US" w:eastAsia="zh-CN"/>
        </w:rPr>
      </w:pPr>
    </w:p>
    <w:p>
      <w:pPr>
        <w:jc w:val="left"/>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一、财政拨款收入：指</w:t>
      </w:r>
      <w:r>
        <w:rPr>
          <w:rFonts w:ascii="仿宋" w:hAnsi="仿宋" w:eastAsia="仿宋" w:cs="仿宋"/>
          <w:sz w:val="32"/>
        </w:rPr>
        <w:t>环江毛南族自治县财政部门当年拨付的资金。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六、年初结转和结余：指以前年度尚未完成、结转到本年 按有关规定继续使用的资金。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九、基本支出：指为保障机构正常运转、完成日常工作任务而发生的人员支出和公用支出。 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十、项目支出：指在基本支出之外为完成特定行政任务和事业发展目标所发生的支出。 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十二、“三公”经费：纳入</w:t>
      </w:r>
      <w:r>
        <w:rPr>
          <w:rFonts w:ascii="仿宋" w:hAnsi="仿宋" w:eastAsia="仿宋" w:cs="仿宋"/>
          <w:sz w:val="32"/>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NTcyMDNmZjAwYzA5OTAzZmJlOTYwZWNkNTY2Nz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95A5C"/>
    <w:rsid w:val="002B2731"/>
    <w:rsid w:val="00325F5C"/>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30484"/>
    <w:rsid w:val="007640BB"/>
    <w:rsid w:val="00771953"/>
    <w:rsid w:val="00776E0B"/>
    <w:rsid w:val="007A0641"/>
    <w:rsid w:val="007A7061"/>
    <w:rsid w:val="007C52A9"/>
    <w:rsid w:val="007C52E7"/>
    <w:rsid w:val="007C54EA"/>
    <w:rsid w:val="007C776D"/>
    <w:rsid w:val="007D7CE3"/>
    <w:rsid w:val="007E2F6C"/>
    <w:rsid w:val="00817C69"/>
    <w:rsid w:val="00823A94"/>
    <w:rsid w:val="00824151"/>
    <w:rsid w:val="008315A9"/>
    <w:rsid w:val="00834354"/>
    <w:rsid w:val="008F1B95"/>
    <w:rsid w:val="008F4AE2"/>
    <w:rsid w:val="008F6882"/>
    <w:rsid w:val="00924DB6"/>
    <w:rsid w:val="00934C72"/>
    <w:rsid w:val="00946CCF"/>
    <w:rsid w:val="0097721B"/>
    <w:rsid w:val="009831F8"/>
    <w:rsid w:val="009B3E00"/>
    <w:rsid w:val="009D1667"/>
    <w:rsid w:val="009D7A6B"/>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1076C"/>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E4A5660"/>
    <w:rsid w:val="0F8D4C87"/>
    <w:rsid w:val="10505FAA"/>
    <w:rsid w:val="105F7E7E"/>
    <w:rsid w:val="11E56B5B"/>
    <w:rsid w:val="125C77AB"/>
    <w:rsid w:val="13983469"/>
    <w:rsid w:val="14CB726E"/>
    <w:rsid w:val="154B4205"/>
    <w:rsid w:val="17E92249"/>
    <w:rsid w:val="18D304F1"/>
    <w:rsid w:val="19F32577"/>
    <w:rsid w:val="19F45B80"/>
    <w:rsid w:val="1B0C078D"/>
    <w:rsid w:val="1B2B31E2"/>
    <w:rsid w:val="1B4C295A"/>
    <w:rsid w:val="1B973C63"/>
    <w:rsid w:val="1BA1001E"/>
    <w:rsid w:val="1D317259"/>
    <w:rsid w:val="1E605260"/>
    <w:rsid w:val="1E664F5B"/>
    <w:rsid w:val="1EB34BE1"/>
    <w:rsid w:val="1FB7088A"/>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9382A53"/>
    <w:rsid w:val="3C07002B"/>
    <w:rsid w:val="3D0D152A"/>
    <w:rsid w:val="3D73916A"/>
    <w:rsid w:val="3DF62756"/>
    <w:rsid w:val="3EBF49E5"/>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071A30"/>
    <w:rsid w:val="54522FF8"/>
    <w:rsid w:val="55450629"/>
    <w:rsid w:val="56692963"/>
    <w:rsid w:val="568B0F48"/>
    <w:rsid w:val="5786217B"/>
    <w:rsid w:val="59337A15"/>
    <w:rsid w:val="59810274"/>
    <w:rsid w:val="5C944D4F"/>
    <w:rsid w:val="5CA96A00"/>
    <w:rsid w:val="5CF730BC"/>
    <w:rsid w:val="5E5F0DCE"/>
    <w:rsid w:val="5FA40A7B"/>
    <w:rsid w:val="5FD56D29"/>
    <w:rsid w:val="5FEC7F3F"/>
    <w:rsid w:val="60F74BC3"/>
    <w:rsid w:val="617D3BF8"/>
    <w:rsid w:val="61841F6A"/>
    <w:rsid w:val="623007A9"/>
    <w:rsid w:val="637D7558"/>
    <w:rsid w:val="644F19AC"/>
    <w:rsid w:val="65937512"/>
    <w:rsid w:val="65AA4920"/>
    <w:rsid w:val="65E31D0B"/>
    <w:rsid w:val="67694F1E"/>
    <w:rsid w:val="67BB4FAF"/>
    <w:rsid w:val="69597934"/>
    <w:rsid w:val="6B964DDC"/>
    <w:rsid w:val="6C783074"/>
    <w:rsid w:val="6D9E65C6"/>
    <w:rsid w:val="6DA81947"/>
    <w:rsid w:val="6EB66DE2"/>
    <w:rsid w:val="6ED3075F"/>
    <w:rsid w:val="6F2A2D4B"/>
    <w:rsid w:val="6F8A0C1E"/>
    <w:rsid w:val="703F45D4"/>
    <w:rsid w:val="714173A3"/>
    <w:rsid w:val="715D6546"/>
    <w:rsid w:val="71BE069E"/>
    <w:rsid w:val="73953409"/>
    <w:rsid w:val="73E069A3"/>
    <w:rsid w:val="73F139AB"/>
    <w:rsid w:val="78104AA8"/>
    <w:rsid w:val="78E257C5"/>
    <w:rsid w:val="794B35BE"/>
    <w:rsid w:val="7B0A3A31"/>
    <w:rsid w:val="7B3360ED"/>
    <w:rsid w:val="7BDF037E"/>
    <w:rsid w:val="7BF50948"/>
    <w:rsid w:val="7CE66A78"/>
    <w:rsid w:val="7D23564C"/>
    <w:rsid w:val="7D5E062D"/>
    <w:rsid w:val="7DF76CD8"/>
    <w:rsid w:val="7F695C26"/>
    <w:rsid w:val="7FCF62D3"/>
    <w:rsid w:val="FEBB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1671.55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8.15</c:v>
                </c:pt>
                <c:pt idx="4">
                  <c:v>40.8</c:v>
                </c:pt>
                <c:pt idx="5">
                  <c:v>0</c:v>
                </c:pt>
                <c:pt idx="6">
                  <c:v>0</c:v>
                </c:pt>
                <c:pt idx="7">
                  <c:v>221.98</c:v>
                </c:pt>
                <c:pt idx="8">
                  <c:v>0</c:v>
                </c:pt>
                <c:pt idx="9">
                  <c:v>0</c:v>
                </c:pt>
                <c:pt idx="10">
                  <c:v>0</c:v>
                </c:pt>
                <c:pt idx="11">
                  <c:v>4.46</c:v>
                </c:pt>
              </c:numCache>
            </c:numRef>
          </c:val>
        </c:ser>
        <c:dLbls>
          <c:showLegendKey val="0"/>
          <c:showVal val="0"/>
          <c:showCatName val="0"/>
          <c:showSerName val="0"/>
          <c:showPercent val="0"/>
          <c:showBubbleSize val="0"/>
        </c:dLbls>
        <c:gapWidth val="219"/>
        <c:overlap val="-27"/>
        <c:axId val="102547456"/>
        <c:axId val="102548992"/>
      </c:barChart>
      <c:catAx>
        <c:axId val="102547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548992"/>
        <c:crosses val="autoZero"/>
        <c:auto val="1"/>
        <c:lblAlgn val="ctr"/>
        <c:lblOffset val="100"/>
        <c:noMultiLvlLbl val="0"/>
      </c:catAx>
      <c:valAx>
        <c:axId val="102548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547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02671872"/>
        <c:axId val="102673408"/>
      </c:barChart>
      <c:catAx>
        <c:axId val="1026718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3408"/>
        <c:crosses val="autoZero"/>
        <c:auto val="1"/>
        <c:lblAlgn val="ctr"/>
        <c:lblOffset val="100"/>
        <c:noMultiLvlLbl val="0"/>
      </c:catAx>
      <c:valAx>
        <c:axId val="1026734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671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4.95</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12737664"/>
        <c:axId val="112743552"/>
      </c:barChart>
      <c:catAx>
        <c:axId val="112737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743552"/>
        <c:crosses val="autoZero"/>
        <c:auto val="1"/>
        <c:lblAlgn val="ctr"/>
        <c:lblOffset val="100"/>
        <c:noMultiLvlLbl val="0"/>
      </c:catAx>
      <c:valAx>
        <c:axId val="112743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737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1637.25</c:v>
                </c:pt>
                <c:pt idx="2">
                  <c:v>269.05</c:v>
                </c:pt>
                <c:pt idx="3">
                  <c:v>64.65</c:v>
                </c:pt>
                <c:pt idx="4">
                  <c:v>268.45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16.02</c:v>
                </c:pt>
                <c:pt idx="1">
                  <c:v>1284.71</c:v>
                </c:pt>
                <c:pt idx="2">
                  <c:v>113.25</c:v>
                </c:pt>
                <c:pt idx="3">
                  <c:v>84.07</c:v>
                </c:pt>
                <c:pt idx="4">
                  <c:v>173.49</c:v>
                </c:pt>
              </c:numCache>
            </c:numRef>
          </c:val>
        </c:ser>
        <c:dLbls>
          <c:showLegendKey val="0"/>
          <c:showVal val="0"/>
          <c:showCatName val="0"/>
          <c:showSerName val="0"/>
          <c:showPercent val="0"/>
          <c:showBubbleSize val="0"/>
        </c:dLbls>
        <c:gapWidth val="219"/>
        <c:overlap val="-27"/>
        <c:axId val="97537024"/>
        <c:axId val="97551104"/>
      </c:barChart>
      <c:catAx>
        <c:axId val="97537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51104"/>
        <c:crosses val="autoZero"/>
        <c:auto val="1"/>
        <c:lblAlgn val="ctr"/>
        <c:lblOffset val="100"/>
        <c:noMultiLvlLbl val="0"/>
      </c:catAx>
      <c:valAx>
        <c:axId val="9755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537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16.02</c:v>
                </c:pt>
                <c:pt idx="1">
                  <c:v>16.02</c:v>
                </c:pt>
              </c:numCache>
            </c:numRef>
          </c:val>
        </c:ser>
        <c:dLbls>
          <c:showLegendKey val="0"/>
          <c:showVal val="0"/>
          <c:showCatName val="0"/>
          <c:showSerName val="0"/>
          <c:showPercent val="0"/>
          <c:showBubbleSize val="0"/>
        </c:dLbls>
        <c:gapWidth val="219"/>
        <c:overlap val="-27"/>
        <c:axId val="101012224"/>
        <c:axId val="101013760"/>
      </c:barChart>
      <c:catAx>
        <c:axId val="1010122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13760"/>
        <c:crosses val="autoZero"/>
        <c:auto val="1"/>
        <c:lblAlgn val="ctr"/>
        <c:lblOffset val="100"/>
        <c:noMultiLvlLbl val="0"/>
      </c:catAx>
      <c:valAx>
        <c:axId val="1010137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12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1255.99</c:v>
                </c:pt>
                <c:pt idx="1">
                  <c:v>28.72</c:v>
                </c:pt>
                <c:pt idx="2">
                  <c:v>1284.71</c:v>
                </c:pt>
              </c:numCache>
            </c:numRef>
          </c:val>
        </c:ser>
        <c:dLbls>
          <c:showLegendKey val="0"/>
          <c:showVal val="0"/>
          <c:showCatName val="0"/>
          <c:showSerName val="0"/>
          <c:showPercent val="0"/>
          <c:showBubbleSize val="0"/>
        </c:dLbls>
        <c:gapWidth val="219"/>
        <c:overlap val="-27"/>
        <c:axId val="101046528"/>
        <c:axId val="101048320"/>
      </c:barChart>
      <c:catAx>
        <c:axId val="1010465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48320"/>
        <c:crosses val="autoZero"/>
        <c:auto val="1"/>
        <c:lblAlgn val="ctr"/>
        <c:lblOffset val="100"/>
        <c:noMultiLvlLbl val="0"/>
      </c:catAx>
      <c:valAx>
        <c:axId val="101048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46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113.25</c:v>
                </c:pt>
                <c:pt idx="1">
                  <c:v>113.25</c:v>
                </c:pt>
              </c:numCache>
            </c:numRef>
          </c:val>
        </c:ser>
        <c:dLbls>
          <c:showLegendKey val="0"/>
          <c:showVal val="0"/>
          <c:showCatName val="0"/>
          <c:showSerName val="0"/>
          <c:showPercent val="0"/>
          <c:showBubbleSize val="0"/>
        </c:dLbls>
        <c:gapWidth val="219"/>
        <c:overlap val="-27"/>
        <c:axId val="112361856"/>
        <c:axId val="112363392"/>
      </c:barChart>
      <c:catAx>
        <c:axId val="1123618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363392"/>
        <c:crosses val="autoZero"/>
        <c:auto val="1"/>
        <c:lblAlgn val="ctr"/>
        <c:lblOffset val="100"/>
        <c:noMultiLvlLbl val="0"/>
      </c:catAx>
      <c:valAx>
        <c:axId val="1123633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361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84.07</c:v>
                </c:pt>
                <c:pt idx="1">
                  <c:v>84.07</c:v>
                </c:pt>
              </c:numCache>
            </c:numRef>
          </c:val>
        </c:ser>
        <c:dLbls>
          <c:showLegendKey val="0"/>
          <c:showVal val="0"/>
          <c:showCatName val="0"/>
          <c:showSerName val="0"/>
          <c:showPercent val="0"/>
          <c:showBubbleSize val="0"/>
        </c:dLbls>
        <c:gapWidth val="219"/>
        <c:overlap val="-27"/>
        <c:axId val="112670208"/>
        <c:axId val="112671744"/>
      </c:barChart>
      <c:catAx>
        <c:axId val="1126702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671744"/>
        <c:crosses val="autoZero"/>
        <c:auto val="1"/>
        <c:lblAlgn val="ctr"/>
        <c:lblOffset val="100"/>
        <c:noMultiLvlLbl val="0"/>
      </c:catAx>
      <c:valAx>
        <c:axId val="112671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670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173.49</c:v>
                </c:pt>
                <c:pt idx="1">
                  <c:v>173.49</c:v>
                </c:pt>
              </c:numCache>
            </c:numRef>
          </c:val>
        </c:ser>
        <c:dLbls>
          <c:showLegendKey val="0"/>
          <c:showVal val="0"/>
          <c:showCatName val="0"/>
          <c:showSerName val="0"/>
          <c:showPercent val="0"/>
          <c:showBubbleSize val="0"/>
        </c:dLbls>
        <c:gapWidth val="219"/>
        <c:overlap val="-27"/>
        <c:axId val="112700416"/>
        <c:axId val="112702208"/>
      </c:barChart>
      <c:catAx>
        <c:axId val="112700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702208"/>
        <c:crosses val="autoZero"/>
        <c:auto val="1"/>
        <c:lblAlgn val="ctr"/>
        <c:lblOffset val="100"/>
        <c:noMultiLvlLbl val="0"/>
      </c:catAx>
      <c:valAx>
        <c:axId val="112702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700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501.17</c:v>
                </c:pt>
                <c:pt idx="1">
                  <c:v>66.85</c:v>
                </c:pt>
                <c:pt idx="2">
                  <c:v>82.05</c:v>
                </c:pt>
                <c:pt idx="3">
                  <c:v>0</c:v>
                </c:pt>
                <c:pt idx="4">
                  <c:v>184.91</c:v>
                </c:pt>
                <c:pt idx="5">
                  <c:v>113.25</c:v>
                </c:pt>
                <c:pt idx="6">
                  <c:v>0</c:v>
                </c:pt>
                <c:pt idx="7">
                  <c:v>54.82</c:v>
                </c:pt>
                <c:pt idx="8">
                  <c:v>0</c:v>
                </c:pt>
                <c:pt idx="9">
                  <c:v>6.39</c:v>
                </c:pt>
                <c:pt idx="10">
                  <c:v>84.07</c:v>
                </c:pt>
                <c:pt idx="11">
                  <c:v>0</c:v>
                </c:pt>
                <c:pt idx="12">
                  <c:v>58.49</c:v>
                </c:pt>
              </c:numCache>
            </c:numRef>
          </c:val>
        </c:ser>
        <c:dLbls>
          <c:showLegendKey val="0"/>
          <c:showVal val="0"/>
          <c:showCatName val="0"/>
          <c:showSerName val="0"/>
          <c:showPercent val="0"/>
          <c:showBubbleSize val="0"/>
        </c:dLbls>
        <c:gapWidth val="219"/>
        <c:overlap val="-27"/>
        <c:axId val="100946688"/>
        <c:axId val="100948224"/>
      </c:barChart>
      <c:catAx>
        <c:axId val="100946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948224"/>
        <c:crosses val="autoZero"/>
        <c:auto val="1"/>
        <c:lblAlgn val="ctr"/>
        <c:lblOffset val="100"/>
        <c:noMultiLvlLbl val="0"/>
      </c:catAx>
      <c:valAx>
        <c:axId val="100948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946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0.79</c:v>
                </c:pt>
                <c:pt idx="1">
                  <c:v>0</c:v>
                </c:pt>
                <c:pt idx="2">
                  <c:v>0</c:v>
                </c:pt>
                <c:pt idx="3">
                  <c:v>0</c:v>
                </c:pt>
                <c:pt idx="4">
                  <c:v>3.97</c:v>
                </c:pt>
                <c:pt idx="5">
                  <c:v>0.93</c:v>
                </c:pt>
                <c:pt idx="6">
                  <c:v>0.66</c:v>
                </c:pt>
                <c:pt idx="7">
                  <c:v>0</c:v>
                </c:pt>
                <c:pt idx="8">
                  <c:v>2.69</c:v>
                </c:pt>
                <c:pt idx="9">
                  <c:v>6.75</c:v>
                </c:pt>
                <c:pt idx="10">
                  <c:v>0</c:v>
                </c:pt>
                <c:pt idx="11">
                  <c:v>4.79</c:v>
                </c:pt>
                <c:pt idx="12">
                  <c:v>0</c:v>
                </c:pt>
                <c:pt idx="13">
                  <c:v>0</c:v>
                </c:pt>
                <c:pt idx="14">
                  <c:v>0</c:v>
                </c:pt>
                <c:pt idx="15">
                  <c:v>0</c:v>
                </c:pt>
                <c:pt idx="16">
                  <c:v>0.39</c:v>
                </c:pt>
                <c:pt idx="17">
                  <c:v>0</c:v>
                </c:pt>
                <c:pt idx="18">
                  <c:v>0</c:v>
                </c:pt>
                <c:pt idx="19">
                  <c:v>0</c:v>
                </c:pt>
                <c:pt idx="20">
                  <c:v>0</c:v>
                </c:pt>
                <c:pt idx="21">
                  <c:v>16.02</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02525568"/>
        <c:axId val="102527360"/>
      </c:barChart>
      <c:catAx>
        <c:axId val="1025255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527360"/>
        <c:crosses val="autoZero"/>
        <c:auto val="1"/>
        <c:lblAlgn val="ctr"/>
        <c:lblOffset val="100"/>
        <c:noMultiLvlLbl val="0"/>
      </c:catAx>
      <c:valAx>
        <c:axId val="10252736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525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39</Pages>
  <Words>9006</Words>
  <Characters>6070</Characters>
  <Lines>50</Lines>
  <Paragraphs>30</Paragraphs>
  <TotalTime>2</TotalTime>
  <ScaleCrop>false</ScaleCrop>
  <LinksUpToDate>false</LinksUpToDate>
  <CharactersWithSpaces>15046</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2023-11-19T06:11:00Z</dcterms:created>
  <dc:creator>C D D</dc:creator>
  <cp:lastModifiedBy>Administrator</cp:lastModifiedBy>
  <cp:lastPrinted>2023-11-21T00:03:00Z</cp:lastPrinted>
  <dcterms:modified xsi:type="dcterms:W3CDTF">2023-11-29T00:51:42Z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0619E93AC17A475D8F472786BFA40140_13</vt:lpwstr>
  </property>
</Properties>
</file>