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环江毛南族自治县洛阳镇中心幼儿园2022年度部门决算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tabs>
          <w:tab w:val="left" w:pos="3384"/>
        </w:tabs>
        <w:ind w:firstLine="3200" w:firstLineChars="1000"/>
        <w:jc w:val="left"/>
        <w:rPr>
          <w:rFonts w:hint="eastAsia" w:ascii="黑体" w:hAnsi="黑体" w:eastAsia="黑体" w:cs="仿宋"/>
          <w:sz w:val="32"/>
          <w:szCs w:val="32"/>
        </w:rPr>
      </w:pPr>
    </w:p>
    <w:p>
      <w:pPr>
        <w:tabs>
          <w:tab w:val="left" w:pos="3384"/>
        </w:tabs>
        <w:ind w:firstLine="3200" w:firstLineChars="1000"/>
        <w:jc w:val="left"/>
        <w:rPr>
          <w:rFonts w:hint="eastAsia" w:ascii="黑体" w:hAnsi="黑体" w:eastAsia="黑体" w:cs="仿宋"/>
          <w:sz w:val="32"/>
          <w:szCs w:val="32"/>
        </w:rPr>
      </w:pPr>
    </w:p>
    <w:p>
      <w:pPr>
        <w:tabs>
          <w:tab w:val="left" w:pos="3384"/>
        </w:tabs>
        <w:ind w:firstLine="3200" w:firstLineChars="1000"/>
        <w:jc w:val="left"/>
        <w:rPr>
          <w:rFonts w:hint="eastAsia" w:ascii="黑体" w:hAnsi="黑体" w:eastAsia="黑体" w:cs="仿宋"/>
          <w:sz w:val="32"/>
          <w:szCs w:val="32"/>
        </w:rPr>
      </w:pPr>
    </w:p>
    <w:p>
      <w:pPr>
        <w:tabs>
          <w:tab w:val="left" w:pos="3384"/>
        </w:tabs>
        <w:ind w:firstLine="3200" w:firstLineChars="1000"/>
        <w:jc w:val="left"/>
        <w:rPr>
          <w:rFonts w:hint="eastAsia" w:ascii="仿宋" w:hAnsi="仿宋" w:eastAsia="黑体" w:cs="仿宋"/>
          <w:sz w:val="32"/>
          <w:szCs w:val="32"/>
          <w:highlight w:val="none"/>
          <w:lang w:eastAsia="zh-CN"/>
        </w:rPr>
      </w:pPr>
      <w:r>
        <w:rPr>
          <w:rFonts w:hint="eastAsia" w:ascii="黑体" w:hAnsi="黑体" w:eastAsia="黑体" w:cs="仿宋"/>
          <w:sz w:val="32"/>
          <w:szCs w:val="32"/>
        </w:rPr>
        <w:t>单位负责人：</w:t>
      </w:r>
      <w:r>
        <w:rPr>
          <w:rFonts w:hint="eastAsia" w:ascii="黑体" w:hAnsi="黑体" w:eastAsia="黑体" w:cs="仿宋"/>
          <w:sz w:val="32"/>
          <w:szCs w:val="32"/>
          <w:lang w:eastAsia="zh-CN"/>
        </w:rPr>
        <w:t>潘巧媚</w:t>
      </w:r>
    </w:p>
    <w:p>
      <w:pPr>
        <w:jc w:val="left"/>
        <w:rPr>
          <w:rFonts w:ascii="仿宋" w:hAnsi="仿宋" w:eastAsia="仿宋" w:cs="仿宋"/>
          <w:sz w:val="32"/>
          <w:szCs w:val="32"/>
          <w:highlight w:val="none"/>
        </w:rPr>
      </w:pPr>
    </w:p>
    <w:p>
      <w:pPr>
        <w:ind w:firstLine="3253" w:firstLineChars="900"/>
        <w:jc w:val="both"/>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环江毛南族自治县洛阳镇中心幼儿园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环江毛南族自治县洛阳镇中心幼儿园</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环江毛南族自治县洛阳镇中心幼儿园</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环江毛南族自治县洛阳镇中心幼儿园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ascii="仿宋" w:hAnsi="仿宋" w:eastAsia="仿宋" w:cs="仿宋"/>
          <w:sz w:val="32"/>
          <w:szCs w:val="32"/>
        </w:rPr>
      </w:pPr>
      <w:r>
        <w:rPr>
          <w:rFonts w:hint="eastAsia" w:ascii="仿宋" w:hAnsi="仿宋" w:eastAsia="仿宋" w:cs="仿宋"/>
          <w:sz w:val="32"/>
          <w:szCs w:val="32"/>
        </w:rPr>
        <w:t>（一）贯彻执行党和国家的教育方针、政策和法律法规；拟订全园教育改革与发展规划并组织实施。</w:t>
      </w:r>
    </w:p>
    <w:p>
      <w:pPr>
        <w:jc w:val="left"/>
        <w:rPr>
          <w:rFonts w:ascii="仿宋" w:hAnsi="仿宋" w:eastAsia="仿宋" w:cs="仿宋"/>
          <w:sz w:val="32"/>
          <w:szCs w:val="32"/>
        </w:rPr>
      </w:pPr>
      <w:r>
        <w:rPr>
          <w:rFonts w:hint="eastAsia" w:ascii="仿宋" w:hAnsi="仿宋" w:eastAsia="仿宋" w:cs="仿宋"/>
          <w:sz w:val="32"/>
          <w:szCs w:val="32"/>
        </w:rPr>
        <w:t>（二）编制本园教育事业发展规划并检查实施情况，向自治县人民政府和上级教育部门作出报告。</w:t>
      </w:r>
    </w:p>
    <w:p>
      <w:pPr>
        <w:jc w:val="left"/>
        <w:rPr>
          <w:rFonts w:ascii="仿宋" w:hAnsi="仿宋" w:eastAsia="仿宋" w:cs="仿宋"/>
          <w:sz w:val="32"/>
          <w:szCs w:val="32"/>
        </w:rPr>
      </w:pPr>
      <w:r>
        <w:rPr>
          <w:rFonts w:hint="eastAsia" w:ascii="仿宋" w:hAnsi="仿宋" w:eastAsia="仿宋" w:cs="仿宋"/>
          <w:sz w:val="32"/>
          <w:szCs w:val="32"/>
        </w:rPr>
        <w:t>（三）督促检查全园贯彻执行教育方针、政策、法令、法规和上级的各项规定；评估指导全园教育教学工作。</w:t>
      </w:r>
    </w:p>
    <w:p>
      <w:pPr>
        <w:jc w:val="left"/>
        <w:rPr>
          <w:rFonts w:ascii="仿宋" w:hAnsi="仿宋" w:eastAsia="仿宋" w:cs="仿宋"/>
          <w:sz w:val="32"/>
          <w:szCs w:val="32"/>
        </w:rPr>
      </w:pPr>
      <w:r>
        <w:rPr>
          <w:rFonts w:hint="eastAsia" w:ascii="仿宋" w:hAnsi="仿宋" w:eastAsia="仿宋" w:cs="仿宋"/>
          <w:sz w:val="32"/>
          <w:szCs w:val="32"/>
        </w:rPr>
        <w:t>（四）负责推进幼儿教育均衡发展和促进教育公平。</w:t>
      </w:r>
    </w:p>
    <w:p>
      <w:pPr>
        <w:jc w:val="left"/>
        <w:rPr>
          <w:rFonts w:ascii="仿宋" w:hAnsi="仿宋" w:eastAsia="仿宋" w:cs="仿宋"/>
          <w:sz w:val="32"/>
          <w:szCs w:val="32"/>
        </w:rPr>
      </w:pPr>
      <w:r>
        <w:rPr>
          <w:rFonts w:hint="eastAsia" w:ascii="仿宋" w:hAnsi="仿宋" w:eastAsia="仿宋" w:cs="仿宋"/>
          <w:sz w:val="32"/>
          <w:szCs w:val="32"/>
        </w:rPr>
        <w:t>（五）负责全园人才队伍和教师队伍建设，包括园长岗位培训、后备干部队伍建设、教师学历教育、继续教育等。</w:t>
      </w:r>
    </w:p>
    <w:p>
      <w:pPr>
        <w:jc w:val="left"/>
        <w:rPr>
          <w:rFonts w:ascii="仿宋" w:hAnsi="仿宋" w:eastAsia="仿宋" w:cs="仿宋"/>
          <w:sz w:val="32"/>
          <w:szCs w:val="32"/>
        </w:rPr>
      </w:pPr>
      <w:r>
        <w:rPr>
          <w:rFonts w:hint="eastAsia" w:ascii="仿宋" w:hAnsi="仿宋" w:eastAsia="仿宋" w:cs="仿宋"/>
          <w:sz w:val="32"/>
          <w:szCs w:val="32"/>
        </w:rPr>
        <w:t>（六）负责组织全园做好学籍管理工作。</w:t>
      </w:r>
    </w:p>
    <w:p>
      <w:pPr>
        <w:jc w:val="left"/>
        <w:rPr>
          <w:rFonts w:ascii="仿宋" w:hAnsi="仿宋" w:eastAsia="仿宋" w:cs="仿宋"/>
          <w:sz w:val="32"/>
          <w:szCs w:val="32"/>
        </w:rPr>
      </w:pPr>
      <w:r>
        <w:rPr>
          <w:rFonts w:hint="eastAsia" w:ascii="仿宋" w:hAnsi="仿宋" w:eastAsia="仿宋" w:cs="仿宋"/>
          <w:sz w:val="32"/>
          <w:szCs w:val="32"/>
        </w:rPr>
        <w:t>（七）按照中央关于全面推进素质教育要求，负责教育教学管理、教育教学改革及教育教学科学研究工作，检查指导全园实施素质教育工作，并组织推广先进的教育教学经验。</w:t>
      </w:r>
    </w:p>
    <w:p>
      <w:pPr>
        <w:jc w:val="left"/>
        <w:rPr>
          <w:rFonts w:ascii="仿宋" w:hAnsi="仿宋" w:eastAsia="仿宋" w:cs="仿宋"/>
          <w:sz w:val="32"/>
          <w:szCs w:val="32"/>
        </w:rPr>
      </w:pPr>
      <w:r>
        <w:rPr>
          <w:rFonts w:hint="eastAsia" w:ascii="仿宋" w:hAnsi="仿宋" w:eastAsia="仿宋" w:cs="仿宋"/>
          <w:sz w:val="32"/>
          <w:szCs w:val="32"/>
        </w:rPr>
        <w:t>（八）检查指导学校教育教学设备的装备、管理和使用工作。</w:t>
      </w:r>
    </w:p>
    <w:p>
      <w:pPr>
        <w:jc w:val="left"/>
        <w:rPr>
          <w:rFonts w:ascii="仿宋" w:hAnsi="仿宋" w:eastAsia="仿宋" w:cs="仿宋"/>
          <w:sz w:val="32"/>
          <w:szCs w:val="32"/>
        </w:rPr>
      </w:pPr>
      <w:r>
        <w:rPr>
          <w:rFonts w:hint="eastAsia" w:ascii="仿宋" w:hAnsi="仿宋" w:eastAsia="仿宋" w:cs="仿宋"/>
          <w:sz w:val="32"/>
          <w:szCs w:val="32"/>
        </w:rPr>
        <w:t>（九）检查指导全园开展电化教育和信息化教学工作。</w:t>
      </w:r>
    </w:p>
    <w:p>
      <w:pPr>
        <w:jc w:val="left"/>
        <w:rPr>
          <w:rFonts w:ascii="仿宋" w:hAnsi="仿宋" w:eastAsia="仿宋" w:cs="仿宋"/>
          <w:sz w:val="32"/>
          <w:szCs w:val="32"/>
        </w:rPr>
      </w:pPr>
      <w:r>
        <w:rPr>
          <w:rFonts w:hint="eastAsia" w:ascii="仿宋" w:hAnsi="仿宋" w:eastAsia="仿宋" w:cs="仿宋"/>
          <w:sz w:val="32"/>
          <w:szCs w:val="32"/>
        </w:rPr>
        <w:t>（十）负责全园教师初级专业技术职务资格的评审，中、高级专业技术职务资格的申报工作。按照管理权限对教师进行考核、聘任、奖惩、晋升等工作。</w:t>
      </w:r>
    </w:p>
    <w:p>
      <w:pPr>
        <w:jc w:val="left"/>
        <w:rPr>
          <w:rFonts w:ascii="仿宋" w:hAnsi="仿宋" w:eastAsia="仿宋" w:cs="仿宋"/>
          <w:sz w:val="32"/>
          <w:szCs w:val="32"/>
        </w:rPr>
      </w:pPr>
      <w:r>
        <w:rPr>
          <w:rFonts w:hint="eastAsia" w:ascii="仿宋" w:hAnsi="仿宋" w:eastAsia="仿宋" w:cs="仿宋"/>
          <w:sz w:val="32"/>
          <w:szCs w:val="32"/>
        </w:rPr>
        <w:t>（十一）负责监督审计全园教育经费和教育基建经费拨付及教育附加费和教育费附加的征收、管理与使用工作。</w:t>
      </w:r>
    </w:p>
    <w:p>
      <w:pPr>
        <w:jc w:val="left"/>
        <w:rPr>
          <w:rFonts w:ascii="仿宋" w:hAnsi="仿宋" w:eastAsia="仿宋" w:cs="仿宋"/>
          <w:sz w:val="32"/>
          <w:szCs w:val="32"/>
        </w:rPr>
      </w:pPr>
      <w:r>
        <w:rPr>
          <w:rFonts w:hint="eastAsia" w:ascii="仿宋" w:hAnsi="仿宋" w:eastAsia="仿宋" w:cs="仿宋"/>
          <w:sz w:val="32"/>
          <w:szCs w:val="32"/>
        </w:rPr>
        <w:t>（十二）负责指导全园学生资助管理工作。</w:t>
      </w:r>
    </w:p>
    <w:p>
      <w:pPr>
        <w:jc w:val="left"/>
        <w:rPr>
          <w:rFonts w:ascii="仿宋" w:hAnsi="仿宋" w:eastAsia="仿宋" w:cs="仿宋"/>
          <w:sz w:val="32"/>
          <w:szCs w:val="32"/>
        </w:rPr>
      </w:pPr>
      <w:r>
        <w:rPr>
          <w:rFonts w:hint="eastAsia" w:ascii="仿宋" w:hAnsi="仿宋" w:eastAsia="仿宋" w:cs="仿宋"/>
          <w:sz w:val="32"/>
          <w:szCs w:val="32"/>
        </w:rPr>
        <w:t>（十三）负责语言文字和指导推广普通话工作。</w:t>
      </w:r>
    </w:p>
    <w:p>
      <w:pPr>
        <w:jc w:val="left"/>
        <w:rPr>
          <w:rFonts w:ascii="仿宋" w:hAnsi="仿宋" w:eastAsia="仿宋" w:cs="仿宋"/>
          <w:sz w:val="32"/>
          <w:szCs w:val="32"/>
        </w:rPr>
      </w:pPr>
      <w:r>
        <w:rPr>
          <w:rFonts w:hint="eastAsia" w:ascii="仿宋" w:hAnsi="仿宋" w:eastAsia="仿宋" w:cs="仿宋"/>
          <w:sz w:val="32"/>
          <w:szCs w:val="32"/>
        </w:rPr>
        <w:t>（十四）完成上级部门交办的其他工作。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460" w:lineRule="exact"/>
        <w:ind w:firstLine="617" w:firstLineChars="193"/>
        <w:rPr>
          <w:rFonts w:hint="eastAsia" w:ascii="仿宋_GB2312" w:eastAsia="仿宋_GB2312" w:cs="仿宋_GB2312"/>
          <w:kern w:val="0"/>
          <w:sz w:val="32"/>
          <w:szCs w:val="32"/>
        </w:rPr>
      </w:pPr>
      <w:r>
        <w:rPr>
          <w:rFonts w:hint="eastAsia" w:ascii="Times New Roman" w:hAnsi="Times New Roman" w:eastAsia="仿宋_GB2312" w:cs="Times New Roman"/>
          <w:sz w:val="32"/>
          <w:szCs w:val="32"/>
          <w:lang w:val="en-US" w:eastAsia="zh-CN"/>
        </w:rPr>
        <w:t>洛阳镇中心</w:t>
      </w:r>
      <w:r>
        <w:rPr>
          <w:rFonts w:hint="eastAsia" w:ascii="Times New Roman" w:hAnsi="Times New Roman" w:eastAsia="仿宋_GB2312" w:cs="Times New Roman"/>
          <w:sz w:val="32"/>
          <w:szCs w:val="32"/>
        </w:rPr>
        <w:t>幼儿园有</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个内设机构，分别为：</w:t>
      </w:r>
      <w:r>
        <w:rPr>
          <w:rFonts w:hint="eastAsia" w:ascii="仿宋_GB2312" w:eastAsia="仿宋_GB2312" w:cs="仿宋_GB2312"/>
          <w:kern w:val="0"/>
          <w:sz w:val="32"/>
          <w:szCs w:val="32"/>
        </w:rPr>
        <w:t>园长办公室、档案室、财务室、保教室。</w:t>
      </w:r>
    </w:p>
    <w:p>
      <w:pPr>
        <w:ind w:firstLine="640" w:firstLineChars="200"/>
        <w:jc w:val="left"/>
        <w:rPr>
          <w:rFonts w:hint="default" w:ascii="仿宋" w:hAnsi="仿宋" w:eastAsia="仿宋" w:cs="仿宋"/>
          <w:color w:val="FF0000"/>
          <w:sz w:val="32"/>
          <w:szCs w:val="32"/>
          <w:lang w:val="en-US"/>
        </w:rPr>
      </w:pPr>
      <w:r>
        <w:rPr>
          <w:rFonts w:hint="eastAsia" w:ascii="仿宋" w:hAnsi="仿宋" w:eastAsia="仿宋" w:cs="仿宋"/>
          <w:color w:val="auto"/>
          <w:sz w:val="32"/>
          <w:szCs w:val="32"/>
        </w:rPr>
        <w:t>我部门没有下属单位，按照部门决算编报要求，单独编制本部门决算。</w:t>
      </w:r>
      <w:r>
        <w:rPr>
          <w:rFonts w:hint="eastAsia" w:ascii="仿宋_GB2312" w:eastAsia="仿宋_GB2312" w:cs="仿宋_GB2312"/>
          <w:kern w:val="0"/>
          <w:sz w:val="32"/>
          <w:szCs w:val="32"/>
          <w:lang w:val="en-US" w:eastAsia="zh-CN"/>
        </w:rPr>
        <w:t>人员编制持有情况：年初在编人员3人，年末持有14人，较2021年增长366.7%。</w:t>
      </w:r>
    </w:p>
    <w:p>
      <w:pPr>
        <w:jc w:val="center"/>
        <w:rPr>
          <w:rFonts w:hint="eastAsia" w:ascii="黑体" w:hAnsi="黑体" w:eastAsia="黑体" w:cs="黑体"/>
          <w:sz w:val="32"/>
          <w:szCs w:val="32"/>
          <w:highlight w:val="none"/>
          <w:lang w:val="en-US" w:eastAsia="zh-CN"/>
        </w:rPr>
        <w:sectPr>
          <w:pgSz w:w="11906" w:h="16838"/>
          <w:pgMar w:top="1157" w:right="1463" w:bottom="1157" w:left="1463" w:header="851" w:footer="992" w:gutter="0"/>
          <w:cols w:space="425" w:num="1"/>
          <w:docGrid w:type="lines" w:linePitch="312" w:charSpace="0"/>
        </w:sectPr>
      </w:pPr>
    </w:p>
    <w:p>
      <w:pPr>
        <w:ind w:firstLine="960" w:firstLineChars="3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环江毛南族自治县洛阳镇中心幼儿园</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270.51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270.51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270.51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59.69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210.83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42.65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42.65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241.04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42.65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198.38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12.45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5.89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253.48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253.48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4.40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5.89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270.51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270.51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270.51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270.51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59.69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210.83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253.48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42.65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210.83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253.48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42.65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210.83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241.04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42.65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198.38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12.45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0.49</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000000"/>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环江毛南族自治县洛阳镇中心幼儿园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633" w:right="1440" w:bottom="1633" w:left="1440" w:header="851" w:footer="992" w:gutter="0"/>
          <w:cols w:space="0" w:num="1"/>
          <w:rtlGutter w:val="0"/>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环江毛南族自治县洛阳镇中心幼儿园</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270.51</w:t>
      </w:r>
      <w:r>
        <w:rPr>
          <w:rFonts w:hint="eastAsia" w:ascii="仿宋" w:hAnsi="仿宋" w:eastAsia="仿宋" w:cs="仿宋"/>
          <w:sz w:val="32"/>
          <w:szCs w:val="32"/>
          <w:highlight w:val="none"/>
        </w:rPr>
        <w:t>万元，较2021年度决算数</w:t>
      </w:r>
      <w:r>
        <w:rPr>
          <w:rFonts w:ascii="仿宋" w:hAnsi="仿宋" w:eastAsia="仿宋" w:cs="仿宋"/>
          <w:sz w:val="32"/>
          <w:u w:color="auto"/>
        </w:rPr>
        <w:t>增加40.19</w:t>
      </w:r>
      <w:r>
        <w:rPr>
          <w:rFonts w:hint="eastAsia" w:ascii="仿宋" w:hAnsi="仿宋" w:eastAsia="仿宋" w:cs="仿宋"/>
          <w:sz w:val="32"/>
          <w:szCs w:val="32"/>
          <w:highlight w:val="none"/>
        </w:rPr>
        <w:t>万元，</w:t>
      </w:r>
      <w:r>
        <w:rPr>
          <w:rFonts w:ascii="仿宋" w:hAnsi="仿宋" w:eastAsia="仿宋" w:cs="仿宋"/>
          <w:sz w:val="32"/>
          <w:u w:color="auto"/>
        </w:rPr>
        <w:t>增长17.45%</w:t>
      </w:r>
      <w:r>
        <w:rPr>
          <w:rFonts w:hint="eastAsia" w:ascii="仿宋" w:hAnsi="仿宋" w:eastAsia="仿宋" w:cs="仿宋"/>
          <w:sz w:val="32"/>
          <w:szCs w:val="32"/>
          <w:highlight w:val="none"/>
        </w:rPr>
        <w:t>，其中本年收入</w:t>
      </w:r>
      <w:r>
        <w:rPr>
          <w:rFonts w:ascii="仿宋" w:hAnsi="仿宋" w:eastAsia="仿宋" w:cs="仿宋"/>
          <w:sz w:val="32"/>
          <w:u w:color="auto"/>
        </w:rPr>
        <w:t>270.51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270.51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增加43.56</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增长19.19%</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主要原因：本部门</w:t>
      </w:r>
      <w:r>
        <w:rPr>
          <w:rFonts w:hint="eastAsia" w:ascii="仿宋" w:hAnsi="仿宋" w:eastAsia="仿宋" w:cs="仿宋"/>
          <w:color w:val="auto"/>
          <w:kern w:val="2"/>
          <w:sz w:val="32"/>
          <w:szCs w:val="32"/>
          <w:highlight w:val="none"/>
          <w:lang w:val="en-US" w:eastAsia="zh-CN" w:bidi="ar"/>
        </w:rPr>
        <w:t>2022年9月份新公招教师控制数11人；</w:t>
      </w:r>
      <w:r>
        <w:rPr>
          <w:rFonts w:hint="eastAsia" w:ascii="仿宋" w:hAnsi="仿宋" w:eastAsia="仿宋" w:cs="仿宋"/>
          <w:sz w:val="32"/>
          <w:szCs w:val="32"/>
          <w:lang w:bidi="ar"/>
        </w:rPr>
        <w:t>2</w:t>
      </w:r>
      <w:r>
        <w:rPr>
          <w:rFonts w:ascii="仿宋" w:hAnsi="仿宋" w:eastAsia="仿宋" w:cs="仿宋"/>
          <w:sz w:val="32"/>
          <w:szCs w:val="32"/>
          <w:lang w:bidi="ar"/>
        </w:rPr>
        <w:t>022</w:t>
      </w:r>
      <w:r>
        <w:rPr>
          <w:rFonts w:hint="eastAsia" w:ascii="仿宋" w:hAnsi="仿宋" w:eastAsia="仿宋" w:cs="仿宋"/>
          <w:sz w:val="32"/>
          <w:szCs w:val="32"/>
          <w:lang w:bidi="ar"/>
        </w:rPr>
        <w:t>年度调整工资标准。</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w:t>
      </w:r>
      <w:r>
        <w:rPr>
          <w:rFonts w:hint="eastAsia" w:ascii="仿宋" w:hAnsi="仿宋" w:eastAsia="仿宋" w:cs="仿宋"/>
          <w:kern w:val="2"/>
          <w:sz w:val="32"/>
          <w:szCs w:val="32"/>
          <w:highlight w:val="none"/>
          <w:lang w:val="en-US" w:eastAsia="zh-CN" w:bidi="ar"/>
        </w:rPr>
        <w:t>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主要原因是：本单位没有上级补助收入。</w:t>
      </w:r>
    </w:p>
    <w:p>
      <w:pPr>
        <w:ind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6.经营收入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减少3.37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248660"/>
            <wp:effectExtent l="4445" t="4445" r="20955"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270.51</w:t>
      </w:r>
      <w:r>
        <w:rPr>
          <w:rFonts w:hint="eastAsia" w:ascii="仿宋" w:hAnsi="仿宋" w:eastAsia="仿宋" w:cs="仿宋"/>
          <w:sz w:val="32"/>
          <w:szCs w:val="32"/>
          <w:highlight w:val="none"/>
        </w:rPr>
        <w:t>万元，其中本年支出</w:t>
      </w:r>
      <w:r>
        <w:rPr>
          <w:rFonts w:ascii="仿宋" w:hAnsi="仿宋" w:eastAsia="仿宋" w:cs="仿宋"/>
          <w:sz w:val="32"/>
          <w:u w:color="auto"/>
        </w:rPr>
        <w:t>270.51</w:t>
      </w:r>
      <w:r>
        <w:rPr>
          <w:rFonts w:hint="eastAsia" w:ascii="仿宋" w:hAnsi="仿宋" w:eastAsia="仿宋" w:cs="仿宋"/>
          <w:sz w:val="32"/>
          <w:szCs w:val="32"/>
          <w:highlight w:val="none"/>
        </w:rPr>
        <w:t>万元，较2021年度决算数</w:t>
      </w:r>
      <w:r>
        <w:rPr>
          <w:rFonts w:ascii="仿宋" w:hAnsi="仿宋" w:eastAsia="仿宋" w:cs="仿宋"/>
          <w:sz w:val="32"/>
          <w:u w:color="auto"/>
        </w:rPr>
        <w:t>增加40.19</w:t>
      </w:r>
      <w:r>
        <w:rPr>
          <w:rFonts w:hint="eastAsia" w:ascii="仿宋" w:hAnsi="仿宋" w:eastAsia="仿宋" w:cs="仿宋"/>
          <w:sz w:val="32"/>
          <w:szCs w:val="32"/>
          <w:highlight w:val="none"/>
        </w:rPr>
        <w:t>万元，</w:t>
      </w:r>
      <w:r>
        <w:rPr>
          <w:rFonts w:ascii="仿宋" w:hAnsi="仿宋" w:eastAsia="仿宋" w:cs="仿宋"/>
          <w:sz w:val="32"/>
          <w:u w:color="auto"/>
        </w:rPr>
        <w:t>增长17.45%</w:t>
      </w:r>
      <w:r>
        <w:rPr>
          <w:rFonts w:hint="eastAsia" w:ascii="仿宋" w:hAnsi="仿宋" w:eastAsia="仿宋" w:cs="仿宋"/>
          <w:sz w:val="32"/>
          <w:szCs w:val="32"/>
          <w:highlight w:val="none"/>
        </w:rPr>
        <w:t>。支出具体情况如下：</w:t>
      </w:r>
    </w:p>
    <w:p>
      <w:pPr>
        <w:autoSpaceDE w:val="0"/>
        <w:autoSpaceDN w:val="0"/>
        <w:adjustRightInd w:val="0"/>
        <w:spacing w:line="560" w:lineRule="exact"/>
        <w:ind w:firstLine="627" w:firstLineChars="196"/>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0.49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lang w:val="en-US" w:eastAsia="zh-CN"/>
        </w:rPr>
        <w:t>教职工开展工会活动。</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增加0.49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w:t>
      </w:r>
      <w:r>
        <w:rPr>
          <w:rFonts w:hint="eastAsia" w:ascii="仿宋" w:hAnsi="仿宋" w:eastAsia="仿宋" w:cs="仿宋"/>
          <w:color w:val="auto"/>
          <w:kern w:val="2"/>
          <w:sz w:val="32"/>
          <w:szCs w:val="32"/>
          <w:highlight w:val="none"/>
          <w:lang w:val="en-US" w:eastAsia="zh-CN" w:bidi="ar"/>
        </w:rPr>
        <w:t>2022年9月份新公招教师控制数11人</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lang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253.48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主要用于人员基本工资，商品服务支出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增加30.53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增长13.69%</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bidi="ar"/>
        </w:rPr>
        <w:t>本部门2</w:t>
      </w:r>
      <w:r>
        <w:rPr>
          <w:rFonts w:ascii="仿宋" w:hAnsi="仿宋" w:eastAsia="仿宋" w:cs="仿宋"/>
          <w:sz w:val="32"/>
          <w:szCs w:val="32"/>
          <w:lang w:bidi="ar"/>
        </w:rPr>
        <w:t>022</w:t>
      </w:r>
      <w:r>
        <w:rPr>
          <w:rFonts w:hint="eastAsia" w:ascii="仿宋" w:hAnsi="仿宋" w:eastAsia="仿宋" w:cs="仿宋"/>
          <w:sz w:val="32"/>
          <w:szCs w:val="32"/>
          <w:lang w:bidi="ar"/>
        </w:rPr>
        <w:t>年度新公招6名教师控制数；2</w:t>
      </w:r>
      <w:r>
        <w:rPr>
          <w:rFonts w:ascii="仿宋" w:hAnsi="仿宋" w:eastAsia="仿宋" w:cs="仿宋"/>
          <w:sz w:val="32"/>
          <w:szCs w:val="32"/>
          <w:lang w:bidi="ar"/>
        </w:rPr>
        <w:t>022</w:t>
      </w:r>
      <w:r>
        <w:rPr>
          <w:rFonts w:hint="eastAsia" w:ascii="仿宋" w:hAnsi="仿宋" w:eastAsia="仿宋" w:cs="仿宋"/>
          <w:sz w:val="32"/>
          <w:szCs w:val="32"/>
          <w:lang w:bidi="ar"/>
        </w:rPr>
        <w:t>年度调整工资标准。</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6.25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rPr>
        <w:t>缴纳教职工“五险”。</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增加2.50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增长66.67%</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w:t>
      </w:r>
      <w:r>
        <w:rPr>
          <w:rFonts w:hint="eastAsia" w:ascii="仿宋" w:hAnsi="仿宋" w:eastAsia="仿宋" w:cs="仿宋"/>
          <w:color w:val="auto"/>
          <w:kern w:val="2"/>
          <w:sz w:val="32"/>
          <w:szCs w:val="32"/>
          <w:highlight w:val="none"/>
          <w:lang w:val="en-US" w:eastAsia="zh-CN" w:bidi="ar"/>
        </w:rPr>
        <w:t>2022年9月份新公招教师控制数11人；</w:t>
      </w:r>
      <w:r>
        <w:rPr>
          <w:rFonts w:hint="eastAsia" w:ascii="仿宋" w:hAnsi="仿宋" w:eastAsia="仿宋" w:cs="仿宋"/>
          <w:sz w:val="32"/>
          <w:szCs w:val="32"/>
          <w:lang w:bidi="ar"/>
        </w:rPr>
        <w:t>2</w:t>
      </w:r>
      <w:r>
        <w:rPr>
          <w:rFonts w:ascii="仿宋" w:hAnsi="仿宋" w:eastAsia="仿宋" w:cs="仿宋"/>
          <w:sz w:val="32"/>
          <w:szCs w:val="32"/>
          <w:lang w:bidi="ar"/>
        </w:rPr>
        <w:t>022</w:t>
      </w:r>
      <w:r>
        <w:rPr>
          <w:rFonts w:hint="eastAsia" w:ascii="仿宋" w:hAnsi="仿宋" w:eastAsia="仿宋" w:cs="仿宋"/>
          <w:sz w:val="32"/>
          <w:szCs w:val="32"/>
          <w:lang w:bidi="ar"/>
        </w:rPr>
        <w:t>年度调整</w:t>
      </w:r>
      <w:r>
        <w:rPr>
          <w:rFonts w:hint="eastAsia" w:ascii="仿宋" w:hAnsi="仿宋" w:eastAsia="仿宋" w:cs="仿宋"/>
          <w:sz w:val="32"/>
          <w:szCs w:val="32"/>
          <w:lang w:eastAsia="zh-CN" w:bidi="ar"/>
        </w:rPr>
        <w:t>缴费基数。</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lang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4.40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主要用于住房公积金缴费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增加2.75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增长166.67%</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w:t>
      </w:r>
      <w:r>
        <w:rPr>
          <w:rFonts w:hint="eastAsia" w:ascii="仿宋" w:hAnsi="仿宋" w:eastAsia="仿宋" w:cs="仿宋"/>
          <w:color w:val="auto"/>
          <w:kern w:val="2"/>
          <w:sz w:val="32"/>
          <w:szCs w:val="32"/>
          <w:highlight w:val="none"/>
          <w:lang w:val="en-US" w:eastAsia="zh-CN" w:bidi="ar"/>
        </w:rPr>
        <w:t>2022年9月份新公招教师控制数11人；</w:t>
      </w:r>
      <w:r>
        <w:rPr>
          <w:rFonts w:hint="eastAsia" w:ascii="仿宋" w:hAnsi="仿宋" w:eastAsia="仿宋" w:cs="仿宋"/>
          <w:sz w:val="32"/>
          <w:szCs w:val="32"/>
          <w:lang w:bidi="ar"/>
        </w:rPr>
        <w:t>2</w:t>
      </w:r>
      <w:r>
        <w:rPr>
          <w:rFonts w:ascii="仿宋" w:hAnsi="仿宋" w:eastAsia="仿宋" w:cs="仿宋"/>
          <w:sz w:val="32"/>
          <w:szCs w:val="32"/>
          <w:lang w:bidi="ar"/>
        </w:rPr>
        <w:t>022</w:t>
      </w:r>
      <w:r>
        <w:rPr>
          <w:rFonts w:hint="eastAsia" w:ascii="仿宋" w:hAnsi="仿宋" w:eastAsia="仿宋" w:cs="仿宋"/>
          <w:sz w:val="32"/>
          <w:szCs w:val="32"/>
          <w:lang w:bidi="ar"/>
        </w:rPr>
        <w:t>年度调整</w:t>
      </w:r>
      <w:r>
        <w:rPr>
          <w:rFonts w:hint="eastAsia" w:ascii="仿宋" w:hAnsi="仿宋" w:eastAsia="仿宋" w:cs="仿宋"/>
          <w:sz w:val="32"/>
          <w:szCs w:val="32"/>
          <w:lang w:eastAsia="zh-CN" w:bidi="ar"/>
        </w:rPr>
        <w:t>缴费基数。</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5.89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教职工工资福利支出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增加3.91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增长197.47%</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w:t>
      </w:r>
      <w:r>
        <w:rPr>
          <w:rFonts w:hint="eastAsia" w:ascii="仿宋" w:hAnsi="仿宋" w:eastAsia="仿宋" w:cs="仿宋"/>
          <w:color w:val="auto"/>
          <w:kern w:val="2"/>
          <w:sz w:val="32"/>
          <w:szCs w:val="32"/>
          <w:highlight w:val="none"/>
          <w:lang w:val="en-US" w:eastAsia="zh-CN" w:bidi="ar"/>
        </w:rPr>
        <w:t>2022年9月份新公招教师控制数11人。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w:t>
      </w:r>
      <w:r>
        <w:rPr>
          <w:rFonts w:hint="default" w:ascii="仿宋_GB2312" w:hAnsi="微软雅黑" w:eastAsia="仿宋_GB2312" w:cs="仿宋_GB2312"/>
          <w:i w:val="0"/>
          <w:iCs w:val="0"/>
          <w:caps w:val="0"/>
          <w:color w:val="000000"/>
          <w:spacing w:val="0"/>
          <w:sz w:val="31"/>
          <w:szCs w:val="31"/>
          <w:highlight w:val="none"/>
          <w:shd w:val="clear" w:color="auto" w:fill="FFFFFF"/>
        </w:rPr>
        <w:t>按规定提取的专用结余、缴纳所得税和转入非财政拨款结余</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bidi="ar"/>
        </w:rPr>
        <w:t>本部门2022年度无结余分配资金。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环江毛南族自治县洛阳镇中心幼儿园2022年度一般公共预算财政拨款支出</w:t>
      </w:r>
      <w:r>
        <w:rPr>
          <w:rFonts w:ascii="仿宋" w:hAnsi="仿宋" w:eastAsia="仿宋" w:cs="仿宋"/>
          <w:sz w:val="32"/>
          <w:u w:color="auto"/>
        </w:rPr>
        <w:t>270.51</w:t>
      </w:r>
      <w:r>
        <w:rPr>
          <w:rFonts w:hint="eastAsia" w:ascii="仿宋" w:hAnsi="仿宋" w:eastAsia="仿宋" w:cs="仿宋"/>
          <w:sz w:val="32"/>
          <w:szCs w:val="32"/>
          <w:highlight w:val="none"/>
        </w:rPr>
        <w:t>万元，较2021年度决算数</w:t>
      </w:r>
      <w:r>
        <w:rPr>
          <w:rFonts w:ascii="仿宋" w:hAnsi="仿宋" w:eastAsia="仿宋" w:cs="仿宋"/>
          <w:sz w:val="32"/>
          <w:u w:color="auto"/>
        </w:rPr>
        <w:t>增加40.19</w:t>
      </w:r>
      <w:r>
        <w:rPr>
          <w:rFonts w:hint="eastAsia" w:ascii="仿宋" w:hAnsi="仿宋" w:eastAsia="仿宋" w:cs="仿宋"/>
          <w:sz w:val="32"/>
          <w:szCs w:val="32"/>
          <w:highlight w:val="none"/>
        </w:rPr>
        <w:t>万元，</w:t>
      </w:r>
      <w:r>
        <w:rPr>
          <w:rFonts w:ascii="仿宋" w:hAnsi="仿宋" w:eastAsia="仿宋" w:cs="仿宋"/>
          <w:sz w:val="32"/>
          <w:u w:color="auto"/>
        </w:rPr>
        <w:t>增长17.45%</w:t>
      </w:r>
      <w:r>
        <w:rPr>
          <w:rFonts w:hint="eastAsia" w:ascii="仿宋" w:hAnsi="仿宋" w:eastAsia="仿宋" w:cs="仿宋"/>
          <w:sz w:val="32"/>
          <w:szCs w:val="32"/>
          <w:highlight w:val="none"/>
        </w:rPr>
        <w:t>。其中：基本支出</w:t>
      </w:r>
      <w:r>
        <w:rPr>
          <w:rFonts w:ascii="仿宋" w:hAnsi="仿宋" w:eastAsia="仿宋" w:cs="仿宋"/>
          <w:sz w:val="32"/>
          <w:u w:color="auto"/>
        </w:rPr>
        <w:t>59.69</w:t>
      </w:r>
      <w:r>
        <w:rPr>
          <w:rFonts w:hint="eastAsia" w:ascii="仿宋" w:hAnsi="仿宋" w:eastAsia="仿宋" w:cs="仿宋"/>
          <w:sz w:val="32"/>
          <w:szCs w:val="32"/>
          <w:highlight w:val="none"/>
        </w:rPr>
        <w:t>万元，项目支出</w:t>
      </w:r>
      <w:r>
        <w:rPr>
          <w:rFonts w:ascii="仿宋" w:hAnsi="仿宋" w:eastAsia="仿宋" w:cs="仿宋"/>
          <w:sz w:val="32"/>
          <w:u w:color="auto"/>
        </w:rPr>
        <w:t>210.83</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环江毛南族自治县洛阳镇中心幼儿园2022 年度一般公共预算财政拨款支出年初预算为</w:t>
      </w:r>
      <w:r>
        <w:rPr>
          <w:rFonts w:ascii="仿宋" w:hAnsi="仿宋" w:eastAsia="仿宋" w:cs="仿宋"/>
          <w:sz w:val="32"/>
          <w:u w:color="auto"/>
        </w:rPr>
        <w:t>208.51</w:t>
      </w:r>
      <w:r>
        <w:rPr>
          <w:rFonts w:hint="eastAsia" w:ascii="仿宋" w:hAnsi="仿宋" w:eastAsia="仿宋" w:cs="仿宋"/>
          <w:sz w:val="32"/>
          <w:szCs w:val="32"/>
          <w:highlight w:val="none"/>
        </w:rPr>
        <w:t>万元，支出决算为</w:t>
      </w:r>
      <w:r>
        <w:rPr>
          <w:rFonts w:ascii="仿宋" w:hAnsi="仿宋" w:eastAsia="仿宋" w:cs="仿宋"/>
          <w:sz w:val="32"/>
          <w:u w:color="auto"/>
        </w:rPr>
        <w:t>270.51</w:t>
      </w:r>
      <w:r>
        <w:rPr>
          <w:rFonts w:hint="eastAsia" w:ascii="仿宋" w:hAnsi="仿宋" w:eastAsia="仿宋" w:cs="仿宋"/>
          <w:sz w:val="32"/>
          <w:szCs w:val="32"/>
          <w:highlight w:val="none"/>
        </w:rPr>
        <w:t>万元，完成年初预算的</w:t>
      </w:r>
      <w:r>
        <w:rPr>
          <w:rFonts w:ascii="仿宋" w:hAnsi="仿宋" w:eastAsia="仿宋" w:cs="仿宋"/>
          <w:sz w:val="32"/>
          <w:u w:color="auto"/>
        </w:rPr>
        <w:t>129.73%</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0.49</w:t>
      </w:r>
      <w:r>
        <w:rPr>
          <w:rFonts w:hint="eastAsia" w:ascii="仿宋" w:hAnsi="仿宋" w:eastAsia="仿宋"/>
          <w:sz w:val="32"/>
          <w:szCs w:val="32"/>
          <w:highlight w:val="none"/>
        </w:rPr>
        <w:t>万元，支出决算为</w:t>
      </w:r>
      <w:r>
        <w:rPr>
          <w:rFonts w:ascii="仿宋" w:hAnsi="仿宋" w:eastAsia="仿宋"/>
          <w:sz w:val="32"/>
          <w:szCs w:val="32"/>
          <w:highlight w:val="none"/>
        </w:rPr>
        <w:t>0.49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2021年没有</w:t>
      </w:r>
      <w:r>
        <w:rPr>
          <w:rFonts w:hint="eastAsia" w:ascii="仿宋" w:hAnsi="仿宋" w:eastAsia="仿宋" w:cs="仿宋"/>
          <w:color w:val="000000" w:themeColor="text1"/>
          <w:sz w:val="32"/>
          <w:szCs w:val="32"/>
          <w:highlight w:val="none"/>
          <w:lang w:bidi="ar"/>
          <w14:textFill>
            <w14:solidFill>
              <w14:schemeClr w14:val="tx1"/>
            </w14:solidFill>
          </w14:textFill>
        </w:rPr>
        <w:t>一般公共服务支出</w:t>
      </w:r>
      <w:r>
        <w:rPr>
          <w:rFonts w:hint="eastAsia" w:ascii="仿宋" w:hAnsi="仿宋" w:eastAsia="仿宋" w:cs="仿宋"/>
          <w:color w:val="000000" w:themeColor="text1"/>
          <w:sz w:val="32"/>
          <w:szCs w:val="32"/>
          <w:highlight w:val="none"/>
          <w:lang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kern w:val="0"/>
                <w:sz w:val="21"/>
                <w:szCs w:val="21"/>
                <w:lang w:val="en-US" w:eastAsia="zh-CN"/>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kern w:val="0"/>
                <w:sz w:val="21"/>
                <w:szCs w:val="21"/>
                <w:lang w:val="en-US" w:eastAsia="zh-CN"/>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201.14</w:t>
      </w:r>
      <w:r>
        <w:rPr>
          <w:rFonts w:hint="eastAsia" w:ascii="仿宋" w:hAnsi="仿宋" w:eastAsia="仿宋"/>
          <w:sz w:val="32"/>
          <w:szCs w:val="32"/>
          <w:highlight w:val="none"/>
        </w:rPr>
        <w:t>万元，支出决算为</w:t>
      </w:r>
      <w:r>
        <w:rPr>
          <w:rFonts w:ascii="仿宋" w:hAnsi="仿宋" w:eastAsia="仿宋"/>
          <w:sz w:val="32"/>
          <w:szCs w:val="32"/>
          <w:highlight w:val="none"/>
        </w:rPr>
        <w:t>253.48</w:t>
      </w:r>
      <w:r>
        <w:rPr>
          <w:rFonts w:hint="eastAsia" w:ascii="仿宋" w:hAnsi="仿宋" w:eastAsia="仿宋"/>
          <w:sz w:val="32"/>
          <w:szCs w:val="32"/>
          <w:highlight w:val="none"/>
        </w:rPr>
        <w:t>万元，完成年初预算的</w:t>
      </w:r>
      <w:r>
        <w:rPr>
          <w:rFonts w:ascii="仿宋" w:hAnsi="仿宋" w:eastAsia="仿宋"/>
          <w:sz w:val="32"/>
          <w:szCs w:val="32"/>
          <w:highlight w:val="none"/>
        </w:rPr>
        <w:t>126.02%</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宋体" w:eastAsia="仿宋_GB2312" w:cs="仿宋_GB2312"/>
          <w:color w:val="000000"/>
          <w:kern w:val="0"/>
          <w:sz w:val="31"/>
          <w:szCs w:val="31"/>
          <w:lang w:val="en-US" w:eastAsia="zh-CN" w:bidi="ar"/>
        </w:rPr>
        <w:t>是</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年新增公办附属园和</w:t>
      </w:r>
      <w:r>
        <w:rPr>
          <w:rFonts w:hint="eastAsia" w:ascii="仿宋" w:hAnsi="仿宋" w:eastAsia="仿宋" w:cs="仿宋"/>
          <w:color w:val="auto"/>
          <w:kern w:val="2"/>
          <w:sz w:val="32"/>
          <w:szCs w:val="32"/>
          <w:highlight w:val="none"/>
          <w:lang w:val="en-US" w:eastAsia="zh-CN" w:bidi="ar"/>
        </w:rPr>
        <w:t>新增教师控制数11人</w:t>
      </w:r>
      <w:r>
        <w:rPr>
          <w:rFonts w:hint="eastAsia" w:ascii="仿宋_GB2312" w:hAnsi="宋体" w:eastAsia="仿宋_GB2312" w:cs="仿宋_GB2312"/>
          <w:color w:val="000000"/>
          <w:kern w:val="0"/>
          <w:sz w:val="31"/>
          <w:szCs w:val="31"/>
          <w:lang w:val="en-US" w:eastAsia="zh-CN" w:bidi="ar"/>
        </w:rPr>
        <w:t>。主要用于人员基本工资，商品服务支出等。</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241.04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119.84%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人员基本工资，</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仿宋" w:cs="宋体"/>
                <w:i w:val="0"/>
                <w:iCs w:val="0"/>
                <w:color w:val="auto"/>
                <w:sz w:val="18"/>
                <w:szCs w:val="18"/>
                <w:highlight w:val="none"/>
                <w:u w:val="none"/>
                <w:lang w:val="en-US" w:eastAsia="zh-CN"/>
              </w:rPr>
            </w:pPr>
            <w:r>
              <w:rPr>
                <w:rFonts w:hint="eastAsia" w:ascii="仿宋" w:hAnsi="仿宋" w:eastAsia="仿宋" w:cs="仿宋"/>
                <w:szCs w:val="21"/>
              </w:rPr>
              <w:t>商品服务支出</w:t>
            </w:r>
            <w:r>
              <w:rPr>
                <w:rFonts w:hint="eastAsia" w:ascii="仿宋" w:hAnsi="仿宋" w:eastAsia="仿宋" w:cs="仿宋"/>
                <w:szCs w:val="21"/>
                <w:lang w:eastAsia="zh-CN"/>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sz w:val="18"/>
                <w:szCs w:val="18"/>
              </w:rPr>
              <w:t>人员增加，调整工资标准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szCs w:val="21"/>
              </w:rPr>
              <w:t>民办幼儿园人员工资福利支出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253.48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568575"/>
            <wp:effectExtent l="4445" t="4445" r="16510" b="1778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3.93</w:t>
      </w:r>
      <w:r>
        <w:rPr>
          <w:rFonts w:hint="eastAsia" w:ascii="仿宋" w:hAnsi="仿宋" w:eastAsia="仿宋"/>
          <w:sz w:val="32"/>
          <w:szCs w:val="32"/>
          <w:highlight w:val="none"/>
        </w:rPr>
        <w:t>万元，支出决算为</w:t>
      </w:r>
      <w:r>
        <w:rPr>
          <w:rFonts w:ascii="仿宋" w:hAnsi="仿宋" w:eastAsia="仿宋"/>
          <w:sz w:val="32"/>
          <w:szCs w:val="32"/>
          <w:highlight w:val="none"/>
        </w:rPr>
        <w:t>6.25</w:t>
      </w:r>
      <w:r>
        <w:rPr>
          <w:rFonts w:hint="eastAsia" w:ascii="仿宋" w:hAnsi="仿宋" w:eastAsia="仿宋"/>
          <w:sz w:val="32"/>
          <w:szCs w:val="32"/>
          <w:highlight w:val="none"/>
        </w:rPr>
        <w:t>万元，完成年初预算的</w:t>
      </w:r>
      <w:r>
        <w:rPr>
          <w:rFonts w:ascii="仿宋" w:hAnsi="仿宋" w:eastAsia="仿宋"/>
          <w:sz w:val="32"/>
          <w:szCs w:val="32"/>
          <w:highlight w:val="none"/>
        </w:rPr>
        <w:t>159.03%</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2022年9月份新增教师控制数11人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159.03%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主要用于社会保障和就业支出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2022年9月份新公招教师控制数11人；</w:t>
            </w:r>
            <w:r>
              <w:rPr>
                <w:rFonts w:hint="eastAsia" w:ascii="仿宋" w:hAnsi="仿宋" w:eastAsia="仿宋" w:cs="仿宋"/>
                <w:sz w:val="18"/>
                <w:szCs w:val="18"/>
                <w:lang w:bidi="ar"/>
              </w:rPr>
              <w:t>2</w:t>
            </w:r>
            <w:r>
              <w:rPr>
                <w:rFonts w:hint="default" w:ascii="仿宋" w:hAnsi="仿宋" w:eastAsia="仿宋" w:cs="仿宋"/>
                <w:sz w:val="18"/>
                <w:szCs w:val="18"/>
                <w:lang w:bidi="ar"/>
              </w:rPr>
              <w:t>022</w:t>
            </w:r>
            <w:r>
              <w:rPr>
                <w:rFonts w:hint="eastAsia" w:ascii="仿宋" w:hAnsi="仿宋" w:eastAsia="仿宋" w:cs="仿宋"/>
                <w:sz w:val="18"/>
                <w:szCs w:val="18"/>
                <w:lang w:bidi="ar"/>
              </w:rPr>
              <w:t>年度调整</w:t>
            </w:r>
            <w:r>
              <w:rPr>
                <w:rFonts w:hint="eastAsia" w:ascii="仿宋" w:hAnsi="仿宋" w:eastAsia="仿宋" w:cs="仿宋"/>
                <w:sz w:val="18"/>
                <w:szCs w:val="18"/>
                <w:lang w:eastAsia="zh-CN" w:bidi="ar"/>
              </w:rPr>
              <w:t>缴费基数。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91765"/>
            <wp:effectExtent l="4445" t="4445" r="16510" b="889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2.95</w:t>
      </w:r>
      <w:r>
        <w:rPr>
          <w:rFonts w:hint="eastAsia" w:ascii="仿宋" w:hAnsi="仿宋" w:eastAsia="仿宋"/>
          <w:sz w:val="32"/>
          <w:szCs w:val="32"/>
          <w:highlight w:val="none"/>
        </w:rPr>
        <w:t>万元，支出决算为</w:t>
      </w:r>
      <w:r>
        <w:rPr>
          <w:rFonts w:ascii="仿宋" w:hAnsi="仿宋" w:eastAsia="仿宋"/>
          <w:sz w:val="32"/>
          <w:szCs w:val="32"/>
          <w:highlight w:val="none"/>
        </w:rPr>
        <w:t>4.40</w:t>
      </w:r>
      <w:r>
        <w:rPr>
          <w:rFonts w:hint="eastAsia" w:ascii="仿宋" w:hAnsi="仿宋" w:eastAsia="仿宋"/>
          <w:sz w:val="32"/>
          <w:szCs w:val="32"/>
          <w:highlight w:val="none"/>
        </w:rPr>
        <w:t>万元，完成年初预算的</w:t>
      </w:r>
      <w:r>
        <w:rPr>
          <w:rFonts w:ascii="仿宋" w:hAnsi="仿宋" w:eastAsia="仿宋"/>
          <w:sz w:val="32"/>
          <w:szCs w:val="32"/>
          <w:highlight w:val="none"/>
        </w:rPr>
        <w:t>149.15%</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2022年9月份新增教师控制数11人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149.15%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用于在职人员住房公积金支出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2022年9月份新公招教师控制数11人；</w:t>
            </w:r>
            <w:r>
              <w:rPr>
                <w:rFonts w:hint="eastAsia" w:ascii="仿宋" w:hAnsi="仿宋" w:eastAsia="仿宋" w:cs="仿宋"/>
                <w:sz w:val="18"/>
                <w:szCs w:val="18"/>
                <w:lang w:bidi="ar"/>
              </w:rPr>
              <w:t>2</w:t>
            </w:r>
            <w:r>
              <w:rPr>
                <w:rFonts w:hint="default" w:ascii="仿宋" w:hAnsi="仿宋" w:eastAsia="仿宋" w:cs="仿宋"/>
                <w:sz w:val="18"/>
                <w:szCs w:val="18"/>
                <w:lang w:bidi="ar"/>
              </w:rPr>
              <w:t>022</w:t>
            </w:r>
            <w:r>
              <w:rPr>
                <w:rFonts w:hint="eastAsia" w:ascii="仿宋" w:hAnsi="仿宋" w:eastAsia="仿宋" w:cs="仿宋"/>
                <w:sz w:val="18"/>
                <w:szCs w:val="18"/>
                <w:lang w:bidi="ar"/>
              </w:rPr>
              <w:t>年度调整</w:t>
            </w:r>
            <w:r>
              <w:rPr>
                <w:rFonts w:hint="eastAsia" w:ascii="仿宋" w:hAnsi="仿宋" w:eastAsia="仿宋" w:cs="仿宋"/>
                <w:sz w:val="18"/>
                <w:szCs w:val="18"/>
                <w:lang w:eastAsia="zh-CN" w:bidi="ar"/>
              </w:rPr>
              <w:t>缴费基数。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5.89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ascii="Times New Roman" w:hAnsi="Times New Roman" w:eastAsia="仿宋_GB2312" w:cs="Times New Roman"/>
          <w:kern w:val="0"/>
          <w:sz w:val="32"/>
          <w:szCs w:val="32"/>
        </w:rPr>
        <w:t>附表：</w:t>
      </w:r>
      <w:r>
        <w:rPr>
          <w:rFonts w:hint="eastAsia" w:ascii="Times New Roman" w:hAnsi="Times New Roman" w:eastAsia="仿宋_GB2312" w:cs="Times New Roman"/>
          <w:kern w:val="0"/>
          <w:sz w:val="32"/>
          <w:szCs w:val="32"/>
        </w:rPr>
        <w:t>环江毛南族自治县</w:t>
      </w:r>
      <w:r>
        <w:rPr>
          <w:rFonts w:hint="eastAsia" w:ascii="Times New Roman" w:hAnsi="Times New Roman" w:eastAsia="仿宋_GB2312" w:cs="Times New Roman"/>
          <w:kern w:val="0"/>
          <w:sz w:val="32"/>
          <w:szCs w:val="32"/>
          <w:lang w:val="en-US" w:eastAsia="zh-CN"/>
        </w:rPr>
        <w:t>洛阳镇中心</w:t>
      </w:r>
      <w:r>
        <w:rPr>
          <w:rFonts w:hint="eastAsia" w:ascii="Times New Roman" w:hAnsi="Times New Roman" w:eastAsia="仿宋_GB2312" w:cs="Times New Roman"/>
          <w:kern w:val="0"/>
          <w:sz w:val="32"/>
          <w:szCs w:val="32"/>
        </w:rPr>
        <w:t>幼儿园</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22</w:t>
      </w:r>
      <w:r>
        <w:rPr>
          <w:rFonts w:ascii="Times New Roman" w:hAnsi="Times New Roman" w:eastAsia="仿宋_GB2312" w:cs="Times New Roman"/>
          <w:kern w:val="0"/>
          <w:sz w:val="32"/>
          <w:szCs w:val="32"/>
        </w:rPr>
        <w:t>年部门决算公开报表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6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szCs w:val="21"/>
              </w:rPr>
              <w:t>其他工资福利</w:t>
            </w: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环江毛南族自治县洛阳镇中心幼儿园2022年度一般公共预算财政拨款基本支出</w:t>
      </w:r>
      <w:r>
        <w:rPr>
          <w:rFonts w:ascii="仿宋" w:hAnsi="仿宋" w:eastAsia="仿宋" w:cs="仿宋"/>
          <w:sz w:val="32"/>
          <w:u w:color="auto"/>
        </w:rPr>
        <w:t>59.69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59.19</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0.49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numPr>
          <w:ilvl w:val="0"/>
          <w:numId w:val="2"/>
        </w:numPr>
        <w:jc w:val="left"/>
        <w:rPr>
          <w:rFonts w:ascii="仿宋" w:hAnsi="仿宋" w:eastAsia="仿宋" w:cs="仿宋"/>
          <w:sz w:val="32"/>
          <w:szCs w:val="32"/>
        </w:rPr>
      </w:pPr>
      <w:r>
        <w:rPr>
          <w:rFonts w:hint="eastAsia" w:ascii="仿宋" w:hAnsi="仿宋" w:eastAsia="仿宋" w:cs="仿宋"/>
          <w:sz w:val="32"/>
          <w:szCs w:val="32"/>
          <w:highlight w:val="none"/>
        </w:rPr>
        <w:t>工资福利支出</w:t>
      </w:r>
      <w:r>
        <w:rPr>
          <w:rFonts w:ascii="仿宋" w:hAnsi="仿宋" w:eastAsia="仿宋" w:cs="仿宋"/>
          <w:sz w:val="32"/>
          <w:u w:color="auto"/>
        </w:rPr>
        <w:t>58.59万元，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184.07%</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bidi="ar"/>
        </w:rPr>
        <w:t>本部门2022年度新公招</w:t>
      </w:r>
      <w:r>
        <w:rPr>
          <w:rFonts w:hint="eastAsia" w:ascii="仿宋" w:hAnsi="仿宋" w:eastAsia="仿宋" w:cs="仿宋"/>
          <w:sz w:val="32"/>
          <w:szCs w:val="32"/>
          <w:lang w:val="en-US" w:eastAsia="zh-CN" w:bidi="ar"/>
        </w:rPr>
        <w:t>11</w:t>
      </w:r>
      <w:r>
        <w:rPr>
          <w:rFonts w:hint="eastAsia" w:ascii="仿宋" w:hAnsi="仿宋" w:eastAsia="仿宋" w:cs="仿宋"/>
          <w:sz w:val="32"/>
          <w:szCs w:val="32"/>
          <w:lang w:bidi="ar"/>
        </w:rPr>
        <w:t>名教师控制数；2022年度调整工资标准；职工五险一金基数调整。</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26.20万元，30102津贴补贴3.81万元，30103奖金8.01万元，30107绩效工资6.79万元，30108机关事业单位基本养老保险缴费6.25万元，30110职工基本医疗保险缴费2.89万元，30112其他社会保障缴费0.24万元，30113住房公积金4.40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autoSpaceDE w:val="0"/>
        <w:autoSpaceDN w:val="0"/>
        <w:adjustRightInd w:val="0"/>
        <w:spacing w:line="560" w:lineRule="exact"/>
        <w:ind w:firstLine="627" w:firstLineChars="196"/>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商品和服务支出</w:t>
      </w:r>
      <w:r>
        <w:rPr>
          <w:rFonts w:ascii="仿宋" w:hAnsi="仿宋" w:eastAsia="仿宋" w:cs="仿宋"/>
          <w:sz w:val="32"/>
          <w:u w:color="auto"/>
        </w:rPr>
        <w:t>0.49万元，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30228工会经费0.49万元。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numId w:val="0"/>
        </w:numPr>
        <w:jc w:val="left"/>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highlight w:val="none"/>
        </w:rPr>
        <w:t>对个人和家庭的补助</w:t>
      </w:r>
      <w:r>
        <w:rPr>
          <w:rFonts w:ascii="仿宋" w:hAnsi="仿宋" w:eastAsia="仿宋" w:cs="仿宋"/>
          <w:sz w:val="32"/>
          <w:u w:color="auto"/>
        </w:rPr>
        <w:t>0.60万元，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bidi="ar"/>
        </w:rPr>
        <w:t>本部门2022年度聘用教职工其他工资福利支出。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30305生活补助0.59万元，30399其他对个人和家庭的补助0.01万元。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43459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numId w:val="0"/>
        </w:numPr>
        <w:jc w:val="left"/>
        <w:rPr>
          <w:rFonts w:ascii="仿宋" w:hAnsi="仿宋" w:eastAsia="仿宋" w:cs="仿宋"/>
          <w:color w:val="FF0000"/>
          <w:sz w:val="32"/>
          <w:szCs w:val="32"/>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eastAsia" w:ascii="仿宋" w:hAnsi="仿宋" w:eastAsia="仿宋" w:cs="仿宋"/>
          <w:sz w:val="32"/>
          <w:szCs w:val="32"/>
        </w:rPr>
        <w:t>简要说明预决算差异）</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sz w:val="32"/>
          <w:szCs w:val="32"/>
          <w:lang w:bidi="ar"/>
        </w:rPr>
        <w:t>：无</w:t>
      </w:r>
      <w:r>
        <w:rPr>
          <w:rFonts w:hint="eastAsia" w:ascii="仿宋" w:hAnsi="仿宋" w:eastAsia="仿宋" w:cs="仿宋"/>
          <w:sz w:val="32"/>
          <w:szCs w:val="32"/>
          <w:highlight w:val="none"/>
        </w:rPr>
        <w:t>债务利息及费用</w:t>
      </w:r>
      <w:r>
        <w:rPr>
          <w:rFonts w:hint="eastAsia" w:ascii="仿宋" w:hAnsi="仿宋" w:eastAsia="仿宋" w:cs="仿宋"/>
          <w:sz w:val="32"/>
          <w:szCs w:val="32"/>
          <w:lang w:bidi="ar"/>
        </w:rPr>
        <w:t>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48915"/>
            <wp:effectExtent l="4445" t="4445" r="1651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727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环江毛南族自治县洛阳镇中心幼儿园2022年度政府性基金支出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环江毛南族自治县洛阳镇中心幼儿园2022年度政府性基金支出年初预算为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环江毛南族自治县洛阳镇中心幼儿园</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环江毛南族自治县洛阳镇中心幼儿园2022年度国有资本经营预算支出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环江毛南族自治县洛阳镇中心幼儿园2022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bookmarkStart w:id="4"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环江毛南族自治县洛阳镇中心幼儿园</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安排的支出，故。</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ind w:firstLine="640" w:firstLineChars="200"/>
        <w:jc w:val="left"/>
        <w:rPr>
          <w:rFonts w:hint="eastAsia" w:ascii="黑体" w:hAnsi="黑体" w:eastAsia="黑体" w:cs="黑体"/>
          <w:sz w:val="32"/>
          <w:szCs w:val="32"/>
          <w:highlight w:val="none"/>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b w:val="0"/>
          <w:bCs w:val="0"/>
          <w:color w:val="auto"/>
          <w:sz w:val="32"/>
          <w:szCs w:val="32"/>
          <w:highlight w:val="none"/>
          <w:lang w:val="en-US" w:eastAsia="zh-CN"/>
        </w:rPr>
        <w:t>洛阳镇中心幼儿园</w:t>
      </w:r>
      <w:r>
        <w:rPr>
          <w:rFonts w:hint="eastAsia" w:ascii="仿宋_GB2312" w:hAnsi="仿宋_GB2312" w:eastAsia="仿宋_GB2312" w:cs="仿宋_GB2312"/>
          <w:b w:val="0"/>
          <w:bCs w:val="0"/>
          <w:color w:val="auto"/>
          <w:sz w:val="32"/>
          <w:szCs w:val="32"/>
          <w:u w:color="auto"/>
        </w:rPr>
        <w:t>没有</w:t>
      </w:r>
      <w:r>
        <w:rPr>
          <w:rFonts w:hint="eastAsia" w:ascii="仿宋_GB2312" w:hAnsi="仿宋_GB2312" w:eastAsia="仿宋_GB2312" w:cs="仿宋_GB2312"/>
          <w:b w:val="0"/>
          <w:bCs w:val="0"/>
          <w:sz w:val="32"/>
          <w:szCs w:val="32"/>
          <w:highlight w:val="none"/>
        </w:rPr>
        <w:t>一般公共预算财政拨款安排的“三公”经费</w:t>
      </w:r>
      <w:r>
        <w:rPr>
          <w:rFonts w:hint="eastAsia" w:ascii="仿宋_GB2312" w:hAnsi="仿宋_GB2312" w:eastAsia="仿宋_GB2312" w:cs="仿宋_GB2312"/>
          <w:b w:val="0"/>
          <w:bCs w:val="0"/>
          <w:color w:val="auto"/>
          <w:sz w:val="32"/>
          <w:szCs w:val="32"/>
          <w:u w:color="auto"/>
        </w:rPr>
        <w:t>预算收入，也没有</w:t>
      </w:r>
      <w:r>
        <w:rPr>
          <w:rFonts w:hint="eastAsia" w:ascii="仿宋_GB2312" w:hAnsi="仿宋_GB2312" w:eastAsia="仿宋_GB2312" w:cs="仿宋_GB2312"/>
          <w:b w:val="0"/>
          <w:bCs w:val="0"/>
          <w:sz w:val="32"/>
          <w:szCs w:val="32"/>
          <w:highlight w:val="none"/>
        </w:rPr>
        <w:t>一般公共预算财政拨款安排的“三公”经费</w:t>
      </w:r>
      <w:r>
        <w:rPr>
          <w:rFonts w:hint="eastAsia" w:ascii="仿宋_GB2312" w:hAnsi="仿宋_GB2312" w:eastAsia="仿宋_GB2312" w:cs="仿宋_GB2312"/>
          <w:b w:val="0"/>
          <w:bCs w:val="0"/>
          <w:color w:val="auto"/>
          <w:sz w:val="32"/>
          <w:szCs w:val="32"/>
        </w:rPr>
        <w:t>安排的支出，故本段落无表述。</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万元。原因是：无</w:t>
      </w:r>
      <w:r>
        <w:rPr>
          <w:rFonts w:hint="eastAsia" w:ascii="仿宋_GB2312" w:hAnsi="Times New Roman" w:eastAsia="仿宋_GB2312" w:cs="Times New Roman"/>
          <w:sz w:val="32"/>
          <w:szCs w:val="32"/>
        </w:rPr>
        <w:t>财政拨款安排的“三公”经费支出</w:t>
      </w:r>
      <w:r>
        <w:rPr>
          <w:rFonts w:hint="eastAsia" w:ascii="仿宋" w:hAnsi="仿宋" w:eastAsia="仿宋" w:cs="仿宋"/>
          <w:sz w:val="32"/>
          <w:szCs w:val="32"/>
        </w:rPr>
        <w:t>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bookmarkStart w:id="7" w:name="_GoBack"/>
      <w:bookmarkEnd w:id="7"/>
    </w:p>
    <w:p>
      <w:pPr>
        <w:ind w:firstLine="640" w:firstLineChars="200"/>
        <w:jc w:val="left"/>
        <w:rPr>
          <w:rFonts w:ascii="仿宋" w:hAnsi="仿宋" w:eastAsia="仿宋" w:cs="仿宋"/>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万元。主要原因是</w:t>
      </w:r>
      <w:bookmarkStart w:id="5" w:name="PO_part3A6B2IncReason1"/>
      <w:r>
        <w:rPr>
          <w:rFonts w:hint="eastAsia" w:ascii="仿宋" w:hAnsi="仿宋" w:eastAsia="仿宋" w:cs="仿宋"/>
          <w:sz w:val="32"/>
          <w:szCs w:val="32"/>
        </w:rPr>
        <w:t>本部门无公务用车购置</w:t>
      </w:r>
      <w:bookmarkEnd w:id="5"/>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6" w:name="_Hlk151200525"/>
      <w:r>
        <w:rPr>
          <w:rFonts w:hint="eastAsia" w:ascii="仿宋" w:hAnsi="仿宋" w:eastAsia="仿宋" w:cs="仿宋"/>
          <w:sz w:val="32"/>
          <w:szCs w:val="32"/>
        </w:rPr>
        <w:t>公务用车运行维护支出</w:t>
      </w:r>
      <w:bookmarkEnd w:id="6"/>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万元。主要原因是：无公务用车运行维护支出。2022年，</w:t>
      </w:r>
      <w:r>
        <w:rPr>
          <w:rFonts w:ascii="仿宋" w:hAnsi="仿宋" w:eastAsia="仿宋" w:cs="仿宋"/>
          <w:sz w:val="32"/>
        </w:rPr>
        <w:t>环江毛南族自治县</w:t>
      </w:r>
      <w:r>
        <w:rPr>
          <w:rFonts w:hint="eastAsia" w:ascii="仿宋" w:hAnsi="仿宋" w:eastAsia="仿宋" w:cs="仿宋"/>
          <w:sz w:val="32"/>
          <w:lang w:val="en-US" w:eastAsia="zh-CN"/>
        </w:rPr>
        <w:t>洛阳镇中心</w:t>
      </w:r>
      <w:r>
        <w:rPr>
          <w:rFonts w:ascii="仿宋" w:hAnsi="仿宋" w:eastAsia="仿宋" w:cs="仿宋"/>
          <w:sz w:val="32"/>
        </w:rPr>
        <w:t>幼儿园</w:t>
      </w:r>
      <w:r>
        <w:rPr>
          <w:rFonts w:hint="eastAsia" w:ascii="仿宋" w:hAnsi="仿宋" w:eastAsia="仿宋" w:cs="仿宋"/>
          <w:sz w:val="32"/>
          <w:szCs w:val="32"/>
        </w:rPr>
        <w:t>及</w:t>
      </w:r>
      <w:r>
        <w:rPr>
          <w:rFonts w:hint="eastAsia" w:ascii="仿宋" w:hAnsi="仿宋" w:eastAsia="仿宋" w:cs="仿宋"/>
          <w:sz w:val="32"/>
          <w:szCs w:val="32"/>
          <w:u w:val="single"/>
        </w:rPr>
        <w:t xml:space="preserve">  </w:t>
      </w:r>
      <w:r>
        <w:rPr>
          <w:rFonts w:ascii="仿宋" w:hAnsi="仿宋" w:eastAsia="仿宋" w:cs="仿宋"/>
          <w:sz w:val="32"/>
          <w:szCs w:val="32"/>
          <w:u w:val="single"/>
        </w:rPr>
        <w:t>0</w:t>
      </w:r>
      <w:r>
        <w:rPr>
          <w:rFonts w:hint="eastAsia" w:ascii="仿宋" w:hAnsi="仿宋" w:eastAsia="仿宋" w:cs="仿宋"/>
          <w:sz w:val="32"/>
          <w:szCs w:val="32"/>
          <w:u w:val="single"/>
        </w:rPr>
        <w:t xml:space="preserve"> 个</w:t>
      </w:r>
      <w:r>
        <w:rPr>
          <w:rFonts w:hint="eastAsia" w:ascii="仿宋" w:hAnsi="仿宋" w:eastAsia="仿宋" w:cs="仿宋"/>
          <w:sz w:val="32"/>
          <w:szCs w:val="32"/>
        </w:rPr>
        <w:t>所属单位开支财政拨款的公务用车保有量为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 xml:space="preserve">万元，平均每辆 </w:t>
      </w:r>
      <w:r>
        <w:rPr>
          <w:rFonts w:ascii="仿宋" w:hAnsi="仿宋" w:eastAsia="仿宋" w:cs="仿宋"/>
          <w:sz w:val="32"/>
          <w:szCs w:val="32"/>
        </w:rPr>
        <w:t>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sz w:val="32"/>
          <w:szCs w:val="32"/>
          <w:lang w:bidi="ar"/>
        </w:rPr>
        <w:t>主要原因是：无公务接待费支出。</w:t>
      </w:r>
      <w:r>
        <w:rPr>
          <w:rFonts w:hint="eastAsia" w:ascii="仿宋" w:hAnsi="仿宋" w:eastAsia="仿宋" w:cs="仿宋"/>
          <w:sz w:val="32"/>
          <w:szCs w:val="32"/>
        </w:rPr>
        <w:t>国内公务接待批次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减少0.00</w:t>
      </w:r>
      <w:r>
        <w:rPr>
          <w:rFonts w:hint="eastAsia" w:ascii="仿宋" w:hAnsi="仿宋" w:eastAsia="仿宋" w:cs="仿宋"/>
          <w:sz w:val="32"/>
          <w:szCs w:val="32"/>
          <w:highlight w:val="none"/>
        </w:rPr>
        <w:t>万元，</w:t>
      </w:r>
      <w:r>
        <w:rPr>
          <w:rFonts w:ascii="仿宋" w:hAnsi="仿宋" w:eastAsia="仿宋" w:cs="仿宋"/>
          <w:sz w:val="32"/>
          <w:szCs w:val="32"/>
          <w:highlight w:val="none"/>
        </w:rPr>
        <w:t>下降0.00%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sz w:val="32"/>
          <w:szCs w:val="32"/>
        </w:rPr>
        <w:t>原因是：本部门2</w:t>
      </w:r>
      <w:r>
        <w:rPr>
          <w:rFonts w:ascii="仿宋" w:hAnsi="仿宋" w:eastAsia="仿宋" w:cs="仿宋"/>
          <w:sz w:val="32"/>
          <w:szCs w:val="32"/>
        </w:rPr>
        <w:t>022</w:t>
      </w:r>
      <w:r>
        <w:rPr>
          <w:rFonts w:hint="eastAsia" w:ascii="仿宋" w:hAnsi="仿宋" w:eastAsia="仿宋" w:cs="仿宋"/>
          <w:sz w:val="32"/>
          <w:szCs w:val="32"/>
        </w:rPr>
        <w:t>年度无机关运行经费支出。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213.1155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78.78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组织对2022年度</w:t>
      </w:r>
      <w:r>
        <w:rPr>
          <w:rFonts w:ascii="仿宋" w:hAnsi="仿宋" w:eastAsia="仿宋" w:cs="仿宋"/>
          <w:sz w:val="32"/>
          <w:szCs w:val="32"/>
        </w:rPr>
        <w:t>0</w:t>
      </w:r>
      <w:r>
        <w:rPr>
          <w:rFonts w:hint="eastAsia" w:ascii="仿宋" w:hAnsi="仿宋" w:eastAsia="仿宋" w:cs="仿宋"/>
          <w:sz w:val="32"/>
          <w:szCs w:val="32"/>
        </w:rPr>
        <w:t>等个政府性基金预算项目支出开展绩效自评，共涉及资金</w:t>
      </w:r>
      <w:r>
        <w:rPr>
          <w:rFonts w:ascii="仿宋" w:hAnsi="仿宋" w:eastAsia="仿宋" w:cs="仿宋"/>
          <w:sz w:val="32"/>
          <w:szCs w:val="32"/>
        </w:rPr>
        <w:t>0</w:t>
      </w:r>
      <w:r>
        <w:rPr>
          <w:rFonts w:hint="eastAsia" w:ascii="仿宋" w:hAnsi="仿宋" w:eastAsia="仿宋" w:cs="仿宋"/>
          <w:sz w:val="32"/>
          <w:szCs w:val="32"/>
        </w:rPr>
        <w:t>万元，占政府性基金预算项目支出总额的</w:t>
      </w:r>
      <w:r>
        <w:rPr>
          <w:rFonts w:ascii="仿宋" w:hAnsi="仿宋" w:eastAsia="仿宋" w:cs="仿宋"/>
          <w:sz w:val="32"/>
          <w:szCs w:val="32"/>
        </w:rPr>
        <w:t>0</w:t>
      </w:r>
      <w:r>
        <w:rPr>
          <w:rFonts w:hint="eastAsia" w:ascii="仿宋" w:hAnsi="仿宋" w:eastAsia="仿宋" w:cs="仿宋"/>
          <w:sz w:val="32"/>
          <w:szCs w:val="32"/>
        </w:rPr>
        <w:t>%。组织对2022年度</w:t>
      </w:r>
      <w:r>
        <w:rPr>
          <w:rFonts w:ascii="仿宋" w:hAnsi="仿宋" w:eastAsia="仿宋" w:cs="仿宋"/>
          <w:sz w:val="32"/>
          <w:szCs w:val="32"/>
        </w:rPr>
        <w:t>0</w:t>
      </w:r>
      <w:r>
        <w:rPr>
          <w:rFonts w:hint="eastAsia" w:ascii="仿宋" w:hAnsi="仿宋" w:eastAsia="仿宋" w:cs="仿宋"/>
          <w:sz w:val="32"/>
          <w:szCs w:val="32"/>
        </w:rPr>
        <w:t>等</w:t>
      </w:r>
      <w:r>
        <w:rPr>
          <w:rFonts w:ascii="仿宋" w:hAnsi="仿宋" w:eastAsia="仿宋" w:cs="仿宋"/>
          <w:sz w:val="32"/>
          <w:szCs w:val="32"/>
        </w:rPr>
        <w:t>0</w:t>
      </w:r>
      <w:r>
        <w:rPr>
          <w:rFonts w:hint="eastAsia" w:ascii="仿宋" w:hAnsi="仿宋" w:eastAsia="仿宋" w:cs="仿宋"/>
          <w:sz w:val="32"/>
          <w:szCs w:val="32"/>
        </w:rPr>
        <w:t>个国有资本经营预算项目支出开展绩效自评，共涉及资金</w:t>
      </w:r>
      <w:r>
        <w:rPr>
          <w:rFonts w:ascii="仿宋" w:hAnsi="仿宋" w:eastAsia="仿宋" w:cs="仿宋"/>
          <w:sz w:val="32"/>
          <w:szCs w:val="32"/>
        </w:rPr>
        <w:t>0</w:t>
      </w:r>
      <w:r>
        <w:rPr>
          <w:rFonts w:hint="eastAsia" w:ascii="仿宋" w:hAnsi="仿宋" w:eastAsia="仿宋" w:cs="仿宋"/>
          <w:sz w:val="32"/>
          <w:szCs w:val="32"/>
        </w:rPr>
        <w:t>万元，占国有资本经营预算项目支出总额的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w:t>
      </w:r>
      <w:r>
        <w:rPr>
          <w:rFonts w:hint="eastAsia" w:ascii="仿宋_GB2312" w:hAnsi="仿宋_GB2312" w:eastAsia="仿宋_GB2312" w:cs="仿宋_GB2312"/>
          <w:i w:val="0"/>
          <w:iCs w:val="0"/>
          <w:caps w:val="0"/>
          <w:color w:val="auto"/>
          <w:spacing w:val="0"/>
          <w:sz w:val="32"/>
          <w:szCs w:val="32"/>
          <w:shd w:val="clear" w:fill="FFFFFF"/>
        </w:rPr>
        <w:t>普惠性民办幼儿园奖补中央补助资金</w:t>
      </w:r>
      <w:r>
        <w:rPr>
          <w:rFonts w:hint="eastAsia" w:ascii="仿宋" w:hAnsi="仿宋" w:eastAsia="仿宋" w:cs="仿宋"/>
          <w:sz w:val="32"/>
          <w:szCs w:val="32"/>
        </w:rPr>
        <w:t>”等</w:t>
      </w:r>
      <w:r>
        <w:rPr>
          <w:rFonts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213.1155</w:t>
      </w:r>
      <w:r>
        <w:rPr>
          <w:rFonts w:hint="eastAsia" w:ascii="仿宋" w:hAnsi="仿宋" w:eastAsia="仿宋" w:cs="仿宋"/>
          <w:sz w:val="32"/>
          <w:szCs w:val="32"/>
        </w:rPr>
        <w:t>万元，政府性基金预算支出</w:t>
      </w:r>
      <w:r>
        <w:rPr>
          <w:rFonts w:ascii="仿宋" w:hAnsi="仿宋" w:eastAsia="仿宋" w:cs="仿宋"/>
          <w:sz w:val="32"/>
          <w:szCs w:val="32"/>
        </w:rPr>
        <w:t>0</w:t>
      </w:r>
      <w:r>
        <w:rPr>
          <w:rFonts w:hint="eastAsia" w:ascii="仿宋" w:hAnsi="仿宋" w:eastAsia="仿宋" w:cs="仿宋"/>
          <w:sz w:val="32"/>
          <w:szCs w:val="32"/>
        </w:rPr>
        <w:t>万元，国有资本经营预算支出</w:t>
      </w:r>
      <w:r>
        <w:rPr>
          <w:rFonts w:ascii="仿宋" w:hAnsi="仿宋" w:eastAsia="仿宋" w:cs="仿宋"/>
          <w:sz w:val="32"/>
          <w:szCs w:val="32"/>
        </w:rPr>
        <w:t>0</w:t>
      </w:r>
      <w:r>
        <w:rPr>
          <w:rFonts w:hint="eastAsia" w:ascii="仿宋" w:hAnsi="仿宋" w:eastAsia="仿宋" w:cs="仿宋"/>
          <w:sz w:val="32"/>
          <w:szCs w:val="32"/>
        </w:rPr>
        <w:t>万元。从评价情况来看，本部门推进预算支出绩效评价管理,提高资金使用效率。按时完成各个项目年度绩效目标，提高服务对象的满意度。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w:t>
      </w:r>
      <w:r>
        <w:rPr>
          <w:rFonts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213.1155</w:t>
      </w:r>
      <w:r>
        <w:rPr>
          <w:rFonts w:hint="eastAsia" w:ascii="仿宋" w:hAnsi="仿宋" w:eastAsia="仿宋" w:cs="仿宋"/>
          <w:sz w:val="32"/>
          <w:szCs w:val="32"/>
        </w:rPr>
        <w:t>万元，政府性基金预算支出</w:t>
      </w:r>
      <w:r>
        <w:rPr>
          <w:rFonts w:ascii="仿宋" w:hAnsi="仿宋" w:eastAsia="仿宋" w:cs="仿宋"/>
          <w:sz w:val="32"/>
          <w:szCs w:val="32"/>
        </w:rPr>
        <w:t>0</w:t>
      </w:r>
      <w:r>
        <w:rPr>
          <w:rFonts w:hint="eastAsia" w:ascii="仿宋" w:hAnsi="仿宋" w:eastAsia="仿宋" w:cs="仿宋"/>
          <w:sz w:val="32"/>
          <w:szCs w:val="32"/>
        </w:rPr>
        <w:t>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我部门根据年初设定的绩效目标，</w:t>
      </w:r>
      <w:r>
        <w:rPr>
          <w:rFonts w:hint="eastAsia" w:ascii="仿宋_GB2312" w:hAnsi="仿宋_GB2312" w:eastAsia="仿宋_GB2312" w:cs="仿宋_GB2312"/>
          <w:i w:val="0"/>
          <w:iCs w:val="0"/>
          <w:caps w:val="0"/>
          <w:color w:val="auto"/>
          <w:spacing w:val="0"/>
          <w:sz w:val="32"/>
          <w:szCs w:val="32"/>
          <w:shd w:val="clear" w:fill="FFFFFF"/>
        </w:rPr>
        <w:t>普惠性民办幼儿园奖补中央补助资金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 w:hAnsi="仿宋" w:eastAsia="仿宋" w:cs="仿宋"/>
          <w:sz w:val="32"/>
          <w:szCs w:val="32"/>
        </w:rPr>
        <w:t>发现的主要问题及原因：无。下一步改进措施：无。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伙食补助</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 w:hAnsi="仿宋" w:eastAsia="仿宋" w:cs="仿宋"/>
          <w:sz w:val="32"/>
          <w:szCs w:val="32"/>
        </w:rPr>
        <w:t>发现的主要问题及原因：无。下一步改进措施：无。</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洛阳镇中心幼儿园2022年年初预算经费（保育教育费）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92.64</w:t>
      </w:r>
      <w:r>
        <w:rPr>
          <w:rFonts w:hint="eastAsia" w:ascii="仿宋_GB2312" w:hAnsi="仿宋_GB2312" w:eastAsia="仿宋_GB2312" w:cs="仿宋_GB2312"/>
          <w:color w:val="auto"/>
          <w:sz w:val="32"/>
          <w:szCs w:val="32"/>
        </w:rPr>
        <w:t>分。发现的主要问题及原因：</w:t>
      </w:r>
      <w:r>
        <w:rPr>
          <w:rFonts w:hint="eastAsia" w:ascii="仿宋_GB2312" w:eastAsia="仿宋_GB2312" w:cs="仿宋_GB2312"/>
          <w:i w:val="0"/>
          <w:iCs w:val="0"/>
          <w:caps w:val="0"/>
          <w:color w:val="000000"/>
          <w:spacing w:val="0"/>
          <w:sz w:val="32"/>
          <w:szCs w:val="32"/>
          <w:shd w:val="clear" w:fill="FDFDFE"/>
          <w:lang w:val="en-US" w:eastAsia="zh-CN"/>
        </w:rPr>
        <w:t>在项目资金预算绩效方面总体上是管理使用到位，但项目未完成预算资金使用量</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学前生均公用经费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99.08</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eastAsia="仿宋_GB2312" w:cs="仿宋_GB2312"/>
          <w:i w:val="0"/>
          <w:iCs w:val="0"/>
          <w:caps w:val="0"/>
          <w:color w:val="000000"/>
          <w:spacing w:val="0"/>
          <w:sz w:val="32"/>
          <w:szCs w:val="32"/>
          <w:shd w:val="clear" w:fill="FDFDFE"/>
          <w:lang w:val="en-US" w:eastAsia="zh-CN"/>
        </w:rPr>
        <w:t>加强对幼儿园资金使用过程的监督和指导</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普惠幼儿园奖补县本级奖补资金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 w:hAnsi="仿宋" w:eastAsia="仿宋" w:cs="仿宋"/>
          <w:sz w:val="32"/>
          <w:szCs w:val="32"/>
        </w:rPr>
        <w:t>发现的主要问题及原因：无。下一步改进措施：无。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教师节经费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 w:hAnsi="仿宋" w:eastAsia="仿宋" w:cs="仿宋"/>
          <w:sz w:val="32"/>
          <w:szCs w:val="32"/>
        </w:rPr>
        <w:t>发现的主要问题及原因：无。下一步改进措施：无。</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奖励性补贴</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r>
        <w:rPr>
          <w:rFonts w:hint="eastAsia" w:ascii="仿宋" w:hAnsi="仿宋" w:eastAsia="仿宋" w:cs="仿宋"/>
          <w:sz w:val="32"/>
          <w:szCs w:val="32"/>
        </w:rPr>
        <w:t>发现的主要问题及原因：无。下一步改进措施：无。</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学前教育保育费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99.48</w:t>
      </w:r>
      <w:r>
        <w:rPr>
          <w:rFonts w:hint="eastAsia" w:ascii="仿宋_GB2312" w:hAnsi="仿宋_GB2312" w:eastAsia="仿宋_GB2312" w:cs="仿宋_GB2312"/>
          <w:color w:val="auto"/>
          <w:sz w:val="32"/>
          <w:szCs w:val="32"/>
        </w:rPr>
        <w:t>分。发现的主要问题及原因：</w:t>
      </w:r>
      <w:r>
        <w:rPr>
          <w:rFonts w:hint="eastAsia" w:ascii="仿宋_GB2312" w:eastAsia="仿宋_GB2312" w:cs="仿宋_GB2312"/>
          <w:i w:val="0"/>
          <w:iCs w:val="0"/>
          <w:caps w:val="0"/>
          <w:color w:val="000000"/>
          <w:spacing w:val="0"/>
          <w:sz w:val="32"/>
          <w:szCs w:val="32"/>
          <w:shd w:val="clear" w:fill="FDFDFE"/>
          <w:lang w:val="en-US" w:eastAsia="zh-CN"/>
        </w:rPr>
        <w:t>在项目资金预算绩效方面总体上是管理使用到位，但项目未完成预算资金使用量</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eastAsia="仿宋_GB2312" w:cs="仿宋_GB2312"/>
          <w:i w:val="0"/>
          <w:iCs w:val="0"/>
          <w:caps w:val="0"/>
          <w:color w:val="000000"/>
          <w:spacing w:val="0"/>
          <w:sz w:val="32"/>
          <w:szCs w:val="32"/>
          <w:shd w:val="clear" w:fill="FDFDFE"/>
          <w:lang w:val="en-US" w:eastAsia="zh-CN"/>
        </w:rPr>
        <w:t>加强对幼儿园资金使用过程的监督和指导，</w:t>
      </w:r>
      <w:r>
        <w:rPr>
          <w:rFonts w:hint="eastAsia" w:ascii="仿宋_GB2312" w:hAnsi="仿宋_GB2312" w:eastAsia="仿宋_GB2312" w:cs="仿宋_GB2312"/>
          <w:sz w:val="32"/>
          <w:szCs w:val="32"/>
        </w:rPr>
        <w:t>在项目实施方面还有待完善。</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学前教育免除保育费县本级补助资金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99.2</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r>
        <w:rPr>
          <w:rFonts w:hint="eastAsia" w:ascii="仿宋_GB2312" w:hAnsi="仿宋_GB2312" w:eastAsia="仿宋_GB2312" w:cs="仿宋_GB2312"/>
          <w:color w:val="auto"/>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学前教育免除保育费中央补助资金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98.39</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NTg5MjcyYzFiNDAwMzRiODcyZjRhYjE1MWQxZDMifQ=="/>
  </w:docVars>
  <w:rsids>
    <w:rsidRoot w:val="637D7558"/>
    <w:rsid w:val="00002C84"/>
    <w:rsid w:val="00022149"/>
    <w:rsid w:val="00047F6C"/>
    <w:rsid w:val="00093C26"/>
    <w:rsid w:val="00094B91"/>
    <w:rsid w:val="000B06D8"/>
    <w:rsid w:val="000E5855"/>
    <w:rsid w:val="001418A5"/>
    <w:rsid w:val="00147D40"/>
    <w:rsid w:val="00156EF2"/>
    <w:rsid w:val="00186BF0"/>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C23643"/>
    <w:rsid w:val="0202311A"/>
    <w:rsid w:val="020C171D"/>
    <w:rsid w:val="0216715F"/>
    <w:rsid w:val="02313F99"/>
    <w:rsid w:val="02E0291A"/>
    <w:rsid w:val="038D3451"/>
    <w:rsid w:val="03BE59EC"/>
    <w:rsid w:val="03E2554B"/>
    <w:rsid w:val="044E0E32"/>
    <w:rsid w:val="046352AB"/>
    <w:rsid w:val="048C3038"/>
    <w:rsid w:val="04E54546"/>
    <w:rsid w:val="057A15B3"/>
    <w:rsid w:val="05992762"/>
    <w:rsid w:val="059E211D"/>
    <w:rsid w:val="06AF7BDC"/>
    <w:rsid w:val="06BC0A5A"/>
    <w:rsid w:val="07995D19"/>
    <w:rsid w:val="07B0770E"/>
    <w:rsid w:val="08E65545"/>
    <w:rsid w:val="08FD2E27"/>
    <w:rsid w:val="0942143F"/>
    <w:rsid w:val="0A452638"/>
    <w:rsid w:val="0C34638F"/>
    <w:rsid w:val="0CFE4FA0"/>
    <w:rsid w:val="0D100297"/>
    <w:rsid w:val="0D202B45"/>
    <w:rsid w:val="0D8F1E5B"/>
    <w:rsid w:val="0E733246"/>
    <w:rsid w:val="0EDE5518"/>
    <w:rsid w:val="0F564C08"/>
    <w:rsid w:val="0F8D4C87"/>
    <w:rsid w:val="0FD541B5"/>
    <w:rsid w:val="10505FAA"/>
    <w:rsid w:val="105F7E7E"/>
    <w:rsid w:val="10F345D4"/>
    <w:rsid w:val="11E56B5B"/>
    <w:rsid w:val="125C77AB"/>
    <w:rsid w:val="14CB726E"/>
    <w:rsid w:val="168260B5"/>
    <w:rsid w:val="16B64856"/>
    <w:rsid w:val="16E1328B"/>
    <w:rsid w:val="16EA3DCF"/>
    <w:rsid w:val="17E92249"/>
    <w:rsid w:val="18814EDA"/>
    <w:rsid w:val="18864F79"/>
    <w:rsid w:val="18D304F1"/>
    <w:rsid w:val="19F32577"/>
    <w:rsid w:val="19F45B80"/>
    <w:rsid w:val="1A114893"/>
    <w:rsid w:val="1AA94BBC"/>
    <w:rsid w:val="1B0C078D"/>
    <w:rsid w:val="1B2B31E2"/>
    <w:rsid w:val="1B461F20"/>
    <w:rsid w:val="1B4C295A"/>
    <w:rsid w:val="1B973C63"/>
    <w:rsid w:val="1BA1001E"/>
    <w:rsid w:val="1BE023A8"/>
    <w:rsid w:val="1C537C53"/>
    <w:rsid w:val="1D204BC3"/>
    <w:rsid w:val="1D317259"/>
    <w:rsid w:val="1E664F5B"/>
    <w:rsid w:val="1E802B32"/>
    <w:rsid w:val="1EB05103"/>
    <w:rsid w:val="1EB34BE1"/>
    <w:rsid w:val="1EDF295B"/>
    <w:rsid w:val="1F4D129C"/>
    <w:rsid w:val="202F09BC"/>
    <w:rsid w:val="20E661B6"/>
    <w:rsid w:val="215E639F"/>
    <w:rsid w:val="21EC3183"/>
    <w:rsid w:val="21EF7359"/>
    <w:rsid w:val="225E72CD"/>
    <w:rsid w:val="22E23972"/>
    <w:rsid w:val="23A1792F"/>
    <w:rsid w:val="246E2F77"/>
    <w:rsid w:val="254B4E2B"/>
    <w:rsid w:val="258E61E7"/>
    <w:rsid w:val="269413A8"/>
    <w:rsid w:val="275D1EE6"/>
    <w:rsid w:val="277029CB"/>
    <w:rsid w:val="277C2C50"/>
    <w:rsid w:val="27A64B98"/>
    <w:rsid w:val="283D7C94"/>
    <w:rsid w:val="2890116A"/>
    <w:rsid w:val="29480E03"/>
    <w:rsid w:val="2983634D"/>
    <w:rsid w:val="2A4D10C0"/>
    <w:rsid w:val="2BB02055"/>
    <w:rsid w:val="2BDA03B9"/>
    <w:rsid w:val="2BF94A5B"/>
    <w:rsid w:val="2C575A56"/>
    <w:rsid w:val="2E707FCC"/>
    <w:rsid w:val="2F257714"/>
    <w:rsid w:val="2F266384"/>
    <w:rsid w:val="2F3275E5"/>
    <w:rsid w:val="2F862930"/>
    <w:rsid w:val="2FF279EE"/>
    <w:rsid w:val="30AA08EF"/>
    <w:rsid w:val="30B26121"/>
    <w:rsid w:val="30D23D1C"/>
    <w:rsid w:val="30DF309C"/>
    <w:rsid w:val="31221CF5"/>
    <w:rsid w:val="31400178"/>
    <w:rsid w:val="321E3342"/>
    <w:rsid w:val="322F33A4"/>
    <w:rsid w:val="32553A33"/>
    <w:rsid w:val="327759C8"/>
    <w:rsid w:val="33185FE3"/>
    <w:rsid w:val="34514203"/>
    <w:rsid w:val="34B11B4A"/>
    <w:rsid w:val="34D91DA6"/>
    <w:rsid w:val="34EE2E36"/>
    <w:rsid w:val="36777241"/>
    <w:rsid w:val="367B5207"/>
    <w:rsid w:val="37155669"/>
    <w:rsid w:val="371E78D5"/>
    <w:rsid w:val="37270EF7"/>
    <w:rsid w:val="37A41681"/>
    <w:rsid w:val="37B7401D"/>
    <w:rsid w:val="37FC0C92"/>
    <w:rsid w:val="38A951DB"/>
    <w:rsid w:val="38B31605"/>
    <w:rsid w:val="39003F4F"/>
    <w:rsid w:val="39F8576E"/>
    <w:rsid w:val="3C07002B"/>
    <w:rsid w:val="3C4C0B25"/>
    <w:rsid w:val="3D0D152A"/>
    <w:rsid w:val="3DF62756"/>
    <w:rsid w:val="3F1B7587"/>
    <w:rsid w:val="3F281B45"/>
    <w:rsid w:val="3FA706C4"/>
    <w:rsid w:val="41AE6B81"/>
    <w:rsid w:val="41E57B4F"/>
    <w:rsid w:val="432F26F6"/>
    <w:rsid w:val="43880F63"/>
    <w:rsid w:val="441C5A6F"/>
    <w:rsid w:val="44974A0B"/>
    <w:rsid w:val="44C44FCC"/>
    <w:rsid w:val="44CC7369"/>
    <w:rsid w:val="457F5108"/>
    <w:rsid w:val="46951B6B"/>
    <w:rsid w:val="46D93AC5"/>
    <w:rsid w:val="46FF5F5D"/>
    <w:rsid w:val="471E719A"/>
    <w:rsid w:val="48CF1436"/>
    <w:rsid w:val="49355B03"/>
    <w:rsid w:val="49647D7D"/>
    <w:rsid w:val="49A34401"/>
    <w:rsid w:val="49AB0126"/>
    <w:rsid w:val="4A0B40EF"/>
    <w:rsid w:val="4A0F5EA1"/>
    <w:rsid w:val="4A3C6604"/>
    <w:rsid w:val="4A3E30AB"/>
    <w:rsid w:val="4AC14DAC"/>
    <w:rsid w:val="4B395237"/>
    <w:rsid w:val="4D154C85"/>
    <w:rsid w:val="4D9D385D"/>
    <w:rsid w:val="4DC70076"/>
    <w:rsid w:val="4EB35ECE"/>
    <w:rsid w:val="4F815C1D"/>
    <w:rsid w:val="4FAF3FD7"/>
    <w:rsid w:val="508F4E24"/>
    <w:rsid w:val="50D351D4"/>
    <w:rsid w:val="50E2538D"/>
    <w:rsid w:val="51461E90"/>
    <w:rsid w:val="51463753"/>
    <w:rsid w:val="5153040B"/>
    <w:rsid w:val="51837B5F"/>
    <w:rsid w:val="51F44F72"/>
    <w:rsid w:val="52553A93"/>
    <w:rsid w:val="52E15F9A"/>
    <w:rsid w:val="530064AB"/>
    <w:rsid w:val="53521F8B"/>
    <w:rsid w:val="53E22F47"/>
    <w:rsid w:val="54522FF8"/>
    <w:rsid w:val="55450629"/>
    <w:rsid w:val="56372B5E"/>
    <w:rsid w:val="56692963"/>
    <w:rsid w:val="567E247E"/>
    <w:rsid w:val="567F4646"/>
    <w:rsid w:val="568B0F48"/>
    <w:rsid w:val="5786217B"/>
    <w:rsid w:val="59337A15"/>
    <w:rsid w:val="59810274"/>
    <w:rsid w:val="59CB45D7"/>
    <w:rsid w:val="59EC0FAB"/>
    <w:rsid w:val="5A01375A"/>
    <w:rsid w:val="5AE72137"/>
    <w:rsid w:val="5B3752F1"/>
    <w:rsid w:val="5C211F12"/>
    <w:rsid w:val="5CA96A00"/>
    <w:rsid w:val="5CF730BC"/>
    <w:rsid w:val="5E5F0DCE"/>
    <w:rsid w:val="5EFF39EF"/>
    <w:rsid w:val="5FA40A7B"/>
    <w:rsid w:val="5FD56D29"/>
    <w:rsid w:val="5FEC7F3F"/>
    <w:rsid w:val="60DD4245"/>
    <w:rsid w:val="60F74BC3"/>
    <w:rsid w:val="617D3BF8"/>
    <w:rsid w:val="61841F6A"/>
    <w:rsid w:val="62162102"/>
    <w:rsid w:val="623007A9"/>
    <w:rsid w:val="62610235"/>
    <w:rsid w:val="62D00754"/>
    <w:rsid w:val="637D7558"/>
    <w:rsid w:val="644F19AC"/>
    <w:rsid w:val="65404DA2"/>
    <w:rsid w:val="65AA4920"/>
    <w:rsid w:val="65E31D0B"/>
    <w:rsid w:val="66ED3B93"/>
    <w:rsid w:val="67372416"/>
    <w:rsid w:val="67694F1E"/>
    <w:rsid w:val="678C7D96"/>
    <w:rsid w:val="67D363A2"/>
    <w:rsid w:val="67FC76A6"/>
    <w:rsid w:val="688C2C65"/>
    <w:rsid w:val="68F505D1"/>
    <w:rsid w:val="69597934"/>
    <w:rsid w:val="697670FA"/>
    <w:rsid w:val="6A581B9B"/>
    <w:rsid w:val="6B6B029E"/>
    <w:rsid w:val="6B964DDC"/>
    <w:rsid w:val="6C783074"/>
    <w:rsid w:val="6C79702D"/>
    <w:rsid w:val="6D2351EA"/>
    <w:rsid w:val="6D504B2E"/>
    <w:rsid w:val="6D7A305C"/>
    <w:rsid w:val="6D9E65C6"/>
    <w:rsid w:val="6DA81947"/>
    <w:rsid w:val="6EB66DE2"/>
    <w:rsid w:val="6ED3075F"/>
    <w:rsid w:val="6EDF1771"/>
    <w:rsid w:val="6EFD5AB2"/>
    <w:rsid w:val="6F2A2D4B"/>
    <w:rsid w:val="6F437969"/>
    <w:rsid w:val="6F8A0C1E"/>
    <w:rsid w:val="703F45D4"/>
    <w:rsid w:val="70B2124A"/>
    <w:rsid w:val="71325EE7"/>
    <w:rsid w:val="715D6546"/>
    <w:rsid w:val="71887C3A"/>
    <w:rsid w:val="71BE069E"/>
    <w:rsid w:val="71CA20D8"/>
    <w:rsid w:val="73953409"/>
    <w:rsid w:val="739B7615"/>
    <w:rsid w:val="73E069A3"/>
    <w:rsid w:val="74797471"/>
    <w:rsid w:val="74813443"/>
    <w:rsid w:val="753939AC"/>
    <w:rsid w:val="75791F0A"/>
    <w:rsid w:val="7582387F"/>
    <w:rsid w:val="767546B6"/>
    <w:rsid w:val="779E3DEB"/>
    <w:rsid w:val="77A94A29"/>
    <w:rsid w:val="78104AA8"/>
    <w:rsid w:val="7817324A"/>
    <w:rsid w:val="786D4161"/>
    <w:rsid w:val="78745037"/>
    <w:rsid w:val="78E257C5"/>
    <w:rsid w:val="794B35BE"/>
    <w:rsid w:val="7B0A3A31"/>
    <w:rsid w:val="7B3360ED"/>
    <w:rsid w:val="7B63076C"/>
    <w:rsid w:val="7BDF037E"/>
    <w:rsid w:val="7BF50948"/>
    <w:rsid w:val="7CE66A78"/>
    <w:rsid w:val="7D1C5CAC"/>
    <w:rsid w:val="7D23564C"/>
    <w:rsid w:val="7D5E062D"/>
    <w:rsid w:val="7D796A18"/>
    <w:rsid w:val="7DF76CD8"/>
    <w:rsid w:val="7F50051A"/>
    <w:rsid w:val="7F695C26"/>
    <w:rsid w:val="7F6B3CEF"/>
    <w:rsid w:val="7FCF62D3"/>
    <w:rsid w:val="FCBF9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270.51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0.59</c:v>
                </c:pt>
                <c:pt idx="5">
                  <c:v>0</c:v>
                </c:pt>
                <c:pt idx="6">
                  <c:v>0</c:v>
                </c:pt>
                <c:pt idx="7">
                  <c:v>0</c:v>
                </c:pt>
                <c:pt idx="8">
                  <c:v>0</c:v>
                </c:pt>
                <c:pt idx="9">
                  <c:v>0</c:v>
                </c:pt>
                <c:pt idx="10">
                  <c:v>0</c:v>
                </c:pt>
                <c:pt idx="11">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222.95</c:v>
                </c:pt>
                <c:pt idx="2">
                  <c:v>3.75</c:v>
                </c:pt>
                <c:pt idx="3">
                  <c:v>1.65</c:v>
                </c:pt>
                <c:pt idx="4">
                  <c:v>1.98</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0.49</c:v>
                </c:pt>
                <c:pt idx="1">
                  <c:v>253.48</c:v>
                </c:pt>
                <c:pt idx="2">
                  <c:v>6.25</c:v>
                </c:pt>
                <c:pt idx="3">
                  <c:v>4.4</c:v>
                </c:pt>
                <c:pt idx="4">
                  <c:v>5.89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0.49</c:v>
                </c:pt>
                <c:pt idx="1">
                  <c:v>0.49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2050201</c:v>
                </c:pt>
                <c:pt idx="1">
                  <c:v>2050299</c:v>
                </c:pt>
                <c:pt idx="2">
                  <c:v>205x</c:v>
                </c:pt>
              </c:strCache>
            </c:strRef>
          </c:cat>
          <c:val>
            <c:numRef>
              <c:f>Sheet1!$B$2:$B$4</c:f>
              <c:numCache>
                <c:formatCode>General</c:formatCode>
                <c:ptCount val="3"/>
                <c:pt idx="0">
                  <c:v>241.04</c:v>
                </c:pt>
                <c:pt idx="1">
                  <c:v>12.45</c:v>
                </c:pt>
                <c:pt idx="2">
                  <c:v>253.48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6.25</c:v>
                </c:pt>
                <c:pt idx="1">
                  <c:v>6.25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4.4</c:v>
                </c:pt>
                <c:pt idx="1">
                  <c:v>4.4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5.89</c:v>
                </c:pt>
                <c:pt idx="1">
                  <c:v>5.89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26.2</c:v>
                </c:pt>
                <c:pt idx="1">
                  <c:v>3.81</c:v>
                </c:pt>
                <c:pt idx="2">
                  <c:v>8.01</c:v>
                </c:pt>
                <c:pt idx="3">
                  <c:v>0</c:v>
                </c:pt>
                <c:pt idx="4">
                  <c:v>6.79</c:v>
                </c:pt>
                <c:pt idx="5">
                  <c:v>6.25</c:v>
                </c:pt>
                <c:pt idx="6">
                  <c:v>0</c:v>
                </c:pt>
                <c:pt idx="7">
                  <c:v>2.89</c:v>
                </c:pt>
                <c:pt idx="8">
                  <c:v>0</c:v>
                </c:pt>
                <c:pt idx="9">
                  <c:v>0.24</c:v>
                </c:pt>
                <c:pt idx="10">
                  <c:v>4.4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0.49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2</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Administrator</cp:lastModifiedBy>
  <cp:lastPrinted>2023-11-19T12:14:00Z</cp:lastPrinted>
  <dcterms:modified xsi:type="dcterms:W3CDTF">2023-11-28T10:21:22Z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9E5122F643544E42BFB9C83D674E56DF_13</vt:lpwstr>
  </property>
</Properties>
</file>